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1378B7" w:rsidRDefault="00675A30" w:rsidP="00641880">
      <w:pPr>
        <w:snapToGrid w:val="0"/>
        <w:jc w:val="center"/>
      </w:pPr>
      <w:r>
        <w:rPr>
          <w:noProof/>
          <w:lang w:val="en-US"/>
        </w:rPr>
        <w:drawing>
          <wp:inline distT="0" distB="0" distL="0" distR="0">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7522EA">
        <w:fldChar w:fldCharType="begin"/>
      </w:r>
      <w:r w:rsidR="006A08D5" w:rsidRPr="001378B7">
        <w:instrText xml:space="preserve">  </w:instrText>
      </w:r>
      <w:r w:rsidR="006A08D5" w:rsidRPr="007522EA">
        <w:fldChar w:fldCharType="end"/>
      </w:r>
      <w:r w:rsidR="004569AF">
        <w:rPr>
          <w:noProof/>
          <w:sz w:val="20"/>
          <w:lang w:val="en-US"/>
        </w:rPr>
        <mc:AlternateContent>
          <mc:Choice Requires="wps">
            <w:drawing>
              <wp:anchor distT="0" distB="0" distL="114300" distR="114300" simplePos="0" relativeHeight="251658240" behindDoc="1" locked="0" layoutInCell="0" allowOverlap="1" wp14:anchorId="0D65E563" wp14:editId="191DBEA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9CC" w:rsidRPr="00260E65" w:rsidRDefault="003B09CC">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5E56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B09CC" w:rsidRPr="00260E65" w:rsidRDefault="003B09CC">
                      <w:pPr>
                        <w:jc w:val="center"/>
                        <w:rPr>
                          <w:rFonts w:ascii="Arial" w:hAnsi="Arial" w:cs="Arial"/>
                          <w:b/>
                          <w:bCs/>
                          <w:sz w:val="48"/>
                        </w:rPr>
                      </w:pPr>
                      <w:r>
                        <w:rPr>
                          <w:rFonts w:ascii="Arial" w:hAnsi="Arial"/>
                          <w:b/>
                          <w:bCs/>
                          <w:sz w:val="48"/>
                        </w:rPr>
                        <w:t>DE</w:t>
                      </w:r>
                    </w:p>
                  </w:txbxContent>
                </v:textbox>
                <w10:wrap anchorx="page" anchory="page"/>
              </v:shape>
            </w:pict>
          </mc:Fallback>
        </mc:AlternateContent>
      </w:r>
    </w:p>
    <w:p w:rsidR="008405A0" w:rsidRPr="001378B7" w:rsidRDefault="008405A0" w:rsidP="00641880">
      <w:pPr>
        <w:snapToGrid w:val="0"/>
        <w:rPr>
          <w:lang w:val="en-GB"/>
        </w:rPr>
      </w:pPr>
    </w:p>
    <w:p w:rsidR="008405A0" w:rsidRPr="001378B7" w:rsidRDefault="008405A0" w:rsidP="00641880">
      <w:pPr>
        <w:snapToGrid w:val="0"/>
        <w:rPr>
          <w:lang w:val="en-GB"/>
        </w:rPr>
      </w:pPr>
    </w:p>
    <w:p w:rsidR="008405A0" w:rsidRPr="001378B7" w:rsidRDefault="00FC0B2C" w:rsidP="00641880">
      <w:pPr>
        <w:snapToGrid w:val="0"/>
        <w:jc w:val="right"/>
        <w:rPr>
          <w:rFonts w:eastAsia="MS Mincho"/>
        </w:rPr>
      </w:pPr>
      <w:r>
        <w:t>Brüssel, den 22. Februar 2021</w:t>
      </w:r>
    </w:p>
    <w:p w:rsidR="008405A0" w:rsidRPr="001378B7" w:rsidRDefault="008405A0">
      <w:pPr>
        <w:snapToGrid w:val="0"/>
        <w:rPr>
          <w:lang w:val="en-GB"/>
        </w:rPr>
      </w:pPr>
    </w:p>
    <w:p w:rsidR="008405A0" w:rsidRPr="001378B7" w:rsidRDefault="008405A0">
      <w:pPr>
        <w:snapToGrid w:val="0"/>
        <w:rPr>
          <w:lang w:val="en-GB"/>
        </w:rPr>
      </w:pPr>
    </w:p>
    <w:p w:rsidR="00AF6F3E" w:rsidRPr="001378B7" w:rsidRDefault="00AF6F3E">
      <w:pPr>
        <w:snapToGrid w:val="0"/>
        <w:rPr>
          <w:lang w:val="en-GB"/>
        </w:rPr>
      </w:pPr>
    </w:p>
    <w:p w:rsidR="006819C8" w:rsidRPr="001378B7" w:rsidRDefault="006819C8">
      <w:pPr>
        <w:snapToGrid w:val="0"/>
        <w:rPr>
          <w:lang w:val="en-GB"/>
        </w:rPr>
      </w:pPr>
    </w:p>
    <w:tbl>
      <w:tblPr>
        <w:tblW w:w="0" w:type="auto"/>
        <w:tblLayout w:type="fixed"/>
        <w:tblLook w:val="0000" w:firstRow="0" w:lastRow="0" w:firstColumn="0" w:lastColumn="0" w:noHBand="0" w:noVBand="0"/>
      </w:tblPr>
      <w:tblGrid>
        <w:gridCol w:w="9289"/>
      </w:tblGrid>
      <w:tr w:rsidR="008405A0" w:rsidRPr="001378B7" w:rsidTr="00A72D7A">
        <w:tc>
          <w:tcPr>
            <w:tcW w:w="9289" w:type="dxa"/>
            <w:tcBorders>
              <w:top w:val="nil"/>
              <w:left w:val="nil"/>
              <w:bottom w:val="double" w:sz="4" w:space="0" w:color="auto"/>
              <w:right w:val="nil"/>
            </w:tcBorders>
          </w:tcPr>
          <w:p w:rsidR="008405A0" w:rsidRPr="001378B7" w:rsidRDefault="00A86405">
            <w:pPr>
              <w:snapToGrid w:val="0"/>
              <w:jc w:val="center"/>
              <w:rPr>
                <w:rFonts w:eastAsia="MS Mincho"/>
                <w:b/>
                <w:sz w:val="32"/>
              </w:rPr>
            </w:pPr>
            <w:r>
              <w:rPr>
                <w:b/>
                <w:sz w:val="32"/>
              </w:rPr>
              <w:t>557. PLENARTAGUNG</w:t>
            </w:r>
            <w:r>
              <w:rPr>
                <w:b/>
                <w:sz w:val="32"/>
              </w:rPr>
              <w:br/>
            </w:r>
            <w:r>
              <w:rPr>
                <w:b/>
                <w:sz w:val="32"/>
              </w:rPr>
              <w:br/>
              <w:t>27./28. Januar 2021</w:t>
            </w:r>
            <w:r>
              <w:rPr>
                <w:b/>
                <w:sz w:val="32"/>
              </w:rPr>
              <w:br/>
            </w:r>
            <w:r>
              <w:rPr>
                <w:b/>
                <w:sz w:val="32"/>
              </w:rPr>
              <w:br/>
              <w:t>ÜBERSICHT ÜBER DIE VERABSCHIEDETEN STELLUNGNAHMEN</w:t>
            </w:r>
          </w:p>
          <w:p w:rsidR="008405A0" w:rsidRPr="001378B7" w:rsidRDefault="008405A0">
            <w:pPr>
              <w:rPr>
                <w:lang w:val="en-GB"/>
              </w:rPr>
            </w:pPr>
          </w:p>
          <w:p w:rsidR="008405A0" w:rsidRPr="001378B7" w:rsidRDefault="008405A0">
            <w:pPr>
              <w:rPr>
                <w:lang w:val="en-GB"/>
              </w:rPr>
            </w:pPr>
          </w:p>
        </w:tc>
      </w:tr>
      <w:tr w:rsidR="008405A0" w:rsidRPr="001378B7" w:rsidTr="00A72D7A">
        <w:tc>
          <w:tcPr>
            <w:tcW w:w="9289" w:type="dxa"/>
            <w:tcBorders>
              <w:top w:val="double" w:sz="4" w:space="0" w:color="auto"/>
              <w:left w:val="double" w:sz="4" w:space="0" w:color="auto"/>
              <w:bottom w:val="double" w:sz="4" w:space="0" w:color="auto"/>
              <w:right w:val="double" w:sz="4" w:space="0" w:color="auto"/>
            </w:tcBorders>
          </w:tcPr>
          <w:p w:rsidR="00FF15DA" w:rsidRPr="001378B7" w:rsidRDefault="00FF15DA">
            <w:pPr>
              <w:snapToGrid w:val="0"/>
              <w:jc w:val="center"/>
              <w:rPr>
                <w:b/>
                <w:lang w:val="en-GB"/>
              </w:rPr>
            </w:pPr>
          </w:p>
          <w:p w:rsidR="00FC0B2C" w:rsidRPr="001378B7" w:rsidRDefault="00FC0B2C">
            <w:pPr>
              <w:snapToGrid w:val="0"/>
              <w:jc w:val="center"/>
              <w:rPr>
                <w:rFonts w:eastAsia="MS Mincho"/>
                <w:b/>
              </w:rPr>
            </w:pPr>
            <w:r>
              <w:rPr>
                <w:b/>
              </w:rPr>
              <w:t>Dieses Dokument kann in den Amtssprachen auf den Internetseiten des EWSA unter folgender Adresse abgerufen werden:</w:t>
            </w:r>
          </w:p>
          <w:p w:rsidR="00FC0B2C" w:rsidRPr="001378B7" w:rsidRDefault="00FC0B2C">
            <w:pPr>
              <w:snapToGrid w:val="0"/>
              <w:jc w:val="center"/>
              <w:rPr>
                <w:b/>
                <w:lang w:val="en-GB"/>
              </w:rPr>
            </w:pPr>
          </w:p>
          <w:p w:rsidR="00FC0B2C" w:rsidRPr="001378B7" w:rsidRDefault="003B09CC">
            <w:pPr>
              <w:jc w:val="center"/>
              <w:rPr>
                <w:rStyle w:val="Hyperlink"/>
                <w:b/>
              </w:rPr>
            </w:pPr>
            <w:hyperlink r:id="rId12" w:history="1">
              <w:r w:rsidR="00B7640B">
                <w:rPr>
                  <w:rStyle w:val="Hyperlink"/>
                </w:rPr>
                <w:t>https://www.eesc.europa.eu/de/our-work/opinions-information-reports/plenary-session-summaries</w:t>
              </w:r>
            </w:hyperlink>
          </w:p>
          <w:p w:rsidR="00FC0B2C" w:rsidRPr="001378B7" w:rsidRDefault="00FC0B2C">
            <w:pPr>
              <w:snapToGrid w:val="0"/>
              <w:jc w:val="center"/>
              <w:rPr>
                <w:b/>
                <w:lang w:val="en-GB"/>
              </w:rPr>
            </w:pPr>
          </w:p>
          <w:p w:rsidR="00FC0B2C" w:rsidRPr="001378B7" w:rsidRDefault="00FC0B2C">
            <w:pPr>
              <w:snapToGrid w:val="0"/>
              <w:jc w:val="center"/>
              <w:rPr>
                <w:rFonts w:eastAsia="SimSun"/>
                <w:b/>
                <w:lang w:val="en-GB"/>
              </w:rPr>
            </w:pPr>
          </w:p>
          <w:p w:rsidR="00FC0B2C" w:rsidRPr="001378B7" w:rsidRDefault="00FC0B2C">
            <w:pPr>
              <w:snapToGrid w:val="0"/>
              <w:jc w:val="center"/>
              <w:rPr>
                <w:rFonts w:eastAsia="MS Mincho"/>
                <w:b/>
              </w:rPr>
            </w:pPr>
            <w:r>
              <w:rPr>
                <w:b/>
              </w:rPr>
              <w:t>Die aufgeführten Stellungnahmen können online über die Suchmaschine des EWSA abgerufen werden:</w:t>
            </w:r>
          </w:p>
          <w:p w:rsidR="00FC0B2C" w:rsidRPr="001378B7" w:rsidRDefault="00FC0B2C">
            <w:pPr>
              <w:snapToGrid w:val="0"/>
              <w:jc w:val="center"/>
              <w:rPr>
                <w:b/>
                <w:lang w:val="en-GB"/>
              </w:rPr>
            </w:pPr>
          </w:p>
          <w:p w:rsidR="00FC0B2C" w:rsidRPr="001378B7" w:rsidRDefault="003B09CC">
            <w:pPr>
              <w:jc w:val="center"/>
              <w:rPr>
                <w:rStyle w:val="Hyperlink"/>
                <w:b/>
              </w:rPr>
            </w:pPr>
            <w:hyperlink r:id="rId13" w:history="1">
              <w:r w:rsidR="00B7640B">
                <w:rPr>
                  <w:rStyle w:val="Hyperlink"/>
                </w:rPr>
                <w:t>https://dmsearch.eesc.europa.eu/search/opinion</w:t>
              </w:r>
            </w:hyperlink>
          </w:p>
          <w:p w:rsidR="008405A0" w:rsidRPr="001378B7" w:rsidRDefault="008405A0">
            <w:pPr>
              <w:snapToGrid w:val="0"/>
              <w:jc w:val="center"/>
              <w:rPr>
                <w:b/>
                <w:bCs/>
                <w:lang w:val="en-GB"/>
              </w:rPr>
            </w:pPr>
          </w:p>
        </w:tc>
      </w:tr>
    </w:tbl>
    <w:p w:rsidR="008F7791" w:rsidRPr="001378B7" w:rsidRDefault="008F7791">
      <w:pPr>
        <w:rPr>
          <w:rFonts w:eastAsia="SimSun"/>
          <w:lang w:val="en-GB"/>
        </w:rPr>
      </w:pPr>
    </w:p>
    <w:p w:rsidR="00636729" w:rsidRPr="001378B7" w:rsidRDefault="00636729">
      <w:pPr>
        <w:rPr>
          <w:rFonts w:eastAsia="SimSun"/>
          <w:lang w:val="en-GB"/>
        </w:rPr>
        <w:sectPr w:rsidR="00636729" w:rsidRPr="001378B7" w:rsidSect="001378B7">
          <w:footerReference w:type="default" r:id="rId14"/>
          <w:type w:val="continuous"/>
          <w:pgSz w:w="11907" w:h="16839"/>
          <w:pgMar w:top="1417" w:right="1417" w:bottom="1417" w:left="1417" w:header="709" w:footer="709" w:gutter="0"/>
          <w:pgNumType w:start="1"/>
          <w:cols w:space="708"/>
          <w:docGrid w:linePitch="299"/>
        </w:sectPr>
      </w:pPr>
    </w:p>
    <w:p w:rsidR="008405A0" w:rsidRPr="001378B7" w:rsidRDefault="00876D7B">
      <w:pPr>
        <w:snapToGrid w:val="0"/>
        <w:rPr>
          <w:b/>
        </w:rPr>
      </w:pPr>
      <w:r>
        <w:rPr>
          <w:b/>
        </w:rPr>
        <w:lastRenderedPageBreak/>
        <w:t>Inhalt:</w:t>
      </w:r>
    </w:p>
    <w:p w:rsidR="00D16D76" w:rsidRPr="001378B7" w:rsidRDefault="00D16D76">
      <w:pPr>
        <w:rPr>
          <w:lang w:val="en-GB"/>
        </w:rPr>
      </w:pPr>
    </w:p>
    <w:p w:rsidR="003B09CC" w:rsidRDefault="003353E8">
      <w:pPr>
        <w:pStyle w:val="TOC1"/>
        <w:rPr>
          <w:rFonts w:asciiTheme="minorHAnsi" w:eastAsiaTheme="minorEastAsia" w:hAnsiTheme="minorHAnsi" w:cstheme="minorBidi"/>
          <w:noProof/>
          <w:lang w:val="en-US"/>
        </w:rPr>
      </w:pPr>
      <w:r w:rsidRPr="007522EA">
        <w:fldChar w:fldCharType="begin"/>
      </w:r>
      <w:r w:rsidRPr="001378B7">
        <w:instrText xml:space="preserve"> TOC \o "1-1" \h \z \u </w:instrText>
      </w:r>
      <w:r w:rsidRPr="007522EA">
        <w:fldChar w:fldCharType="separate"/>
      </w:r>
      <w:hyperlink w:anchor="_Toc64896217" w:history="1">
        <w:r w:rsidR="003B09CC" w:rsidRPr="0085540D">
          <w:rPr>
            <w:rStyle w:val="Hyperlink"/>
            <w:noProof/>
          </w:rPr>
          <w:t>1.</w:t>
        </w:r>
        <w:r w:rsidR="003B09CC">
          <w:rPr>
            <w:rFonts w:asciiTheme="minorHAnsi" w:eastAsiaTheme="minorEastAsia" w:hAnsiTheme="minorHAnsi" w:cstheme="minorBidi"/>
            <w:noProof/>
            <w:lang w:val="en-US"/>
          </w:rPr>
          <w:tab/>
        </w:r>
        <w:r w:rsidR="003B09CC" w:rsidRPr="0085540D">
          <w:rPr>
            <w:rStyle w:val="Hyperlink"/>
            <w:b/>
            <w:noProof/>
          </w:rPr>
          <w:t>BINNENMARKT, PRODUKTION, VERBRAUCH</w:t>
        </w:r>
        <w:r w:rsidR="003B09CC">
          <w:rPr>
            <w:noProof/>
            <w:webHidden/>
          </w:rPr>
          <w:tab/>
        </w:r>
        <w:r w:rsidR="003B09CC">
          <w:rPr>
            <w:noProof/>
            <w:webHidden/>
          </w:rPr>
          <w:fldChar w:fldCharType="begin"/>
        </w:r>
        <w:r w:rsidR="003B09CC">
          <w:rPr>
            <w:noProof/>
            <w:webHidden/>
          </w:rPr>
          <w:instrText xml:space="preserve"> PAGEREF _Toc64896217 \h </w:instrText>
        </w:r>
        <w:r w:rsidR="003B09CC">
          <w:rPr>
            <w:noProof/>
            <w:webHidden/>
          </w:rPr>
        </w:r>
        <w:r w:rsidR="003B09CC">
          <w:rPr>
            <w:noProof/>
            <w:webHidden/>
          </w:rPr>
          <w:fldChar w:fldCharType="separate"/>
        </w:r>
        <w:r w:rsidR="003B09CC">
          <w:rPr>
            <w:noProof/>
            <w:webHidden/>
          </w:rPr>
          <w:t>3</w:t>
        </w:r>
        <w:r w:rsidR="003B09CC">
          <w:rPr>
            <w:noProof/>
            <w:webHidden/>
          </w:rPr>
          <w:fldChar w:fldCharType="end"/>
        </w:r>
      </w:hyperlink>
    </w:p>
    <w:p w:rsidR="003B09CC" w:rsidRDefault="003B09CC">
      <w:pPr>
        <w:pStyle w:val="TOC1"/>
        <w:rPr>
          <w:rFonts w:asciiTheme="minorHAnsi" w:eastAsiaTheme="minorEastAsia" w:hAnsiTheme="minorHAnsi" w:cstheme="minorBidi"/>
          <w:noProof/>
          <w:lang w:val="en-US"/>
        </w:rPr>
      </w:pPr>
      <w:hyperlink w:anchor="_Toc64896218" w:history="1">
        <w:r w:rsidRPr="0085540D">
          <w:rPr>
            <w:rStyle w:val="Hyperlink"/>
            <w:caps/>
            <w:noProof/>
          </w:rPr>
          <w:t>2.</w:t>
        </w:r>
        <w:r>
          <w:rPr>
            <w:rFonts w:asciiTheme="minorHAnsi" w:eastAsiaTheme="minorEastAsia" w:hAnsiTheme="minorHAnsi" w:cstheme="minorBidi"/>
            <w:noProof/>
            <w:lang w:val="en-US"/>
          </w:rPr>
          <w:tab/>
        </w:r>
        <w:r w:rsidRPr="0085540D">
          <w:rPr>
            <w:rStyle w:val="Hyperlink"/>
            <w:b/>
            <w:caps/>
            <w:noProof/>
          </w:rPr>
          <w:t>WIRTSCHAFTS- UND WÄHRUNGSUNION, WIRTSCHAFTLICHER UND SOZIALER ZUSAMMEHALT</w:t>
        </w:r>
        <w:r>
          <w:rPr>
            <w:noProof/>
            <w:webHidden/>
          </w:rPr>
          <w:tab/>
        </w:r>
        <w:r>
          <w:rPr>
            <w:noProof/>
            <w:webHidden/>
          </w:rPr>
          <w:fldChar w:fldCharType="begin"/>
        </w:r>
        <w:r>
          <w:rPr>
            <w:noProof/>
            <w:webHidden/>
          </w:rPr>
          <w:instrText xml:space="preserve"> PAGEREF _Toc64896218 \h </w:instrText>
        </w:r>
        <w:r>
          <w:rPr>
            <w:noProof/>
            <w:webHidden/>
          </w:rPr>
        </w:r>
        <w:r>
          <w:rPr>
            <w:noProof/>
            <w:webHidden/>
          </w:rPr>
          <w:fldChar w:fldCharType="separate"/>
        </w:r>
        <w:r>
          <w:rPr>
            <w:noProof/>
            <w:webHidden/>
          </w:rPr>
          <w:t>5</w:t>
        </w:r>
        <w:r>
          <w:rPr>
            <w:noProof/>
            <w:webHidden/>
          </w:rPr>
          <w:fldChar w:fldCharType="end"/>
        </w:r>
      </w:hyperlink>
    </w:p>
    <w:p w:rsidR="003B09CC" w:rsidRDefault="003B09CC">
      <w:pPr>
        <w:pStyle w:val="TOC1"/>
        <w:rPr>
          <w:rFonts w:asciiTheme="minorHAnsi" w:eastAsiaTheme="minorEastAsia" w:hAnsiTheme="minorHAnsi" w:cstheme="minorBidi"/>
          <w:noProof/>
          <w:lang w:val="en-US"/>
        </w:rPr>
      </w:pPr>
      <w:hyperlink w:anchor="_Toc64896219" w:history="1">
        <w:r w:rsidRPr="0085540D">
          <w:rPr>
            <w:rStyle w:val="Hyperlink"/>
            <w:caps/>
            <w:noProof/>
          </w:rPr>
          <w:t>3.</w:t>
        </w:r>
        <w:r>
          <w:rPr>
            <w:rFonts w:asciiTheme="minorHAnsi" w:eastAsiaTheme="minorEastAsia" w:hAnsiTheme="minorHAnsi" w:cstheme="minorBidi"/>
            <w:noProof/>
            <w:lang w:val="en-US"/>
          </w:rPr>
          <w:tab/>
        </w:r>
        <w:r w:rsidRPr="0085540D">
          <w:rPr>
            <w:rStyle w:val="Hyperlink"/>
            <w:b/>
            <w:caps/>
            <w:noProof/>
          </w:rPr>
          <w:t>BESCHÄFTIGUNG, SOZIALFRAGEN, UNIONSBÜRGERSCHAFT</w:t>
        </w:r>
        <w:r>
          <w:rPr>
            <w:noProof/>
            <w:webHidden/>
          </w:rPr>
          <w:tab/>
        </w:r>
        <w:r>
          <w:rPr>
            <w:noProof/>
            <w:webHidden/>
          </w:rPr>
          <w:fldChar w:fldCharType="begin"/>
        </w:r>
        <w:r>
          <w:rPr>
            <w:noProof/>
            <w:webHidden/>
          </w:rPr>
          <w:instrText xml:space="preserve"> PAGEREF _Toc64896219 \h </w:instrText>
        </w:r>
        <w:r>
          <w:rPr>
            <w:noProof/>
            <w:webHidden/>
          </w:rPr>
        </w:r>
        <w:r>
          <w:rPr>
            <w:noProof/>
            <w:webHidden/>
          </w:rPr>
          <w:fldChar w:fldCharType="separate"/>
        </w:r>
        <w:r>
          <w:rPr>
            <w:noProof/>
            <w:webHidden/>
          </w:rPr>
          <w:t>6</w:t>
        </w:r>
        <w:r>
          <w:rPr>
            <w:noProof/>
            <w:webHidden/>
          </w:rPr>
          <w:fldChar w:fldCharType="end"/>
        </w:r>
      </w:hyperlink>
    </w:p>
    <w:p w:rsidR="003B09CC" w:rsidRDefault="003B09CC">
      <w:pPr>
        <w:pStyle w:val="TOC1"/>
        <w:rPr>
          <w:rFonts w:asciiTheme="minorHAnsi" w:eastAsiaTheme="minorEastAsia" w:hAnsiTheme="minorHAnsi" w:cstheme="minorBidi"/>
          <w:noProof/>
          <w:lang w:val="en-US"/>
        </w:rPr>
      </w:pPr>
      <w:hyperlink w:anchor="_Toc64896220" w:history="1">
        <w:r w:rsidRPr="0085540D">
          <w:rPr>
            <w:rStyle w:val="Hyperlink"/>
            <w:noProof/>
          </w:rPr>
          <w:t>4.</w:t>
        </w:r>
        <w:r>
          <w:rPr>
            <w:rFonts w:asciiTheme="minorHAnsi" w:eastAsiaTheme="minorEastAsia" w:hAnsiTheme="minorHAnsi" w:cstheme="minorBidi"/>
            <w:noProof/>
            <w:lang w:val="en-US"/>
          </w:rPr>
          <w:tab/>
        </w:r>
        <w:r w:rsidRPr="0085540D">
          <w:rPr>
            <w:rStyle w:val="Hyperlink"/>
            <w:b/>
            <w:noProof/>
          </w:rPr>
          <w:t>LANDWIRTSCHAFT, LÄNDLICHE ENTWICKLUNG, UMWELT</w:t>
        </w:r>
        <w:r>
          <w:rPr>
            <w:noProof/>
            <w:webHidden/>
          </w:rPr>
          <w:tab/>
        </w:r>
        <w:r>
          <w:rPr>
            <w:noProof/>
            <w:webHidden/>
          </w:rPr>
          <w:fldChar w:fldCharType="begin"/>
        </w:r>
        <w:r>
          <w:rPr>
            <w:noProof/>
            <w:webHidden/>
          </w:rPr>
          <w:instrText xml:space="preserve"> PAGEREF _Toc64896220 \h </w:instrText>
        </w:r>
        <w:r>
          <w:rPr>
            <w:noProof/>
            <w:webHidden/>
          </w:rPr>
        </w:r>
        <w:r>
          <w:rPr>
            <w:noProof/>
            <w:webHidden/>
          </w:rPr>
          <w:fldChar w:fldCharType="separate"/>
        </w:r>
        <w:r>
          <w:rPr>
            <w:noProof/>
            <w:webHidden/>
          </w:rPr>
          <w:t>8</w:t>
        </w:r>
        <w:r>
          <w:rPr>
            <w:noProof/>
            <w:webHidden/>
          </w:rPr>
          <w:fldChar w:fldCharType="end"/>
        </w:r>
      </w:hyperlink>
    </w:p>
    <w:p w:rsidR="003B09CC" w:rsidRDefault="003B09CC">
      <w:pPr>
        <w:pStyle w:val="TOC1"/>
        <w:rPr>
          <w:rFonts w:asciiTheme="minorHAnsi" w:eastAsiaTheme="minorEastAsia" w:hAnsiTheme="minorHAnsi" w:cstheme="minorBidi"/>
          <w:noProof/>
          <w:lang w:val="en-US"/>
        </w:rPr>
      </w:pPr>
      <w:hyperlink w:anchor="_Toc64896221" w:history="1">
        <w:r w:rsidRPr="0085540D">
          <w:rPr>
            <w:rStyle w:val="Hyperlink"/>
            <w:noProof/>
          </w:rPr>
          <w:t>5.</w:t>
        </w:r>
        <w:r>
          <w:rPr>
            <w:rFonts w:asciiTheme="minorHAnsi" w:eastAsiaTheme="minorEastAsia" w:hAnsiTheme="minorHAnsi" w:cstheme="minorBidi"/>
            <w:noProof/>
            <w:lang w:val="en-US"/>
          </w:rPr>
          <w:tab/>
        </w:r>
        <w:r w:rsidRPr="0085540D">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_Toc64896221 \h </w:instrText>
        </w:r>
        <w:r>
          <w:rPr>
            <w:noProof/>
            <w:webHidden/>
          </w:rPr>
        </w:r>
        <w:r>
          <w:rPr>
            <w:noProof/>
            <w:webHidden/>
          </w:rPr>
          <w:fldChar w:fldCharType="separate"/>
        </w:r>
        <w:r>
          <w:rPr>
            <w:noProof/>
            <w:webHidden/>
          </w:rPr>
          <w:t>15</w:t>
        </w:r>
        <w:r>
          <w:rPr>
            <w:noProof/>
            <w:webHidden/>
          </w:rPr>
          <w:fldChar w:fldCharType="end"/>
        </w:r>
      </w:hyperlink>
    </w:p>
    <w:p w:rsidR="003B09CC" w:rsidRDefault="003B09CC">
      <w:pPr>
        <w:pStyle w:val="TOC1"/>
        <w:rPr>
          <w:rFonts w:asciiTheme="minorHAnsi" w:eastAsiaTheme="minorEastAsia" w:hAnsiTheme="minorHAnsi" w:cstheme="minorBidi"/>
          <w:noProof/>
          <w:lang w:val="en-US"/>
        </w:rPr>
      </w:pPr>
      <w:hyperlink w:anchor="_Toc64896222" w:history="1">
        <w:r w:rsidRPr="0085540D">
          <w:rPr>
            <w:rStyle w:val="Hyperlink"/>
            <w:caps/>
            <w:noProof/>
          </w:rPr>
          <w:t>6.</w:t>
        </w:r>
        <w:r>
          <w:rPr>
            <w:rFonts w:asciiTheme="minorHAnsi" w:eastAsiaTheme="minorEastAsia" w:hAnsiTheme="minorHAnsi" w:cstheme="minorBidi"/>
            <w:noProof/>
            <w:lang w:val="en-US"/>
          </w:rPr>
          <w:tab/>
        </w:r>
        <w:r w:rsidRPr="0085540D">
          <w:rPr>
            <w:rStyle w:val="Hyperlink"/>
            <w:b/>
            <w:caps/>
            <w:noProof/>
          </w:rPr>
          <w:t>AUẞENBEZIEHUNGEN</w:t>
        </w:r>
        <w:r>
          <w:rPr>
            <w:noProof/>
            <w:webHidden/>
          </w:rPr>
          <w:tab/>
        </w:r>
        <w:r>
          <w:rPr>
            <w:noProof/>
            <w:webHidden/>
          </w:rPr>
          <w:fldChar w:fldCharType="begin"/>
        </w:r>
        <w:r>
          <w:rPr>
            <w:noProof/>
            <w:webHidden/>
          </w:rPr>
          <w:instrText xml:space="preserve"> PAGEREF _Toc64896222 \h </w:instrText>
        </w:r>
        <w:r>
          <w:rPr>
            <w:noProof/>
            <w:webHidden/>
          </w:rPr>
        </w:r>
        <w:r>
          <w:rPr>
            <w:noProof/>
            <w:webHidden/>
          </w:rPr>
          <w:fldChar w:fldCharType="separate"/>
        </w:r>
        <w:r>
          <w:rPr>
            <w:noProof/>
            <w:webHidden/>
          </w:rPr>
          <w:t>20</w:t>
        </w:r>
        <w:r>
          <w:rPr>
            <w:noProof/>
            <w:webHidden/>
          </w:rPr>
          <w:fldChar w:fldCharType="end"/>
        </w:r>
      </w:hyperlink>
    </w:p>
    <w:p w:rsidR="00EE1ABD" w:rsidRPr="001378B7" w:rsidRDefault="003353E8" w:rsidP="000273E0">
      <w:r w:rsidRPr="007522EA">
        <w:fldChar w:fldCharType="end"/>
      </w:r>
      <w:r>
        <w:br w:type="page"/>
      </w:r>
      <w:r>
        <w:lastRenderedPageBreak/>
        <w:t xml:space="preserve">Die Plenartagung vom 27./28. Januar 2021 stand im Zeichen der Video-Zuschaltung von: </w:t>
      </w:r>
      <w:r>
        <w:rPr>
          <w:b/>
        </w:rPr>
        <w:t>Antonio Costa</w:t>
      </w:r>
      <w:r>
        <w:t xml:space="preserve">, portugiesischer Premierminister, </w:t>
      </w:r>
      <w:r>
        <w:rPr>
          <w:b/>
        </w:rPr>
        <w:t>Maroš Šefčovič,</w:t>
      </w:r>
      <w:r>
        <w:t xml:space="preserve"> Vizepräsident der Europäischen Kommission – Interinstitutionelle Beziehungen und Vorausschau, </w:t>
      </w:r>
      <w:r>
        <w:rPr>
          <w:b/>
        </w:rPr>
        <w:t>Ylva Johansson</w:t>
      </w:r>
      <w:r>
        <w:t>, für Inneres zuständiges Kommissionsmitglied, Olivier De Schutter, UN-Sonderberichterstatter über extreme Armut und Menschenrechte und Michel Barnier, Leiter der Taskforce der Europäischen Kommission für die Beziehungen zum Vereinigten Königreich.</w:t>
      </w:r>
    </w:p>
    <w:p w:rsidR="006D23AB" w:rsidRPr="001378B7" w:rsidRDefault="006D23AB" w:rsidP="009A0224">
      <w:pPr>
        <w:rPr>
          <w:lang w:val="en-GB"/>
        </w:rPr>
      </w:pPr>
    </w:p>
    <w:p w:rsidR="00421682" w:rsidRPr="001378B7" w:rsidRDefault="00AD7EE7" w:rsidP="009A0224">
      <w:r>
        <w:t>Folgende Stellungnahmen wurden auf der Plenartagung verabschiedet:</w:t>
      </w:r>
    </w:p>
    <w:p w:rsidR="004203D2" w:rsidRPr="001378B7" w:rsidRDefault="004203D2" w:rsidP="009A0224">
      <w:pPr>
        <w:rPr>
          <w:lang w:val="en-GB"/>
        </w:rPr>
      </w:pPr>
    </w:p>
    <w:p w:rsidR="004203D2" w:rsidRPr="001378B7" w:rsidRDefault="004203D2" w:rsidP="009A0224">
      <w:pPr>
        <w:pStyle w:val="Heading1"/>
        <w:numPr>
          <w:ilvl w:val="0"/>
          <w:numId w:val="1"/>
        </w:numPr>
        <w:ind w:left="567" w:hanging="567"/>
        <w:rPr>
          <w:b/>
        </w:rPr>
      </w:pPr>
      <w:bookmarkStart w:id="0" w:name="_Toc21085068"/>
      <w:bookmarkStart w:id="1" w:name="_Toc64896217"/>
      <w:r>
        <w:rPr>
          <w:b/>
        </w:rPr>
        <w:t>BINNENMARKT, PRODUKTION, VERBRAUCH</w:t>
      </w:r>
      <w:bookmarkEnd w:id="0"/>
      <w:bookmarkEnd w:id="1"/>
    </w:p>
    <w:p w:rsidR="002770CE" w:rsidRPr="001378B7" w:rsidRDefault="002770CE" w:rsidP="009A0224">
      <w:pPr>
        <w:jc w:val="left"/>
        <w:rPr>
          <w:lang w:val="en-GB"/>
        </w:rPr>
      </w:pPr>
    </w:p>
    <w:p w:rsidR="001F4EFF" w:rsidRPr="001378B7" w:rsidRDefault="00E76B6B" w:rsidP="009A0224">
      <w:pPr>
        <w:pStyle w:val="ListParagraph"/>
        <w:numPr>
          <w:ilvl w:val="0"/>
          <w:numId w:val="2"/>
        </w:numPr>
        <w:overflowPunct w:val="0"/>
        <w:autoSpaceDE w:val="0"/>
        <w:autoSpaceDN w:val="0"/>
        <w:adjustRightInd w:val="0"/>
        <w:rPr>
          <w:b/>
          <w:i/>
          <w:sz w:val="28"/>
          <w:szCs w:val="28"/>
        </w:rPr>
      </w:pPr>
      <w:r>
        <w:rPr>
          <w:b/>
          <w:bCs/>
          <w:i/>
          <w:sz w:val="28"/>
          <w:szCs w:val="28"/>
        </w:rPr>
        <w:t>Jährlicher Bericht über die Wettbewerbspolitik 2019</w:t>
      </w:r>
    </w:p>
    <w:p w:rsidR="002770CE" w:rsidRPr="001378B7" w:rsidRDefault="002770CE" w:rsidP="009A0224">
      <w:pPr>
        <w:tabs>
          <w:tab w:val="center" w:pos="284"/>
        </w:tabs>
        <w:ind w:left="266" w:hanging="266"/>
        <w:rPr>
          <w:lang w:val="en-GB"/>
        </w:rPr>
      </w:pPr>
    </w:p>
    <w:p w:rsidR="00443297" w:rsidRPr="001378B7" w:rsidRDefault="00DB3D9B" w:rsidP="009A0224">
      <w:pPr>
        <w:tabs>
          <w:tab w:val="center" w:pos="284"/>
        </w:tabs>
        <w:ind w:left="266" w:hanging="266"/>
        <w:rPr>
          <w:b/>
        </w:rPr>
      </w:pPr>
      <w:r>
        <w:rPr>
          <w:b/>
        </w:rPr>
        <w:t>Berichterstatter:</w:t>
      </w:r>
      <w:r>
        <w:rPr>
          <w:b/>
        </w:rPr>
        <w:tab/>
      </w:r>
      <w:r>
        <w:t>Gonçalo LOBO XAVIER (Gruppe Arbeitgeber – PT)</w:t>
      </w:r>
    </w:p>
    <w:p w:rsidR="00DB3D9B" w:rsidRPr="001378B7" w:rsidRDefault="00DB3D9B" w:rsidP="009A0224">
      <w:pPr>
        <w:tabs>
          <w:tab w:val="center" w:pos="284"/>
        </w:tabs>
        <w:ind w:left="266" w:hanging="266"/>
        <w:rPr>
          <w:lang w:val="en-GB"/>
        </w:rPr>
      </w:pPr>
    </w:p>
    <w:p w:rsidR="00A06390" w:rsidRPr="001378B7" w:rsidRDefault="00443297" w:rsidP="009A0224">
      <w:pPr>
        <w:tabs>
          <w:tab w:val="center" w:pos="284"/>
          <w:tab w:val="left" w:pos="1701"/>
        </w:tabs>
        <w:ind w:left="266" w:hanging="266"/>
      </w:pPr>
      <w:r>
        <w:rPr>
          <w:b/>
        </w:rPr>
        <w:t>Referenzdokumente:</w:t>
      </w:r>
      <w:r>
        <w:tab/>
        <w:t>COM(2020) 302 final</w:t>
      </w:r>
    </w:p>
    <w:p w:rsidR="00443297" w:rsidRPr="001378B7" w:rsidRDefault="00A06390" w:rsidP="003B09CC">
      <w:pPr>
        <w:tabs>
          <w:tab w:val="center" w:pos="284"/>
          <w:tab w:val="left" w:pos="1701"/>
        </w:tabs>
        <w:ind w:left="1134" w:firstLine="1435"/>
      </w:pPr>
      <w:r>
        <w:t>EESC-2020-03598-00-00-AC-TRA</w:t>
      </w:r>
    </w:p>
    <w:p w:rsidR="00443297" w:rsidRPr="001378B7" w:rsidRDefault="00443297" w:rsidP="009A0224">
      <w:pPr>
        <w:tabs>
          <w:tab w:val="center" w:pos="284"/>
        </w:tabs>
        <w:ind w:left="266" w:hanging="266"/>
        <w:rPr>
          <w:lang w:val="en-GB"/>
        </w:rPr>
      </w:pPr>
    </w:p>
    <w:p w:rsidR="00443297" w:rsidRPr="001378B7" w:rsidRDefault="002770CE" w:rsidP="009A0224">
      <w:pPr>
        <w:tabs>
          <w:tab w:val="center" w:pos="284"/>
        </w:tabs>
        <w:ind w:left="266" w:hanging="266"/>
      </w:pPr>
      <w:r>
        <w:rPr>
          <w:b/>
        </w:rPr>
        <w:t>Kernaussagen</w:t>
      </w:r>
    </w:p>
    <w:p w:rsidR="00641880" w:rsidRPr="001378B7" w:rsidRDefault="00641880" w:rsidP="009A0224">
      <w:pPr>
        <w:rPr>
          <w:lang w:val="en-GB"/>
        </w:rPr>
      </w:pPr>
    </w:p>
    <w:p w:rsidR="0011681E" w:rsidRPr="001378B7" w:rsidRDefault="0011681E" w:rsidP="009A0224">
      <w:r>
        <w:t>Der EWSA:</w:t>
      </w:r>
    </w:p>
    <w:p w:rsidR="006218B7" w:rsidRPr="001378B7" w:rsidRDefault="006218B7" w:rsidP="009A0224">
      <w:pPr>
        <w:rPr>
          <w:lang w:val="en-GB"/>
        </w:rPr>
      </w:pPr>
    </w:p>
    <w:p w:rsidR="00A9528B" w:rsidRPr="007522EA" w:rsidRDefault="00A9528B" w:rsidP="00A9528B">
      <w:pPr>
        <w:pStyle w:val="ListParagraph"/>
        <w:widowControl w:val="0"/>
        <w:numPr>
          <w:ilvl w:val="0"/>
          <w:numId w:val="14"/>
        </w:numPr>
      </w:pPr>
      <w:r>
        <w:t>betrachtet eine wirksame und prinzipientreue Wettbewerbspolitik als eine der Säulen der Europäischen Union und als unverzichtbares Instrument für die Vollendung des Binnenmarkts;</w:t>
      </w:r>
    </w:p>
    <w:p w:rsidR="00A9528B" w:rsidRPr="007522EA" w:rsidRDefault="00A9528B" w:rsidP="00A9528B">
      <w:pPr>
        <w:pStyle w:val="ListParagraph"/>
        <w:widowControl w:val="0"/>
        <w:numPr>
          <w:ilvl w:val="0"/>
          <w:numId w:val="14"/>
        </w:numPr>
      </w:pPr>
      <w:r>
        <w:t>fordert die Kommission auf, in Märkten, die für EU-Bürger und Unternehmen wichtig sind, etwa in den Bereichen digitale Wirtschaft und Telekommunikation, Energie und Umwelt, verarbeitende Industrie, Finanzdienstleistungen, Steuerwesen, Landwirtschaft sowie Ernährung und Verkehr, Maßnahmen zur Förderung eines fairen Wettbewerbs zu ergreifen. Diese Maßnahmen sollten Vertrauen bei den Verbrauchern schaffen und geeignete Bedingungen für die Tätigkeit von Unternehmen eindeutig festlegen;</w:t>
      </w:r>
    </w:p>
    <w:p w:rsidR="00A9528B" w:rsidRPr="007522EA" w:rsidRDefault="00A9528B" w:rsidP="00A9528B">
      <w:pPr>
        <w:pStyle w:val="ListParagraph"/>
        <w:widowControl w:val="0"/>
        <w:numPr>
          <w:ilvl w:val="0"/>
          <w:numId w:val="14"/>
        </w:numPr>
      </w:pPr>
      <w:r>
        <w:t xml:space="preserve">unterstützt die von der Kommission ergriffenen koordinierten Maßnahmen für das verarbeitende Gewerbe. Die EU sollte jedoch hier noch weiter gehen und in enger Zusammenarbeit mit den Mitgliedstaaten eine dauerhafte Lösung zur Förderung gleicher Wettbewerbsbedingungen vorschlagen; </w:t>
      </w:r>
    </w:p>
    <w:p w:rsidR="0011681E" w:rsidRPr="001378B7" w:rsidRDefault="00A9528B" w:rsidP="009A0224">
      <w:pPr>
        <w:pStyle w:val="Heading2"/>
        <w:numPr>
          <w:ilvl w:val="0"/>
          <w:numId w:val="14"/>
        </w:numPr>
        <w:tabs>
          <w:tab w:val="clear" w:pos="0"/>
        </w:tabs>
        <w:overflowPunct w:val="0"/>
        <w:autoSpaceDE w:val="0"/>
        <w:autoSpaceDN w:val="0"/>
        <w:adjustRightInd w:val="0"/>
        <w:ind w:left="357" w:hanging="357"/>
        <w:textAlignment w:val="baseline"/>
      </w:pPr>
      <w:r>
        <w:t>betont, dass der Verkehr im Hinblick auf den Wettbewerb zwischen den Mitgliedstaaten im Binnenmarkt nach wie vor eine der schwierigsten Dienstleistungsbranchen ist. Hier müssen klare Regeln und die nötige Ausgewogenheit nicht nur für die Unternehmen, sondern auch für die Endnutzer stets Vorrang haben.</w:t>
      </w:r>
    </w:p>
    <w:p w:rsidR="00443297" w:rsidRPr="001378B7" w:rsidRDefault="00443297" w:rsidP="009A0224">
      <w:pPr>
        <w:pStyle w:val="Heading2"/>
        <w:numPr>
          <w:ilvl w:val="0"/>
          <w:numId w:val="0"/>
        </w:numPr>
        <w:overflowPunct w:val="0"/>
        <w:autoSpaceDE w:val="0"/>
        <w:autoSpaceDN w:val="0"/>
        <w:adjustRightInd w:val="0"/>
        <w:textAlignment w:val="baseline"/>
        <w:rPr>
          <w:szCs w:val="24"/>
          <w:lang w:val="en-GB"/>
        </w:rPr>
      </w:pPr>
    </w:p>
    <w:p w:rsidR="00C609C3" w:rsidRPr="001378B7" w:rsidRDefault="00C609C3" w:rsidP="009A0224">
      <w:pPr>
        <w:tabs>
          <w:tab w:val="left" w:pos="1701"/>
        </w:tabs>
        <w:rPr>
          <w:i/>
        </w:rPr>
      </w:pPr>
      <w:r>
        <w:rPr>
          <w:b/>
          <w:i/>
        </w:rPr>
        <w:t>Ansprechpartnerin:</w:t>
      </w:r>
      <w:r>
        <w:tab/>
      </w:r>
      <w:r>
        <w:rPr>
          <w:i/>
        </w:rPr>
        <w:t>Silvia Staffa</w:t>
      </w:r>
    </w:p>
    <w:p w:rsidR="00C609C3" w:rsidRPr="001378B7" w:rsidRDefault="00992E9E" w:rsidP="003B09CC">
      <w:pPr>
        <w:tabs>
          <w:tab w:val="left" w:pos="1701"/>
        </w:tabs>
        <w:ind w:left="2268"/>
        <w:jc w:val="left"/>
        <w:rPr>
          <w:i/>
        </w:rPr>
      </w:pPr>
      <w:r>
        <w:rPr>
          <w:i/>
        </w:rPr>
        <w:t xml:space="preserve">(Tel.: 00 32 2 546 83 78 – E-Mail: </w:t>
      </w:r>
      <w:hyperlink r:id="rId15" w:history="1">
        <w:r>
          <w:rPr>
            <w:rStyle w:val="Hyperlink"/>
            <w:i/>
          </w:rPr>
          <w:t>Silvia.Staffa@eesc.europa.eu</w:t>
        </w:r>
      </w:hyperlink>
      <w:r>
        <w:rPr>
          <w:i/>
        </w:rPr>
        <w:t>)</w:t>
      </w:r>
    </w:p>
    <w:p w:rsidR="001F445D" w:rsidRPr="001378B7" w:rsidRDefault="001F445D" w:rsidP="009A0224">
      <w:pPr>
        <w:jc w:val="left"/>
        <w:rPr>
          <w:lang w:val="en-GB"/>
        </w:rPr>
      </w:pPr>
    </w:p>
    <w:p w:rsidR="001F445D" w:rsidRPr="001378B7" w:rsidRDefault="00E76B6B" w:rsidP="009A0224">
      <w:pPr>
        <w:pStyle w:val="ListParagraph"/>
        <w:keepNext/>
        <w:keepLines/>
        <w:numPr>
          <w:ilvl w:val="0"/>
          <w:numId w:val="2"/>
        </w:numPr>
        <w:overflowPunct w:val="0"/>
        <w:autoSpaceDE w:val="0"/>
        <w:autoSpaceDN w:val="0"/>
        <w:adjustRightInd w:val="0"/>
        <w:rPr>
          <w:b/>
          <w:i/>
          <w:sz w:val="28"/>
          <w:szCs w:val="28"/>
        </w:rPr>
      </w:pPr>
      <w:r>
        <w:rPr>
          <w:b/>
          <w:bCs/>
          <w:i/>
          <w:sz w:val="28"/>
          <w:szCs w:val="28"/>
        </w:rPr>
        <w:lastRenderedPageBreak/>
        <w:t>Gründung des Gemeinsamen Unternehmens für europäisches Hochleistungsrechnen</w:t>
      </w:r>
    </w:p>
    <w:p w:rsidR="001F445D" w:rsidRPr="001378B7" w:rsidRDefault="001F445D" w:rsidP="009A0224">
      <w:pPr>
        <w:keepNext/>
        <w:keepLines/>
        <w:tabs>
          <w:tab w:val="center" w:pos="284"/>
        </w:tabs>
        <w:ind w:left="266" w:hanging="266"/>
        <w:rPr>
          <w:lang w:val="en-GB"/>
        </w:rPr>
      </w:pPr>
    </w:p>
    <w:p w:rsidR="001F445D" w:rsidRPr="001378B7" w:rsidRDefault="00DB3D9B" w:rsidP="009A0224">
      <w:pPr>
        <w:keepNext/>
        <w:keepLines/>
        <w:tabs>
          <w:tab w:val="center" w:pos="284"/>
        </w:tabs>
        <w:ind w:left="266" w:hanging="266"/>
      </w:pPr>
      <w:r>
        <w:rPr>
          <w:b/>
        </w:rPr>
        <w:t>Berichterstatterin:</w:t>
      </w:r>
      <w:r>
        <w:rPr>
          <w:b/>
        </w:rPr>
        <w:tab/>
      </w:r>
      <w:r>
        <w:t>Louise GRABO (Gruppe Vielfalt Europa – SE)</w:t>
      </w:r>
    </w:p>
    <w:p w:rsidR="00DB3D9B" w:rsidRPr="001378B7" w:rsidRDefault="00DB3D9B" w:rsidP="009A0224">
      <w:pPr>
        <w:keepNext/>
        <w:keepLines/>
        <w:tabs>
          <w:tab w:val="center" w:pos="284"/>
        </w:tabs>
        <w:ind w:left="266" w:hanging="266"/>
        <w:rPr>
          <w:lang w:val="en-GB"/>
        </w:rPr>
      </w:pPr>
    </w:p>
    <w:p w:rsidR="00DB3D9B" w:rsidRPr="001378B7" w:rsidRDefault="001F445D" w:rsidP="009A0224">
      <w:pPr>
        <w:keepNext/>
        <w:keepLines/>
        <w:tabs>
          <w:tab w:val="center" w:pos="284"/>
          <w:tab w:val="left" w:pos="1701"/>
        </w:tabs>
        <w:ind w:left="266" w:hanging="266"/>
      </w:pPr>
      <w:r>
        <w:rPr>
          <w:b/>
        </w:rPr>
        <w:t>Referenzdokumente:</w:t>
      </w:r>
      <w:r>
        <w:tab/>
        <w:t>COM(2020) 323 final – 2020/0145 (COD)</w:t>
      </w:r>
    </w:p>
    <w:p w:rsidR="00DB3D9B" w:rsidRPr="001378B7" w:rsidRDefault="00DB3D9B" w:rsidP="003B09CC">
      <w:pPr>
        <w:keepNext/>
        <w:keepLines/>
        <w:ind w:left="2268"/>
      </w:pPr>
      <w:r>
        <w:t>EESC-2020-004987-00-00-AC-TRA</w:t>
      </w:r>
    </w:p>
    <w:p w:rsidR="00DB3D9B" w:rsidRPr="001378B7" w:rsidRDefault="00DB3D9B" w:rsidP="009A0224">
      <w:pPr>
        <w:keepNext/>
        <w:keepLines/>
        <w:tabs>
          <w:tab w:val="center" w:pos="284"/>
          <w:tab w:val="left" w:pos="1701"/>
        </w:tabs>
        <w:ind w:left="266" w:hanging="266"/>
        <w:rPr>
          <w:lang w:val="en-GB"/>
        </w:rPr>
      </w:pPr>
    </w:p>
    <w:p w:rsidR="001F445D" w:rsidRPr="001378B7" w:rsidRDefault="001F445D" w:rsidP="009A0224">
      <w:pPr>
        <w:keepNext/>
        <w:keepLines/>
        <w:tabs>
          <w:tab w:val="center" w:pos="284"/>
          <w:tab w:val="left" w:pos="1701"/>
        </w:tabs>
        <w:ind w:left="266" w:hanging="266"/>
        <w:rPr>
          <w:b/>
        </w:rPr>
      </w:pPr>
      <w:r>
        <w:rPr>
          <w:b/>
        </w:rPr>
        <w:t>Kernaussagen</w:t>
      </w:r>
    </w:p>
    <w:p w:rsidR="00641880" w:rsidRPr="001378B7" w:rsidRDefault="00641880" w:rsidP="009A0224">
      <w:pPr>
        <w:keepNext/>
        <w:keepLines/>
        <w:tabs>
          <w:tab w:val="center" w:pos="284"/>
          <w:tab w:val="left" w:pos="1701"/>
        </w:tabs>
        <w:ind w:left="266" w:hanging="266"/>
        <w:rPr>
          <w:b/>
          <w:lang w:val="en-GB"/>
        </w:rPr>
      </w:pPr>
    </w:p>
    <w:p w:rsidR="008348E7" w:rsidRPr="001378B7" w:rsidRDefault="00DB3D9B" w:rsidP="009A0224">
      <w:pPr>
        <w:jc w:val="left"/>
      </w:pPr>
      <w:bookmarkStart w:id="2" w:name="_Toc2173204"/>
      <w:r>
        <w:t>Der EWSA:</w:t>
      </w:r>
    </w:p>
    <w:p w:rsidR="009A0224" w:rsidRPr="001378B7" w:rsidRDefault="009A0224" w:rsidP="009A0224">
      <w:pPr>
        <w:jc w:val="left"/>
        <w:rPr>
          <w:lang w:val="en-GB"/>
        </w:rPr>
      </w:pPr>
    </w:p>
    <w:p w:rsidR="00DB3D9B" w:rsidRPr="001378B7" w:rsidRDefault="00DB3D9B" w:rsidP="009A0224">
      <w:pPr>
        <w:pStyle w:val="ListParagraph"/>
        <w:numPr>
          <w:ilvl w:val="0"/>
          <w:numId w:val="15"/>
        </w:numPr>
        <w:tabs>
          <w:tab w:val="clear" w:pos="0"/>
        </w:tabs>
        <w:ind w:left="357" w:hanging="357"/>
      </w:pPr>
      <w:r>
        <w:t>unterstützt diese strategische Initiative und betont den Mehrwert eines Gemeinsamen Unternehmens für europäisches Hochleistungsrechnen (High-Performance Computing – HPC) als konkreter Schritt im Einklang mit der Cloud-Strategie der Europäischen Union sowie als integraler Bestandteil einer umfassenderen EU-Strategie;</w:t>
      </w:r>
    </w:p>
    <w:p w:rsidR="00DB3D9B" w:rsidRPr="001378B7" w:rsidRDefault="00DB3D9B" w:rsidP="009A0224">
      <w:pPr>
        <w:pStyle w:val="ListParagraph"/>
        <w:numPr>
          <w:ilvl w:val="0"/>
          <w:numId w:val="15"/>
        </w:numPr>
        <w:tabs>
          <w:tab w:val="clear" w:pos="0"/>
        </w:tabs>
        <w:ind w:left="357" w:hanging="357"/>
      </w:pPr>
      <w:r>
        <w:t>ist der Auffassung, dass die Investitionen, die die EU in den letzten Jahren für die Anschaffung und den Betrieb von Supercomputern von Weltrang getätigt hat, im Vergleich zu denen ihrer Konkurrenten (USA, China und andere) noch immer nicht optimal sind; hält daher zusätzliche Ressourcen und Investitionen für erforderlich, auch von Seiten der EU-Mitgliedstaaten, insbesondere der weniger fortgeschrittenen und/oder in diesem Bereich engagierten Staaten;</w:t>
      </w:r>
    </w:p>
    <w:p w:rsidR="00DB3D9B" w:rsidRPr="001378B7" w:rsidRDefault="00DB3D9B" w:rsidP="009A0224">
      <w:pPr>
        <w:pStyle w:val="ListParagraph"/>
        <w:numPr>
          <w:ilvl w:val="0"/>
          <w:numId w:val="15"/>
        </w:numPr>
        <w:tabs>
          <w:tab w:val="clear" w:pos="0"/>
        </w:tabs>
        <w:ind w:left="357" w:hanging="357"/>
      </w:pPr>
      <w:r>
        <w:t>fordert die Kommission auf, sich stärker für die Erstellung eines mehrjährigen Fahrplans einzusetzen. Dieser sollte die Eigenverantwortung der Zivilgesellschaft in der EU gewährleisten und in strategischen Bereichen einen praktischen Beitrag zu den jeweiligen Ebenen der Leitung des Gemeinsamen Unternehmens leisten können; in diesem Zusammenhang ist es dringend erforderlich, für einen ständigen zivilgesellschaftlichen Dialog im Rahmen der bestehenden Beratungsgruppen des Gemeinsamen Unternehmens zu sorgen.</w:t>
      </w:r>
      <w:r w:rsidR="003B09CC">
        <w:t xml:space="preserve"> </w:t>
      </w:r>
      <w:r>
        <w:t>Der EWSA wäre aufgrund seiner Beschaffenheit der ideale Partner für die Veranstaltung eines offenen jährlichen EU-Dialogforums des Gemeinsamen Unternehmens EuroHPC.</w:t>
      </w:r>
    </w:p>
    <w:p w:rsidR="00DB3D9B" w:rsidRPr="001378B7" w:rsidRDefault="00DB3D9B" w:rsidP="009A0224">
      <w:pPr>
        <w:pStyle w:val="ListParagraph"/>
        <w:numPr>
          <w:ilvl w:val="0"/>
          <w:numId w:val="15"/>
        </w:numPr>
        <w:tabs>
          <w:tab w:val="clear" w:pos="0"/>
        </w:tabs>
        <w:ind w:left="357" w:hanging="357"/>
      </w:pPr>
      <w:r>
        <w:t xml:space="preserve">hält es für notwendig, das Feedback der Zivilgesellschaft </w:t>
      </w:r>
      <w:r w:rsidR="003B09CC">
        <w:t>der EU einzuholen, damit die EU</w:t>
      </w:r>
      <w:r w:rsidR="003B09CC">
        <w:noBreakHyphen/>
      </w:r>
      <w:r>
        <w:t>Organe und die Mitgliedstaaten den kurz- und mittelfristigen Nutzen des Gemeinsamen Unternehmens EuroHPC und die Vorteile und Möglichkeiten für die einzelnen Bereiche, die es als rechtliches und strategisches Instrument bietet, besser verfolgen, erklären und fördern können;</w:t>
      </w:r>
    </w:p>
    <w:p w:rsidR="00DB3D9B" w:rsidRPr="001378B7" w:rsidRDefault="00DB3D9B" w:rsidP="009A0224">
      <w:pPr>
        <w:pStyle w:val="ListParagraph"/>
        <w:numPr>
          <w:ilvl w:val="0"/>
          <w:numId w:val="15"/>
        </w:numPr>
        <w:tabs>
          <w:tab w:val="clear" w:pos="0"/>
        </w:tabs>
        <w:ind w:left="357" w:hanging="357"/>
      </w:pPr>
      <w:r>
        <w:t>ist der Auffassung, dass die EU die Entwicklung der Technologie des Gemeinsamen Unternehmens EuroHPC als Chance für die Entwicklung der einschlägigen europäischen Branchen bestmöglich nutzen sollte, so dass sie die gesamte Produktionskette (Konzeption, Fertigung, Durchführung, Anwendung) abdecken können.</w:t>
      </w:r>
    </w:p>
    <w:p w:rsidR="00DB3D9B" w:rsidRPr="001378B7" w:rsidRDefault="00DB3D9B" w:rsidP="009A0224">
      <w:pPr>
        <w:jc w:val="left"/>
        <w:rPr>
          <w:lang w:val="en-GB"/>
        </w:rPr>
      </w:pPr>
    </w:p>
    <w:p w:rsidR="00DB3D9B" w:rsidRPr="001378B7" w:rsidRDefault="00DB3D9B" w:rsidP="009A0224">
      <w:pPr>
        <w:jc w:val="left"/>
        <w:rPr>
          <w:i/>
        </w:rPr>
      </w:pPr>
      <w:r>
        <w:rPr>
          <w:b/>
          <w:i/>
        </w:rPr>
        <w:t>Ansprechpartnerin:</w:t>
      </w:r>
      <w:r>
        <w:rPr>
          <w:i/>
        </w:rPr>
        <w:tab/>
        <w:t>Dalila Bernard</w:t>
      </w:r>
    </w:p>
    <w:p w:rsidR="00DB3D9B" w:rsidRPr="001378B7" w:rsidRDefault="00DB3D9B" w:rsidP="003B09CC">
      <w:pPr>
        <w:ind w:left="2268"/>
        <w:jc w:val="left"/>
        <w:rPr>
          <w:i/>
        </w:rPr>
      </w:pPr>
      <w:r>
        <w:rPr>
          <w:i/>
        </w:rPr>
        <w:t xml:space="preserve">(Tel.: 00 32 2 546 84 38 – E-Mail: </w:t>
      </w:r>
      <w:hyperlink r:id="rId16" w:history="1">
        <w:r>
          <w:rPr>
            <w:rStyle w:val="Hyperlink"/>
            <w:i/>
          </w:rPr>
          <w:t>dalila.bernard@eesc.europa.eu</w:t>
        </w:r>
      </w:hyperlink>
      <w:r>
        <w:rPr>
          <w:i/>
        </w:rPr>
        <w:t>)</w:t>
      </w:r>
    </w:p>
    <w:p w:rsidR="00FC34A6" w:rsidRPr="001378B7" w:rsidRDefault="00FC34A6" w:rsidP="009A0224">
      <w:pPr>
        <w:jc w:val="left"/>
        <w:rPr>
          <w:lang w:val="en-GB"/>
        </w:rPr>
      </w:pPr>
    </w:p>
    <w:p w:rsidR="00641880" w:rsidRPr="001378B7" w:rsidRDefault="00641880">
      <w:pPr>
        <w:spacing w:line="240" w:lineRule="auto"/>
        <w:jc w:val="left"/>
      </w:pPr>
      <w:r>
        <w:br w:type="page"/>
      </w:r>
    </w:p>
    <w:p w:rsidR="004203D2" w:rsidRPr="001378B7" w:rsidRDefault="004203D2" w:rsidP="009A0224">
      <w:pPr>
        <w:pStyle w:val="Heading1"/>
        <w:keepNext/>
        <w:numPr>
          <w:ilvl w:val="0"/>
          <w:numId w:val="1"/>
        </w:numPr>
        <w:ind w:left="567" w:hanging="567"/>
        <w:rPr>
          <w:b/>
          <w:caps/>
        </w:rPr>
      </w:pPr>
      <w:bookmarkStart w:id="3" w:name="_Toc21085069"/>
      <w:bookmarkStart w:id="4" w:name="_Toc64896218"/>
      <w:r>
        <w:rPr>
          <w:b/>
          <w:caps/>
        </w:rPr>
        <w:lastRenderedPageBreak/>
        <w:t>WIRTSCHAFTS- UND WÄHRUNGSUNION, WIRTSCHAFTLICHER UND SOZIALER ZUSAMMEHALT</w:t>
      </w:r>
      <w:bookmarkEnd w:id="2"/>
      <w:bookmarkEnd w:id="3"/>
      <w:bookmarkEnd w:id="4"/>
    </w:p>
    <w:p w:rsidR="00DF54F5" w:rsidRPr="001378B7" w:rsidRDefault="00DF54F5" w:rsidP="009A0224">
      <w:pPr>
        <w:keepNext/>
        <w:keepLines/>
        <w:rPr>
          <w:u w:val="single"/>
          <w:lang w:val="en-GB"/>
        </w:rPr>
      </w:pPr>
    </w:p>
    <w:p w:rsidR="00D070F2" w:rsidRPr="001378B7" w:rsidRDefault="00E205BE" w:rsidP="009A0224">
      <w:pPr>
        <w:pStyle w:val="ListParagraph"/>
        <w:keepNext/>
        <w:keepLines/>
        <w:numPr>
          <w:ilvl w:val="0"/>
          <w:numId w:val="2"/>
        </w:numPr>
        <w:overflowPunct w:val="0"/>
        <w:autoSpaceDE w:val="0"/>
        <w:autoSpaceDN w:val="0"/>
        <w:adjustRightInd w:val="0"/>
        <w:rPr>
          <w:b/>
          <w:i/>
          <w:sz w:val="28"/>
          <w:szCs w:val="28"/>
        </w:rPr>
      </w:pPr>
      <w:r>
        <w:rPr>
          <w:b/>
          <w:i/>
          <w:sz w:val="28"/>
          <w:szCs w:val="28"/>
        </w:rPr>
        <w:t>Wirtschaftspolitik des Euro-Währungsgebiets 2021</w:t>
      </w:r>
    </w:p>
    <w:p w:rsidR="00F31520" w:rsidRPr="001378B7" w:rsidRDefault="00F31520" w:rsidP="009A0224">
      <w:pPr>
        <w:keepNext/>
        <w:keepLines/>
        <w:tabs>
          <w:tab w:val="center" w:pos="284"/>
        </w:tabs>
        <w:ind w:left="266" w:hanging="266"/>
        <w:rPr>
          <w:rFonts w:eastAsiaTheme="minorHAnsi"/>
          <w:lang w:val="en-GB"/>
        </w:rPr>
      </w:pPr>
    </w:p>
    <w:p w:rsidR="00E205BE" w:rsidRPr="001378B7" w:rsidRDefault="00E205BE" w:rsidP="009A0224">
      <w:pPr>
        <w:tabs>
          <w:tab w:val="center" w:pos="284"/>
          <w:tab w:val="left" w:pos="1701"/>
        </w:tabs>
        <w:ind w:left="266" w:hanging="266"/>
        <w:jc w:val="left"/>
        <w:rPr>
          <w:b/>
        </w:rPr>
      </w:pPr>
      <w:r>
        <w:rPr>
          <w:b/>
        </w:rPr>
        <w:t>Berichterstatterin:</w:t>
      </w:r>
      <w:r>
        <w:rPr>
          <w:b/>
        </w:rPr>
        <w:tab/>
      </w:r>
      <w:r>
        <w:t>Judith VORBACH (Gruppe Arbeitnehmer – AT)</w:t>
      </w:r>
    </w:p>
    <w:p w:rsidR="00E205BE" w:rsidRPr="001378B7" w:rsidRDefault="00E205BE" w:rsidP="009A0224">
      <w:pPr>
        <w:tabs>
          <w:tab w:val="center" w:pos="284"/>
        </w:tabs>
        <w:ind w:left="266" w:hanging="266"/>
        <w:jc w:val="left"/>
        <w:rPr>
          <w:b/>
          <w:lang w:val="en-GB"/>
        </w:rPr>
      </w:pPr>
    </w:p>
    <w:p w:rsidR="001F1232" w:rsidRPr="001378B7" w:rsidRDefault="00DF54F5" w:rsidP="009A0224">
      <w:pPr>
        <w:tabs>
          <w:tab w:val="left" w:pos="1701"/>
        </w:tabs>
        <w:jc w:val="left"/>
      </w:pPr>
      <w:r>
        <w:rPr>
          <w:b/>
        </w:rPr>
        <w:t>Referenzdokumente:</w:t>
      </w:r>
      <w:r>
        <w:rPr>
          <w:b/>
        </w:rPr>
        <w:tab/>
      </w:r>
      <w:r>
        <w:t xml:space="preserve">COM(2020) 746 final </w:t>
      </w:r>
    </w:p>
    <w:p w:rsidR="00F31520" w:rsidRPr="001378B7" w:rsidRDefault="001F1232" w:rsidP="003B09CC">
      <w:pPr>
        <w:tabs>
          <w:tab w:val="left" w:pos="1701"/>
        </w:tabs>
        <w:ind w:left="2268"/>
        <w:jc w:val="left"/>
      </w:pPr>
      <w:r>
        <w:t>EESC-2020-05237-00-00-AC-TRA</w:t>
      </w:r>
    </w:p>
    <w:p w:rsidR="008348E7" w:rsidRPr="001378B7" w:rsidRDefault="008348E7" w:rsidP="009A0224">
      <w:pPr>
        <w:tabs>
          <w:tab w:val="center" w:pos="284"/>
        </w:tabs>
        <w:ind w:left="266" w:hanging="266"/>
        <w:jc w:val="left"/>
        <w:rPr>
          <w:rFonts w:eastAsiaTheme="minorHAnsi"/>
          <w:lang w:val="en-GB"/>
        </w:rPr>
      </w:pPr>
    </w:p>
    <w:p w:rsidR="00DF54F5" w:rsidRPr="001378B7" w:rsidRDefault="00DF54F5" w:rsidP="009A0224">
      <w:pPr>
        <w:tabs>
          <w:tab w:val="center" w:pos="284"/>
        </w:tabs>
        <w:ind w:left="266" w:hanging="266"/>
        <w:rPr>
          <w:b/>
        </w:rPr>
      </w:pPr>
      <w:r>
        <w:rPr>
          <w:b/>
        </w:rPr>
        <w:t>Kernaussagen</w:t>
      </w:r>
    </w:p>
    <w:p w:rsidR="00641880" w:rsidRPr="001378B7" w:rsidRDefault="00641880">
      <w:pPr>
        <w:overflowPunct w:val="0"/>
        <w:autoSpaceDE w:val="0"/>
        <w:autoSpaceDN w:val="0"/>
        <w:adjustRightInd w:val="0"/>
        <w:textAlignment w:val="baseline"/>
        <w:outlineLvl w:val="1"/>
        <w:rPr>
          <w:szCs w:val="20"/>
          <w:lang w:val="en-GB"/>
        </w:rPr>
      </w:pPr>
    </w:p>
    <w:p w:rsidR="008348E7" w:rsidRPr="001378B7" w:rsidRDefault="00E205BE">
      <w:pPr>
        <w:overflowPunct w:val="0"/>
        <w:autoSpaceDE w:val="0"/>
        <w:autoSpaceDN w:val="0"/>
        <w:adjustRightInd w:val="0"/>
        <w:textAlignment w:val="baseline"/>
        <w:outlineLvl w:val="1"/>
        <w:rPr>
          <w:szCs w:val="20"/>
        </w:rPr>
      </w:pPr>
      <w:r>
        <w:t>Der EWSA:</w:t>
      </w:r>
    </w:p>
    <w:p w:rsidR="009A0224" w:rsidRPr="001378B7" w:rsidRDefault="009A0224">
      <w:pPr>
        <w:overflowPunct w:val="0"/>
        <w:autoSpaceDE w:val="0"/>
        <w:autoSpaceDN w:val="0"/>
        <w:adjustRightInd w:val="0"/>
        <w:textAlignment w:val="baseline"/>
        <w:outlineLvl w:val="1"/>
        <w:rPr>
          <w:szCs w:val="20"/>
          <w:lang w:val="en-GB"/>
        </w:rPr>
      </w:pPr>
    </w:p>
    <w:p w:rsidR="00E205BE" w:rsidRPr="001378B7" w:rsidRDefault="00E205BE" w:rsidP="009A0224">
      <w:pPr>
        <w:pStyle w:val="ListParagraph"/>
        <w:numPr>
          <w:ilvl w:val="0"/>
          <w:numId w:val="16"/>
        </w:numPr>
        <w:tabs>
          <w:tab w:val="clear" w:pos="0"/>
        </w:tabs>
        <w:ind w:left="357" w:hanging="357"/>
        <w:rPr>
          <w:szCs w:val="20"/>
        </w:rPr>
      </w:pPr>
      <w:r>
        <w:t>begrüßt die Empfehlungen der Kommission zur Wirtschaftspolitik des Euro-Währungsgebiets;</w:t>
      </w:r>
    </w:p>
    <w:p w:rsidR="00E205BE" w:rsidRPr="001378B7" w:rsidRDefault="00E205BE" w:rsidP="009A0224">
      <w:pPr>
        <w:pStyle w:val="ListParagraph"/>
        <w:numPr>
          <w:ilvl w:val="0"/>
          <w:numId w:val="16"/>
        </w:numPr>
        <w:tabs>
          <w:tab w:val="clear" w:pos="0"/>
        </w:tabs>
        <w:ind w:left="357" w:hanging="357"/>
      </w:pPr>
      <w:r>
        <w:t>spricht sich für einen wirtschaftspolitischen Ansatz aus, der auf die Unterstützung der Erholung, eine erhöhte Investitionstätigkeit, die weitere Integration des Binnenmarktes, die Gewährleistung gerechter Arbeitsbedingungen und die Vertiefung der WWU abzielt;</w:t>
      </w:r>
    </w:p>
    <w:p w:rsidR="00E205BE" w:rsidRPr="001378B7" w:rsidRDefault="00E205BE" w:rsidP="009A0224">
      <w:pPr>
        <w:pStyle w:val="ListParagraph"/>
        <w:numPr>
          <w:ilvl w:val="0"/>
          <w:numId w:val="16"/>
        </w:numPr>
        <w:tabs>
          <w:tab w:val="clear" w:pos="0"/>
        </w:tabs>
        <w:ind w:left="357" w:hanging="357"/>
      </w:pPr>
      <w:r>
        <w:t>befürwortet nachdrücklich das Aufbaupaket „NextGenerationEU“ und drängt auf eine möglichst schnelle Einigung darüber;</w:t>
      </w:r>
    </w:p>
    <w:p w:rsidR="00E205BE" w:rsidRPr="001378B7" w:rsidRDefault="00E205BE" w:rsidP="009A0224">
      <w:pPr>
        <w:pStyle w:val="ListParagraph"/>
        <w:numPr>
          <w:ilvl w:val="0"/>
          <w:numId w:val="16"/>
        </w:numPr>
        <w:tabs>
          <w:tab w:val="clear" w:pos="0"/>
        </w:tabs>
        <w:ind w:left="357" w:hanging="357"/>
        <w:rPr>
          <w:rFonts w:eastAsia="Arial Unicode MS"/>
        </w:rPr>
      </w:pPr>
      <w:r>
        <w:t>ist der Auffassung, dass der Wiederaufbau nur gelingen wird, wenn er mit einem Umbau der Wirtschaft und Gesellschaft einhergeht, und dass die Wiederherstellung des Vertrauens von entscheidender Bedeutung für eine Stabilisierung der Nachfrage ist;</w:t>
      </w:r>
    </w:p>
    <w:p w:rsidR="00E205BE" w:rsidRPr="001378B7" w:rsidRDefault="00E205BE" w:rsidP="009A0224">
      <w:pPr>
        <w:pStyle w:val="ListParagraph"/>
        <w:numPr>
          <w:ilvl w:val="0"/>
          <w:numId w:val="16"/>
        </w:numPr>
        <w:tabs>
          <w:tab w:val="clear" w:pos="0"/>
        </w:tabs>
        <w:ind w:left="357" w:hanging="357"/>
        <w:rPr>
          <w:rFonts w:eastAsia="Arial Unicode MS"/>
        </w:rPr>
      </w:pPr>
      <w:r>
        <w:t>fordert, bei den Haushaltsregeln zu einer stärker wohlstandsorientierten wirtschaftspolitischen Steuerung überzugehen, zu der auch eine goldene Regel gehört;</w:t>
      </w:r>
    </w:p>
    <w:p w:rsidR="00E205BE" w:rsidRPr="001378B7" w:rsidRDefault="00E205BE" w:rsidP="009A0224">
      <w:pPr>
        <w:pStyle w:val="ListParagraph"/>
        <w:numPr>
          <w:ilvl w:val="0"/>
          <w:numId w:val="16"/>
        </w:numPr>
        <w:tabs>
          <w:tab w:val="clear" w:pos="0"/>
        </w:tabs>
        <w:ind w:left="357" w:hanging="357"/>
        <w:rPr>
          <w:rFonts w:eastAsia="Arial Unicode MS"/>
        </w:rPr>
      </w:pPr>
      <w:r>
        <w:t>ist der Ansicht, dass die Auswirkungen der Krise auf die Ungleichheit und die soziale und wirtschaftliche Unsicherheit stärker berücksichtigt werden müssen und die Verbesserung der Rahmenbedingungen für Unternehmen mit der Verbesserung des sozialen Rahmens Hand in Hand gehen muss;</w:t>
      </w:r>
    </w:p>
    <w:p w:rsidR="00E205BE" w:rsidRPr="001378B7" w:rsidRDefault="00E205BE" w:rsidP="009A0224">
      <w:pPr>
        <w:pStyle w:val="ListParagraph"/>
        <w:numPr>
          <w:ilvl w:val="0"/>
          <w:numId w:val="16"/>
        </w:numPr>
        <w:tabs>
          <w:tab w:val="clear" w:pos="0"/>
        </w:tabs>
        <w:ind w:left="357" w:hanging="357"/>
        <w:rPr>
          <w:rFonts w:eastAsia="Arial Unicode MS"/>
        </w:rPr>
      </w:pPr>
      <w:r>
        <w:t>fordert eine stärkere Einbeziehung der Sozialpartner und der Zivilgesellschaft in die Klimaschutzpolitik und in die nationalen Aufbau- und Resilienzpläne;</w:t>
      </w:r>
    </w:p>
    <w:p w:rsidR="00E205BE" w:rsidRPr="001378B7" w:rsidRDefault="00E205BE" w:rsidP="009A0224">
      <w:pPr>
        <w:pStyle w:val="ListParagraph"/>
        <w:numPr>
          <w:ilvl w:val="0"/>
          <w:numId w:val="16"/>
        </w:numPr>
        <w:tabs>
          <w:tab w:val="clear" w:pos="0"/>
        </w:tabs>
        <w:ind w:left="357" w:hanging="357"/>
        <w:rPr>
          <w:rFonts w:eastAsia="Arial Unicode MS"/>
        </w:rPr>
      </w:pPr>
      <w:r>
        <w:t>fordert eine entschlossene Reform der Steuerpolitik zur Bewältigung der wirtschaftlichen, sozialen und ökologischen Herausforderungen bei gleichzeitiger Vermeidung regressiver Effekte;</w:t>
      </w:r>
    </w:p>
    <w:p w:rsidR="00E205BE" w:rsidRPr="001378B7" w:rsidRDefault="00E205BE" w:rsidP="009A0224">
      <w:pPr>
        <w:pStyle w:val="ListParagraph"/>
        <w:numPr>
          <w:ilvl w:val="0"/>
          <w:numId w:val="16"/>
        </w:numPr>
        <w:tabs>
          <w:tab w:val="clear" w:pos="0"/>
        </w:tabs>
        <w:ind w:left="357" w:hanging="357"/>
        <w:rPr>
          <w:rFonts w:eastAsia="Arial Unicode MS"/>
          <w:color w:val="000000" w:themeColor="text1"/>
        </w:rPr>
      </w:pPr>
      <w:r>
        <w:rPr>
          <w:color w:val="000000" w:themeColor="text1"/>
        </w:rPr>
        <w:t>weist darauf hin, dass die Banken- und Kapitalmarktunion vollendet werden muss, wobei die Finanzmarktstabilität Vorrang haben muss.</w:t>
      </w:r>
    </w:p>
    <w:p w:rsidR="00E205BE" w:rsidRPr="007522EA" w:rsidRDefault="00E205BE" w:rsidP="007522EA">
      <w:pPr>
        <w:outlineLvl w:val="0"/>
        <w:rPr>
          <w:lang w:val="en-GB"/>
        </w:rPr>
      </w:pPr>
    </w:p>
    <w:p w:rsidR="00E205BE" w:rsidRPr="001378B7" w:rsidRDefault="00E205BE">
      <w:pPr>
        <w:tabs>
          <w:tab w:val="left" w:pos="770"/>
        </w:tabs>
        <w:ind w:left="1430" w:hanging="1430"/>
        <w:rPr>
          <w:bCs/>
          <w:i/>
          <w:iCs/>
        </w:rPr>
      </w:pPr>
      <w:r>
        <w:rPr>
          <w:b/>
          <w:bCs/>
          <w:i/>
          <w:iCs/>
        </w:rPr>
        <w:t>Ansprechpartner:</w:t>
      </w:r>
      <w:r>
        <w:rPr>
          <w:b/>
          <w:bCs/>
          <w:i/>
          <w:iCs/>
        </w:rPr>
        <w:tab/>
      </w:r>
      <w:r>
        <w:rPr>
          <w:bCs/>
          <w:i/>
          <w:iCs/>
        </w:rPr>
        <w:t>Alexander Alexandrov</w:t>
      </w:r>
    </w:p>
    <w:p w:rsidR="00E205BE" w:rsidRPr="001378B7" w:rsidRDefault="00E205BE" w:rsidP="003B09CC">
      <w:pPr>
        <w:ind w:left="1713" w:hanging="12"/>
        <w:rPr>
          <w:sz w:val="16"/>
          <w:szCs w:val="16"/>
        </w:rPr>
      </w:pPr>
      <w:r>
        <w:rPr>
          <w:bCs/>
          <w:i/>
          <w:iCs/>
        </w:rPr>
        <w:t xml:space="preserve">(Tel.: 00 32 2 546 98 05 – E-Mail: </w:t>
      </w:r>
      <w:hyperlink r:id="rId17" w:history="1">
        <w:r>
          <w:rPr>
            <w:rStyle w:val="Hyperlink"/>
            <w:i/>
            <w:iCs/>
          </w:rPr>
          <w:t>Alexander.Alexandrov@eesc.europa.eu</w:t>
        </w:r>
      </w:hyperlink>
      <w:r>
        <w:rPr>
          <w:bCs/>
          <w:i/>
          <w:iCs/>
        </w:rPr>
        <w:t>)</w:t>
      </w:r>
    </w:p>
    <w:p w:rsidR="00641880" w:rsidRPr="007522EA" w:rsidRDefault="00641880" w:rsidP="007522EA">
      <w:pPr>
        <w:pStyle w:val="Heading1"/>
        <w:numPr>
          <w:ilvl w:val="0"/>
          <w:numId w:val="0"/>
        </w:numPr>
        <w:tabs>
          <w:tab w:val="left" w:pos="567"/>
        </w:tabs>
        <w:rPr>
          <w:kern w:val="0"/>
        </w:rPr>
      </w:pPr>
      <w:bookmarkStart w:id="5" w:name="_Toc21085070"/>
    </w:p>
    <w:p w:rsidR="00641880" w:rsidRPr="001378B7" w:rsidRDefault="00641880">
      <w:pPr>
        <w:spacing w:line="240" w:lineRule="auto"/>
        <w:jc w:val="left"/>
      </w:pPr>
      <w:r>
        <w:br w:type="page"/>
      </w:r>
    </w:p>
    <w:p w:rsidR="004203D2" w:rsidRPr="001378B7" w:rsidRDefault="004203D2" w:rsidP="009A0224">
      <w:pPr>
        <w:pStyle w:val="Heading1"/>
        <w:keepNext/>
        <w:numPr>
          <w:ilvl w:val="0"/>
          <w:numId w:val="1"/>
        </w:numPr>
        <w:ind w:left="567" w:hanging="567"/>
        <w:rPr>
          <w:b/>
          <w:caps/>
        </w:rPr>
      </w:pPr>
      <w:bookmarkStart w:id="6" w:name="_Toc64896219"/>
      <w:r>
        <w:rPr>
          <w:b/>
          <w:caps/>
        </w:rPr>
        <w:lastRenderedPageBreak/>
        <w:t>BESCHÄFTIGUNG, SOZIALFRAGEN, UNIONSBÜRGERSCHAFT</w:t>
      </w:r>
      <w:bookmarkEnd w:id="5"/>
      <w:bookmarkEnd w:id="6"/>
    </w:p>
    <w:p w:rsidR="004203D2" w:rsidRPr="003B09CC" w:rsidRDefault="004203D2" w:rsidP="003B09CC">
      <w:pPr>
        <w:keepNext/>
        <w:keepLines/>
        <w:spacing w:line="240" w:lineRule="auto"/>
        <w:rPr>
          <w:sz w:val="12"/>
          <w:lang w:val="en-GB"/>
        </w:rPr>
      </w:pPr>
    </w:p>
    <w:p w:rsidR="007254A8" w:rsidRPr="001378B7" w:rsidRDefault="00E205BE" w:rsidP="009A0224">
      <w:pPr>
        <w:pStyle w:val="ListParagraph"/>
        <w:keepNext/>
        <w:keepLines/>
        <w:numPr>
          <w:ilvl w:val="0"/>
          <w:numId w:val="2"/>
        </w:numPr>
        <w:overflowPunct w:val="0"/>
        <w:autoSpaceDE w:val="0"/>
        <w:autoSpaceDN w:val="0"/>
        <w:adjustRightInd w:val="0"/>
        <w:rPr>
          <w:b/>
          <w:i/>
          <w:sz w:val="28"/>
          <w:szCs w:val="28"/>
        </w:rPr>
      </w:pPr>
      <w:r>
        <w:rPr>
          <w:b/>
          <w:i/>
          <w:sz w:val="28"/>
          <w:szCs w:val="28"/>
        </w:rPr>
        <w:t>Ein neues Migrations- und Asylpaket</w:t>
      </w:r>
    </w:p>
    <w:p w:rsidR="00F22142" w:rsidRPr="003B09CC" w:rsidRDefault="00F22142" w:rsidP="003B09CC">
      <w:pPr>
        <w:keepNext/>
        <w:keepLines/>
        <w:spacing w:line="240" w:lineRule="auto"/>
        <w:rPr>
          <w:sz w:val="14"/>
          <w:highlight w:val="yellow"/>
          <w:lang w:val="en-GB"/>
        </w:rPr>
      </w:pPr>
    </w:p>
    <w:p w:rsidR="00007438" w:rsidRPr="001378B7" w:rsidRDefault="00007438" w:rsidP="007522EA">
      <w:pPr>
        <w:keepNext/>
        <w:keepLines/>
        <w:rPr>
          <w:b/>
        </w:rPr>
      </w:pPr>
      <w:r>
        <w:rPr>
          <w:b/>
        </w:rPr>
        <w:t>Berichterstatter:</w:t>
      </w:r>
      <w:r>
        <w:rPr>
          <w:b/>
        </w:rPr>
        <w:tab/>
      </w:r>
      <w:r w:rsidR="003B09CC">
        <w:rPr>
          <w:b/>
        </w:rPr>
        <w:tab/>
      </w:r>
      <w:r>
        <w:t>José Antonio MORENO DIAZ (Gruppe Arbeitnehmer – ES)</w:t>
      </w:r>
    </w:p>
    <w:p w:rsidR="00007438" w:rsidRPr="001378B7" w:rsidRDefault="00007438" w:rsidP="009A0224">
      <w:pPr>
        <w:ind w:left="-5"/>
        <w:rPr>
          <w:bCs/>
        </w:rPr>
      </w:pPr>
      <w:r>
        <w:rPr>
          <w:b/>
        </w:rPr>
        <w:t>Mitberichterstatter:</w:t>
      </w:r>
      <w:r>
        <w:rPr>
          <w:b/>
        </w:rPr>
        <w:tab/>
      </w:r>
      <w:r>
        <w:t>Cristian PÎRVULESCU (Gruppe Vielfalt Europa – RO)</w:t>
      </w:r>
    </w:p>
    <w:p w:rsidR="00027014" w:rsidRPr="003B09CC" w:rsidRDefault="00027014" w:rsidP="003B09CC">
      <w:pPr>
        <w:spacing w:line="240" w:lineRule="auto"/>
        <w:ind w:left="-5"/>
        <w:rPr>
          <w:b/>
          <w:bCs/>
          <w:sz w:val="12"/>
          <w:lang w:val="en-GB"/>
        </w:rPr>
      </w:pPr>
    </w:p>
    <w:p w:rsidR="00AE1723" w:rsidRPr="001378B7" w:rsidRDefault="00F22142" w:rsidP="009A0224">
      <w:pPr>
        <w:ind w:left="-5"/>
      </w:pPr>
      <w:r>
        <w:rPr>
          <w:b/>
          <w:bCs/>
        </w:rPr>
        <w:t xml:space="preserve">Referenzdokument: </w:t>
      </w:r>
      <w:r>
        <w:rPr>
          <w:b/>
          <w:bCs/>
        </w:rPr>
        <w:tab/>
      </w:r>
      <w:r>
        <w:t>EESC-2020-04226-00-00-AC-TRA</w:t>
      </w:r>
    </w:p>
    <w:p w:rsidR="00F22142" w:rsidRPr="003B09CC" w:rsidRDefault="00F22142" w:rsidP="003B09CC">
      <w:pPr>
        <w:tabs>
          <w:tab w:val="left" w:pos="0"/>
        </w:tabs>
        <w:spacing w:line="240" w:lineRule="auto"/>
        <w:ind w:left="364" w:hanging="369"/>
        <w:rPr>
          <w:sz w:val="12"/>
          <w:lang w:val="en-GB"/>
        </w:rPr>
      </w:pPr>
    </w:p>
    <w:p w:rsidR="00F22142" w:rsidRPr="001378B7" w:rsidRDefault="00F22142" w:rsidP="009A0224">
      <w:pPr>
        <w:rPr>
          <w:b/>
        </w:rPr>
      </w:pPr>
      <w:r>
        <w:rPr>
          <w:b/>
        </w:rPr>
        <w:t>Kernaussagen</w:t>
      </w:r>
    </w:p>
    <w:p w:rsidR="00641880" w:rsidRPr="003B09CC" w:rsidRDefault="00641880" w:rsidP="003B09CC">
      <w:pPr>
        <w:spacing w:line="240" w:lineRule="auto"/>
        <w:rPr>
          <w:sz w:val="12"/>
          <w:lang w:val="en-GB"/>
        </w:rPr>
      </w:pPr>
    </w:p>
    <w:p w:rsidR="008348E7" w:rsidRPr="001378B7" w:rsidRDefault="00B31513" w:rsidP="009A0224">
      <w:r>
        <w:t>Der EWSA:</w:t>
      </w:r>
    </w:p>
    <w:p w:rsidR="009A0224" w:rsidRPr="003B09CC" w:rsidRDefault="009A0224" w:rsidP="003B09CC">
      <w:pPr>
        <w:spacing w:line="240" w:lineRule="auto"/>
        <w:rPr>
          <w:sz w:val="12"/>
          <w:lang w:val="en-GB"/>
        </w:rPr>
      </w:pP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betont, dass die EU ein ausgewogenes Verhältnis zwischen einem wirksamen und realistischen Migrationsmanagement, das menschenwürdig und nachhaltig ist, und der Gewährleistung der Sicherheit und Kontrolle ihrer Außengrenzen finden muss. Sie muss den Menschen in Europa die klare Botschaft vermitteln, dass Migration gemeinsam besser bewältigt werden kann;</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stellt fest, dass die im Paket enthaltenen Vorschläge zwar wichtig sind, aber nicht ausreichen, um einen gemeinsamen europäischen Rahmen für Migrationsmanagement festzulegen, der wirksam wäre und gleichzeitig mit den Werten und Zielen der EU im Einklang stünde;</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bedauert, dass sich die meisten Vorschläge des Migrations- und Asylpakets auf das Außengrenzen- und Rückführungsmanagement beziehen und dass regulären Einwanderungsmöglichkeiten, sicheren Asylverfahren oder der Inklusion und Integration von Drittstaatsangehörigen keine gebührende Beachtung geschenkt wird;</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bedauert, dass im Paket der globale Pakt der Vereinten Nationen für eine sichere, geordnete und reguläre Migration als multilateraler Vorläufer eines Vorschlags für internationales Migrationsmanagement nicht erwähnt wird;</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 xml:space="preserve">stellt fest, dass im Paket zu Recht die fehlende Einheitlichkeit der Asyl- und Rückführungssysteme der Mitgliedstaaten hervorgehoben und die Notwendigkeit einer größeren Solidarität betont wird. Es ist jedoch nicht klar, ob sich die zentralen Herausforderungen für die Koordinierung mithilfe des Grundsatzes einer freiwilligen und selektiven Solidarität bewältigen lassen. Es werden keinerlei Anreize für die Mitgliedstaaten zur Teilnahme an diesem Mechanismus erwähnt. Dies ist besonders bemerkenswert angesichts der Tatsache, dass sich manche Mitgliedstaaten weigern, an der bisherigen Umsiedlungsregelung teilzunehmen; </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begrüßt die Initiativen zur Seenotrettung, die tatsächlich darauf ausgerichtet sind, Menschenleben zu retten. Es sind kontinuierliche Anstrengungen erforderlich, um zu verhindern, dass humanitäre Akteure, die dringend notwendige Such- und Rettungsaktionen auf See durchführen, kriminalisiert werden;</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begrüßt die Entwicklung sicherer und legaler Wege für den Zugang zum europäischen Hoheitsgebiet, insbesondere durch Umsiedlungs- und Patenschaftsprogramme; ist allerdings er der Ansicht, dass diese Wege nur den Bedürfnissen von Personen mit einem ganz bestimmten Profil gerecht werden und keine umfassenden, wirksamen oder sicheren Antworten auf den Bedarf an legalen Möglichkeiten zur Einwanderung in die EU bieten;</w:t>
      </w:r>
    </w:p>
    <w:p w:rsidR="00E205BE" w:rsidRPr="001378B7" w:rsidRDefault="00E205BE" w:rsidP="009A0224">
      <w:pPr>
        <w:pStyle w:val="ListParagraph"/>
        <w:numPr>
          <w:ilvl w:val="0"/>
          <w:numId w:val="17"/>
        </w:numPr>
        <w:tabs>
          <w:tab w:val="clear" w:pos="0"/>
        </w:tabs>
        <w:ind w:left="357" w:hanging="357"/>
        <w:rPr>
          <w:shd w:val="clear" w:color="auto" w:fill="FFFFFF"/>
        </w:rPr>
      </w:pPr>
      <w:r>
        <w:rPr>
          <w:shd w:val="clear" w:color="auto" w:fill="FFFFFF"/>
        </w:rPr>
        <w:t>begrüßt den Aktionsplan für Integration und Inklusion für den Zeitraum 2021-2027. Der EWSA bedauert, dass diesem für das Zusammenleben in unseren Gesellschaften entscheidenden Thema im Paket so wenig Aufmerksamkeit gewidmet wird.</w:t>
      </w:r>
    </w:p>
    <w:p w:rsidR="00E205BE" w:rsidRPr="003B09CC" w:rsidRDefault="00E205BE" w:rsidP="003B09CC">
      <w:pPr>
        <w:spacing w:line="240" w:lineRule="auto"/>
        <w:rPr>
          <w:i/>
          <w:sz w:val="14"/>
          <w:shd w:val="clear" w:color="auto" w:fill="FFFFFF"/>
          <w:lang w:val="en-GB"/>
        </w:rPr>
      </w:pPr>
    </w:p>
    <w:p w:rsidR="00E205BE" w:rsidRPr="001378B7" w:rsidRDefault="00E205BE" w:rsidP="009A0224">
      <w:pPr>
        <w:rPr>
          <w:i/>
          <w:shd w:val="clear" w:color="auto" w:fill="FFFFFF"/>
        </w:rPr>
      </w:pPr>
      <w:r>
        <w:rPr>
          <w:b/>
          <w:i/>
          <w:shd w:val="clear" w:color="auto" w:fill="FFFFFF"/>
        </w:rPr>
        <w:t>Ansprechpartnerin:</w:t>
      </w:r>
      <w:r>
        <w:rPr>
          <w:i/>
          <w:shd w:val="clear" w:color="auto" w:fill="FFFFFF"/>
        </w:rPr>
        <w:tab/>
        <w:t>Triin Aasmaa</w:t>
      </w:r>
    </w:p>
    <w:p w:rsidR="00641880" w:rsidRPr="001378B7" w:rsidRDefault="00E205BE" w:rsidP="003B09CC">
      <w:pPr>
        <w:ind w:left="2268"/>
        <w:rPr>
          <w:shd w:val="clear" w:color="auto" w:fill="FFFFFF"/>
        </w:rPr>
      </w:pPr>
      <w:r>
        <w:rPr>
          <w:i/>
          <w:shd w:val="clear" w:color="auto" w:fill="FFFFFF"/>
        </w:rPr>
        <w:t>(Tel.: 00 32 2 546 95 24 – E-Mail:</w:t>
      </w:r>
      <w:r>
        <w:t xml:space="preserve"> </w:t>
      </w:r>
      <w:hyperlink r:id="rId18" w:history="1">
        <w:r>
          <w:rPr>
            <w:rStyle w:val="Hyperlink"/>
            <w:i/>
            <w:shd w:val="clear" w:color="auto" w:fill="FFFFFF"/>
          </w:rPr>
          <w:t>triin.aasmaa@eesc.europa.eu</w:t>
        </w:r>
      </w:hyperlink>
      <w:r>
        <w:rPr>
          <w:i/>
        </w:rPr>
        <w:t>)</w:t>
      </w:r>
      <w:r w:rsidR="00641880">
        <w:br w:type="page"/>
      </w:r>
    </w:p>
    <w:p w:rsidR="008F0C17" w:rsidRPr="001378B7" w:rsidRDefault="008F0C17" w:rsidP="009A0224">
      <w:pPr>
        <w:pStyle w:val="Heading1"/>
        <w:numPr>
          <w:ilvl w:val="0"/>
          <w:numId w:val="1"/>
        </w:numPr>
        <w:ind w:left="567" w:hanging="567"/>
        <w:rPr>
          <w:rFonts w:eastAsiaTheme="minorEastAsia"/>
          <w:b/>
        </w:rPr>
      </w:pPr>
      <w:bookmarkStart w:id="7" w:name="_Toc24617160"/>
      <w:bookmarkStart w:id="8" w:name="_Toc64896220"/>
      <w:r>
        <w:rPr>
          <w:b/>
        </w:rPr>
        <w:lastRenderedPageBreak/>
        <w:t>LANDWIRTSCHAFT, LÄNDLICHE ENTWICKLUNG, UMWELT</w:t>
      </w:r>
      <w:bookmarkEnd w:id="8"/>
    </w:p>
    <w:p w:rsidR="004349BD" w:rsidRPr="001378B7" w:rsidRDefault="004349BD" w:rsidP="009A0224">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Ein aktualisierter Aktionsplan für eine nachhaltige, widerstandsfähige und wettbewerbsfähige blaue Wirtschaft im atlantischen Raum der Europäischen Union</w:t>
      </w:r>
    </w:p>
    <w:p w:rsidR="004349BD" w:rsidRPr="001378B7" w:rsidRDefault="004349BD">
      <w:pPr>
        <w:rPr>
          <w:b/>
          <w:lang w:val="en-GB"/>
        </w:rPr>
      </w:pPr>
    </w:p>
    <w:p w:rsidR="004349BD" w:rsidRPr="001378B7" w:rsidRDefault="004349BD">
      <w:pPr>
        <w:rPr>
          <w:highlight w:val="yellow"/>
        </w:rPr>
      </w:pPr>
      <w:r>
        <w:rPr>
          <w:b/>
        </w:rPr>
        <w:t xml:space="preserve">Berichterstatter: </w:t>
      </w:r>
      <w:r>
        <w:rPr>
          <w:b/>
        </w:rPr>
        <w:tab/>
      </w:r>
      <w:r w:rsidR="003B09CC">
        <w:rPr>
          <w:b/>
        </w:rPr>
        <w:tab/>
      </w:r>
      <w:r>
        <w:rPr>
          <w:color w:val="000000"/>
          <w:szCs w:val="21"/>
        </w:rPr>
        <w:t>Carlos Manuel TRINDADE (Gruppe Arbeitnehmer – PT)</w:t>
      </w:r>
    </w:p>
    <w:p w:rsidR="004349BD" w:rsidRPr="001378B7" w:rsidRDefault="004349BD">
      <w:pPr>
        <w:rPr>
          <w:b/>
          <w:lang w:val="en-GB"/>
        </w:rPr>
      </w:pPr>
    </w:p>
    <w:p w:rsidR="00F54FF5" w:rsidRPr="001378B7" w:rsidRDefault="004349BD" w:rsidP="009A0224">
      <w:pPr>
        <w:rPr>
          <w:iCs/>
        </w:rPr>
      </w:pPr>
      <w:r>
        <w:rPr>
          <w:b/>
        </w:rPr>
        <w:t xml:space="preserve">Referenzdokumente: </w:t>
      </w:r>
      <w:r>
        <w:rPr>
          <w:b/>
        </w:rPr>
        <w:tab/>
      </w:r>
      <w:r>
        <w:t xml:space="preserve">COM(2020) 329 final </w:t>
      </w:r>
    </w:p>
    <w:p w:rsidR="004349BD" w:rsidRPr="001378B7" w:rsidRDefault="00F54FF5" w:rsidP="003B09CC">
      <w:pPr>
        <w:ind w:left="2268"/>
        <w:rPr>
          <w:i/>
          <w:iCs/>
        </w:rPr>
      </w:pPr>
      <w:r>
        <w:t>EESC-2020-05152-00-00-AC-TRA</w:t>
      </w:r>
    </w:p>
    <w:p w:rsidR="004349BD" w:rsidRPr="001378B7" w:rsidRDefault="004349BD">
      <w:pPr>
        <w:rPr>
          <w:b/>
          <w:lang w:val="en-GB"/>
        </w:rPr>
      </w:pPr>
    </w:p>
    <w:p w:rsidR="004349BD" w:rsidRPr="001378B7" w:rsidRDefault="004349BD">
      <w:pPr>
        <w:rPr>
          <w:b/>
        </w:rPr>
      </w:pPr>
      <w:r>
        <w:rPr>
          <w:b/>
        </w:rPr>
        <w:t>Kernaussagen</w:t>
      </w:r>
    </w:p>
    <w:p w:rsidR="004349BD" w:rsidRPr="001378B7" w:rsidRDefault="004349BD">
      <w:pPr>
        <w:rPr>
          <w:lang w:val="en-GB"/>
        </w:rPr>
      </w:pPr>
    </w:p>
    <w:p w:rsidR="004349BD" w:rsidRPr="001378B7" w:rsidRDefault="004349BD" w:rsidP="009A0224">
      <w:pPr>
        <w:pStyle w:val="Heading2"/>
        <w:numPr>
          <w:ilvl w:val="0"/>
          <w:numId w:val="0"/>
        </w:numPr>
        <w:overflowPunct w:val="0"/>
        <w:autoSpaceDE w:val="0"/>
        <w:autoSpaceDN w:val="0"/>
        <w:adjustRightInd w:val="0"/>
        <w:textAlignment w:val="baseline"/>
      </w:pPr>
      <w:r>
        <w:t>Der EWSA:</w:t>
      </w:r>
    </w:p>
    <w:p w:rsidR="009A0224" w:rsidRPr="001378B7" w:rsidRDefault="009A0224" w:rsidP="000273E0">
      <w:pPr>
        <w:rPr>
          <w:lang w:val="en-GB"/>
        </w:rPr>
      </w:pPr>
    </w:p>
    <w:p w:rsidR="004349BD" w:rsidRPr="001378B7" w:rsidRDefault="004349BD" w:rsidP="009A0224">
      <w:pPr>
        <w:pStyle w:val="ListParagraph"/>
        <w:numPr>
          <w:ilvl w:val="0"/>
          <w:numId w:val="18"/>
        </w:numPr>
        <w:tabs>
          <w:tab w:val="clear" w:pos="0"/>
        </w:tabs>
        <w:ind w:left="357" w:hanging="357"/>
      </w:pPr>
      <w:r>
        <w:rPr>
          <w:shd w:val="clear" w:color="auto" w:fill="FFFFFF"/>
        </w:rPr>
        <w:t xml:space="preserve">teilt die Einschätzung der Kommission, dass der atlantische Meeresraum im Hoheitsgebiet von EU-Mitgliedstaaten ein Schlüsselfaktor für die wirtschaftliche und soziale Entwicklung dieser Staaten, aber auch der gesamten EU ist; </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 xml:space="preserve">weist außerdem darauf hin, dass im Hinblick auf die ökologische Nachhaltigkeit die entscheidende Rolle der Ozeane bei der Dekarbonisierung, der Sauerstoffproduktion, der Ernährung der Menschen sowie der Bekämpfung des Klimawandels und der Versauerung von der EU und den Vereinten Nationen anerkannt wird; </w:t>
      </w:r>
    </w:p>
    <w:p w:rsidR="004349BD" w:rsidRPr="001378B7" w:rsidRDefault="004349BD" w:rsidP="009A0224">
      <w:pPr>
        <w:pStyle w:val="ListParagraph"/>
        <w:numPr>
          <w:ilvl w:val="0"/>
          <w:numId w:val="18"/>
        </w:numPr>
        <w:tabs>
          <w:tab w:val="clear" w:pos="0"/>
        </w:tabs>
        <w:ind w:left="357" w:hanging="357"/>
      </w:pPr>
      <w:r>
        <w:rPr>
          <w:shd w:val="clear" w:color="auto" w:fill="FFFFFF"/>
        </w:rPr>
        <w:t>stellt fest, dass vor dem Hintergrund der COVID-19-Krise die blaue Wirtschaft zunehmend an Bedeutung gewinnt, wenn es darum geht, die Konjunktur in Europa anzukurbeln und Arbeitsplätze zu schützen und zu schaffen;</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begrüßt den Aktionsplan für den Atlantik 2.0 als Beitrag zur wirtschaftlichen Erholung, zur Erhaltung und Schaffung von Arbeitsplätzen und gleichzeitig zur Stärkung der Küsten- und Meeresökosysteme sowie als Beitrag zum Klimaschutz und zur Anpassung an den Klimawandel.</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Die Verknüpfung des Aktionsplans 2.0 mit den Grundsätzen des europäischen Grünen Deals unterstreicht die zentrale Bedeutung der blauen Wirtschaft für die Verwirklichung der Nachhaltigkeitsziele;</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kritisiert den Mangel an Zielen und Maßnahmen in den Bereichen Fischerei und Tourismus und empfiehlt der Kommission, diesen Sektoren im Aktionsplan mehr Bedeutung beizumessen;</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empfiehlt nachdrücklich die Schaffung einer spezifischen Finanzierungslinie für Projekte, die im Rahmen des Aktionsplans 2.0 entwickelt werden, wie dies auch bei anderen Sektoren der Fall ist, die europäische öffentliche Mittel erhalten. Denn sonst besteht das Risiko, dass sie zu anderen Finanzierungsprogrammen abgeschoben werden, bei denen sie nicht im Mittelpunkt stehen;</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ist der Auffassung, dass die Berücksichtigung der in dieser Stellungnahme enthaltenen Empfehlungen in Bezug auf die Bewertung und Finanzierung von Projekten sowie ihre Begleitung und Überwachung dazu beitragen wird, die Qualität und den Umfang der sozialen, wirtschaftlichen und ökologischen Fortschritte zu steigern, die durch die Umsetzung des Aktionsplans 2.0 erzielt werden sollen;</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 xml:space="preserve">ist schließlich der Auffassung, dass die Erfolgschancen bei der Umsetzung des Aktionsplans größer wären, wenn die in früheren Stellungnahmen ausgesprochenen Empfehlungen aufgegriffen </w:t>
      </w:r>
      <w:r>
        <w:rPr>
          <w:shd w:val="clear" w:color="auto" w:fill="FFFFFF"/>
        </w:rPr>
        <w:lastRenderedPageBreak/>
        <w:t>würden, insbesondere was die Schaffung einer Makroregion Atlantik und die Wiederaufnahme des Atlantischen Forums betrifft.</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Ansprechpartnerin:</w:t>
      </w:r>
      <w:r>
        <w:rPr>
          <w:b/>
          <w:bCs/>
          <w:i/>
          <w:iCs/>
          <w:color w:val="000000"/>
          <w:sz w:val="22"/>
          <w:szCs w:val="22"/>
        </w:rPr>
        <w:tab/>
      </w:r>
      <w:r>
        <w:rPr>
          <w:i/>
          <w:iCs/>
          <w:color w:val="000000"/>
          <w:sz w:val="22"/>
          <w:szCs w:val="22"/>
        </w:rPr>
        <w:t>Anna Cameron</w:t>
      </w:r>
    </w:p>
    <w:p w:rsidR="004349BD" w:rsidRPr="001378B7" w:rsidRDefault="004349BD" w:rsidP="003B09CC">
      <w:pPr>
        <w:ind w:left="2268"/>
        <w:rPr>
          <w:b/>
        </w:rPr>
      </w:pPr>
      <w:r>
        <w:rPr>
          <w:i/>
          <w:iCs/>
          <w:color w:val="000000"/>
        </w:rPr>
        <w:t xml:space="preserve">(Tel.: 00 32 2 546 82 28 – E-Mail: </w:t>
      </w:r>
      <w:hyperlink r:id="rId19" w:history="1">
        <w:r>
          <w:rPr>
            <w:rStyle w:val="Hyperlink"/>
            <w:i/>
            <w:iCs/>
          </w:rPr>
          <w:t>Anna.Cameron@eesc.europa.eu</w:t>
        </w:r>
      </w:hyperlink>
      <w:r>
        <w:rPr>
          <w:i/>
          <w:iCs/>
          <w:color w:val="000000"/>
        </w:rPr>
        <w:t>)</w:t>
      </w:r>
    </w:p>
    <w:p w:rsidR="004349BD" w:rsidRPr="001378B7" w:rsidRDefault="004349BD">
      <w:pPr>
        <w:rPr>
          <w:b/>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Mehr Ehrgeiz für das Klimaziel Europas</w:t>
      </w:r>
    </w:p>
    <w:p w:rsidR="004349BD" w:rsidRPr="001378B7" w:rsidRDefault="004349BD" w:rsidP="009A0224">
      <w:pPr>
        <w:keepNext/>
        <w:keepLines/>
        <w:rPr>
          <w:lang w:val="en-GB"/>
        </w:rPr>
      </w:pPr>
    </w:p>
    <w:p w:rsidR="004349BD" w:rsidRPr="001378B7" w:rsidRDefault="004349BD" w:rsidP="009A0224">
      <w:pPr>
        <w:keepNext/>
        <w:keepLines/>
      </w:pPr>
      <w:r>
        <w:rPr>
          <w:b/>
        </w:rPr>
        <w:t xml:space="preserve">Berichterstatter: </w:t>
      </w:r>
      <w:r>
        <w:rPr>
          <w:b/>
        </w:rPr>
        <w:tab/>
      </w:r>
      <w:r w:rsidR="003B09CC">
        <w:rPr>
          <w:b/>
        </w:rPr>
        <w:tab/>
      </w:r>
      <w:r>
        <w:t>Arnold PUECH D'ALISSAC (Gruppe Arbeitgeber – FR)</w:t>
      </w:r>
    </w:p>
    <w:p w:rsidR="004349BD" w:rsidRPr="001378B7" w:rsidRDefault="004349BD">
      <w:pPr>
        <w:rPr>
          <w:b/>
          <w:lang w:val="en-GB"/>
        </w:rPr>
      </w:pPr>
    </w:p>
    <w:p w:rsidR="009A0224" w:rsidRPr="001378B7" w:rsidRDefault="004349BD" w:rsidP="006218B7">
      <w:pPr>
        <w:tabs>
          <w:tab w:val="left" w:pos="1701"/>
        </w:tabs>
        <w:rPr>
          <w:iCs/>
        </w:rPr>
      </w:pPr>
      <w:r>
        <w:rPr>
          <w:b/>
        </w:rPr>
        <w:t xml:space="preserve">Referenzdokumente: </w:t>
      </w:r>
      <w:r>
        <w:rPr>
          <w:b/>
        </w:rPr>
        <w:tab/>
      </w:r>
      <w:r>
        <w:t>COM(2020) 562 final</w:t>
      </w:r>
      <w:r w:rsidR="003B09CC">
        <w:t xml:space="preserve"> </w:t>
      </w:r>
    </w:p>
    <w:p w:rsidR="004349BD" w:rsidRPr="001378B7" w:rsidRDefault="009A0224" w:rsidP="003B09CC">
      <w:pPr>
        <w:tabs>
          <w:tab w:val="left" w:pos="1701"/>
        </w:tabs>
        <w:ind w:left="2268"/>
        <w:rPr>
          <w:i/>
          <w:iCs/>
        </w:rPr>
      </w:pPr>
      <w:r>
        <w:t>EESC-2020-04180-00-00-AC-TRA</w:t>
      </w:r>
    </w:p>
    <w:p w:rsidR="004349BD" w:rsidRPr="001378B7" w:rsidRDefault="004349BD">
      <w:pPr>
        <w:rPr>
          <w:b/>
          <w:lang w:val="en-GB"/>
        </w:rPr>
      </w:pPr>
    </w:p>
    <w:p w:rsidR="004349BD" w:rsidRPr="001378B7" w:rsidRDefault="004349BD">
      <w:r>
        <w:rPr>
          <w:b/>
        </w:rPr>
        <w:t>Kernaussagen</w:t>
      </w:r>
    </w:p>
    <w:p w:rsidR="004349BD" w:rsidRPr="001378B7" w:rsidRDefault="004349BD">
      <w:pPr>
        <w:rPr>
          <w:lang w:val="en-GB"/>
        </w:rPr>
      </w:pPr>
    </w:p>
    <w:p w:rsidR="004349BD" w:rsidRPr="001378B7" w:rsidRDefault="004349BD">
      <w:r>
        <w:t xml:space="preserve">Der EWSA: </w:t>
      </w:r>
    </w:p>
    <w:p w:rsidR="009A0224" w:rsidRPr="001378B7" w:rsidRDefault="009A0224">
      <w:pPr>
        <w:rPr>
          <w:lang w:val="en-GB"/>
        </w:rPr>
      </w:pPr>
    </w:p>
    <w:p w:rsidR="004349BD" w:rsidRPr="001378B7" w:rsidRDefault="004349BD" w:rsidP="009A0224">
      <w:pPr>
        <w:pStyle w:val="ListParagraph"/>
        <w:numPr>
          <w:ilvl w:val="0"/>
          <w:numId w:val="2"/>
        </w:numPr>
        <w:ind w:left="357" w:hanging="357"/>
      </w:pPr>
      <w:r>
        <w:rPr>
          <w:shd w:val="clear" w:color="auto" w:fill="FFFFFF"/>
        </w:rPr>
        <w:t xml:space="preserve">begrüßt nachdrücklich die Mitteilung der Kommission </w:t>
      </w:r>
      <w:r>
        <w:rPr>
          <w:i/>
          <w:shd w:val="clear" w:color="auto" w:fill="FFFFFF"/>
        </w:rPr>
        <w:t>Mehr Ehrgeiz für das Klimaziel Europas bis 2030 – In eine klimaneutrale Zukunft zum Wohl der Menschen investieren</w:t>
      </w:r>
      <w:r>
        <w:rPr>
          <w:shd w:val="clear" w:color="auto" w:fill="FFFFFF"/>
        </w:rPr>
        <w:t>. Die Entscheidung der Kommission, die Zielvorgabe für die Treibhausgasreduktion bis 2030 auf 55 % anzuheben, steht weitgehend im Einklang mit der früheren Stellungnahme des EWSA zum Europäischen Klimagesetz.</w:t>
      </w:r>
    </w:p>
    <w:p w:rsidR="004349BD" w:rsidRPr="001378B7" w:rsidRDefault="004349BD">
      <w:pPr>
        <w:pStyle w:val="ListParagraph"/>
        <w:numPr>
          <w:ilvl w:val="0"/>
          <w:numId w:val="2"/>
        </w:numPr>
      </w:pPr>
      <w:r>
        <w:t>Ab den Meilensteinen kann nur dann ein Netto-Null-Ziel zugrunde gelegt werden, wenn ein integriertes System mitsamt einer präzisen Berechnung der CO</w:t>
      </w:r>
      <w:r>
        <w:rPr>
          <w:vertAlign w:val="subscript"/>
        </w:rPr>
        <w:t>2</w:t>
      </w:r>
      <w:r>
        <w:t>-Emissionen und der CO</w:t>
      </w:r>
      <w:r>
        <w:rPr>
          <w:vertAlign w:val="subscript"/>
        </w:rPr>
        <w:t>2</w:t>
      </w:r>
      <w:r w:rsidR="003B09CC">
        <w:noBreakHyphen/>
      </w:r>
      <w:r>
        <w:t>Absorption sichergestellt wird;</w:t>
      </w:r>
    </w:p>
    <w:p w:rsidR="004349BD" w:rsidRPr="001378B7" w:rsidRDefault="004349BD">
      <w:pPr>
        <w:pStyle w:val="ListParagraph"/>
        <w:numPr>
          <w:ilvl w:val="0"/>
          <w:numId w:val="2"/>
        </w:numPr>
      </w:pPr>
      <w:r>
        <w:t>erachtet es als sehr wichtig, die Bürgerinnen und Bürger und die Sozialpartner darüber zu informieren, wie die Emissionsziele erreicht werden können und was dies für ihre Arbeit und ihr tägliches Leben bedeutet. Dies ist grundlegend für die Akzeptanz aller zu ergreifenden Maßnahmen. Deshalb sollte durch geeignete Vorkehrungen für einen gerechten Ausgleich der damit verbundenen Risiken und Chancen gesorgt werden, um Gewissheit und Stabilität zu gewährleisten;</w:t>
      </w:r>
    </w:p>
    <w:p w:rsidR="004349BD" w:rsidRPr="001378B7" w:rsidRDefault="004349BD">
      <w:pPr>
        <w:pStyle w:val="ListParagraph"/>
        <w:numPr>
          <w:ilvl w:val="0"/>
          <w:numId w:val="2"/>
        </w:numPr>
      </w:pPr>
      <w:r>
        <w:t>stimmt der Kommission zu, dass die Ausgaben für den Aufbau nach der COVID-19-Krise mit ehrgeizigen Klimaschutzmaßnahmen kombiniert werden müssen, um zu vermeiden, dass Gelder verschwendet werden und verlorene Vermögenswerte entstehen, sodass später noch mehr Mittel aufgewendet werden müssen. Es muss sichergestellt werden, dass diese Investitionen tatsächlich im Sinne einer nachhaltigen bürgerorientierten Klimapolitik eingesetzt werden.</w:t>
      </w:r>
    </w:p>
    <w:p w:rsidR="004349BD" w:rsidRPr="001378B7" w:rsidRDefault="004349BD">
      <w:pPr>
        <w:pStyle w:val="ListParagraph"/>
        <w:numPr>
          <w:ilvl w:val="0"/>
          <w:numId w:val="2"/>
        </w:numPr>
      </w:pPr>
      <w:r>
        <w:t>Die Kommission will bis Juni 2021 die erforderlichen detaillierten Legislativvorschläge vorlegen. Der EWSA ersucht die gesetzgebenden Organe, diese Frist nicht zu überschreiten und das Gesetzgebungsverfahren bis Dezember 2021 abzuschließen, da andernfalls die Zeit zur Erreichung des für 2030 vorgegebenen Ziels zu knapp sein wird;</w:t>
      </w:r>
    </w:p>
    <w:p w:rsidR="004349BD" w:rsidRPr="001378B7" w:rsidRDefault="004349BD">
      <w:pPr>
        <w:pStyle w:val="ListParagraph"/>
        <w:numPr>
          <w:ilvl w:val="0"/>
          <w:numId w:val="2"/>
        </w:numPr>
      </w:pPr>
      <w:r>
        <w:t>empfiehlt, dass die Kommission der Aktualisierung von EU-Rechtsvorschriften zur Umstellung auf erneuerbare Kraftstoffe Vorrang einräumt;</w:t>
      </w:r>
    </w:p>
    <w:p w:rsidR="004349BD" w:rsidRPr="001378B7" w:rsidRDefault="004349BD">
      <w:pPr>
        <w:pStyle w:val="ListParagraph"/>
        <w:numPr>
          <w:ilvl w:val="0"/>
          <w:numId w:val="2"/>
        </w:numPr>
      </w:pPr>
      <w:r>
        <w:t xml:space="preserve">hält es für erforderlich, die neuen Klimaziele für die Landwirtschaft im Rahmen des Aufbauinstruments „NextGenerationEU“ in dem delegierten Rechtsakt zur Taxonomie-Verordnung zu berücksichtigen, um eine lückenlose Umstellung zu ermöglichen. Der vorliegende </w:t>
      </w:r>
      <w:r>
        <w:lastRenderedPageBreak/>
        <w:t>Entwurf für einen delegierten Rechtsakt ist lediglich für die Förderung der Umstellung von Nischenproduktionen geeignet. Nur ein ganzheitlicher Wandel hin zu einer klimafreundlichen Landwirtschaft wird künftig einen nachhaltigen Lebensmittelsektor gewährleisten. Der Wandel muss durch verstärkte nachhaltige Investitionen und Unterstützungsmaßnahmen in der Lebensmittelversorgungskette gefördert werden;</w:t>
      </w:r>
    </w:p>
    <w:p w:rsidR="004349BD" w:rsidRPr="001378B7" w:rsidRDefault="004349BD">
      <w:pPr>
        <w:pStyle w:val="ListParagraph"/>
        <w:numPr>
          <w:ilvl w:val="0"/>
          <w:numId w:val="2"/>
        </w:numPr>
      </w:pPr>
      <w:r>
        <w:t>fordert ein spezielles EU-Bioökonomie-Programm, mit dem Investitionen gefördert und gemeinschafts- und betriebsbasierte Lieferketten geschaffen werden;</w:t>
      </w:r>
    </w:p>
    <w:p w:rsidR="004349BD" w:rsidRPr="001378B7" w:rsidRDefault="004349BD">
      <w:pPr>
        <w:pStyle w:val="ListParagraph"/>
        <w:numPr>
          <w:ilvl w:val="0"/>
          <w:numId w:val="2"/>
        </w:numPr>
      </w:pPr>
      <w:r>
        <w:t>unterstreicht die Schlussfolgerung aus der Folgenabschätzung, dass eine Verringerung der Treibhausgasemissionen um 55 % bis 2030 die EU nicht nur auf einen festen Kurs in Richtung Klimaneutralität setzen, sondern auch die Unternehmen und Industrie in der EU weltweit zu Wegbereitern machen würde. Dabei muss die EU dafür sorgen, dass ihre Handelspolitik und ihre Handelsabkommen im Einklang mit ihren Klimazielen stehen. Ferner empfiehlt er der Kommission, den möglichen Folgen für einkommensschwache Bürger von Drittstaaten besondere Aufmerksamkeit zu widmen;</w:t>
      </w:r>
    </w:p>
    <w:p w:rsidR="004349BD" w:rsidRPr="001378B7" w:rsidRDefault="004349BD">
      <w:pPr>
        <w:pStyle w:val="ListParagraph"/>
        <w:numPr>
          <w:ilvl w:val="0"/>
          <w:numId w:val="2"/>
        </w:numPr>
      </w:pPr>
      <w:r>
        <w:t>unterstützt nachdrücklich die Aussage der Kommission, dass die Bürgerinnen und Bürger „wichtige Partner bei der Bekämpfung des Klimawandels“ sind, da seines Erachtens die aktive Beteiligung „aller Teile der Gesellschaft“ eine notwendige Voraussetzung für den Erfolg der Klimapolitik in der EU ist. Deshalb bekräftigt er seinen Vorschlag, eine Plattform der Interessenträger für den europäischen Klimapakt einzurichten;</w:t>
      </w:r>
    </w:p>
    <w:p w:rsidR="004349BD" w:rsidRPr="001378B7" w:rsidRDefault="004349BD">
      <w:pPr>
        <w:pStyle w:val="ListParagraph"/>
        <w:numPr>
          <w:ilvl w:val="0"/>
          <w:numId w:val="2"/>
        </w:numPr>
      </w:pPr>
      <w:r>
        <w:t>fordert außerdem die Mitgliedstaaten auf, entsprechend der Empfehlung der Kommission vom 14.10.2020 zu Energiearmut (C(2020) 9600 final) zur besseren Erfassung von Energiearmut zunächst an der Einführung gemeinsamer Kriterien und Indikatoren auf europäischer Ebene zu arbeiten;</w:t>
      </w:r>
    </w:p>
    <w:p w:rsidR="004349BD" w:rsidRPr="001378B7" w:rsidRDefault="004349BD">
      <w:pPr>
        <w:pStyle w:val="ListParagraph"/>
        <w:numPr>
          <w:ilvl w:val="0"/>
          <w:numId w:val="2"/>
        </w:numPr>
      </w:pPr>
      <w:r>
        <w:t>ist erfreut über den völlig richtigen Aufruf der Kommission, dass die Umstellung der europäischen Wirtschaft mit Investitionen in Maßnahmen zur Umschulung, Weiterbildung und ständigen Fortbildung zahlreicher Berufsgruppen einhergehen muss. Ferner muss sichergestellt werden, dass neue Beschäftigungsmöglichkeiten Arbeitsplätze mit angemessener Vergütung und guten Arbeitsbedingungen mit sich bringen.</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Ansprechpartnerin: </w:t>
      </w:r>
      <w:r>
        <w:rPr>
          <w:b/>
          <w:bCs/>
          <w:i/>
          <w:iCs/>
          <w:color w:val="000000"/>
          <w:sz w:val="22"/>
          <w:szCs w:val="22"/>
        </w:rPr>
        <w:tab/>
      </w:r>
      <w:r>
        <w:rPr>
          <w:i/>
          <w:iCs/>
          <w:color w:val="000000"/>
          <w:sz w:val="22"/>
          <w:szCs w:val="22"/>
        </w:rPr>
        <w:t>Stella Brożek-Everaert</w:t>
      </w:r>
    </w:p>
    <w:p w:rsidR="004349BD" w:rsidRPr="001378B7" w:rsidRDefault="004349BD" w:rsidP="003B09CC">
      <w:pPr>
        <w:ind w:left="2268"/>
      </w:pPr>
      <w:r>
        <w:rPr>
          <w:i/>
          <w:iCs/>
          <w:color w:val="000000"/>
        </w:rPr>
        <w:t xml:space="preserve">(Tel.: 00 32 2 546 92 02 – E-Mail: </w:t>
      </w:r>
      <w:hyperlink r:id="rId20" w:history="1">
        <w:r>
          <w:rPr>
            <w:rStyle w:val="Hyperlink"/>
            <w:i/>
            <w:iCs/>
          </w:rPr>
          <w:t>Stella.BrożekEveraert@eesc.europa.eu</w:t>
        </w:r>
      </w:hyperlink>
      <w:r>
        <w:rPr>
          <w:i/>
          <w:iCs/>
          <w:color w:val="000000"/>
        </w:rPr>
        <w:t>)</w:t>
      </w:r>
    </w:p>
    <w:p w:rsidR="004349BD" w:rsidRPr="001378B7" w:rsidRDefault="004349BD">
      <w:pPr>
        <w:rPr>
          <w:lang w:val="en-GB"/>
        </w:rPr>
      </w:pPr>
    </w:p>
    <w:p w:rsidR="004349BD" w:rsidRPr="001378B7" w:rsidRDefault="004349BD" w:rsidP="003B09CC">
      <w:pPr>
        <w:pStyle w:val="ListParagraph"/>
        <w:keepNext/>
        <w:keepLines/>
        <w:numPr>
          <w:ilvl w:val="0"/>
          <w:numId w:val="2"/>
        </w:numPr>
        <w:overflowPunct w:val="0"/>
        <w:autoSpaceDE w:val="0"/>
        <w:autoSpaceDN w:val="0"/>
        <w:adjustRightInd w:val="0"/>
        <w:rPr>
          <w:b/>
        </w:rPr>
      </w:pPr>
      <w:r>
        <w:rPr>
          <w:b/>
          <w:i/>
          <w:sz w:val="28"/>
          <w:szCs w:val="28"/>
        </w:rPr>
        <w:lastRenderedPageBreak/>
        <w:t>Anwendung der Bestimmungen des Übereinkommens von Århus – Zugang zu Gerichten in Umweltangelegenheiten</w:t>
      </w:r>
    </w:p>
    <w:p w:rsidR="004349BD" w:rsidRPr="001378B7" w:rsidRDefault="004349BD" w:rsidP="003B09CC">
      <w:pPr>
        <w:keepNext/>
        <w:keepLines/>
        <w:rPr>
          <w:b/>
          <w:lang w:val="en-GB"/>
        </w:rPr>
      </w:pPr>
    </w:p>
    <w:p w:rsidR="004349BD" w:rsidRPr="001378B7" w:rsidRDefault="004349BD" w:rsidP="003B09CC">
      <w:pPr>
        <w:keepNext/>
        <w:keepLines/>
      </w:pPr>
      <w:r>
        <w:rPr>
          <w:b/>
        </w:rPr>
        <w:t xml:space="preserve">Berichterstatter: </w:t>
      </w:r>
      <w:r w:rsidR="003B09CC">
        <w:rPr>
          <w:b/>
        </w:rPr>
        <w:tab/>
      </w:r>
      <w:r>
        <w:rPr>
          <w:b/>
        </w:rPr>
        <w:tab/>
      </w:r>
      <w:r>
        <w:t>Arnaud SCHWARTZ (Gruppe Vielfalt Europa – FR)</w:t>
      </w:r>
    </w:p>
    <w:p w:rsidR="004349BD" w:rsidRPr="001378B7" w:rsidRDefault="004349BD" w:rsidP="003B09CC">
      <w:pPr>
        <w:keepNext/>
        <w:keepLines/>
        <w:rPr>
          <w:b/>
          <w:lang w:val="en-GB"/>
        </w:rPr>
      </w:pPr>
    </w:p>
    <w:p w:rsidR="00F54FF5" w:rsidRPr="001378B7" w:rsidRDefault="004349BD" w:rsidP="003B09CC">
      <w:pPr>
        <w:keepNext/>
        <w:keepLines/>
        <w:rPr>
          <w:iCs/>
        </w:rPr>
      </w:pPr>
      <w:r>
        <w:rPr>
          <w:b/>
        </w:rPr>
        <w:t xml:space="preserve">Referenzdokumente: </w:t>
      </w:r>
      <w:r>
        <w:rPr>
          <w:b/>
        </w:rPr>
        <w:tab/>
      </w:r>
      <w:r>
        <w:t>COM(2020) 642 final – 0289 (COD)</w:t>
      </w:r>
    </w:p>
    <w:p w:rsidR="004349BD" w:rsidRPr="001378B7" w:rsidRDefault="00F54FF5" w:rsidP="003B09CC">
      <w:pPr>
        <w:keepNext/>
        <w:keepLines/>
        <w:ind w:left="2268"/>
        <w:rPr>
          <w:i/>
          <w:iCs/>
        </w:rPr>
      </w:pPr>
      <w:r>
        <w:t>EESC-2020-04962-00-00-AC-TRA</w:t>
      </w:r>
    </w:p>
    <w:p w:rsidR="004349BD" w:rsidRPr="001378B7" w:rsidRDefault="004349BD" w:rsidP="003B09CC">
      <w:pPr>
        <w:keepNext/>
        <w:keepLines/>
        <w:rPr>
          <w:b/>
          <w:lang w:val="en-GB"/>
        </w:rPr>
      </w:pPr>
    </w:p>
    <w:p w:rsidR="004349BD" w:rsidRPr="001378B7" w:rsidRDefault="004349BD" w:rsidP="003B09CC">
      <w:pPr>
        <w:keepNext/>
        <w:keepLines/>
        <w:rPr>
          <w:b/>
        </w:rPr>
      </w:pPr>
      <w:r>
        <w:rPr>
          <w:b/>
        </w:rPr>
        <w:t>Kernaussagen</w:t>
      </w:r>
    </w:p>
    <w:p w:rsidR="004349BD" w:rsidRPr="001378B7" w:rsidRDefault="004349BD" w:rsidP="003B09CC">
      <w:pPr>
        <w:keepNext/>
        <w:keepLines/>
        <w:rPr>
          <w:b/>
          <w:lang w:val="en-GB"/>
        </w:rPr>
      </w:pPr>
    </w:p>
    <w:p w:rsidR="004349BD" w:rsidRPr="001378B7" w:rsidRDefault="004349BD" w:rsidP="003B09CC">
      <w:pPr>
        <w:keepNext/>
        <w:keepLines/>
        <w:rPr>
          <w:color w:val="000000" w:themeColor="text1"/>
        </w:rPr>
      </w:pPr>
      <w:r>
        <w:rPr>
          <w:color w:val="000000" w:themeColor="text1"/>
        </w:rPr>
        <w:t>Der EWSA:</w:t>
      </w:r>
    </w:p>
    <w:p w:rsidR="006218B7" w:rsidRPr="001378B7" w:rsidRDefault="006218B7" w:rsidP="003B09CC">
      <w:pPr>
        <w:keepNext/>
        <w:keepLines/>
        <w:rPr>
          <w:color w:val="000000" w:themeColor="text1"/>
          <w:lang w:val="en-GB"/>
        </w:rPr>
      </w:pPr>
    </w:p>
    <w:p w:rsidR="004349BD" w:rsidRPr="001378B7" w:rsidRDefault="004349BD" w:rsidP="009A0224">
      <w:pPr>
        <w:pStyle w:val="ListParagraph"/>
        <w:numPr>
          <w:ilvl w:val="0"/>
          <w:numId w:val="2"/>
        </w:numPr>
        <w:ind w:left="357" w:hanging="357"/>
        <w:rPr>
          <w:color w:val="000000" w:themeColor="text1"/>
        </w:rPr>
      </w:pPr>
      <w:r>
        <w:rPr>
          <w:color w:val="000000" w:themeColor="text1"/>
        </w:rPr>
        <w:t>begrüßt den Vorschlag der Kommission, den in der Århus-Verordnung vorgesehenen Mechanismus der internen Überprüfung zu stärken, und würdigt dessen Potenzial;</w:t>
      </w:r>
    </w:p>
    <w:p w:rsidR="004349BD" w:rsidRPr="001378B7" w:rsidRDefault="004349BD" w:rsidP="009A0224">
      <w:pPr>
        <w:pStyle w:val="ListParagraph"/>
        <w:numPr>
          <w:ilvl w:val="0"/>
          <w:numId w:val="2"/>
        </w:numPr>
        <w:rPr>
          <w:color w:val="000000" w:themeColor="text1"/>
        </w:rPr>
      </w:pPr>
      <w:r>
        <w:rPr>
          <w:color w:val="000000" w:themeColor="text1"/>
        </w:rPr>
        <w:t>unterstützt die vier in der Kommissionsmitteilung genannten vorrangigen Maßnahmen: Verpflichtung der Mitgliedstaaten zur vollständigen und korrekten Umsetzung der sich aus dem Sekundärrecht der EU ergebenden Anforderungen für den Zugang zu Gerichten, Notwendigkeit von Bestimmungen über den Zugang zu Gerichten in von den gesetzgebenden Organen erlassenen neuen und überarbeiteten EU-Rechtsvorschriften über Umweltangelegenheiten, Überprüfung nationaler Rechts- und Verwaltungsvorschriften, die den Zugang zu Gerichten behindern oder erschweren, durch die jeweiligen Mitgliedstaaten und Verpflichtung der nationalen Gerichte, das Recht von Einzelpersonen und NRO auf einen wirksame</w:t>
      </w:r>
      <w:r w:rsidR="003B09CC">
        <w:rPr>
          <w:color w:val="000000" w:themeColor="text1"/>
        </w:rPr>
        <w:t>n Rechtsbehelf im Rahmen des EU</w:t>
      </w:r>
      <w:r w:rsidR="003B09CC">
        <w:rPr>
          <w:color w:val="000000" w:themeColor="text1"/>
        </w:rPr>
        <w:noBreakHyphen/>
      </w:r>
      <w:r>
        <w:rPr>
          <w:color w:val="000000" w:themeColor="text1"/>
        </w:rPr>
        <w:t>Rechts zu gewährleisten;</w:t>
      </w:r>
    </w:p>
    <w:p w:rsidR="004349BD" w:rsidRPr="001378B7" w:rsidRDefault="004349BD" w:rsidP="009A0224">
      <w:pPr>
        <w:pStyle w:val="ListParagraph"/>
        <w:numPr>
          <w:ilvl w:val="0"/>
          <w:numId w:val="2"/>
        </w:numPr>
        <w:rPr>
          <w:color w:val="000000" w:themeColor="text1"/>
        </w:rPr>
      </w:pPr>
      <w:r>
        <w:rPr>
          <w:color w:val="000000" w:themeColor="text1"/>
        </w:rPr>
        <w:t>weist die Kommission jedoch darauf hin, dass ihr Vorschlag Schlupflöcher aufweist, die Behörden nutzen könnten, um sich ihrer Rechenschaftspflicht zu entziehen;</w:t>
      </w:r>
    </w:p>
    <w:p w:rsidR="004349BD" w:rsidRPr="001378B7" w:rsidRDefault="004349BD" w:rsidP="009A0224">
      <w:pPr>
        <w:pStyle w:val="ListParagraph"/>
        <w:numPr>
          <w:ilvl w:val="0"/>
          <w:numId w:val="2"/>
        </w:numPr>
        <w:rPr>
          <w:color w:val="000000" w:themeColor="text1"/>
        </w:rPr>
      </w:pPr>
      <w:r>
        <w:rPr>
          <w:color w:val="000000" w:themeColor="text1"/>
        </w:rPr>
        <w:t>lehnt so etwa den Vorschlag der Kommission ab, EU-Akte, die nationale Durchführungsmaßnahmen nach sich ziehen, auszunehmen, weil dies dazu führen könnte, dass der Kommissionsvorschlag völlig wirkungslos oder weniger wirksam wird;</w:t>
      </w:r>
    </w:p>
    <w:p w:rsidR="004349BD" w:rsidRPr="001378B7" w:rsidRDefault="004349BD" w:rsidP="009A0224">
      <w:pPr>
        <w:pStyle w:val="ListParagraph"/>
        <w:numPr>
          <w:ilvl w:val="0"/>
          <w:numId w:val="2"/>
        </w:numPr>
        <w:rPr>
          <w:color w:val="000000" w:themeColor="text1"/>
        </w:rPr>
      </w:pPr>
      <w:r>
        <w:rPr>
          <w:color w:val="000000" w:themeColor="text1"/>
        </w:rPr>
        <w:t>ist zudem besorgt, dass viele, wenn nicht gar die meisten EU-Akte und Unterlassungen keiner internen Überprüfung unterliegen würden, wenn die Organisationen der Zivilgesellschaft eine Überprüfung erst nach dem Erlass der Durchführungsmaßnahmen vornehmen dürften;</w:t>
      </w:r>
    </w:p>
    <w:p w:rsidR="004349BD" w:rsidRPr="001378B7" w:rsidRDefault="004349BD" w:rsidP="009A0224">
      <w:pPr>
        <w:pStyle w:val="ListParagraph"/>
        <w:numPr>
          <w:ilvl w:val="0"/>
          <w:numId w:val="2"/>
        </w:numPr>
        <w:rPr>
          <w:color w:val="000000" w:themeColor="text1"/>
        </w:rPr>
      </w:pPr>
      <w:r>
        <w:rPr>
          <w:color w:val="000000" w:themeColor="text1"/>
        </w:rPr>
        <w:t>stellt fest, dass nicht rechtsverbindliche EU-Akte entgegen den von der Kommission vorgebrachten Argumenten durchaus erhebliche Auswirkungen sowohl auf die Umsetzung von EU-Rechtsvorschriften als auch auf deren Auslegung durch den Gerichtshof der Europäischen Union (EuGH) haben können;</w:t>
      </w:r>
    </w:p>
    <w:p w:rsidR="004349BD" w:rsidRPr="001378B7" w:rsidRDefault="004349BD" w:rsidP="000273E0">
      <w:pPr>
        <w:pStyle w:val="ListParagraph"/>
        <w:numPr>
          <w:ilvl w:val="0"/>
          <w:numId w:val="2"/>
        </w:numPr>
        <w:rPr>
          <w:color w:val="000000" w:themeColor="text1"/>
        </w:rPr>
      </w:pPr>
      <w:r>
        <w:rPr>
          <w:color w:val="000000" w:themeColor="text1"/>
        </w:rPr>
        <w:t>fordert, ausdrücklich die Rechte zu erwähnen, über die die Sozialpartner, die wesentliche Akteure in Umweltfragen sind, in Bezug auf den Zugang zu Gerichten verfügen;</w:t>
      </w:r>
    </w:p>
    <w:p w:rsidR="004349BD" w:rsidRPr="001378B7" w:rsidRDefault="004349BD" w:rsidP="009A0224">
      <w:pPr>
        <w:pStyle w:val="ListParagraph"/>
        <w:numPr>
          <w:ilvl w:val="0"/>
          <w:numId w:val="2"/>
        </w:numPr>
        <w:rPr>
          <w:color w:val="000000" w:themeColor="text1"/>
        </w:rPr>
      </w:pPr>
      <w:r>
        <w:rPr>
          <w:color w:val="000000" w:themeColor="text1"/>
        </w:rPr>
        <w:t xml:space="preserve">betont, dass die neue Verordnung eine interne Überprüfung der Beihilfeentscheidungen der Kommission ermöglichen sollte; </w:t>
      </w:r>
    </w:p>
    <w:p w:rsidR="004349BD" w:rsidRPr="001378B7" w:rsidRDefault="004349BD">
      <w:pPr>
        <w:pStyle w:val="ListParagraph"/>
        <w:numPr>
          <w:ilvl w:val="0"/>
          <w:numId w:val="2"/>
        </w:numPr>
        <w:rPr>
          <w:color w:val="000000" w:themeColor="text1"/>
        </w:rPr>
      </w:pPr>
      <w:r>
        <w:rPr>
          <w:color w:val="000000" w:themeColor="text1"/>
        </w:rPr>
        <w:t>ist der Auffassung, dass zivilgesellschaftliche Organisationen vor zusätzlichen Belastungen (etwa zusätzlichen Kosten und Verwaltungsaufwand) sowohl auf nationaler wie auf europäischer Ebene geschützt werden müssen, damit eine gerichtliche Überprüfung in der Praxis auch möglich ist.</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Ansprechpartnerin: </w:t>
      </w:r>
      <w:r>
        <w:rPr>
          <w:b/>
          <w:bCs/>
          <w:i/>
          <w:iCs/>
          <w:color w:val="000000"/>
          <w:sz w:val="22"/>
          <w:szCs w:val="22"/>
        </w:rPr>
        <w:tab/>
      </w:r>
      <w:r>
        <w:rPr>
          <w:i/>
          <w:iCs/>
          <w:color w:val="000000"/>
          <w:sz w:val="22"/>
          <w:szCs w:val="22"/>
        </w:rPr>
        <w:t>Monica Guarinoni</w:t>
      </w:r>
    </w:p>
    <w:p w:rsidR="004349BD" w:rsidRPr="001378B7" w:rsidRDefault="004349BD" w:rsidP="003B09CC">
      <w:pPr>
        <w:ind w:left="2268"/>
        <w:rPr>
          <w:color w:val="000000" w:themeColor="text1"/>
        </w:rPr>
      </w:pPr>
      <w:r>
        <w:rPr>
          <w:i/>
          <w:iCs/>
          <w:color w:val="000000"/>
        </w:rPr>
        <w:t xml:space="preserve">(Tel.: 00 32 2 546 81 27 – E-Mail: </w:t>
      </w:r>
      <w:hyperlink r:id="rId21" w:history="1">
        <w:r>
          <w:rPr>
            <w:rStyle w:val="Hyperlink"/>
            <w:i/>
            <w:iCs/>
          </w:rPr>
          <w:t>Monica.Guarinoni@eesc.europa.eu</w:t>
        </w:r>
      </w:hyperlink>
      <w:r>
        <w:rPr>
          <w:i/>
          <w:iCs/>
          <w:color w:val="000000"/>
        </w:rPr>
        <w:t>)</w:t>
      </w:r>
    </w:p>
    <w:p w:rsidR="004349BD" w:rsidRPr="001378B7" w:rsidRDefault="004349BD">
      <w:pPr>
        <w:rPr>
          <w:color w:val="000000" w:themeColor="text1"/>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Fangdokumente für Roten Thun</w:t>
      </w:r>
    </w:p>
    <w:p w:rsidR="004349BD" w:rsidRPr="001378B7" w:rsidRDefault="004349BD" w:rsidP="009E55CE">
      <w:pPr>
        <w:spacing w:line="240" w:lineRule="auto"/>
        <w:rPr>
          <w:lang w:val="en-GB"/>
        </w:rPr>
      </w:pPr>
    </w:p>
    <w:p w:rsidR="004349BD" w:rsidRPr="001378B7" w:rsidRDefault="004349BD">
      <w:pPr>
        <w:rPr>
          <w:b/>
        </w:rPr>
      </w:pPr>
      <w:r>
        <w:rPr>
          <w:b/>
        </w:rPr>
        <w:t xml:space="preserve">Berichterstatter: </w:t>
      </w:r>
      <w:r w:rsidR="003B09CC">
        <w:rPr>
          <w:b/>
        </w:rPr>
        <w:tab/>
      </w:r>
      <w:r>
        <w:rPr>
          <w:b/>
        </w:rPr>
        <w:tab/>
      </w:r>
      <w:r>
        <w:t>Florian MARIN (Gruppe Arbeitnehmer – RO)</w:t>
      </w:r>
    </w:p>
    <w:p w:rsidR="004349BD" w:rsidRPr="001378B7" w:rsidRDefault="004349BD" w:rsidP="009E55CE">
      <w:pPr>
        <w:spacing w:line="240" w:lineRule="auto"/>
        <w:rPr>
          <w:lang w:val="en-GB"/>
        </w:rPr>
      </w:pPr>
    </w:p>
    <w:p w:rsidR="009A0224" w:rsidRPr="001378B7" w:rsidRDefault="006218B7" w:rsidP="006218B7">
      <w:pPr>
        <w:tabs>
          <w:tab w:val="left" w:pos="1701"/>
        </w:tabs>
      </w:pPr>
      <w:r>
        <w:rPr>
          <w:b/>
        </w:rPr>
        <w:t>Referenzdokumente:</w:t>
      </w:r>
      <w:r>
        <w:rPr>
          <w:b/>
        </w:rPr>
        <w:tab/>
      </w:r>
      <w:r>
        <w:t xml:space="preserve">COM(2020) 670 final – 2020/0302 (COD) </w:t>
      </w:r>
    </w:p>
    <w:p w:rsidR="004349BD" w:rsidRPr="001378B7" w:rsidRDefault="009A0224" w:rsidP="003B09CC">
      <w:pPr>
        <w:tabs>
          <w:tab w:val="left" w:pos="1701"/>
        </w:tabs>
        <w:ind w:left="2268"/>
        <w:rPr>
          <w:i/>
          <w:iCs/>
        </w:rPr>
      </w:pPr>
      <w:r>
        <w:t>EESC-2020-05637-00-00-AS-TRA</w:t>
      </w:r>
    </w:p>
    <w:p w:rsidR="004349BD" w:rsidRPr="001378B7" w:rsidRDefault="004349BD" w:rsidP="009E55CE">
      <w:pPr>
        <w:pStyle w:val="Footer"/>
        <w:spacing w:line="240" w:lineRule="auto"/>
        <w:rPr>
          <w:lang w:val="en-GB"/>
        </w:rPr>
      </w:pPr>
    </w:p>
    <w:p w:rsidR="004349BD" w:rsidRPr="001378B7" w:rsidRDefault="004349BD">
      <w:pPr>
        <w:rPr>
          <w:b/>
        </w:rPr>
      </w:pPr>
      <w:r>
        <w:rPr>
          <w:b/>
        </w:rPr>
        <w:t>Kernaussagen</w:t>
      </w:r>
    </w:p>
    <w:p w:rsidR="004349BD" w:rsidRPr="001378B7" w:rsidRDefault="004349BD" w:rsidP="009E55CE">
      <w:pPr>
        <w:spacing w:line="240" w:lineRule="auto"/>
        <w:rPr>
          <w:lang w:val="en-GB"/>
        </w:rPr>
      </w:pPr>
    </w:p>
    <w:p w:rsidR="004349BD" w:rsidRPr="001378B7" w:rsidRDefault="004349BD" w:rsidP="009A0224">
      <w:pPr>
        <w:pStyle w:val="Heading2"/>
        <w:numPr>
          <w:ilvl w:val="0"/>
          <w:numId w:val="0"/>
        </w:numPr>
        <w:overflowPunct w:val="0"/>
        <w:autoSpaceDE w:val="0"/>
        <w:autoSpaceDN w:val="0"/>
        <w:adjustRightInd w:val="0"/>
        <w:textAlignment w:val="baseline"/>
      </w:pPr>
      <w:r>
        <w:t>Der EWSA:</w:t>
      </w:r>
    </w:p>
    <w:p w:rsidR="009A0224" w:rsidRPr="001378B7" w:rsidRDefault="009A0224" w:rsidP="000273E0">
      <w:pPr>
        <w:spacing w:line="240" w:lineRule="auto"/>
        <w:rPr>
          <w:lang w:val="en-GB"/>
        </w:rPr>
      </w:pPr>
    </w:p>
    <w:p w:rsidR="004349BD" w:rsidRPr="001378B7" w:rsidRDefault="004349BD" w:rsidP="009A0224">
      <w:pPr>
        <w:pStyle w:val="Heading2"/>
        <w:numPr>
          <w:ilvl w:val="0"/>
          <w:numId w:val="2"/>
        </w:numPr>
        <w:overflowPunct w:val="0"/>
        <w:autoSpaceDE w:val="0"/>
        <w:autoSpaceDN w:val="0"/>
        <w:adjustRightInd w:val="0"/>
        <w:textAlignment w:val="baseline"/>
      </w:pPr>
      <w:r>
        <w:t>begrüßt die Umsetzung der Empfehlungen der Internationalen Kommission für die Erhaltung der Thunfischbestände im Atlantik (ICCAT) als wichtig und angemessen, da die EU seit 1986 Vertragspartei der ICCAT ist und dafür Sorge tragen muss, dass das EU-Recht allen von der ICCAT beschlossenen Maßnahmen entspricht;</w:t>
      </w:r>
    </w:p>
    <w:p w:rsidR="004349BD" w:rsidRPr="001378B7" w:rsidRDefault="004349BD" w:rsidP="009A0224">
      <w:pPr>
        <w:pStyle w:val="Heading2"/>
        <w:numPr>
          <w:ilvl w:val="0"/>
          <w:numId w:val="2"/>
        </w:numPr>
        <w:overflowPunct w:val="0"/>
        <w:autoSpaceDE w:val="0"/>
        <w:autoSpaceDN w:val="0"/>
        <w:adjustRightInd w:val="0"/>
        <w:textAlignment w:val="baseline"/>
      </w:pPr>
      <w:r>
        <w:t>empfiehlt, dass die Erleichterung und die Sicherung des Zugangs zu Informationen und technischer Unterstützung für die Fischer und die Akteure der Vertriebskette bei Verwendung des elektronischen Fangdokumentationssystems für Roten Thun (eBCD) auch weiterhin eine Priorität der Europäischen Kommission und der Mitgliedstaaten bleibt;</w:t>
      </w:r>
    </w:p>
    <w:p w:rsidR="004349BD" w:rsidRPr="001378B7" w:rsidRDefault="004349BD" w:rsidP="009A0224">
      <w:pPr>
        <w:pStyle w:val="Heading2"/>
        <w:numPr>
          <w:ilvl w:val="0"/>
          <w:numId w:val="2"/>
        </w:numPr>
        <w:overflowPunct w:val="0"/>
        <w:autoSpaceDE w:val="0"/>
        <w:autoSpaceDN w:val="0"/>
        <w:adjustRightInd w:val="0"/>
        <w:textAlignment w:val="baseline"/>
      </w:pPr>
      <w:r>
        <w:t>ist der Auffassung, dass alles Erforderliche unternommen werden muss, um Übereinstimmung, Genauigkeit und Synergie zwischen BCD-Dokumenten und der elektronischen Fangdokumentation (eBCD) sowie ein effizientes Verfahren zur Rückverfolgbarkeit, Validierung und Verifizierung zu gewährleisten;</w:t>
      </w:r>
    </w:p>
    <w:p w:rsidR="004349BD" w:rsidRPr="001378B7" w:rsidRDefault="004349BD">
      <w:pPr>
        <w:pStyle w:val="ListParagraph"/>
        <w:numPr>
          <w:ilvl w:val="0"/>
          <w:numId w:val="2"/>
        </w:numPr>
      </w:pPr>
      <w:r>
        <w:t>fordert die Kommission und die Mitgliedstaaten auf, die Registrierung und Validierung von Fischteilen auch ohne Validierung des Einsetzens in Netzkäfige in Erwägung zu ziehen, um die Wertschöpfung zu erhöhen und Abfälle zu vermeiden. Gegenwärtig darf Thunfisch, der nach seiner Ankunft im Zuchtbetrieb verendet, nicht verkauft werden, da das Einsetzen in Netzkäfige noch nicht validiert wurde. Das Einsetzen in Netzkäfige hängt von der Bewertung mithilfe von Stereokamerasystemen ab, die etwa zwei Monate in Anspruch nimmt, sodass diese Exemplare eingefroren oder vernichtet werden müssen. Dies steht im Widerspruch zu den Initiativen der Kommission gegen Lebensmittelverluste und -verschwendung.</w:t>
      </w:r>
    </w:p>
    <w:p w:rsidR="004349BD" w:rsidRPr="001378B7" w:rsidRDefault="004349BD" w:rsidP="009E55CE">
      <w:pPr>
        <w:spacing w:line="240" w:lineRule="auto"/>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Ansprechpartnerin: </w:t>
      </w:r>
      <w:r>
        <w:rPr>
          <w:b/>
          <w:bCs/>
          <w:i/>
          <w:iCs/>
          <w:color w:val="000000"/>
          <w:sz w:val="22"/>
          <w:szCs w:val="22"/>
        </w:rPr>
        <w:tab/>
      </w:r>
      <w:r>
        <w:rPr>
          <w:i/>
          <w:iCs/>
          <w:color w:val="000000"/>
          <w:sz w:val="22"/>
          <w:szCs w:val="22"/>
        </w:rPr>
        <w:t>Anna Cameron</w:t>
      </w:r>
    </w:p>
    <w:p w:rsidR="004349BD" w:rsidRPr="001378B7" w:rsidRDefault="004349BD" w:rsidP="003B09CC">
      <w:pPr>
        <w:ind w:left="2268"/>
      </w:pPr>
      <w:r>
        <w:rPr>
          <w:i/>
          <w:iCs/>
          <w:color w:val="000000"/>
        </w:rPr>
        <w:t xml:space="preserve">(Tel.: 00 32 2 546 82 28 – E-Mail: </w:t>
      </w:r>
      <w:hyperlink r:id="rId22" w:history="1">
        <w:r>
          <w:rPr>
            <w:rStyle w:val="Hyperlink"/>
            <w:i/>
            <w:iCs/>
          </w:rPr>
          <w:t>Anna.Cameron@eesc.europa.eu</w:t>
        </w:r>
      </w:hyperlink>
      <w:r>
        <w:rPr>
          <w:i/>
          <w:iCs/>
          <w:color w:val="000000"/>
        </w:rPr>
        <w:t>)</w:t>
      </w:r>
    </w:p>
    <w:p w:rsidR="004349BD" w:rsidRPr="001378B7" w:rsidRDefault="004349BD">
      <w:pPr>
        <w:rPr>
          <w:lang w:val="en-GB"/>
        </w:rPr>
      </w:pPr>
    </w:p>
    <w:p w:rsidR="004349BD" w:rsidRPr="001378B7" w:rsidRDefault="004349BD" w:rsidP="003B09CC">
      <w:pPr>
        <w:pStyle w:val="ListParagraph"/>
        <w:keepNext/>
        <w:keepLines/>
        <w:numPr>
          <w:ilvl w:val="0"/>
          <w:numId w:val="2"/>
        </w:numPr>
        <w:overflowPunct w:val="0"/>
        <w:autoSpaceDE w:val="0"/>
        <w:autoSpaceDN w:val="0"/>
        <w:adjustRightInd w:val="0"/>
        <w:rPr>
          <w:b/>
          <w:i/>
          <w:sz w:val="28"/>
          <w:szCs w:val="28"/>
        </w:rPr>
      </w:pPr>
      <w:r>
        <w:rPr>
          <w:b/>
          <w:i/>
          <w:sz w:val="28"/>
          <w:szCs w:val="28"/>
        </w:rPr>
        <w:lastRenderedPageBreak/>
        <w:t>Allgemeines Umweltaktionsprogramm der Union für die Zeit bis 2030</w:t>
      </w:r>
    </w:p>
    <w:p w:rsidR="004349BD" w:rsidRPr="001378B7" w:rsidRDefault="004349BD" w:rsidP="003B09CC">
      <w:pPr>
        <w:keepNext/>
        <w:keepLines/>
        <w:spacing w:line="264" w:lineRule="auto"/>
        <w:rPr>
          <w:lang w:val="en-GB"/>
        </w:rPr>
      </w:pPr>
    </w:p>
    <w:p w:rsidR="004349BD" w:rsidRPr="001378B7" w:rsidRDefault="004349BD" w:rsidP="003B09CC">
      <w:pPr>
        <w:keepNext/>
        <w:keepLines/>
        <w:rPr>
          <w:b/>
        </w:rPr>
      </w:pPr>
      <w:r>
        <w:rPr>
          <w:b/>
        </w:rPr>
        <w:t xml:space="preserve">Hauptberichterstatter: </w:t>
      </w:r>
      <w:r>
        <w:rPr>
          <w:b/>
        </w:rPr>
        <w:tab/>
      </w:r>
      <w:r>
        <w:t>Lutz RIBBE (Gruppe Vielfalt Europa – DE)</w:t>
      </w:r>
    </w:p>
    <w:p w:rsidR="004349BD" w:rsidRPr="001378B7" w:rsidRDefault="004349BD" w:rsidP="003B09CC">
      <w:pPr>
        <w:keepNext/>
        <w:keepLines/>
        <w:spacing w:line="264" w:lineRule="auto"/>
        <w:rPr>
          <w:lang w:val="en-GB"/>
        </w:rPr>
      </w:pPr>
    </w:p>
    <w:p w:rsidR="009A0224" w:rsidRPr="001378B7" w:rsidRDefault="004349BD" w:rsidP="003B09CC">
      <w:pPr>
        <w:keepNext/>
        <w:keepLines/>
        <w:tabs>
          <w:tab w:val="left" w:pos="1701"/>
        </w:tabs>
      </w:pPr>
      <w:r>
        <w:rPr>
          <w:b/>
        </w:rPr>
        <w:t>Referenzdokumente:</w:t>
      </w:r>
      <w:r>
        <w:rPr>
          <w:b/>
        </w:rPr>
        <w:tab/>
      </w:r>
      <w:r>
        <w:t>COM(2020) 652 final – 2020/0300 (COD)</w:t>
      </w:r>
    </w:p>
    <w:p w:rsidR="004349BD" w:rsidRPr="001378B7" w:rsidRDefault="009A0224" w:rsidP="003B09CC">
      <w:pPr>
        <w:keepNext/>
        <w:keepLines/>
        <w:tabs>
          <w:tab w:val="left" w:pos="1701"/>
        </w:tabs>
        <w:ind w:left="2268"/>
        <w:rPr>
          <w:b/>
        </w:rPr>
      </w:pPr>
      <w:r>
        <w:t>EESC-2020-05657-00-00-AC-TRA</w:t>
      </w:r>
    </w:p>
    <w:p w:rsidR="004349BD" w:rsidRPr="001378B7" w:rsidRDefault="004349BD" w:rsidP="003B09CC">
      <w:pPr>
        <w:keepNext/>
        <w:keepLines/>
        <w:spacing w:line="264" w:lineRule="auto"/>
        <w:rPr>
          <w:b/>
          <w:lang w:val="en-GB"/>
        </w:rPr>
      </w:pPr>
    </w:p>
    <w:p w:rsidR="004349BD" w:rsidRPr="001378B7" w:rsidRDefault="004349BD" w:rsidP="003B09CC">
      <w:pPr>
        <w:keepNext/>
        <w:keepLines/>
      </w:pPr>
      <w:r>
        <w:rPr>
          <w:b/>
        </w:rPr>
        <w:t>Kernaussagen</w:t>
      </w:r>
    </w:p>
    <w:p w:rsidR="004349BD" w:rsidRPr="001378B7" w:rsidRDefault="004349BD" w:rsidP="003B09CC">
      <w:pPr>
        <w:keepNext/>
        <w:keepLines/>
        <w:spacing w:line="264" w:lineRule="auto"/>
        <w:rPr>
          <w:noProof/>
          <w:color w:val="000000" w:themeColor="text1"/>
          <w:lang w:val="en-GB" w:eastAsia="en-GB"/>
        </w:rPr>
      </w:pPr>
    </w:p>
    <w:p w:rsidR="004349BD" w:rsidRPr="001378B7" w:rsidRDefault="004349BD" w:rsidP="003B09CC">
      <w:pPr>
        <w:keepNext/>
        <w:keepLines/>
        <w:rPr>
          <w:noProof/>
          <w:color w:val="000000" w:themeColor="text1"/>
        </w:rPr>
      </w:pPr>
      <w:r>
        <w:t>Der Hauptberichterstatter:</w:t>
      </w:r>
    </w:p>
    <w:p w:rsidR="009A0224" w:rsidRPr="001378B7" w:rsidRDefault="009A0224" w:rsidP="009A0224">
      <w:pPr>
        <w:rPr>
          <w:noProof/>
          <w:color w:val="000000" w:themeColor="text1"/>
          <w:lang w:val="en-GB" w:eastAsia="en-GB"/>
        </w:rPr>
      </w:pPr>
    </w:p>
    <w:p w:rsidR="004349BD" w:rsidRPr="001378B7" w:rsidRDefault="004349BD" w:rsidP="009A0224">
      <w:pPr>
        <w:pStyle w:val="ListParagraph"/>
        <w:numPr>
          <w:ilvl w:val="0"/>
          <w:numId w:val="2"/>
        </w:numPr>
        <w:rPr>
          <w:noProof/>
          <w:color w:val="000000" w:themeColor="text1"/>
        </w:rPr>
      </w:pPr>
      <w:r>
        <w:rPr>
          <w:color w:val="000000" w:themeColor="text1"/>
        </w:rPr>
        <w:t>stellt fest, dass Umweltverbesserungen nicht durch Ankündigungen, sondern durch konkrete Maßnahmen erreicht werden. Bereits in seiner Sondierungsstellungnahme zum 7. Umweltaktionsprogramm (UAP) kam der Europäische Wirtschafts- und Sozialausschuss (EWSA) zu dem Schluss, dass „die bisherigen sechs Umweltaktionsprogramme […] nicht zu verhindern vermocht [haben], dass viele Umweltprobleme in Europa weiterhin ungelöst sind. Der Grund dafür liegt allerdings nicht in fehlenden Erkenntnissen über die Ursachen der Probleme oder in fehlenden Lösungsansätzen, sondern im mangelnden politischen Umsetzungswillen.“</w:t>
      </w:r>
    </w:p>
    <w:p w:rsidR="004349BD" w:rsidRPr="001378B7" w:rsidRDefault="004349BD" w:rsidP="009A0224">
      <w:pPr>
        <w:pStyle w:val="ListParagraph"/>
        <w:numPr>
          <w:ilvl w:val="0"/>
          <w:numId w:val="2"/>
        </w:numPr>
      </w:pPr>
      <w:r>
        <w:t>kann in dem von der Kommission vorgeschlagenen 8. Umweltaktionsprogramm nur einen höchst marginalen Mehrwert erkennen, der in der Ankündigung eines verbesserten Überwachungsmodells und eines besseren Berichtswesens liegt. Doch allein für eine bessere Governance bedarf es keines „</w:t>
      </w:r>
      <w:r>
        <w:rPr>
          <w:u w:val="single"/>
        </w:rPr>
        <w:t>Aktions</w:t>
      </w:r>
      <w:r>
        <w:t>programms“;</w:t>
      </w:r>
    </w:p>
    <w:p w:rsidR="004349BD" w:rsidRPr="001378B7" w:rsidRDefault="004349BD" w:rsidP="009A0224">
      <w:pPr>
        <w:pStyle w:val="ListParagraph"/>
        <w:numPr>
          <w:ilvl w:val="0"/>
          <w:numId w:val="2"/>
        </w:numPr>
      </w:pPr>
      <w:r>
        <w:t>kritisiert, dass der Kommissionsvorschlag lediglich allgemeine Situationsbeschreibungen und Absichtserklärungen enthält. Es werden nur längst anerkannte Ziele benannt und Voraussetzungen zur Zielerreichung beschrieben, ohne jedoch Instrumente, Aktionen, Zeitpläne oder andere Maßnahmen aufzulisten und zu beschließen, die als notwendig erachtet werden, um die Voraussetzungen für die Zielerreichung endlich zu schaffen bzw. um die Ziele selbst zu erreichen;</w:t>
      </w:r>
    </w:p>
    <w:p w:rsidR="004349BD" w:rsidRPr="001378B7" w:rsidRDefault="004349BD">
      <w:pPr>
        <w:pStyle w:val="ListParagraph"/>
        <w:numPr>
          <w:ilvl w:val="0"/>
          <w:numId w:val="2"/>
        </w:numPr>
      </w:pPr>
      <w:r>
        <w:t>regt eine Grundsatzdebatte über Sinn und Nutzen der Umweltaktionsprogramme an und erneuert seine Forderung, eine eigene „EU-Nachhaltigkeitsagenda 2050“</w:t>
      </w:r>
      <w:r w:rsidRPr="001378B7">
        <w:rPr>
          <w:rStyle w:val="FootnoteReference"/>
          <w:lang w:val="en-GB"/>
        </w:rPr>
        <w:footnoteReference w:id="2"/>
      </w:r>
      <w:r>
        <w:t xml:space="preserve"> zu erarbeiten.</w:t>
      </w:r>
    </w:p>
    <w:p w:rsidR="004349BD" w:rsidRPr="001378B7" w:rsidRDefault="004349BD" w:rsidP="009A0224">
      <w:pPr>
        <w:spacing w:line="264" w:lineRule="auto"/>
        <w:rPr>
          <w:lang w:val="en-GB"/>
        </w:rPr>
      </w:pPr>
    </w:p>
    <w:p w:rsidR="004349BD" w:rsidRPr="001378B7" w:rsidRDefault="003B09CC" w:rsidP="009A0224">
      <w:pPr>
        <w:pStyle w:val="NormalWeb"/>
        <w:spacing w:before="0" w:beforeAutospacing="0" w:after="0" w:afterAutospacing="0" w:line="288" w:lineRule="auto"/>
        <w:rPr>
          <w:color w:val="000000"/>
          <w:sz w:val="22"/>
          <w:szCs w:val="22"/>
        </w:rPr>
      </w:pPr>
      <w:r>
        <w:rPr>
          <w:b/>
          <w:bCs/>
          <w:i/>
          <w:iCs/>
          <w:color w:val="000000"/>
          <w:sz w:val="22"/>
          <w:szCs w:val="22"/>
        </w:rPr>
        <w:t>Ansprechpartner:</w:t>
      </w:r>
      <w:r>
        <w:rPr>
          <w:b/>
          <w:bCs/>
          <w:i/>
          <w:iCs/>
          <w:color w:val="000000"/>
          <w:sz w:val="22"/>
          <w:szCs w:val="22"/>
        </w:rPr>
        <w:tab/>
      </w:r>
      <w:r w:rsidR="004349BD">
        <w:rPr>
          <w:i/>
          <w:iCs/>
          <w:color w:val="000000"/>
          <w:sz w:val="22"/>
          <w:szCs w:val="22"/>
        </w:rPr>
        <w:t>Conrad Ganslandt</w:t>
      </w:r>
    </w:p>
    <w:p w:rsidR="004349BD" w:rsidRPr="001378B7" w:rsidRDefault="004349BD" w:rsidP="003B09CC">
      <w:pPr>
        <w:ind w:left="1701"/>
      </w:pPr>
      <w:r>
        <w:rPr>
          <w:i/>
          <w:iCs/>
          <w:color w:val="000000"/>
        </w:rPr>
        <w:t xml:space="preserve">(Tel.: 00 32 2 546 82 75 – E-Mail: </w:t>
      </w:r>
      <w:hyperlink r:id="rId23" w:history="1">
        <w:r>
          <w:rPr>
            <w:rStyle w:val="Hyperlink"/>
            <w:i/>
            <w:iCs/>
          </w:rPr>
          <w:t>Conrad.Ganslandt@eesc.europa.eu</w:t>
        </w:r>
      </w:hyperlink>
      <w:r>
        <w:rPr>
          <w:i/>
          <w:iCs/>
          <w:color w:val="000000"/>
        </w:rPr>
        <w:t>)</w:t>
      </w:r>
    </w:p>
    <w:p w:rsidR="004349BD" w:rsidRPr="001378B7" w:rsidRDefault="004349BD" w:rsidP="009A0224">
      <w:pPr>
        <w:spacing w:line="264" w:lineRule="auto"/>
        <w:rPr>
          <w:lang w:val="en-GB"/>
        </w:rPr>
      </w:pPr>
    </w:p>
    <w:p w:rsidR="004349BD" w:rsidRPr="001378B7" w:rsidRDefault="004349BD" w:rsidP="009A0224">
      <w:pPr>
        <w:spacing w:line="264" w:lineRule="auto"/>
        <w:rPr>
          <w:lang w:val="en-GB"/>
        </w:rPr>
      </w:pPr>
    </w:p>
    <w:p w:rsidR="004349BD" w:rsidRPr="001378B7" w:rsidRDefault="004349BD" w:rsidP="003B09CC">
      <w:pPr>
        <w:pStyle w:val="ListParagraph"/>
        <w:keepNext/>
        <w:keepLines/>
        <w:numPr>
          <w:ilvl w:val="0"/>
          <w:numId w:val="2"/>
        </w:numPr>
        <w:overflowPunct w:val="0"/>
        <w:autoSpaceDE w:val="0"/>
        <w:autoSpaceDN w:val="0"/>
        <w:adjustRightInd w:val="0"/>
        <w:rPr>
          <w:b/>
          <w:i/>
          <w:sz w:val="28"/>
          <w:szCs w:val="28"/>
        </w:rPr>
      </w:pPr>
      <w:r>
        <w:rPr>
          <w:b/>
          <w:i/>
          <w:sz w:val="28"/>
          <w:szCs w:val="28"/>
        </w:rPr>
        <w:lastRenderedPageBreak/>
        <w:t>Fanggenehmigungen für Fischereifahrzeuge der Union in den Gewässern des Vereinigten Königreichs und Fischereitätigkeiten von Fischereifahrzeugen des Vereinigten Königreichs in den Unionsgewässern</w:t>
      </w:r>
    </w:p>
    <w:p w:rsidR="004349BD" w:rsidRPr="001378B7" w:rsidRDefault="004349BD" w:rsidP="003B09CC">
      <w:pPr>
        <w:keepNext/>
        <w:keepLines/>
        <w:spacing w:line="240" w:lineRule="auto"/>
        <w:rPr>
          <w:lang w:val="en-GB"/>
        </w:rPr>
      </w:pPr>
    </w:p>
    <w:p w:rsidR="004349BD" w:rsidRPr="001378B7" w:rsidRDefault="003B09CC" w:rsidP="003B09CC">
      <w:pPr>
        <w:keepNext/>
        <w:keepLines/>
      </w:pPr>
      <w:r>
        <w:rPr>
          <w:b/>
        </w:rPr>
        <w:t xml:space="preserve">Referenzdokumente: </w:t>
      </w:r>
      <w:r>
        <w:rPr>
          <w:b/>
        </w:rPr>
        <w:tab/>
      </w:r>
      <w:r w:rsidR="004349BD">
        <w:t xml:space="preserve">Stellungnahme der Kategorie C </w:t>
      </w:r>
    </w:p>
    <w:p w:rsidR="009A0224" w:rsidRPr="001378B7" w:rsidRDefault="004349BD" w:rsidP="003B09CC">
      <w:pPr>
        <w:keepNext/>
        <w:keepLines/>
        <w:ind w:left="2268"/>
      </w:pPr>
      <w:r>
        <w:t xml:space="preserve">COM(2020) 830 final – 2020/0366 (COD) </w:t>
      </w:r>
    </w:p>
    <w:p w:rsidR="004349BD" w:rsidRPr="001378B7" w:rsidRDefault="009A0224" w:rsidP="003B09CC">
      <w:pPr>
        <w:keepNext/>
        <w:keepLines/>
        <w:ind w:left="2268"/>
        <w:rPr>
          <w:b/>
        </w:rPr>
      </w:pPr>
      <w:r>
        <w:t>EESC-2021-00191-00-00-AC-TRA</w:t>
      </w:r>
    </w:p>
    <w:p w:rsidR="004349BD" w:rsidRPr="001378B7" w:rsidRDefault="004349BD" w:rsidP="003B09CC">
      <w:pPr>
        <w:keepNext/>
        <w:keepLines/>
        <w:spacing w:line="240" w:lineRule="auto"/>
        <w:rPr>
          <w:lang w:val="en-GB"/>
        </w:rPr>
      </w:pPr>
    </w:p>
    <w:p w:rsidR="004349BD" w:rsidRPr="001378B7" w:rsidRDefault="004349BD" w:rsidP="00FA73BD">
      <w:pPr>
        <w:keepNext/>
        <w:rPr>
          <w:b/>
        </w:rPr>
      </w:pPr>
      <w:r>
        <w:rPr>
          <w:b/>
        </w:rPr>
        <w:t>Kernaussagen</w:t>
      </w:r>
    </w:p>
    <w:p w:rsidR="004349BD" w:rsidRPr="001378B7" w:rsidRDefault="004349BD" w:rsidP="009A0224">
      <w:pPr>
        <w:spacing w:line="240" w:lineRule="auto"/>
        <w:rPr>
          <w:lang w:val="en-GB"/>
        </w:rPr>
      </w:pPr>
    </w:p>
    <w:p w:rsidR="004349BD" w:rsidRPr="001378B7" w:rsidRDefault="004349BD">
      <w:pPr>
        <w:rPr>
          <w:b/>
        </w:rPr>
      </w:pPr>
      <w:r>
        <w:t>Der EWSA beschloss, den Vorschlag zu befürworten.</w:t>
      </w:r>
    </w:p>
    <w:p w:rsidR="004349BD" w:rsidRPr="001378B7" w:rsidRDefault="004349BD">
      <w:pPr>
        <w:spacing w:line="240" w:lineRule="auto"/>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w:t>
      </w:r>
      <w:r>
        <w:rPr>
          <w:b/>
          <w:bCs/>
          <w:i/>
          <w:iCs/>
          <w:color w:val="000000"/>
          <w:sz w:val="22"/>
          <w:szCs w:val="22"/>
        </w:rPr>
        <w:tab/>
      </w:r>
      <w:r>
        <w:rPr>
          <w:i/>
          <w:iCs/>
          <w:color w:val="000000"/>
          <w:sz w:val="22"/>
          <w:szCs w:val="22"/>
        </w:rPr>
        <w:t>Conrad Ganslandt</w:t>
      </w:r>
    </w:p>
    <w:p w:rsidR="004349BD" w:rsidRPr="001378B7" w:rsidRDefault="004349BD" w:rsidP="003B09CC">
      <w:pPr>
        <w:pStyle w:val="NormalWeb"/>
        <w:spacing w:before="0" w:beforeAutospacing="0" w:after="0" w:afterAutospacing="0" w:line="288" w:lineRule="auto"/>
        <w:ind w:left="1701"/>
        <w:rPr>
          <w:color w:val="000000"/>
          <w:sz w:val="22"/>
          <w:szCs w:val="22"/>
        </w:rPr>
      </w:pPr>
      <w:r>
        <w:rPr>
          <w:i/>
          <w:iCs/>
          <w:color w:val="000000"/>
          <w:sz w:val="22"/>
          <w:szCs w:val="22"/>
        </w:rPr>
        <w:t xml:space="preserve">(Tel.: 00 32 2 546 82 75 – E-Mail: </w:t>
      </w:r>
      <w:hyperlink r:id="rId24" w:history="1">
        <w:r>
          <w:rPr>
            <w:rStyle w:val="Hyperlink"/>
            <w:i/>
            <w:iCs/>
            <w:sz w:val="22"/>
            <w:szCs w:val="22"/>
          </w:rPr>
          <w:t>Conrad.Ganslandt@eesc.europa.eu</w:t>
        </w:r>
      </w:hyperlink>
      <w:r>
        <w:rPr>
          <w:i/>
          <w:iCs/>
          <w:color w:val="000000"/>
          <w:sz w:val="22"/>
          <w:szCs w:val="22"/>
        </w:rPr>
        <w:t>)</w:t>
      </w:r>
    </w:p>
    <w:p w:rsidR="004349BD" w:rsidRPr="001378B7" w:rsidRDefault="004349BD">
      <w:pPr>
        <w:rPr>
          <w:lang w:val="en-GB"/>
        </w:rPr>
      </w:pPr>
    </w:p>
    <w:p w:rsidR="004349BD" w:rsidRPr="001378B7" w:rsidRDefault="004349BD">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rPr>
      </w:pPr>
      <w:r>
        <w:rPr>
          <w:b/>
          <w:i/>
          <w:sz w:val="28"/>
          <w:szCs w:val="28"/>
        </w:rPr>
        <w:t>Gleichstellung von im Vereinigten Königreich erzeugtem mit in der Union erzeugtem forstlichem Vermehrungsgut</w:t>
      </w:r>
    </w:p>
    <w:p w:rsidR="004349BD" w:rsidRPr="001378B7" w:rsidRDefault="004349BD">
      <w:pPr>
        <w:rPr>
          <w:b/>
          <w:lang w:val="en-GB"/>
        </w:rPr>
      </w:pPr>
    </w:p>
    <w:p w:rsidR="004349BD" w:rsidRPr="001378B7" w:rsidRDefault="004349BD">
      <w:r>
        <w:rPr>
          <w:b/>
        </w:rPr>
        <w:t xml:space="preserve">Referenzdokumente: </w:t>
      </w:r>
      <w:r>
        <w:rPr>
          <w:b/>
        </w:rPr>
        <w:tab/>
      </w:r>
      <w:r>
        <w:t>Stellungnahme der Kategorie C</w:t>
      </w:r>
    </w:p>
    <w:p w:rsidR="009A0224" w:rsidRPr="001378B7" w:rsidRDefault="004349BD" w:rsidP="003B09CC">
      <w:pPr>
        <w:ind w:left="2268"/>
      </w:pPr>
      <w:r>
        <w:t xml:space="preserve">COM(2020) 852 final </w:t>
      </w:r>
      <w:r>
        <w:sym w:font="Symbol" w:char="F02D"/>
      </w:r>
      <w:r>
        <w:t xml:space="preserve"> 2020/0378 (COD) </w:t>
      </w:r>
    </w:p>
    <w:p w:rsidR="004349BD" w:rsidRPr="001378B7" w:rsidRDefault="009A0224" w:rsidP="003B09CC">
      <w:pPr>
        <w:ind w:left="2268"/>
        <w:rPr>
          <w:b/>
        </w:rPr>
      </w:pPr>
      <w:r>
        <w:t>EESC-2021-00187-00-00-AC-TRA</w:t>
      </w:r>
    </w:p>
    <w:p w:rsidR="004349BD" w:rsidRPr="001378B7" w:rsidRDefault="004349BD">
      <w:pPr>
        <w:rPr>
          <w:b/>
          <w:lang w:val="en-GB"/>
        </w:rPr>
      </w:pPr>
    </w:p>
    <w:p w:rsidR="004349BD" w:rsidRPr="001378B7" w:rsidRDefault="004349BD">
      <w:pPr>
        <w:rPr>
          <w:b/>
        </w:rPr>
      </w:pPr>
      <w:r>
        <w:rPr>
          <w:b/>
        </w:rPr>
        <w:t>Kernaussagen</w:t>
      </w:r>
    </w:p>
    <w:p w:rsidR="005358AC" w:rsidRPr="001378B7" w:rsidRDefault="005358AC">
      <w:pPr>
        <w:rPr>
          <w:lang w:val="en-GB"/>
        </w:rPr>
      </w:pPr>
    </w:p>
    <w:p w:rsidR="004349BD" w:rsidRPr="001378B7" w:rsidRDefault="004349BD">
      <w:pPr>
        <w:rPr>
          <w:b/>
        </w:rPr>
      </w:pPr>
      <w:r>
        <w:t>Der EWSA beschloss, den Vorschlag zu befürworten.</w:t>
      </w:r>
    </w:p>
    <w:p w:rsidR="004349BD" w:rsidRPr="001378B7" w:rsidRDefault="004349BD" w:rsidP="009A0224">
      <w:pPr>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w:t>
      </w:r>
      <w:r>
        <w:rPr>
          <w:b/>
          <w:bCs/>
          <w:i/>
          <w:iCs/>
          <w:color w:val="000000"/>
          <w:sz w:val="22"/>
          <w:szCs w:val="22"/>
        </w:rPr>
        <w:tab/>
      </w:r>
      <w:r>
        <w:rPr>
          <w:i/>
          <w:iCs/>
          <w:color w:val="000000"/>
          <w:sz w:val="22"/>
          <w:szCs w:val="22"/>
        </w:rPr>
        <w:t>Conrad Ganslandt</w:t>
      </w:r>
    </w:p>
    <w:p w:rsidR="004349BD" w:rsidRPr="001378B7" w:rsidRDefault="004349BD" w:rsidP="003B09CC">
      <w:pPr>
        <w:ind w:left="1701"/>
        <w:rPr>
          <w:i/>
          <w:iCs/>
          <w:color w:val="000000"/>
        </w:rPr>
      </w:pPr>
      <w:r>
        <w:rPr>
          <w:i/>
          <w:iCs/>
          <w:color w:val="000000"/>
        </w:rPr>
        <w:t xml:space="preserve">(Tel.: 00 32 2 546 82 75 – E-Mail: </w:t>
      </w:r>
      <w:hyperlink r:id="rId25" w:history="1">
        <w:r>
          <w:rPr>
            <w:rStyle w:val="Hyperlink"/>
            <w:i/>
            <w:iCs/>
          </w:rPr>
          <w:t>Conrad.Ganslandt@eesc.europa.eu</w:t>
        </w:r>
      </w:hyperlink>
      <w:r>
        <w:rPr>
          <w:i/>
          <w:iCs/>
          <w:color w:val="000000"/>
        </w:rPr>
        <w:t>)</w:t>
      </w:r>
    </w:p>
    <w:p w:rsidR="004349BD" w:rsidRPr="001378B7" w:rsidRDefault="004349BD">
      <w:pPr>
        <w:rPr>
          <w:iCs/>
          <w:color w:val="000000"/>
          <w:lang w:val="en-GB"/>
        </w:rPr>
      </w:pPr>
    </w:p>
    <w:p w:rsidR="004349BD" w:rsidRPr="001378B7" w:rsidRDefault="004349BD">
      <w:pPr>
        <w:rPr>
          <w:iCs/>
          <w:color w:val="000000"/>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rPr>
      </w:pPr>
      <w:r>
        <w:rPr>
          <w:b/>
          <w:i/>
          <w:sz w:val="28"/>
          <w:szCs w:val="28"/>
        </w:rPr>
        <w:t>Gleichstellung von Feldbesichtigungen im Vereinigten Königreich und Kontrollen/landwirtschaftliche Pflanzenarten</w:t>
      </w:r>
    </w:p>
    <w:p w:rsidR="004349BD" w:rsidRPr="001378B7" w:rsidRDefault="004349BD">
      <w:pPr>
        <w:rPr>
          <w:b/>
          <w:lang w:val="en-GB"/>
        </w:rPr>
      </w:pPr>
    </w:p>
    <w:p w:rsidR="004349BD" w:rsidRPr="001378B7" w:rsidRDefault="004349BD">
      <w:r>
        <w:rPr>
          <w:b/>
        </w:rPr>
        <w:t xml:space="preserve">Referenzdokumente: </w:t>
      </w:r>
      <w:r>
        <w:rPr>
          <w:b/>
        </w:rPr>
        <w:tab/>
      </w:r>
      <w:r>
        <w:t xml:space="preserve">Stellungnahme der Kategorie C </w:t>
      </w:r>
    </w:p>
    <w:p w:rsidR="009A0224" w:rsidRPr="001378B7" w:rsidRDefault="004349BD" w:rsidP="003B09CC">
      <w:pPr>
        <w:ind w:left="2268"/>
      </w:pPr>
      <w:r>
        <w:t xml:space="preserve">COM(2020) 853 final – 2020/0379 (COD) </w:t>
      </w:r>
    </w:p>
    <w:p w:rsidR="004349BD" w:rsidRPr="001378B7" w:rsidRDefault="009A0224" w:rsidP="003B09CC">
      <w:pPr>
        <w:ind w:left="2268"/>
        <w:rPr>
          <w:b/>
        </w:rPr>
      </w:pPr>
      <w:r>
        <w:t>EESC-2021-00188-00-00-AC-TRA</w:t>
      </w:r>
    </w:p>
    <w:p w:rsidR="004349BD" w:rsidRPr="001378B7" w:rsidRDefault="004349BD">
      <w:pPr>
        <w:rPr>
          <w:b/>
          <w:lang w:val="en-GB"/>
        </w:rPr>
      </w:pPr>
    </w:p>
    <w:p w:rsidR="004349BD" w:rsidRPr="001378B7" w:rsidRDefault="004349BD">
      <w:pPr>
        <w:rPr>
          <w:b/>
        </w:rPr>
      </w:pPr>
      <w:r>
        <w:rPr>
          <w:b/>
        </w:rPr>
        <w:t>Kernaussagen</w:t>
      </w:r>
    </w:p>
    <w:p w:rsidR="004349BD" w:rsidRPr="001378B7" w:rsidRDefault="004349BD">
      <w:pPr>
        <w:rPr>
          <w:b/>
          <w:lang w:val="en-GB"/>
        </w:rPr>
      </w:pPr>
    </w:p>
    <w:p w:rsidR="004349BD" w:rsidRPr="001378B7" w:rsidRDefault="004349BD">
      <w:pPr>
        <w:rPr>
          <w:b/>
        </w:rPr>
      </w:pPr>
      <w:r>
        <w:t>Der EWSA beschloss, den Vorschlag zu befürworten.</w:t>
      </w:r>
    </w:p>
    <w:p w:rsidR="004349BD" w:rsidRPr="001378B7" w:rsidRDefault="004349BD" w:rsidP="009A0224">
      <w:pPr>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Ansprechpartner: </w:t>
      </w:r>
      <w:r>
        <w:rPr>
          <w:b/>
          <w:bCs/>
          <w:i/>
          <w:iCs/>
          <w:color w:val="000000"/>
          <w:sz w:val="22"/>
          <w:szCs w:val="22"/>
        </w:rPr>
        <w:tab/>
      </w:r>
      <w:r>
        <w:rPr>
          <w:i/>
          <w:iCs/>
          <w:color w:val="000000"/>
          <w:sz w:val="22"/>
          <w:szCs w:val="22"/>
        </w:rPr>
        <w:t>Conrad Ganslandt</w:t>
      </w:r>
    </w:p>
    <w:p w:rsidR="00641880" w:rsidRPr="001378B7" w:rsidRDefault="004349BD" w:rsidP="003B09CC">
      <w:pPr>
        <w:ind w:left="1701"/>
      </w:pPr>
      <w:r>
        <w:rPr>
          <w:i/>
          <w:iCs/>
          <w:color w:val="000000"/>
        </w:rPr>
        <w:t xml:space="preserve">(Tel.: 00 32 2 546 82 75 – E-Mail: </w:t>
      </w:r>
      <w:hyperlink r:id="rId26" w:history="1">
        <w:r>
          <w:rPr>
            <w:rStyle w:val="Hyperlink"/>
            <w:i/>
            <w:iCs/>
          </w:rPr>
          <w:t>Conrad.Ganslandt@eesc.europa.eu</w:t>
        </w:r>
      </w:hyperlink>
      <w:r>
        <w:rPr>
          <w:i/>
          <w:iCs/>
          <w:color w:val="000000"/>
        </w:rPr>
        <w:t>)</w:t>
      </w:r>
      <w:r w:rsidR="00641880">
        <w:br w:type="page"/>
      </w:r>
    </w:p>
    <w:p w:rsidR="00BD3955" w:rsidRPr="001378B7" w:rsidRDefault="00BD3955" w:rsidP="009A0224">
      <w:pPr>
        <w:pStyle w:val="Heading1"/>
        <w:numPr>
          <w:ilvl w:val="0"/>
          <w:numId w:val="1"/>
        </w:numPr>
        <w:ind w:left="567" w:hanging="567"/>
        <w:rPr>
          <w:b/>
        </w:rPr>
      </w:pPr>
      <w:bookmarkStart w:id="9" w:name="_Toc64896221"/>
      <w:r>
        <w:rPr>
          <w:b/>
        </w:rPr>
        <w:lastRenderedPageBreak/>
        <w:t>VERKEHR, ENERGIE, INFRASTRUKTUREN, INFORMATIONSGESELLSCHAFT</w:t>
      </w:r>
      <w:bookmarkEnd w:id="7"/>
      <w:bookmarkEnd w:id="9"/>
    </w:p>
    <w:p w:rsidR="00086391" w:rsidRPr="001378B7" w:rsidRDefault="00086391" w:rsidP="009A0224">
      <w:pPr>
        <w:rPr>
          <w:sz w:val="16"/>
          <w:szCs w:val="16"/>
          <w:lang w:val="en-GB"/>
        </w:rPr>
      </w:pPr>
    </w:p>
    <w:p w:rsidR="00690F0E" w:rsidRPr="001378B7" w:rsidRDefault="00326CCB">
      <w:pPr>
        <w:pStyle w:val="ListParagraph"/>
        <w:numPr>
          <w:ilvl w:val="0"/>
          <w:numId w:val="2"/>
        </w:numPr>
        <w:rPr>
          <w:b/>
          <w:i/>
          <w:sz w:val="28"/>
          <w:szCs w:val="28"/>
        </w:rPr>
      </w:pPr>
      <w:r>
        <w:rPr>
          <w:b/>
          <w:i/>
          <w:sz w:val="28"/>
          <w:szCs w:val="28"/>
        </w:rPr>
        <w:t>EU-Strategie zur Integration des Energiesystems</w:t>
      </w:r>
    </w:p>
    <w:p w:rsidR="00086391" w:rsidRPr="001378B7" w:rsidRDefault="00086391" w:rsidP="009A0224">
      <w:pPr>
        <w:rPr>
          <w:bCs/>
          <w:highlight w:val="cyan"/>
          <w:lang w:val="en-GB"/>
        </w:rPr>
      </w:pPr>
    </w:p>
    <w:p w:rsidR="00086391" w:rsidRPr="001378B7" w:rsidRDefault="00086391" w:rsidP="009A0224">
      <w:pPr>
        <w:tabs>
          <w:tab w:val="left" w:pos="1701"/>
        </w:tabs>
      </w:pPr>
      <w:r>
        <w:rPr>
          <w:b/>
        </w:rPr>
        <w:t xml:space="preserve">Berichterstatter: </w:t>
      </w:r>
      <w:r w:rsidR="003B09CC">
        <w:rPr>
          <w:b/>
        </w:rPr>
        <w:tab/>
      </w:r>
      <w:r>
        <w:rPr>
          <w:b/>
        </w:rPr>
        <w:tab/>
      </w:r>
      <w:r>
        <w:t>Lutz RIBBE (Gruppe Vielfalt Europa – DE)</w:t>
      </w:r>
    </w:p>
    <w:p w:rsidR="00876FE6" w:rsidRPr="001378B7" w:rsidRDefault="00876FE6" w:rsidP="009A0224">
      <w:pPr>
        <w:tabs>
          <w:tab w:val="left" w:pos="1701"/>
        </w:tabs>
        <w:rPr>
          <w:lang w:val="en-GB"/>
        </w:rPr>
      </w:pPr>
    </w:p>
    <w:p w:rsidR="00ED254B" w:rsidRPr="001378B7" w:rsidRDefault="00086391" w:rsidP="009A0224">
      <w:pPr>
        <w:tabs>
          <w:tab w:val="left" w:pos="1701"/>
        </w:tabs>
      </w:pPr>
      <w:r>
        <w:rPr>
          <w:b/>
        </w:rPr>
        <w:t>Referenzdokumente:</w:t>
      </w:r>
      <w:r>
        <w:t xml:space="preserve"> </w:t>
      </w:r>
      <w:r>
        <w:tab/>
        <w:t xml:space="preserve">COM(2020) 299 final </w:t>
      </w:r>
    </w:p>
    <w:p w:rsidR="00876FE6" w:rsidRPr="001378B7" w:rsidRDefault="00ED254B" w:rsidP="003B09CC">
      <w:pPr>
        <w:tabs>
          <w:tab w:val="left" w:pos="1701"/>
        </w:tabs>
        <w:ind w:left="2268"/>
      </w:pPr>
      <w:r>
        <w:t>EESC-2020-03534-00-00-AS-TRA</w:t>
      </w:r>
    </w:p>
    <w:p w:rsidR="00086391" w:rsidRPr="001378B7" w:rsidRDefault="00086391" w:rsidP="009A0224">
      <w:pPr>
        <w:tabs>
          <w:tab w:val="num" w:pos="550"/>
        </w:tabs>
        <w:rPr>
          <w:sz w:val="16"/>
          <w:szCs w:val="16"/>
          <w:highlight w:val="cyan"/>
          <w:lang w:val="en-GB"/>
        </w:rPr>
      </w:pPr>
    </w:p>
    <w:p w:rsidR="008348E7" w:rsidRPr="001378B7" w:rsidRDefault="00086391" w:rsidP="009A0224">
      <w:r>
        <w:rPr>
          <w:b/>
        </w:rPr>
        <w:t xml:space="preserve">Kernaussagen </w:t>
      </w:r>
    </w:p>
    <w:p w:rsidR="005358AC" w:rsidRPr="001378B7" w:rsidRDefault="005358AC" w:rsidP="009A0224">
      <w:pPr>
        <w:rPr>
          <w:lang w:val="en-GB"/>
        </w:rPr>
      </w:pPr>
    </w:p>
    <w:p w:rsidR="00AE2FEE" w:rsidRPr="001378B7" w:rsidRDefault="00326CCB" w:rsidP="009A0224">
      <w:r>
        <w:t>Der EWSA:</w:t>
      </w:r>
    </w:p>
    <w:p w:rsidR="009A0224" w:rsidRPr="001378B7" w:rsidRDefault="009A0224" w:rsidP="009A0224">
      <w:pPr>
        <w:rPr>
          <w:lang w:val="en-GB"/>
        </w:rPr>
      </w:pPr>
    </w:p>
    <w:p w:rsidR="00326CCB" w:rsidRPr="001378B7" w:rsidRDefault="00326CCB" w:rsidP="009A0224">
      <w:pPr>
        <w:pStyle w:val="ListParagraph"/>
        <w:numPr>
          <w:ilvl w:val="0"/>
          <w:numId w:val="2"/>
        </w:numPr>
      </w:pPr>
      <w:r>
        <w:t>unterstützt das Vorhaben der Kommission, das sie in ihrer Mitteilung darlegt. Eine Integration des Elektrizitätssystems mit dem Wärme- und Verkehrssystem ist unabdingbar, um das Ziel der Klimaneutralität, das Ziel der Versorgungssicherheit, zu der auch die Verringerung von Energieimporten gehört, und das Ziel von erschwinglichen Preisen für die europäischen Verbraucher und die europäische Wirtschaft zu erreichen. Die Kommission beantwortet indes nicht die Frage, wie sie Versorgungssicherheit auf der Basis von CO</w:t>
      </w:r>
      <w:r>
        <w:rPr>
          <w:vertAlign w:val="subscript"/>
        </w:rPr>
        <w:t>2</w:t>
      </w:r>
      <w:r>
        <w:t>-freien oder -armen Energiequellen erreichen möchte;</w:t>
      </w:r>
    </w:p>
    <w:p w:rsidR="00326CCB" w:rsidRPr="001378B7" w:rsidRDefault="00326CCB" w:rsidP="009A0224">
      <w:pPr>
        <w:pStyle w:val="ListParagraph"/>
        <w:numPr>
          <w:ilvl w:val="0"/>
          <w:numId w:val="2"/>
        </w:numPr>
      </w:pPr>
      <w:r>
        <w:t>stimmt der Kommission zu, dass eine fehlende oder mangelnde Bepreisung von CO</w:t>
      </w:r>
      <w:r>
        <w:rPr>
          <w:vertAlign w:val="subscript"/>
        </w:rPr>
        <w:t>2</w:t>
      </w:r>
      <w:r>
        <w:t>‑Emissionen im Wärme- und Transportsektor ein gravierendes Problem für die Systemintegration darstellt. Deshalb sind konkrete Lösungsvorschläge gefragt. Eine Integration des Energiesystems erfordert in bestimmten Bereichen eine Modernisierung und Ertüchtigung, zuweilen auch einen Neubau der Energie-Infrastruktur. Es ist wichtig, dass die Investitionsentscheidungen so getroffen werden, dass sie die energie- und klimapolitischen Ziele unterstützen.</w:t>
      </w:r>
    </w:p>
    <w:p w:rsidR="00326CCB" w:rsidRPr="001378B7" w:rsidRDefault="00326CCB" w:rsidP="009A0224">
      <w:pPr>
        <w:pStyle w:val="ListParagraph"/>
        <w:numPr>
          <w:ilvl w:val="0"/>
          <w:numId w:val="2"/>
        </w:numPr>
      </w:pPr>
      <w:r>
        <w:t>Die Systemintegration kann der europäischen Volkswirtschaft einen Innovationsschub verschaffen und damit die internationale Wettbewerbsfähigkeit der europäischen Volkswirtschaft erhöhen. Dies wird aber nur gelingen, wenn insbesondere die Potenziale der Digitalisierung für eine Systemintegration erschlossen werden, wobei der Einsatz von künstlicher Intelligenz und „Machine Learning“ im Hinblick auf ihre Sinnhaftigkeit und mögliche ethische Probleme sorgsam abgewogen werden muss. Schließlich bedarf es für die Systemintegration gänzlich neu konfigurierter Energiemärkte, die so auszurichten sind, dass sie die Bürgerenergie fördern und Verbraucher stärken. Gleichzeitig ist auf die Rolle der öffentlichen Hand bei der Versorgungssicherheit zu achten.</w:t>
      </w:r>
    </w:p>
    <w:p w:rsidR="00326CCB" w:rsidRPr="001378B7" w:rsidRDefault="00326CCB" w:rsidP="009A0224">
      <w:pPr>
        <w:rPr>
          <w:lang w:val="en-GB"/>
        </w:rPr>
      </w:pPr>
    </w:p>
    <w:p w:rsidR="00841D17" w:rsidRPr="001378B7" w:rsidRDefault="00841D17">
      <w:pPr>
        <w:rPr>
          <w:i/>
        </w:rPr>
      </w:pPr>
      <w:r>
        <w:rPr>
          <w:b/>
          <w:i/>
        </w:rPr>
        <w:t>Ansprechpartner:</w:t>
      </w:r>
      <w:r>
        <w:rPr>
          <w:i/>
        </w:rPr>
        <w:tab/>
        <w:t>Alessandro Rizzi</w:t>
      </w:r>
    </w:p>
    <w:p w:rsidR="00841D17" w:rsidRPr="001378B7" w:rsidRDefault="00841D17" w:rsidP="003B09CC">
      <w:pPr>
        <w:ind w:left="1701"/>
        <w:rPr>
          <w:i/>
        </w:rPr>
      </w:pPr>
      <w:r>
        <w:rPr>
          <w:i/>
        </w:rPr>
        <w:t>(Tel.: 00 32 2 546 86 79 – E-Mail:</w:t>
      </w:r>
      <w:r>
        <w:t xml:space="preserve"> </w:t>
      </w:r>
      <w:hyperlink r:id="rId27" w:history="1">
        <w:r>
          <w:rPr>
            <w:rStyle w:val="Hyperlink"/>
            <w:i/>
          </w:rPr>
          <w:t>Alessandro.Rizzi@eesc.europa.eu</w:t>
        </w:r>
      </w:hyperlink>
      <w:r>
        <w:rPr>
          <w:i/>
        </w:rPr>
        <w:t>)</w:t>
      </w:r>
    </w:p>
    <w:p w:rsidR="00326CCB" w:rsidRPr="001378B7" w:rsidRDefault="00326CCB" w:rsidP="009A0224">
      <w:pPr>
        <w:pStyle w:val="ListParagraph"/>
        <w:overflowPunct w:val="0"/>
        <w:autoSpaceDE w:val="0"/>
        <w:autoSpaceDN w:val="0"/>
        <w:adjustRightInd w:val="0"/>
        <w:ind w:left="0"/>
        <w:rPr>
          <w:lang w:val="en-GB"/>
        </w:rPr>
      </w:pPr>
    </w:p>
    <w:p w:rsidR="00C8461F" w:rsidRPr="001378B7" w:rsidRDefault="00326CCB" w:rsidP="009A0224">
      <w:pPr>
        <w:pStyle w:val="ListParagraph"/>
        <w:keepNext/>
        <w:keepLines/>
        <w:numPr>
          <w:ilvl w:val="0"/>
          <w:numId w:val="2"/>
        </w:numPr>
        <w:overflowPunct w:val="0"/>
        <w:autoSpaceDE w:val="0"/>
        <w:autoSpaceDN w:val="0"/>
        <w:adjustRightInd w:val="0"/>
        <w:rPr>
          <w:b/>
          <w:i/>
          <w:sz w:val="28"/>
          <w:szCs w:val="28"/>
        </w:rPr>
      </w:pPr>
      <w:r>
        <w:rPr>
          <w:b/>
          <w:i/>
          <w:sz w:val="28"/>
          <w:szCs w:val="28"/>
        </w:rPr>
        <w:lastRenderedPageBreak/>
        <w:t>Wasserstoffstrategie</w:t>
      </w:r>
    </w:p>
    <w:p w:rsidR="00C8461F" w:rsidRPr="001378B7" w:rsidRDefault="00C8461F" w:rsidP="009A0224">
      <w:pPr>
        <w:keepNext/>
        <w:keepLines/>
        <w:rPr>
          <w:lang w:val="en-GB"/>
        </w:rPr>
      </w:pPr>
    </w:p>
    <w:p w:rsidR="00326CCB" w:rsidRPr="001378B7" w:rsidRDefault="00326CCB" w:rsidP="009A0224">
      <w:pPr>
        <w:keepNext/>
        <w:keepLines/>
        <w:rPr>
          <w:b/>
        </w:rPr>
      </w:pPr>
      <w:r>
        <w:rPr>
          <w:b/>
        </w:rPr>
        <w:t>Berichterstatter:</w:t>
      </w:r>
      <w:r>
        <w:rPr>
          <w:b/>
        </w:rPr>
        <w:tab/>
      </w:r>
      <w:r w:rsidR="003B09CC">
        <w:rPr>
          <w:b/>
        </w:rPr>
        <w:tab/>
      </w:r>
      <w:r>
        <w:t>Pierre-Jean COULON (Gruppe Arbeitnehmer – FR)</w:t>
      </w:r>
    </w:p>
    <w:p w:rsidR="00E76B6B" w:rsidRPr="001378B7" w:rsidRDefault="00C8461F">
      <w:pPr>
        <w:keepNext/>
        <w:keepLines/>
      </w:pPr>
      <w:r>
        <w:rPr>
          <w:b/>
        </w:rPr>
        <w:t>Referenzdokumente:</w:t>
      </w:r>
      <w:r w:rsidR="003B09CC">
        <w:t xml:space="preserve"> </w:t>
      </w:r>
      <w:r w:rsidR="003B09CC">
        <w:tab/>
      </w:r>
      <w:r>
        <w:t xml:space="preserve">COM(2020) 301 final </w:t>
      </w:r>
    </w:p>
    <w:p w:rsidR="00326CCB" w:rsidRPr="001378B7" w:rsidRDefault="00E76B6B" w:rsidP="003B09CC">
      <w:pPr>
        <w:keepNext/>
        <w:keepLines/>
        <w:ind w:left="2268"/>
      </w:pPr>
      <w:r>
        <w:t>EESC-2020-03535-00-00-AS-TRA</w:t>
      </w:r>
    </w:p>
    <w:p w:rsidR="00C8461F" w:rsidRPr="001378B7" w:rsidRDefault="00C8461F" w:rsidP="009A0224">
      <w:pPr>
        <w:keepNext/>
        <w:keepLines/>
        <w:rPr>
          <w:highlight w:val="cyan"/>
          <w:lang w:val="en-GB"/>
        </w:rPr>
      </w:pPr>
    </w:p>
    <w:p w:rsidR="00C8461F" w:rsidRPr="001378B7" w:rsidRDefault="00C8461F" w:rsidP="009A0224">
      <w:pPr>
        <w:keepNext/>
        <w:keepLines/>
      </w:pPr>
      <w:r>
        <w:rPr>
          <w:b/>
        </w:rPr>
        <w:t xml:space="preserve">Kernaussagen </w:t>
      </w:r>
    </w:p>
    <w:p w:rsidR="00C8461F" w:rsidRPr="001378B7" w:rsidRDefault="00C8461F" w:rsidP="009A0224">
      <w:pPr>
        <w:rPr>
          <w:bCs/>
          <w:lang w:val="en-GB"/>
        </w:rPr>
      </w:pPr>
    </w:p>
    <w:p w:rsidR="00AE2FEE" w:rsidRPr="001378B7" w:rsidRDefault="00326CCB">
      <w:pPr>
        <w:rPr>
          <w:bCs/>
        </w:rPr>
      </w:pPr>
      <w:r>
        <w:t>Der EWSA:</w:t>
      </w:r>
    </w:p>
    <w:p w:rsidR="00326CCB" w:rsidRPr="001378B7" w:rsidRDefault="00326CCB" w:rsidP="009A0224">
      <w:pPr>
        <w:pStyle w:val="ListParagraph"/>
        <w:numPr>
          <w:ilvl w:val="0"/>
          <w:numId w:val="2"/>
        </w:numPr>
        <w:rPr>
          <w:bCs/>
        </w:rPr>
      </w:pPr>
      <w:r>
        <w:t>unterstützt daher die Strategie der Europäischen Kommission zur Schaffung günstiger Rahmenbedingungen für die Steigerung des Angebots von und der Nachfrage nach Wasserstoff zugunsten einer klimaneutralen Wirtschaft. Er betont, dass sauberer Wasserstoff als einzige mit den Zielen der Klimaneutralität vereinbare Option auch im Rahmen der Europäischen Wasserstoffallianz Vorrang haben muss;</w:t>
      </w:r>
    </w:p>
    <w:p w:rsidR="00AE2FEE" w:rsidRPr="001378B7" w:rsidRDefault="00326CCB" w:rsidP="009A0224">
      <w:pPr>
        <w:pStyle w:val="ListParagraph"/>
        <w:numPr>
          <w:ilvl w:val="0"/>
          <w:numId w:val="2"/>
        </w:numPr>
        <w:rPr>
          <w:bCs/>
        </w:rPr>
      </w:pPr>
      <w:r>
        <w:t>weist darauf hin, dass sauberer Wasserstoff aufgrund seiner hohen Erzeugungs- und Transportkosten nur dann eingesetzt werden sollte, wenn andere bestehende Optionen zur Verringerung der CO</w:t>
      </w:r>
      <w:r>
        <w:rPr>
          <w:vertAlign w:val="subscript"/>
        </w:rPr>
        <w:t>2</w:t>
      </w:r>
      <w:r>
        <w:t>-Emissionen nicht möglich sind, wie bspw. in Sektoren, in denen die Emissionen schwer zu senken sind, oder für bestimmte sehr spezifische Anwendungen im Verkehrs- und Gebäudesektor. Er betont, dass fossile Energieträger nicht mit EU-Mitteln subventioniert werden dürfen, wenn die Verbreitung sauberen Wasserstoffs gefördert werden soll, und fordert die Kommission auf, den Grundsatz der Schadensvermeidung („Do no harm“) auf alle öffentlichen Fördermittel im Rahmen des MFR+, d</w:t>
      </w:r>
      <w:r w:rsidR="003B09CC">
        <w:t>es Programms „InvestEU“‚ des EU</w:t>
      </w:r>
      <w:r w:rsidR="003B09CC">
        <w:noBreakHyphen/>
      </w:r>
      <w:r>
        <w:t>Aufbauplans und staatlicher Beihilfen anzuwenden;</w:t>
      </w:r>
    </w:p>
    <w:p w:rsidR="00326CCB" w:rsidRPr="001378B7" w:rsidRDefault="00326CCB" w:rsidP="009A0224">
      <w:pPr>
        <w:pStyle w:val="ListParagraph"/>
        <w:numPr>
          <w:ilvl w:val="0"/>
          <w:numId w:val="2"/>
        </w:numPr>
      </w:pPr>
      <w:r>
        <w:t>fordert eine stärkere Einbeziehung der Bürgerinnen und Bürger in diesen Prozess im Wege einer unmittelbaren und repräsentativen Konsultation und Partizipation und betont, dass im Rahmen des Programms Horizont Europa und des Europäischen Innovationsrats (EIC) ausreichende Haushaltsmittel für saubere Energie bereitgestellt werden müssen.</w:t>
      </w:r>
    </w:p>
    <w:p w:rsidR="00326CCB" w:rsidRPr="001378B7" w:rsidRDefault="00326CCB">
      <w:pPr>
        <w:rPr>
          <w:i/>
          <w:lang w:val="en-GB"/>
        </w:rPr>
      </w:pPr>
    </w:p>
    <w:p w:rsidR="00326CCB" w:rsidRPr="001378B7" w:rsidRDefault="00326CCB">
      <w:pPr>
        <w:rPr>
          <w:i/>
        </w:rPr>
      </w:pPr>
      <w:r>
        <w:rPr>
          <w:b/>
          <w:i/>
        </w:rPr>
        <w:t>Ansprechpartner:</w:t>
      </w:r>
      <w:r>
        <w:rPr>
          <w:i/>
        </w:rPr>
        <w:tab/>
        <w:t>Alessandro Rizzi</w:t>
      </w:r>
    </w:p>
    <w:p w:rsidR="00326CCB" w:rsidRPr="001378B7" w:rsidRDefault="00326CCB" w:rsidP="003B09CC">
      <w:pPr>
        <w:ind w:left="1701"/>
        <w:rPr>
          <w:i/>
        </w:rPr>
      </w:pPr>
      <w:r>
        <w:rPr>
          <w:i/>
        </w:rPr>
        <w:t>(Tel.: 00 32 2 546 86 79 – E-Mail:</w:t>
      </w:r>
      <w:r>
        <w:t xml:space="preserve"> </w:t>
      </w:r>
      <w:hyperlink r:id="rId28" w:history="1">
        <w:r>
          <w:rPr>
            <w:rStyle w:val="Hyperlink"/>
            <w:i/>
          </w:rPr>
          <w:t>Alessandro.Rizzi@eesc.europa.eu</w:t>
        </w:r>
      </w:hyperlink>
      <w:r>
        <w:rPr>
          <w:i/>
        </w:rPr>
        <w:t>)</w:t>
      </w:r>
    </w:p>
    <w:p w:rsidR="00326CCB" w:rsidRPr="001378B7" w:rsidRDefault="00326CCB" w:rsidP="009A0224">
      <w:pPr>
        <w:jc w:val="left"/>
        <w:rPr>
          <w:i/>
          <w:lang w:val="en-GB"/>
        </w:rPr>
      </w:pPr>
    </w:p>
    <w:p w:rsidR="00326CCB" w:rsidRPr="001378B7" w:rsidRDefault="00326CCB" w:rsidP="009A0224">
      <w:pPr>
        <w:pStyle w:val="ListParagraph"/>
        <w:numPr>
          <w:ilvl w:val="0"/>
          <w:numId w:val="2"/>
        </w:numPr>
        <w:overflowPunct w:val="0"/>
        <w:autoSpaceDE w:val="0"/>
        <w:autoSpaceDN w:val="0"/>
        <w:adjustRightInd w:val="0"/>
        <w:rPr>
          <w:bCs/>
        </w:rPr>
      </w:pPr>
      <w:r>
        <w:rPr>
          <w:b/>
          <w:i/>
          <w:sz w:val="28"/>
          <w:szCs w:val="28"/>
        </w:rPr>
        <w:t>Mindestanforderungen für die Ausbildung von Seeleuten (kodifizierter Text)</w:t>
      </w:r>
    </w:p>
    <w:p w:rsidR="00326CCB" w:rsidRPr="001378B7" w:rsidRDefault="00326CCB">
      <w:pPr>
        <w:rPr>
          <w:b/>
          <w:lang w:val="en-GB"/>
        </w:rPr>
      </w:pPr>
    </w:p>
    <w:p w:rsidR="00ED254B" w:rsidRPr="001378B7" w:rsidRDefault="00841D17" w:rsidP="009A0224">
      <w:pPr>
        <w:tabs>
          <w:tab w:val="left" w:pos="1701"/>
        </w:tabs>
      </w:pPr>
      <w:r>
        <w:rPr>
          <w:b/>
        </w:rPr>
        <w:t>Referenzdokumente:</w:t>
      </w:r>
      <w:r>
        <w:tab/>
        <w:t>Stellungnahme der Kategorie C</w:t>
      </w:r>
    </w:p>
    <w:p w:rsidR="00ED254B" w:rsidRPr="001378B7" w:rsidRDefault="00ED254B" w:rsidP="003B09CC">
      <w:pPr>
        <w:tabs>
          <w:tab w:val="left" w:pos="1701"/>
        </w:tabs>
        <w:ind w:left="2268"/>
      </w:pPr>
      <w:r>
        <w:t>COM(2020) 739 final – 2020/0329 (COD)</w:t>
      </w:r>
    </w:p>
    <w:p w:rsidR="00326CCB" w:rsidRPr="001378B7" w:rsidRDefault="00ED254B" w:rsidP="003B09CC">
      <w:pPr>
        <w:tabs>
          <w:tab w:val="left" w:pos="1701"/>
        </w:tabs>
        <w:ind w:left="2268"/>
      </w:pPr>
      <w:r>
        <w:t>EESC-2020-05552-00-00-PAC-TRA</w:t>
      </w:r>
    </w:p>
    <w:p w:rsidR="00326CCB" w:rsidRPr="001378B7" w:rsidRDefault="00326CCB" w:rsidP="009A0224">
      <w:pPr>
        <w:rPr>
          <w:bCs/>
          <w:lang w:val="en-GB"/>
        </w:rPr>
      </w:pPr>
    </w:p>
    <w:p w:rsidR="001F1232" w:rsidRPr="001378B7" w:rsidRDefault="001F1232">
      <w:pPr>
        <w:rPr>
          <w:b/>
        </w:rPr>
      </w:pPr>
      <w:r>
        <w:rPr>
          <w:b/>
        </w:rPr>
        <w:t>Kernaussagen</w:t>
      </w:r>
    </w:p>
    <w:p w:rsidR="001F1232" w:rsidRPr="001378B7" w:rsidRDefault="001F1232">
      <w:pPr>
        <w:rPr>
          <w:b/>
          <w:bCs/>
          <w:lang w:val="en-GB"/>
        </w:rPr>
      </w:pPr>
    </w:p>
    <w:p w:rsidR="00326CCB" w:rsidRPr="001378B7" w:rsidRDefault="001F1232">
      <w:pPr>
        <w:rPr>
          <w:b/>
          <w:bCs/>
        </w:rPr>
      </w:pPr>
      <w:r>
        <w:t>Der EWSA beschloss, den Vorschlag zu befürworten.</w:t>
      </w:r>
    </w:p>
    <w:p w:rsidR="00326CCB" w:rsidRPr="001378B7" w:rsidRDefault="00326CCB">
      <w:pPr>
        <w:rPr>
          <w:i/>
          <w:lang w:val="en-GB"/>
        </w:rPr>
      </w:pPr>
    </w:p>
    <w:p w:rsidR="00326CCB" w:rsidRPr="001378B7" w:rsidRDefault="00326CCB">
      <w:pPr>
        <w:rPr>
          <w:i/>
        </w:rPr>
      </w:pPr>
      <w:r>
        <w:rPr>
          <w:b/>
          <w:i/>
        </w:rPr>
        <w:t>Ansprechpartnerin:</w:t>
      </w:r>
      <w:r>
        <w:rPr>
          <w:i/>
        </w:rPr>
        <w:tab/>
        <w:t>Agota Bazsik</w:t>
      </w:r>
    </w:p>
    <w:p w:rsidR="00326CCB" w:rsidRPr="001378B7" w:rsidRDefault="00326CCB" w:rsidP="00992A13">
      <w:pPr>
        <w:ind w:left="2268"/>
        <w:rPr>
          <w:i/>
        </w:rPr>
      </w:pPr>
      <w:r>
        <w:rPr>
          <w:i/>
        </w:rPr>
        <w:t xml:space="preserve">(Tel.: 00 32 2 546 86 58 – E-Mail: </w:t>
      </w:r>
      <w:hyperlink r:id="rId29" w:history="1">
        <w:r>
          <w:rPr>
            <w:rStyle w:val="Hyperlink"/>
            <w:i/>
          </w:rPr>
          <w:t>Agota.Bazsik@eesc.europa.eu</w:t>
        </w:r>
      </w:hyperlink>
      <w:r>
        <w:rPr>
          <w:i/>
        </w:rPr>
        <w:t>)</w:t>
      </w:r>
    </w:p>
    <w:p w:rsidR="00326CCB" w:rsidRPr="001378B7" w:rsidRDefault="00326CCB" w:rsidP="009A0224">
      <w:pPr>
        <w:overflowPunct w:val="0"/>
        <w:autoSpaceDE w:val="0"/>
        <w:autoSpaceDN w:val="0"/>
        <w:adjustRightInd w:val="0"/>
        <w:ind w:left="720"/>
        <w:textAlignment w:val="baseline"/>
        <w:rPr>
          <w:bCs/>
          <w:lang w:val="en-GB"/>
        </w:rPr>
      </w:pPr>
    </w:p>
    <w:p w:rsidR="00326CCB" w:rsidRPr="001378B7" w:rsidRDefault="00326CCB" w:rsidP="009A0224">
      <w:pPr>
        <w:overflowPunct w:val="0"/>
        <w:autoSpaceDE w:val="0"/>
        <w:autoSpaceDN w:val="0"/>
        <w:adjustRightInd w:val="0"/>
        <w:ind w:left="720"/>
        <w:textAlignment w:val="baseline"/>
        <w:rPr>
          <w:bCs/>
          <w:lang w:val="en-GB"/>
        </w:rPr>
      </w:pPr>
    </w:p>
    <w:p w:rsidR="00326CCB" w:rsidRPr="001378B7" w:rsidRDefault="00326CCB" w:rsidP="009A0224">
      <w:pPr>
        <w:pStyle w:val="ListParagraph"/>
        <w:keepNext/>
        <w:keepLines/>
        <w:numPr>
          <w:ilvl w:val="0"/>
          <w:numId w:val="2"/>
        </w:numPr>
        <w:overflowPunct w:val="0"/>
        <w:autoSpaceDE w:val="0"/>
        <w:autoSpaceDN w:val="0"/>
        <w:adjustRightInd w:val="0"/>
        <w:rPr>
          <w:b/>
          <w:i/>
          <w:sz w:val="28"/>
          <w:szCs w:val="28"/>
        </w:rPr>
      </w:pPr>
      <w:r>
        <w:rPr>
          <w:b/>
          <w:i/>
          <w:sz w:val="28"/>
          <w:szCs w:val="28"/>
        </w:rPr>
        <w:t>Grundlegende Konnektivität im Güter- und Personenkraftverkehr nach dem Ende des Übergangszeitraums</w:t>
      </w:r>
    </w:p>
    <w:p w:rsidR="00326CCB" w:rsidRPr="001378B7" w:rsidRDefault="00326CCB" w:rsidP="009A0224">
      <w:pPr>
        <w:keepNext/>
        <w:keepLines/>
        <w:rPr>
          <w:bCs/>
          <w:lang w:val="en-GB"/>
        </w:rPr>
      </w:pPr>
    </w:p>
    <w:p w:rsidR="00ED254B" w:rsidRPr="001378B7" w:rsidRDefault="00841D17" w:rsidP="009A0224">
      <w:pPr>
        <w:tabs>
          <w:tab w:val="left" w:pos="1701"/>
        </w:tabs>
      </w:pPr>
      <w:r>
        <w:rPr>
          <w:b/>
        </w:rPr>
        <w:t>Referenzdokumente:</w:t>
      </w:r>
      <w:r>
        <w:t xml:space="preserve"> </w:t>
      </w:r>
      <w:r>
        <w:tab/>
        <w:t>Stellungnahme der Kategorie C</w:t>
      </w:r>
    </w:p>
    <w:p w:rsidR="00ED254B" w:rsidRPr="001378B7" w:rsidRDefault="00ED254B" w:rsidP="00992A13">
      <w:pPr>
        <w:tabs>
          <w:tab w:val="left" w:pos="1701"/>
        </w:tabs>
        <w:ind w:left="2268"/>
      </w:pPr>
      <w:r>
        <w:t xml:space="preserve">COM(2020) 826 final </w:t>
      </w:r>
    </w:p>
    <w:p w:rsidR="00ED254B" w:rsidRPr="001378B7" w:rsidRDefault="00ED254B" w:rsidP="00992A13">
      <w:pPr>
        <w:tabs>
          <w:tab w:val="left" w:pos="1701"/>
        </w:tabs>
        <w:ind w:left="2268"/>
        <w:rPr>
          <w:b/>
          <w:bCs/>
        </w:rPr>
      </w:pPr>
      <w:r>
        <w:t>EESC-2020-05837-00-00-PAC-TRA</w:t>
      </w:r>
    </w:p>
    <w:p w:rsidR="00ED254B" w:rsidRPr="001378B7" w:rsidRDefault="00ED254B">
      <w:pPr>
        <w:rPr>
          <w:b/>
          <w:bCs/>
          <w:lang w:val="en-GB"/>
        </w:rPr>
      </w:pPr>
    </w:p>
    <w:p w:rsidR="00ED254B" w:rsidRPr="001378B7" w:rsidRDefault="00ED254B">
      <w:pPr>
        <w:rPr>
          <w:b/>
        </w:rPr>
      </w:pPr>
      <w:r>
        <w:rPr>
          <w:b/>
        </w:rPr>
        <w:t>Kernaussagen</w:t>
      </w:r>
    </w:p>
    <w:p w:rsidR="00ED254B" w:rsidRPr="001378B7" w:rsidRDefault="00ED254B">
      <w:pPr>
        <w:rPr>
          <w:b/>
          <w:bCs/>
          <w:lang w:val="en-GB"/>
        </w:rPr>
      </w:pPr>
    </w:p>
    <w:p w:rsidR="00326CCB" w:rsidRPr="001378B7" w:rsidRDefault="00ED254B">
      <w:pPr>
        <w:rPr>
          <w:b/>
          <w:bCs/>
        </w:rPr>
      </w:pPr>
      <w:r>
        <w:t>Der EWSA beschloss, den Vorschlag zu befürworten.</w:t>
      </w:r>
    </w:p>
    <w:p w:rsidR="00326CCB" w:rsidRPr="001378B7" w:rsidRDefault="00326CCB">
      <w:pPr>
        <w:rPr>
          <w:b/>
          <w:bCs/>
          <w:lang w:val="en-GB"/>
        </w:rPr>
      </w:pPr>
    </w:p>
    <w:p w:rsidR="00326CCB" w:rsidRPr="001378B7" w:rsidRDefault="00326CCB">
      <w:pPr>
        <w:rPr>
          <w:i/>
        </w:rPr>
      </w:pPr>
      <w:r>
        <w:rPr>
          <w:b/>
          <w:i/>
        </w:rPr>
        <w:t>Ansprechpartnerin:</w:t>
      </w:r>
      <w:r>
        <w:rPr>
          <w:i/>
        </w:rPr>
        <w:tab/>
        <w:t>Agota Bazsik</w:t>
      </w:r>
    </w:p>
    <w:p w:rsidR="00326CCB" w:rsidRPr="001378B7" w:rsidRDefault="00326CCB" w:rsidP="00992A13">
      <w:pPr>
        <w:ind w:left="2268"/>
        <w:rPr>
          <w:i/>
        </w:rPr>
      </w:pPr>
      <w:r>
        <w:rPr>
          <w:i/>
        </w:rPr>
        <w:t xml:space="preserve">(Tel.: 00 32 2 546 86 58 – E-Mail: </w:t>
      </w:r>
      <w:hyperlink r:id="rId30" w:history="1">
        <w:r>
          <w:rPr>
            <w:rStyle w:val="Hyperlink"/>
            <w:i/>
          </w:rPr>
          <w:t>Agota.Bazsik@eesc.europa.eu</w:t>
        </w:r>
      </w:hyperlink>
      <w:r>
        <w:rPr>
          <w:i/>
        </w:rPr>
        <w:t>)</w:t>
      </w:r>
    </w:p>
    <w:p w:rsidR="00326CCB" w:rsidRPr="001378B7" w:rsidRDefault="00326CCB" w:rsidP="009A0224">
      <w:pPr>
        <w:pStyle w:val="ListParagraph"/>
        <w:overflowPunct w:val="0"/>
        <w:autoSpaceDE w:val="0"/>
        <w:autoSpaceDN w:val="0"/>
        <w:adjustRightInd w:val="0"/>
        <w:ind w:left="360"/>
        <w:rPr>
          <w:bCs/>
          <w:lang w:val="en-GB"/>
        </w:rPr>
      </w:pPr>
    </w:p>
    <w:p w:rsidR="00326CCB" w:rsidRPr="001378B7" w:rsidRDefault="00326CCB">
      <w:pPr>
        <w:rPr>
          <w:i/>
          <w:lang w:val="en-GB"/>
        </w:rPr>
      </w:pPr>
    </w:p>
    <w:p w:rsidR="002B3DFB" w:rsidRPr="001378B7" w:rsidRDefault="002B3DFB" w:rsidP="009A0224">
      <w:pPr>
        <w:pStyle w:val="ListParagraph"/>
        <w:keepNext/>
        <w:numPr>
          <w:ilvl w:val="0"/>
          <w:numId w:val="2"/>
        </w:numPr>
        <w:overflowPunct w:val="0"/>
        <w:autoSpaceDE w:val="0"/>
        <w:autoSpaceDN w:val="0"/>
        <w:adjustRightInd w:val="0"/>
        <w:rPr>
          <w:bCs/>
        </w:rPr>
      </w:pPr>
      <w:r>
        <w:rPr>
          <w:b/>
          <w:i/>
          <w:sz w:val="28"/>
          <w:szCs w:val="28"/>
        </w:rPr>
        <w:t>Grundlegende Konnektivität im Luftverkehr nach dem Ende des Übergangszeitraums</w:t>
      </w:r>
    </w:p>
    <w:p w:rsidR="002B3DFB" w:rsidRPr="001378B7" w:rsidRDefault="002B3DFB" w:rsidP="009A0224">
      <w:pPr>
        <w:keepNext/>
        <w:rPr>
          <w:i/>
          <w:lang w:val="en-GB"/>
        </w:rPr>
      </w:pPr>
    </w:p>
    <w:p w:rsidR="00ED254B" w:rsidRPr="001378B7" w:rsidRDefault="00841D17" w:rsidP="009A0224">
      <w:r>
        <w:rPr>
          <w:b/>
        </w:rPr>
        <w:t>Referenzdokumente:</w:t>
      </w:r>
      <w:r w:rsidR="00992A13">
        <w:t xml:space="preserve"> </w:t>
      </w:r>
      <w:r w:rsidR="00992A13">
        <w:tab/>
      </w:r>
      <w:r>
        <w:t xml:space="preserve">Stellungnahme der Kategorie C </w:t>
      </w:r>
    </w:p>
    <w:p w:rsidR="00ED254B" w:rsidRPr="001378B7" w:rsidRDefault="00ED254B" w:rsidP="00992A13">
      <w:pPr>
        <w:tabs>
          <w:tab w:val="left" w:pos="1701"/>
        </w:tabs>
        <w:ind w:left="2268"/>
      </w:pPr>
      <w:r>
        <w:t xml:space="preserve">COM(2020) 827 final – 2020/0363 (COD) </w:t>
      </w:r>
    </w:p>
    <w:p w:rsidR="002B3DFB" w:rsidRPr="001378B7" w:rsidRDefault="00ED254B" w:rsidP="00992A13">
      <w:pPr>
        <w:tabs>
          <w:tab w:val="left" w:pos="1701"/>
        </w:tabs>
        <w:ind w:left="2268"/>
      </w:pPr>
      <w:r>
        <w:t>EESC-2020-05838-00-00-PAC-TRA</w:t>
      </w:r>
    </w:p>
    <w:p w:rsidR="00ED254B" w:rsidRPr="001378B7" w:rsidRDefault="00ED254B" w:rsidP="009A0224">
      <w:pPr>
        <w:rPr>
          <w:b/>
          <w:lang w:val="en-GB"/>
        </w:rPr>
      </w:pPr>
    </w:p>
    <w:p w:rsidR="00ED254B" w:rsidRPr="001378B7" w:rsidRDefault="00ED254B" w:rsidP="009A0224">
      <w:r>
        <w:rPr>
          <w:b/>
        </w:rPr>
        <w:t xml:space="preserve">Kernaussagen </w:t>
      </w:r>
    </w:p>
    <w:p w:rsidR="00ED254B" w:rsidRPr="001378B7" w:rsidRDefault="00ED254B" w:rsidP="009A0224">
      <w:pPr>
        <w:rPr>
          <w:bCs/>
          <w:lang w:val="en-GB"/>
        </w:rPr>
      </w:pPr>
    </w:p>
    <w:p w:rsidR="002B3DFB" w:rsidRPr="001378B7" w:rsidRDefault="00ED254B">
      <w:pPr>
        <w:rPr>
          <w:b/>
          <w:bCs/>
        </w:rPr>
      </w:pPr>
      <w:r>
        <w:t>Der EWSA beschloss, den Vorschlag zu befürworten.</w:t>
      </w:r>
    </w:p>
    <w:p w:rsidR="002B3DFB" w:rsidRPr="001378B7" w:rsidRDefault="002B3DFB">
      <w:pPr>
        <w:rPr>
          <w:b/>
          <w:bCs/>
          <w:lang w:val="en-GB"/>
        </w:rPr>
      </w:pPr>
    </w:p>
    <w:p w:rsidR="002B3DFB" w:rsidRPr="001378B7" w:rsidRDefault="002B3DFB">
      <w:pPr>
        <w:rPr>
          <w:i/>
        </w:rPr>
      </w:pPr>
      <w:r>
        <w:rPr>
          <w:b/>
          <w:i/>
        </w:rPr>
        <w:t>Ansprechpartnerin:</w:t>
      </w:r>
      <w:r>
        <w:rPr>
          <w:i/>
        </w:rPr>
        <w:tab/>
        <w:t>Agota Bazsik</w:t>
      </w:r>
    </w:p>
    <w:p w:rsidR="002B3DFB" w:rsidRPr="001378B7" w:rsidRDefault="002B3DFB" w:rsidP="00992A13">
      <w:pPr>
        <w:ind w:left="2268"/>
        <w:rPr>
          <w:i/>
        </w:rPr>
      </w:pPr>
      <w:r>
        <w:rPr>
          <w:i/>
        </w:rPr>
        <w:t xml:space="preserve">(Tel.: 00 32 2 546 86 58 – E-Mail: </w:t>
      </w:r>
      <w:hyperlink r:id="rId31" w:history="1">
        <w:r>
          <w:rPr>
            <w:rStyle w:val="Hyperlink"/>
            <w:i/>
          </w:rPr>
          <w:t>Agota.Bazsik@eesc.europa.eu</w:t>
        </w:r>
      </w:hyperlink>
      <w:r>
        <w:rPr>
          <w:i/>
        </w:rPr>
        <w:t>)</w:t>
      </w:r>
    </w:p>
    <w:p w:rsidR="002B3DFB" w:rsidRPr="001378B7" w:rsidRDefault="002B3DFB">
      <w:pPr>
        <w:rPr>
          <w:i/>
          <w:lang w:val="en-GB"/>
        </w:rPr>
      </w:pPr>
    </w:p>
    <w:p w:rsidR="002B3DFB" w:rsidRPr="001378B7" w:rsidRDefault="002B3DFB" w:rsidP="009A0224">
      <w:pPr>
        <w:pStyle w:val="ListParagraph"/>
        <w:numPr>
          <w:ilvl w:val="0"/>
          <w:numId w:val="2"/>
        </w:numPr>
        <w:overflowPunct w:val="0"/>
        <w:autoSpaceDE w:val="0"/>
        <w:autoSpaceDN w:val="0"/>
        <w:adjustRightInd w:val="0"/>
        <w:rPr>
          <w:bCs/>
        </w:rPr>
      </w:pPr>
      <w:r>
        <w:rPr>
          <w:b/>
          <w:i/>
          <w:sz w:val="28"/>
          <w:szCs w:val="28"/>
        </w:rPr>
        <w:t>Flugsicherheit nach Ablauf des Übergangszeitraums</w:t>
      </w:r>
    </w:p>
    <w:p w:rsidR="002B3DFB" w:rsidRPr="001378B7" w:rsidRDefault="002B3DFB" w:rsidP="009A0224">
      <w:pPr>
        <w:rPr>
          <w:bCs/>
          <w:lang w:val="en-GB"/>
        </w:rPr>
      </w:pPr>
    </w:p>
    <w:p w:rsidR="00ED254B" w:rsidRPr="001378B7" w:rsidRDefault="00841D17" w:rsidP="009A0224">
      <w:pPr>
        <w:tabs>
          <w:tab w:val="left" w:pos="1701"/>
        </w:tabs>
      </w:pPr>
      <w:r>
        <w:rPr>
          <w:b/>
        </w:rPr>
        <w:t>Referenzdokumente:</w:t>
      </w:r>
      <w:r>
        <w:t xml:space="preserve"> </w:t>
      </w:r>
      <w:r>
        <w:tab/>
        <w:t>Stellungnahme der Kategorie C</w:t>
      </w:r>
    </w:p>
    <w:p w:rsidR="00ED254B" w:rsidRPr="001378B7" w:rsidRDefault="00ED254B" w:rsidP="00992A13">
      <w:pPr>
        <w:tabs>
          <w:tab w:val="left" w:pos="1701"/>
        </w:tabs>
        <w:ind w:left="2268"/>
      </w:pPr>
      <w:r>
        <w:t xml:space="preserve">COM(2020) 828 final – 2020/0364 (COD) </w:t>
      </w:r>
    </w:p>
    <w:p w:rsidR="002B3DFB" w:rsidRPr="001378B7" w:rsidRDefault="00ED254B" w:rsidP="00992A13">
      <w:pPr>
        <w:tabs>
          <w:tab w:val="left" w:pos="1701"/>
        </w:tabs>
        <w:ind w:left="2268"/>
        <w:rPr>
          <w:b/>
          <w:bCs/>
        </w:rPr>
      </w:pPr>
      <w:r>
        <w:t>EESC-2020-05839-00-00-PAC-TRA</w:t>
      </w:r>
    </w:p>
    <w:p w:rsidR="00ED254B" w:rsidRPr="001378B7" w:rsidRDefault="00ED254B" w:rsidP="009A0224">
      <w:pPr>
        <w:rPr>
          <w:b/>
          <w:lang w:val="en-GB"/>
        </w:rPr>
      </w:pPr>
    </w:p>
    <w:p w:rsidR="00ED254B" w:rsidRPr="001378B7" w:rsidRDefault="00ED254B" w:rsidP="009A0224">
      <w:r>
        <w:rPr>
          <w:b/>
        </w:rPr>
        <w:t xml:space="preserve">Kernaussagen </w:t>
      </w:r>
    </w:p>
    <w:p w:rsidR="00ED254B" w:rsidRPr="001378B7" w:rsidRDefault="00ED254B" w:rsidP="009A0224">
      <w:pPr>
        <w:rPr>
          <w:bCs/>
          <w:sz w:val="16"/>
          <w:szCs w:val="16"/>
          <w:lang w:val="en-GB"/>
        </w:rPr>
      </w:pPr>
    </w:p>
    <w:p w:rsidR="002B3DFB" w:rsidRPr="001378B7" w:rsidRDefault="00ED254B">
      <w:r>
        <w:t>Der EWSA beschloss, den Vorschlag zu befürworten.</w:t>
      </w:r>
    </w:p>
    <w:p w:rsidR="00ED254B" w:rsidRPr="001378B7" w:rsidRDefault="00ED254B">
      <w:pPr>
        <w:rPr>
          <w:b/>
          <w:bCs/>
          <w:sz w:val="16"/>
          <w:szCs w:val="16"/>
          <w:lang w:val="en-GB"/>
        </w:rPr>
      </w:pPr>
    </w:p>
    <w:p w:rsidR="002B3DFB" w:rsidRPr="001378B7" w:rsidRDefault="002B3DFB">
      <w:pPr>
        <w:rPr>
          <w:i/>
        </w:rPr>
      </w:pPr>
      <w:r>
        <w:rPr>
          <w:b/>
          <w:i/>
        </w:rPr>
        <w:t>Ansprechpartnerin:</w:t>
      </w:r>
      <w:r>
        <w:rPr>
          <w:i/>
        </w:rPr>
        <w:tab/>
        <w:t>Agota Bazsik</w:t>
      </w:r>
    </w:p>
    <w:p w:rsidR="002B3DFB" w:rsidRPr="001378B7" w:rsidRDefault="002B3DFB" w:rsidP="00992A13">
      <w:pPr>
        <w:ind w:left="2268"/>
        <w:rPr>
          <w:i/>
        </w:rPr>
      </w:pPr>
      <w:r>
        <w:rPr>
          <w:i/>
        </w:rPr>
        <w:t xml:space="preserve">(Tel.: 00 32 2 546 86 58 – E-Mail: </w:t>
      </w:r>
      <w:hyperlink r:id="rId32" w:history="1">
        <w:r>
          <w:rPr>
            <w:rStyle w:val="Hyperlink"/>
            <w:i/>
          </w:rPr>
          <w:t>Agota.Bazsik@eesc.europa.eu</w:t>
        </w:r>
      </w:hyperlink>
      <w:r>
        <w:rPr>
          <w:i/>
        </w:rPr>
        <w:t>)</w:t>
      </w:r>
    </w:p>
    <w:p w:rsidR="002B3DFB" w:rsidRPr="001378B7" w:rsidRDefault="002B3DFB">
      <w:pPr>
        <w:rPr>
          <w:i/>
          <w:lang w:val="en-GB"/>
        </w:rPr>
      </w:pPr>
    </w:p>
    <w:p w:rsidR="002B3DFB" w:rsidRPr="001378B7" w:rsidRDefault="002B3DFB" w:rsidP="009A0224">
      <w:pPr>
        <w:pStyle w:val="ListParagraph"/>
        <w:numPr>
          <w:ilvl w:val="0"/>
          <w:numId w:val="2"/>
        </w:numPr>
        <w:overflowPunct w:val="0"/>
        <w:autoSpaceDE w:val="0"/>
        <w:autoSpaceDN w:val="0"/>
        <w:adjustRightInd w:val="0"/>
        <w:rPr>
          <w:b/>
          <w:i/>
          <w:sz w:val="28"/>
          <w:szCs w:val="28"/>
        </w:rPr>
      </w:pPr>
      <w:r>
        <w:rPr>
          <w:b/>
          <w:i/>
          <w:sz w:val="28"/>
          <w:szCs w:val="28"/>
        </w:rPr>
        <w:lastRenderedPageBreak/>
        <w:t>Vorschlag zur Lockerung der Regeln für die Nutzung von Zeitnischen an Flughäfen aufgrund von COVID-19</w:t>
      </w:r>
    </w:p>
    <w:p w:rsidR="002B3DFB" w:rsidRPr="001378B7" w:rsidRDefault="002B3DFB" w:rsidP="009A0224">
      <w:pPr>
        <w:rPr>
          <w:bCs/>
          <w:lang w:val="en-GB"/>
        </w:rPr>
      </w:pPr>
    </w:p>
    <w:p w:rsidR="002B3DFB" w:rsidRPr="001378B7" w:rsidRDefault="002B3DFB" w:rsidP="009A0224">
      <w:pPr>
        <w:rPr>
          <w:b/>
        </w:rPr>
      </w:pPr>
      <w:r>
        <w:rPr>
          <w:b/>
        </w:rPr>
        <w:t>Berichterstatter:</w:t>
      </w:r>
      <w:r>
        <w:rPr>
          <w:b/>
        </w:rPr>
        <w:tab/>
      </w:r>
      <w:r w:rsidR="00992A13">
        <w:rPr>
          <w:b/>
        </w:rPr>
        <w:tab/>
      </w:r>
      <w:r>
        <w:t>Thomas KROPP (Gruppe Arbeitgeber – DE)</w:t>
      </w:r>
    </w:p>
    <w:p w:rsidR="00ED254B" w:rsidRPr="001378B7" w:rsidRDefault="002B3DFB">
      <w:r>
        <w:rPr>
          <w:b/>
        </w:rPr>
        <w:t>Referenzdokumente:</w:t>
      </w:r>
      <w:r>
        <w:t xml:space="preserve"> </w:t>
      </w:r>
      <w:r>
        <w:tab/>
        <w:t xml:space="preserve">COM(2020) 818 final – 2020/0358 (COD) </w:t>
      </w:r>
    </w:p>
    <w:p w:rsidR="002B3DFB" w:rsidRDefault="00ED254B" w:rsidP="00992A13">
      <w:pPr>
        <w:ind w:left="2268"/>
      </w:pPr>
      <w:r>
        <w:t>EESC-2020-00120-00-00-PAC-TRA</w:t>
      </w:r>
    </w:p>
    <w:p w:rsidR="00992A13" w:rsidRPr="001378B7" w:rsidRDefault="00992A13" w:rsidP="00992A13">
      <w:pPr>
        <w:ind w:left="2268"/>
      </w:pPr>
    </w:p>
    <w:p w:rsidR="002D41A2" w:rsidRPr="001378B7" w:rsidRDefault="002D41A2">
      <w:pPr>
        <w:rPr>
          <w:b/>
        </w:rPr>
      </w:pPr>
      <w:r>
        <w:rPr>
          <w:b/>
        </w:rPr>
        <w:t>Kernaussagen</w:t>
      </w:r>
    </w:p>
    <w:p w:rsidR="002D41A2" w:rsidRPr="001378B7" w:rsidRDefault="002D41A2">
      <w:pPr>
        <w:rPr>
          <w:b/>
          <w:lang w:val="en-GB"/>
        </w:rPr>
      </w:pPr>
    </w:p>
    <w:p w:rsidR="002D41A2" w:rsidRPr="001378B7" w:rsidRDefault="002D41A2">
      <w:pPr>
        <w:rPr>
          <w:rFonts w:eastAsia="Calibri"/>
        </w:rPr>
      </w:pPr>
      <w:r>
        <w:t>Der EWSA:</w:t>
      </w:r>
    </w:p>
    <w:p w:rsidR="009A0224" w:rsidRPr="001378B7" w:rsidRDefault="009A0224">
      <w:pPr>
        <w:rPr>
          <w:rFonts w:eastAsia="Calibri"/>
          <w:lang w:val="en-GB"/>
        </w:rPr>
      </w:pPr>
    </w:p>
    <w:p w:rsidR="002D41A2" w:rsidRPr="001378B7" w:rsidRDefault="002D41A2">
      <w:pPr>
        <w:pStyle w:val="ListParagraph"/>
        <w:numPr>
          <w:ilvl w:val="0"/>
          <w:numId w:val="2"/>
        </w:numPr>
        <w:rPr>
          <w:rFonts w:eastAsia="Calibri"/>
        </w:rPr>
      </w:pPr>
      <w:r>
        <w:t>begrüßt die Initiative der Kommission zur Verlängerung der vorübergehenden Entlastung von den Vorschriften der EG-Zeitnischenverordnung und unterstützt den Vorschlag, der Kommission die Befugnis zur Anpassung der Schwelle bis zur Winterflugplanperiode 2024/2025 zu übertragen. Im Interesse eines wirklich flexiblen Verfahrens sollte der Vorschlag allerdings auch vorsehen, dass die Luftfahrtunternehmen die Möglichkeit der Rückgabe einer vollen Abfolge von Zeitnischen in Verbindung mit einer variablen Nutzungsschwelle haben.</w:t>
      </w:r>
    </w:p>
    <w:p w:rsidR="002D41A2" w:rsidRPr="001378B7" w:rsidRDefault="002D41A2">
      <w:pPr>
        <w:pStyle w:val="ListParagraph"/>
        <w:numPr>
          <w:ilvl w:val="0"/>
          <w:numId w:val="2"/>
        </w:numPr>
        <w:rPr>
          <w:rFonts w:eastAsia="Calibri"/>
        </w:rPr>
      </w:pPr>
      <w:r>
        <w:t>fordert die Kommission und die gesetzgebenden Organe nachdrücklich auf, den Vorschlag der Kommission unter dem Blickwinkel der Empfehlungen des World Airline Slot Board (WASB) erneut zu prüfen, dem Luftfahrtunternehmen, Flughäfen und Zeitnischenkoordinatoren angehören und das am 20. November 2020 seine Empfehlungen für die Zeitnischen-Entlastung für die Sommerflugplanperiode 2021 veröffentlicht hat. Die Empfehlungen umfassen eine Kombination aus i) der vollständigen Aussetzung der „Use-it-or-lose-it“-Regel für vollständige Abfolgen von Zeitnischen, die vor dem Beginn der Saison an den Pool zurückgegeben werden, und ii) einer Schwelle in Höhe von 50 % für die Nutzung von Abfolgen von Zeitnischen, die die Luftfahrtunternehmen behalten. Sie umfassen auch konkrete Bedingungen und Bestimmungen, wann es vor dem Hintergrund der COVID-19-Situation gerechtfertigt ist, Zeitnischen nicht zu nutzen;</w:t>
      </w:r>
    </w:p>
    <w:p w:rsidR="002D41A2" w:rsidRPr="001378B7" w:rsidRDefault="002D41A2">
      <w:pPr>
        <w:pStyle w:val="ListParagraph"/>
        <w:numPr>
          <w:ilvl w:val="0"/>
          <w:numId w:val="2"/>
        </w:numPr>
        <w:rPr>
          <w:rFonts w:eastAsia="Calibri"/>
        </w:rPr>
      </w:pPr>
      <w:r>
        <w:t>hält es für geboten, für ein ausgewogenes Verhältnis zwischen folgenden drei Aspekten zu sorgen: erstens Vermeidung von Maßnahmen, die die Möglichkeit des Luftverkehrssektors, sich von der Krise zu erholen, beeinträchtigen, zweitens Sicherstellung des langfristigen Ziels der Luftfahrtunternehmen, teure Zeitnischen auf Flughäfen zu behalten, und drittens Aufrechterhaltung eines angemessenen Maßes an Wettbewerb um knappe Zeitnischen;</w:t>
      </w:r>
    </w:p>
    <w:p w:rsidR="002D41A2" w:rsidRPr="001378B7" w:rsidRDefault="002D41A2">
      <w:pPr>
        <w:pStyle w:val="ListParagraph"/>
        <w:numPr>
          <w:ilvl w:val="0"/>
          <w:numId w:val="2"/>
        </w:numPr>
        <w:rPr>
          <w:rFonts w:eastAsia="Calibri"/>
        </w:rPr>
      </w:pPr>
      <w:r>
        <w:t>bedauert schließlich, dass sich die Kommission offenbar vor allem mit der Entlastung von den EU-Regeln für die Zuweisung von Zeitnischen befasst, ohne zu bedenken, dass diese Maßnahmen weltweit ihren Niederschlag finden werden. Es wäre deshalb besser, Änderungen vorzunehmen, die durchführbar sind und auf weltweiter Ebene vereinbart werden, wie etwa die WASB-Empfehlungen.</w:t>
      </w:r>
    </w:p>
    <w:p w:rsidR="002B3DFB" w:rsidRPr="001378B7" w:rsidRDefault="002B3DFB">
      <w:pPr>
        <w:rPr>
          <w:i/>
          <w:lang w:val="en-GB"/>
        </w:rPr>
      </w:pPr>
    </w:p>
    <w:p w:rsidR="002B3DFB" w:rsidRPr="001378B7" w:rsidRDefault="002B3DFB">
      <w:pPr>
        <w:rPr>
          <w:i/>
        </w:rPr>
      </w:pPr>
      <w:r>
        <w:rPr>
          <w:b/>
          <w:i/>
        </w:rPr>
        <w:t>Ansprechpartnerin:</w:t>
      </w:r>
      <w:r>
        <w:rPr>
          <w:i/>
        </w:rPr>
        <w:tab/>
        <w:t>Agota Bazsik</w:t>
      </w:r>
    </w:p>
    <w:p w:rsidR="002B3DFB" w:rsidRPr="001378B7" w:rsidRDefault="002B3DFB" w:rsidP="00992A13">
      <w:pPr>
        <w:ind w:left="2268"/>
        <w:rPr>
          <w:i/>
        </w:rPr>
      </w:pPr>
      <w:r>
        <w:rPr>
          <w:i/>
        </w:rPr>
        <w:t xml:space="preserve">(Tel.: 00 32 2 546 86 58 – E-Mail: </w:t>
      </w:r>
      <w:hyperlink r:id="rId33" w:history="1">
        <w:r>
          <w:rPr>
            <w:rStyle w:val="Hyperlink"/>
            <w:i/>
          </w:rPr>
          <w:t>Agota.Bazsik@eesc.europa.eu</w:t>
        </w:r>
      </w:hyperlink>
      <w:r>
        <w:rPr>
          <w:i/>
        </w:rPr>
        <w:t>)</w:t>
      </w:r>
    </w:p>
    <w:p w:rsidR="002D41A2" w:rsidRPr="001378B7" w:rsidRDefault="002D41A2" w:rsidP="009A0224">
      <w:pPr>
        <w:rPr>
          <w:i/>
          <w:lang w:val="en-GB"/>
        </w:rPr>
      </w:pPr>
    </w:p>
    <w:p w:rsidR="002B3DFB" w:rsidRPr="001378B7" w:rsidRDefault="002B3DFB" w:rsidP="005358AC">
      <w:pPr>
        <w:rPr>
          <w:i/>
          <w:lang w:val="en-GB"/>
        </w:rPr>
      </w:pPr>
    </w:p>
    <w:p w:rsidR="002B3DFB" w:rsidRPr="001378B7" w:rsidRDefault="002B3DFB">
      <w:pPr>
        <w:pStyle w:val="ListParagraph"/>
        <w:numPr>
          <w:ilvl w:val="0"/>
          <w:numId w:val="2"/>
        </w:numPr>
        <w:rPr>
          <w:b/>
          <w:i/>
          <w:sz w:val="28"/>
          <w:szCs w:val="28"/>
        </w:rPr>
      </w:pPr>
      <w:r>
        <w:rPr>
          <w:b/>
          <w:i/>
          <w:sz w:val="28"/>
          <w:szCs w:val="28"/>
        </w:rPr>
        <w:lastRenderedPageBreak/>
        <w:t>Besondere und vorübergehende Maßnahmen hinsichtlich Bescheinigungen, Lizenzen und Genehmigungen und bestimmter regelmäßiger Kontrollen und Weiterbildungen in bestimmten Bereichen des Verkehrsrechts</w:t>
      </w:r>
    </w:p>
    <w:p w:rsidR="002B3DFB" w:rsidRPr="001378B7" w:rsidRDefault="002B3DFB" w:rsidP="009A0224">
      <w:pPr>
        <w:rPr>
          <w:bCs/>
          <w:lang w:val="en-GB"/>
        </w:rPr>
      </w:pPr>
    </w:p>
    <w:p w:rsidR="00ED254B" w:rsidRPr="001378B7" w:rsidRDefault="00841D17" w:rsidP="009A0224">
      <w:pPr>
        <w:tabs>
          <w:tab w:val="left" w:pos="1701"/>
        </w:tabs>
      </w:pPr>
      <w:r>
        <w:rPr>
          <w:b/>
        </w:rPr>
        <w:t>Referenzdokumente:</w:t>
      </w:r>
      <w:r>
        <w:t xml:space="preserve"> </w:t>
      </w:r>
      <w:r>
        <w:tab/>
        <w:t>Stellungnahme der Kategorie C</w:t>
      </w:r>
    </w:p>
    <w:p w:rsidR="00ED254B" w:rsidRPr="001378B7" w:rsidRDefault="00ED254B" w:rsidP="00992A13">
      <w:pPr>
        <w:tabs>
          <w:tab w:val="left" w:pos="1701"/>
        </w:tabs>
        <w:ind w:left="2268"/>
      </w:pPr>
      <w:r>
        <w:t xml:space="preserve">COM(2021) 25 final </w:t>
      </w:r>
    </w:p>
    <w:p w:rsidR="002B3DFB" w:rsidRPr="001378B7" w:rsidRDefault="00ED254B" w:rsidP="00992A13">
      <w:pPr>
        <w:tabs>
          <w:tab w:val="left" w:pos="1701"/>
        </w:tabs>
        <w:ind w:left="2268"/>
      </w:pPr>
      <w:r>
        <w:t>EESC-2021-00354-00-00-PAC-TRA</w:t>
      </w:r>
    </w:p>
    <w:p w:rsidR="00ED254B" w:rsidRPr="001378B7" w:rsidRDefault="00ED254B">
      <w:pPr>
        <w:rPr>
          <w:lang w:val="en-GB"/>
        </w:rPr>
      </w:pPr>
    </w:p>
    <w:p w:rsidR="00ED254B" w:rsidRPr="001378B7" w:rsidRDefault="00ED254B" w:rsidP="009A0224">
      <w:r>
        <w:rPr>
          <w:b/>
        </w:rPr>
        <w:t xml:space="preserve">Kernaussagen </w:t>
      </w:r>
    </w:p>
    <w:p w:rsidR="00ED254B" w:rsidRPr="001378B7" w:rsidRDefault="00ED254B" w:rsidP="009A0224">
      <w:pPr>
        <w:rPr>
          <w:bCs/>
          <w:lang w:val="en-GB"/>
        </w:rPr>
      </w:pPr>
    </w:p>
    <w:p w:rsidR="002B3DFB" w:rsidRPr="001378B7" w:rsidRDefault="00ED254B">
      <w:pPr>
        <w:rPr>
          <w:bCs/>
        </w:rPr>
      </w:pPr>
      <w:r>
        <w:t>Der EWSA beschloss, den Vorschlag zu befürworten.</w:t>
      </w:r>
    </w:p>
    <w:p w:rsidR="002B3DFB" w:rsidRPr="001378B7" w:rsidRDefault="002B3DFB">
      <w:pPr>
        <w:rPr>
          <w:b/>
          <w:bCs/>
          <w:lang w:val="en-GB"/>
        </w:rPr>
      </w:pPr>
    </w:p>
    <w:p w:rsidR="002B3DFB" w:rsidRPr="001378B7" w:rsidRDefault="002B3DFB">
      <w:pPr>
        <w:rPr>
          <w:i/>
        </w:rPr>
      </w:pPr>
      <w:r>
        <w:rPr>
          <w:b/>
          <w:i/>
        </w:rPr>
        <w:t>Ansprechpartnerin:</w:t>
      </w:r>
      <w:r>
        <w:rPr>
          <w:i/>
        </w:rPr>
        <w:tab/>
        <w:t>Agota Bazsik</w:t>
      </w:r>
    </w:p>
    <w:p w:rsidR="002B3DFB" w:rsidRPr="001378B7" w:rsidRDefault="002B3DFB" w:rsidP="00992A13">
      <w:pPr>
        <w:ind w:left="1701"/>
        <w:rPr>
          <w:i/>
        </w:rPr>
      </w:pPr>
      <w:r>
        <w:rPr>
          <w:i/>
        </w:rPr>
        <w:t xml:space="preserve">(Tel.: 00 32 2 546 86 58 – E-Mail: </w:t>
      </w:r>
      <w:hyperlink r:id="rId34" w:history="1">
        <w:r>
          <w:rPr>
            <w:rStyle w:val="Hyperlink"/>
            <w:i/>
          </w:rPr>
          <w:t>Agota.Bazsik@eesc.europa.eu</w:t>
        </w:r>
      </w:hyperlink>
      <w:r>
        <w:rPr>
          <w:i/>
        </w:rPr>
        <w:t>)</w:t>
      </w:r>
    </w:p>
    <w:p w:rsidR="002D41A2" w:rsidRPr="001378B7" w:rsidRDefault="002D41A2" w:rsidP="009A0224">
      <w:pPr>
        <w:rPr>
          <w:bCs/>
          <w:lang w:val="en-GB"/>
        </w:rPr>
      </w:pPr>
    </w:p>
    <w:p w:rsidR="00641880" w:rsidRPr="001378B7" w:rsidRDefault="00641880" w:rsidP="009A0224">
      <w:pPr>
        <w:jc w:val="left"/>
        <w:rPr>
          <w:bCs/>
        </w:rPr>
      </w:pPr>
      <w:r>
        <w:br w:type="page"/>
      </w:r>
    </w:p>
    <w:p w:rsidR="002D41A2" w:rsidRPr="001378B7" w:rsidRDefault="002D41A2" w:rsidP="009A0224">
      <w:pPr>
        <w:pStyle w:val="Heading1"/>
        <w:keepNext/>
        <w:keepLines/>
        <w:numPr>
          <w:ilvl w:val="0"/>
          <w:numId w:val="1"/>
        </w:numPr>
        <w:ind w:left="567" w:hanging="567"/>
        <w:rPr>
          <w:b/>
          <w:caps/>
        </w:rPr>
      </w:pPr>
      <w:bookmarkStart w:id="10" w:name="_Toc64449239"/>
      <w:bookmarkStart w:id="11" w:name="_Toc64896222"/>
      <w:r>
        <w:rPr>
          <w:b/>
          <w:caps/>
        </w:rPr>
        <w:lastRenderedPageBreak/>
        <w:t>AUẞENBEZIEHUNGEN</w:t>
      </w:r>
      <w:bookmarkEnd w:id="10"/>
      <w:bookmarkEnd w:id="11"/>
    </w:p>
    <w:p w:rsidR="002D41A2" w:rsidRPr="00992A13" w:rsidRDefault="002D41A2" w:rsidP="00992A13">
      <w:pPr>
        <w:spacing w:line="240" w:lineRule="auto"/>
        <w:jc w:val="left"/>
        <w:rPr>
          <w:sz w:val="12"/>
          <w:lang w:val="en-GB"/>
        </w:rPr>
      </w:pPr>
    </w:p>
    <w:p w:rsidR="002D41A2" w:rsidRPr="001378B7" w:rsidRDefault="002D41A2" w:rsidP="009A0224">
      <w:pPr>
        <w:pStyle w:val="ListParagraph"/>
        <w:keepNext/>
        <w:keepLines/>
        <w:numPr>
          <w:ilvl w:val="0"/>
          <w:numId w:val="2"/>
        </w:numPr>
        <w:overflowPunct w:val="0"/>
        <w:autoSpaceDE w:val="0"/>
        <w:autoSpaceDN w:val="0"/>
        <w:adjustRightInd w:val="0"/>
        <w:rPr>
          <w:b/>
          <w:i/>
          <w:sz w:val="28"/>
          <w:szCs w:val="28"/>
        </w:rPr>
      </w:pPr>
      <w:r>
        <w:rPr>
          <w:b/>
          <w:i/>
          <w:sz w:val="28"/>
          <w:szCs w:val="28"/>
        </w:rPr>
        <w:t>Nachhaltige Entwicklung im Mittelmeerraum (Informationsbericht)</w:t>
      </w:r>
    </w:p>
    <w:p w:rsidR="002D41A2" w:rsidRPr="00992A13" w:rsidRDefault="002D41A2" w:rsidP="00992A13">
      <w:pPr>
        <w:autoSpaceDE w:val="0"/>
        <w:autoSpaceDN w:val="0"/>
        <w:spacing w:line="240" w:lineRule="auto"/>
        <w:rPr>
          <w:color w:val="000000"/>
          <w:sz w:val="12"/>
          <w:lang w:val="en-GB" w:eastAsia="fr-FR"/>
        </w:rPr>
      </w:pPr>
    </w:p>
    <w:p w:rsidR="002D41A2" w:rsidRPr="001378B7" w:rsidRDefault="002D41A2">
      <w:pPr>
        <w:rPr>
          <w:bCs/>
          <w:color w:val="000000"/>
        </w:rPr>
      </w:pPr>
      <w:r>
        <w:rPr>
          <w:b/>
          <w:bCs/>
          <w:color w:val="000000"/>
        </w:rPr>
        <w:t xml:space="preserve">Berichterstatterin: </w:t>
      </w:r>
      <w:r>
        <w:rPr>
          <w:b/>
          <w:bCs/>
          <w:color w:val="000000"/>
        </w:rPr>
        <w:tab/>
      </w:r>
      <w:r>
        <w:t>Lidija PAVIĆ-ROGOŠIĆ (Gruppe Vielfalt Europa – HR)</w:t>
      </w:r>
    </w:p>
    <w:p w:rsidR="002D41A2" w:rsidRPr="00992A13" w:rsidRDefault="002D41A2" w:rsidP="00992A13">
      <w:pPr>
        <w:autoSpaceDE w:val="0"/>
        <w:autoSpaceDN w:val="0"/>
        <w:spacing w:line="240" w:lineRule="auto"/>
        <w:rPr>
          <w:b/>
          <w:sz w:val="10"/>
          <w:lang w:val="en-GB"/>
        </w:rPr>
      </w:pPr>
    </w:p>
    <w:p w:rsidR="002D41A2" w:rsidRPr="001378B7" w:rsidRDefault="002D41A2">
      <w:pPr>
        <w:autoSpaceDE w:val="0"/>
        <w:autoSpaceDN w:val="0"/>
        <w:rPr>
          <w:color w:val="000000"/>
        </w:rPr>
      </w:pPr>
      <w:r>
        <w:rPr>
          <w:b/>
        </w:rPr>
        <w:t xml:space="preserve">Referenzdokument: </w:t>
      </w:r>
      <w:r>
        <w:rPr>
          <w:b/>
        </w:rPr>
        <w:tab/>
      </w:r>
      <w:r>
        <w:rPr>
          <w:color w:val="000000"/>
        </w:rPr>
        <w:t>EESC-2020-01279-00-01-RI-TRA</w:t>
      </w:r>
    </w:p>
    <w:p w:rsidR="002D41A2" w:rsidRPr="00992A13" w:rsidRDefault="002D41A2" w:rsidP="00992A13">
      <w:pPr>
        <w:spacing w:line="240" w:lineRule="auto"/>
        <w:jc w:val="left"/>
        <w:rPr>
          <w:i/>
          <w:sz w:val="12"/>
          <w:lang w:val="en-GB"/>
        </w:rPr>
      </w:pPr>
    </w:p>
    <w:p w:rsidR="002D41A2" w:rsidRPr="001378B7" w:rsidRDefault="002D41A2" w:rsidP="009A0224">
      <w:pPr>
        <w:jc w:val="left"/>
        <w:rPr>
          <w:b/>
        </w:rPr>
      </w:pPr>
      <w:r>
        <w:rPr>
          <w:b/>
        </w:rPr>
        <w:t>Kernaussagen</w:t>
      </w:r>
    </w:p>
    <w:p w:rsidR="002D41A2" w:rsidRPr="00992A13" w:rsidRDefault="002D41A2" w:rsidP="00992A13">
      <w:pPr>
        <w:spacing w:line="240" w:lineRule="auto"/>
        <w:jc w:val="left"/>
        <w:rPr>
          <w:b/>
          <w:sz w:val="12"/>
          <w:lang w:val="en-GB"/>
        </w:rPr>
      </w:pPr>
      <w:bookmarkStart w:id="12" w:name="_GoBack"/>
      <w:bookmarkEnd w:id="12"/>
    </w:p>
    <w:p w:rsidR="002D41A2" w:rsidRPr="001378B7" w:rsidRDefault="002D41A2">
      <w:pPr>
        <w:pStyle w:val="ListParagraph"/>
        <w:numPr>
          <w:ilvl w:val="0"/>
          <w:numId w:val="2"/>
        </w:numPr>
        <w:spacing w:after="160"/>
        <w:rPr>
          <w:rFonts w:eastAsia="Calibri"/>
        </w:rPr>
      </w:pPr>
      <w:r>
        <w:t>Die Mittelmeerregion ist sehr vielfältig. Investitionen in das Humankapital sind äußerst wichtig für die nachhaltige Entwicklung der Länder. Derartige Investitionen tragen auch zu Stabilität, Sicherheit und Frieden bei – wichtige Voraussetzungen für eine nachhaltige Entwicklung im Sinne des Ziels 16 der Ziele für nachhaltige Entwicklung (Frieden, Gerechtigkeit und starke Institutionen). Die Bildung und Ausbildung der jungen Menschen stellen eine große Herausforderung dar und sind ein wirksames Instrument, um eine Spaltung der Gesellschaft und Radikalisierung zu verhindern. Gleichberechtigung und Chancengleichheit für Frauen sollten garantiert werden, da sie maßgeblich zu einer inklusiven Entwickl</w:t>
      </w:r>
      <w:r w:rsidR="00992A13">
        <w:t>ung und einem gleichberechtigten</w:t>
      </w:r>
      <w:r>
        <w:t xml:space="preserve"> Zugang zur Arbeitswelt beitragen. Durch COVID-19 verursachte Armut ist eine zusätzliche Belastung, deren Folgen für die weitere Entwicklung noch nicht bekannt sind. </w:t>
      </w:r>
    </w:p>
    <w:p w:rsidR="002D41A2" w:rsidRPr="001378B7" w:rsidRDefault="002D41A2">
      <w:pPr>
        <w:pStyle w:val="ListParagraph"/>
        <w:numPr>
          <w:ilvl w:val="0"/>
          <w:numId w:val="2"/>
        </w:numPr>
        <w:spacing w:after="160"/>
        <w:rPr>
          <w:rFonts w:eastAsia="Calibri"/>
        </w:rPr>
      </w:pPr>
      <w:r>
        <w:t>Der Übergang zu kohlenstoffarmer Energie und einer ressourceneffizienten Wirtschaft könnte nicht nur tiefgreifende Folgen für das Klima haben, sondern sich auch positiv in den Bereichen Gesundheit, Bildung und Geschlechtergleichstellung sowie Entwaldung auswirken. Dies erfordert einen „gerechten Wandel“, bei dem berücksichtigt wird, welche sozialen Folgen der Übergang zu einer kohlenstoffarmen Wirtschaft für die Arbeitnehmer und Menschen hat. Der EWSA weist darauf hin, dass es wichtig ist, unternehmerisches Denken und digitale Kompetenzen zu fördern. Es sollten gemeinsame Bemühungen unternommen werden, in die Unternehmen, nationale Regierungen und eine große Anzahl von Interessenträgern eingebunden werden. Die durch die COVID-19-Pandemie ausgelöste Wirtschaftskrise hat gezeigt, wie wichtig eine lokale Produktion ist, auf die sich die Gesellschaft stützen kann.</w:t>
      </w:r>
    </w:p>
    <w:p w:rsidR="002D41A2" w:rsidRPr="001378B7" w:rsidRDefault="002D41A2">
      <w:pPr>
        <w:pStyle w:val="ListParagraph"/>
        <w:numPr>
          <w:ilvl w:val="0"/>
          <w:numId w:val="2"/>
        </w:numPr>
        <w:spacing w:after="160"/>
        <w:rPr>
          <w:rFonts w:eastAsia="Calibri"/>
        </w:rPr>
      </w:pPr>
      <w:r>
        <w:t>Die Stärkung der Governance und die Entwicklung entsprechender politischer Maßnahmen spielen für das Erreichen vieler Nachhaltigkeitsziele eine wichtige Rolle. Die Umsetzung der Agenda 2030 erfordert einen umfassenden Ansatz, keine auf einzelne Ziele ausgerichteten Bemühungen.</w:t>
      </w:r>
    </w:p>
    <w:p w:rsidR="002D41A2" w:rsidRPr="001378B7" w:rsidRDefault="002D41A2">
      <w:pPr>
        <w:pStyle w:val="ListParagraph"/>
        <w:numPr>
          <w:ilvl w:val="0"/>
          <w:numId w:val="2"/>
        </w:numPr>
        <w:spacing w:after="160"/>
        <w:rPr>
          <w:rFonts w:eastAsia="Calibri"/>
        </w:rPr>
      </w:pPr>
      <w:r>
        <w:t xml:space="preserve">Aus der Agenda 2030 ergibt sich eine universelle, gemeinsame, alle Ebenen umfassende Verantwortung. Politische Herausforderungen in einer komplexen und vernetzten Welt erfordern politische Kohärenz, damit die wirtschaftlichen, sozialen und ökologischen Veränderungen, die für das Erreichen der Nachhaltigkeitsziele erforderlich sind, aufeinander abgestimmt und herbeigeführt werden können. Integrierte und kohärente politische Maßnahmen, die durch verlässliche institutionelle Verfahren unterstützt werden, können zum Übergang zu einer nachhaltigen Gesellschaft beitragen. </w:t>
      </w:r>
    </w:p>
    <w:p w:rsidR="002D41A2" w:rsidRPr="001378B7" w:rsidRDefault="002D41A2" w:rsidP="009A0224">
      <w:pPr>
        <w:pStyle w:val="ListParagraph"/>
        <w:numPr>
          <w:ilvl w:val="0"/>
          <w:numId w:val="2"/>
        </w:numPr>
        <w:spacing w:after="160"/>
        <w:rPr>
          <w:rFonts w:eastAsia="Calibri"/>
        </w:rPr>
      </w:pPr>
      <w:r>
        <w:t xml:space="preserve">„Niemanden zurücklassen“ ist ein wesentliches Prinzip der Nachhaltigkeitsziele – Gerechtigkeit, Menschenrechte und Gleichstellung der Geschlechter haben zentrale Bedeutung für alle diese Ziele. Die Regierungen müssen für ein günstiges Umfeld sorgen, in dem ein Engagement der Zivilgesellschaft möglich ist und sie in ihrem Handeln nicht behindert wird. </w:t>
      </w:r>
    </w:p>
    <w:p w:rsidR="009A0224" w:rsidRPr="00992A13" w:rsidRDefault="009A0224" w:rsidP="00992A13">
      <w:pPr>
        <w:pStyle w:val="ListParagraph"/>
        <w:spacing w:after="160" w:line="240" w:lineRule="auto"/>
        <w:ind w:left="360"/>
        <w:rPr>
          <w:rFonts w:eastAsia="Calibri"/>
          <w:sz w:val="14"/>
          <w:lang w:val="en-GB"/>
        </w:rPr>
      </w:pPr>
    </w:p>
    <w:p w:rsidR="009A0224" w:rsidRPr="001378B7" w:rsidRDefault="009A0224" w:rsidP="000273E0">
      <w:pPr>
        <w:pStyle w:val="ListParagraph"/>
        <w:spacing w:line="276" w:lineRule="auto"/>
        <w:ind w:left="360"/>
        <w:rPr>
          <w:i/>
        </w:rPr>
      </w:pPr>
      <w:r>
        <w:rPr>
          <w:b/>
          <w:i/>
        </w:rPr>
        <w:t>Ansprechpartner:</w:t>
      </w:r>
      <w:r>
        <w:rPr>
          <w:i/>
        </w:rPr>
        <w:tab/>
        <w:t>Andreas Berger</w:t>
      </w:r>
    </w:p>
    <w:p w:rsidR="009A0224" w:rsidRPr="001378B7" w:rsidRDefault="009A0224" w:rsidP="00992A13">
      <w:pPr>
        <w:pStyle w:val="ListParagraph"/>
        <w:spacing w:line="276" w:lineRule="auto"/>
        <w:ind w:left="2268"/>
      </w:pPr>
      <w:r>
        <w:rPr>
          <w:i/>
        </w:rPr>
        <w:tab/>
        <w:t xml:space="preserve">(Tel.: 00 32 2 546 90 62 – E-Mail: </w:t>
      </w:r>
      <w:hyperlink r:id="rId35" w:history="1">
        <w:r>
          <w:rPr>
            <w:rStyle w:val="Hyperlink"/>
            <w:i/>
          </w:rPr>
          <w:t>Andreas.Berger@eesc.europa.eu</w:t>
        </w:r>
      </w:hyperlink>
      <w:r>
        <w:rPr>
          <w:i/>
        </w:rPr>
        <w:t>)</w:t>
      </w:r>
    </w:p>
    <w:p w:rsidR="005E17C3" w:rsidRPr="001378B7" w:rsidRDefault="004203D2" w:rsidP="009A0224">
      <w:pPr>
        <w:jc w:val="center"/>
        <w:rPr>
          <w:bCs/>
        </w:rPr>
      </w:pPr>
      <w:r>
        <w:t>____________</w:t>
      </w:r>
    </w:p>
    <w:sectPr w:rsidR="005E17C3" w:rsidRPr="001378B7" w:rsidSect="001378B7">
      <w:headerReference w:type="even" r:id="rId36"/>
      <w:headerReference w:type="default" r:id="rId37"/>
      <w:footerReference w:type="even" r:id="rId38"/>
      <w:footerReference w:type="default" r:id="rId39"/>
      <w:headerReference w:type="first" r:id="rId40"/>
      <w:footerReference w:type="first" r:id="rId4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9CC" w:rsidRDefault="003B09CC" w:rsidP="003B283B">
      <w:pPr>
        <w:spacing w:line="240" w:lineRule="auto"/>
      </w:pPr>
      <w:r>
        <w:separator/>
      </w:r>
    </w:p>
  </w:endnote>
  <w:endnote w:type="continuationSeparator" w:id="0">
    <w:p w:rsidR="003B09CC" w:rsidRDefault="003B09CC" w:rsidP="003B283B">
      <w:pPr>
        <w:spacing w:line="240" w:lineRule="auto"/>
      </w:pPr>
      <w:r>
        <w:continuationSeparator/>
      </w:r>
    </w:p>
  </w:endnote>
  <w:endnote w:type="continuationNotice" w:id="1">
    <w:p w:rsidR="003B09CC" w:rsidRDefault="003B09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Footer"/>
    </w:pPr>
    <w:r>
      <w:t xml:space="preserve">EESC-2020-05647-00-03-TCD-TRA (EN) </w:t>
    </w:r>
    <w:r>
      <w:fldChar w:fldCharType="begin"/>
    </w:r>
    <w:r>
      <w:instrText xml:space="preserve"> PAGE  \* Arabic  \* MERGEFORMAT </w:instrText>
    </w:r>
    <w:r>
      <w:fldChar w:fldCharType="separate"/>
    </w:r>
    <w:r w:rsidR="00992A13">
      <w:rPr>
        <w:noProof/>
      </w:rPr>
      <w:t>1</w:t>
    </w:r>
    <w:r>
      <w:fldChar w:fldCharType="end"/>
    </w:r>
    <w:r>
      <w:t>/</w:t>
    </w:r>
    <w:fldSimple w:instr=" NUMPAGES ">
      <w:r w:rsidR="00992A13">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Footer"/>
    </w:pPr>
    <w:r>
      <w:t xml:space="preserve">EESC-2020-05647-00-03-TCD-TRA (EN) </w:t>
    </w:r>
    <w:r>
      <w:fldChar w:fldCharType="begin"/>
    </w:r>
    <w:r>
      <w:instrText xml:space="preserve"> PAGE  \* Arabic  \* MERGEFORMAT </w:instrText>
    </w:r>
    <w:r>
      <w:fldChar w:fldCharType="separate"/>
    </w:r>
    <w:r w:rsidR="00992A13">
      <w:rPr>
        <w:noProof/>
      </w:rPr>
      <w:t>19</w:t>
    </w:r>
    <w:r>
      <w:fldChar w:fldCharType="end"/>
    </w:r>
    <w:r>
      <w:t>/</w:t>
    </w:r>
    <w:fldSimple w:instr=" NUMPAGES ">
      <w:r w:rsidR="00992A13">
        <w:rPr>
          <w:noProof/>
        </w:rPr>
        <w:t>19</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9CC" w:rsidRDefault="003B09CC" w:rsidP="003B283B">
      <w:pPr>
        <w:spacing w:line="240" w:lineRule="auto"/>
      </w:pPr>
      <w:r>
        <w:separator/>
      </w:r>
    </w:p>
  </w:footnote>
  <w:footnote w:type="continuationSeparator" w:id="0">
    <w:p w:rsidR="003B09CC" w:rsidRDefault="003B09CC" w:rsidP="003B283B">
      <w:pPr>
        <w:spacing w:line="240" w:lineRule="auto"/>
      </w:pPr>
      <w:r>
        <w:continuationSeparator/>
      </w:r>
    </w:p>
  </w:footnote>
  <w:footnote w:type="continuationNotice" w:id="1">
    <w:p w:rsidR="003B09CC" w:rsidRPr="00377A77" w:rsidRDefault="003B09CC">
      <w:pPr>
        <w:spacing w:line="240" w:lineRule="auto"/>
        <w:rPr>
          <w:sz w:val="2"/>
          <w:szCs w:val="2"/>
        </w:rPr>
      </w:pPr>
    </w:p>
  </w:footnote>
  <w:footnote w:id="2">
    <w:p w:rsidR="003B09CC" w:rsidRDefault="003B09CC" w:rsidP="004349BD">
      <w:pPr>
        <w:pStyle w:val="FootnoteText"/>
      </w:pPr>
      <w:r>
        <w:rPr>
          <w:rStyle w:val="FootnoteReference"/>
        </w:rPr>
        <w:footnoteRef/>
      </w:r>
      <w:r>
        <w:t xml:space="preserve"> </w:t>
      </w:r>
      <w:r>
        <w:tab/>
        <w:t>Stellungnahme des EWSA „</w:t>
      </w:r>
      <w:r>
        <w:rPr>
          <w:i/>
        </w:rPr>
        <w:t>Der Übergang zu einer nachhaltigeren europäischen Zukunft – eine Strategie für 2050</w:t>
      </w:r>
      <w:r>
        <w:t xml:space="preserve">“, </w:t>
      </w:r>
      <w:hyperlink r:id="rId1" w:history="1">
        <w:r>
          <w:rPr>
            <w:rStyle w:val="Hyperlink"/>
          </w:rPr>
          <w:t>SC/47 EESC-2016-06805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CC" w:rsidRPr="001378B7" w:rsidRDefault="003B09CC" w:rsidP="0013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035A8D"/>
    <w:multiLevelType w:val="hybridMultilevel"/>
    <w:tmpl w:val="44667B26"/>
    <w:lvl w:ilvl="0" w:tplc="CFEC289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484"/>
    <w:multiLevelType w:val="hybridMultilevel"/>
    <w:tmpl w:val="94F855B0"/>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74D4D"/>
    <w:multiLevelType w:val="hybridMultilevel"/>
    <w:tmpl w:val="93A6E398"/>
    <w:lvl w:ilvl="0" w:tplc="F52C58C0">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D26CC"/>
    <w:multiLevelType w:val="hybridMultilevel"/>
    <w:tmpl w:val="1788410C"/>
    <w:lvl w:ilvl="0" w:tplc="EEDCF9E4">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913D2"/>
    <w:multiLevelType w:val="hybridMultilevel"/>
    <w:tmpl w:val="8C3A3050"/>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3716"/>
    <w:multiLevelType w:val="hybridMultilevel"/>
    <w:tmpl w:val="6B5630C6"/>
    <w:lvl w:ilvl="0" w:tplc="1F7AFC06">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FBC6CE1"/>
    <w:multiLevelType w:val="hybridMultilevel"/>
    <w:tmpl w:val="9C3E7106"/>
    <w:lvl w:ilvl="0" w:tplc="AA68D8BC">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A797E"/>
    <w:multiLevelType w:val="hybridMultilevel"/>
    <w:tmpl w:val="53AA3B98"/>
    <w:lvl w:ilvl="0" w:tplc="C62AC9A6">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962EB"/>
    <w:multiLevelType w:val="hybridMultilevel"/>
    <w:tmpl w:val="156C4EBE"/>
    <w:lvl w:ilvl="0" w:tplc="080C000F">
      <w:start w:val="1"/>
      <w:numFmt w:val="decimal"/>
      <w:lvlText w:val="%1."/>
      <w:lvlJc w:val="left"/>
      <w:pPr>
        <w:ind w:left="770" w:hanging="360"/>
      </w:pPr>
    </w:lvl>
    <w:lvl w:ilvl="1" w:tplc="080C0019" w:tentative="1">
      <w:start w:val="1"/>
      <w:numFmt w:val="lowerLetter"/>
      <w:lvlText w:val="%2."/>
      <w:lvlJc w:val="left"/>
      <w:pPr>
        <w:ind w:left="1490" w:hanging="360"/>
      </w:pPr>
    </w:lvl>
    <w:lvl w:ilvl="2" w:tplc="080C001B" w:tentative="1">
      <w:start w:val="1"/>
      <w:numFmt w:val="lowerRoman"/>
      <w:lvlText w:val="%3."/>
      <w:lvlJc w:val="right"/>
      <w:pPr>
        <w:ind w:left="2210" w:hanging="180"/>
      </w:pPr>
    </w:lvl>
    <w:lvl w:ilvl="3" w:tplc="080C000F" w:tentative="1">
      <w:start w:val="1"/>
      <w:numFmt w:val="decimal"/>
      <w:lvlText w:val="%4."/>
      <w:lvlJc w:val="left"/>
      <w:pPr>
        <w:ind w:left="2930" w:hanging="360"/>
      </w:pPr>
    </w:lvl>
    <w:lvl w:ilvl="4" w:tplc="080C0019" w:tentative="1">
      <w:start w:val="1"/>
      <w:numFmt w:val="lowerLetter"/>
      <w:lvlText w:val="%5."/>
      <w:lvlJc w:val="left"/>
      <w:pPr>
        <w:ind w:left="3650" w:hanging="360"/>
      </w:pPr>
    </w:lvl>
    <w:lvl w:ilvl="5" w:tplc="080C001B" w:tentative="1">
      <w:start w:val="1"/>
      <w:numFmt w:val="lowerRoman"/>
      <w:lvlText w:val="%6."/>
      <w:lvlJc w:val="right"/>
      <w:pPr>
        <w:ind w:left="4370" w:hanging="180"/>
      </w:pPr>
    </w:lvl>
    <w:lvl w:ilvl="6" w:tplc="080C000F" w:tentative="1">
      <w:start w:val="1"/>
      <w:numFmt w:val="decimal"/>
      <w:lvlText w:val="%7."/>
      <w:lvlJc w:val="left"/>
      <w:pPr>
        <w:ind w:left="5090" w:hanging="360"/>
      </w:pPr>
    </w:lvl>
    <w:lvl w:ilvl="7" w:tplc="080C0019" w:tentative="1">
      <w:start w:val="1"/>
      <w:numFmt w:val="lowerLetter"/>
      <w:lvlText w:val="%8."/>
      <w:lvlJc w:val="left"/>
      <w:pPr>
        <w:ind w:left="5810" w:hanging="360"/>
      </w:pPr>
    </w:lvl>
    <w:lvl w:ilvl="8" w:tplc="080C001B" w:tentative="1">
      <w:start w:val="1"/>
      <w:numFmt w:val="lowerRoman"/>
      <w:lvlText w:val="%9."/>
      <w:lvlJc w:val="right"/>
      <w:pPr>
        <w:ind w:left="6530" w:hanging="180"/>
      </w:pPr>
    </w:lvl>
  </w:abstractNum>
  <w:abstractNum w:abstractNumId="10"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1" w15:restartNumberingAfterBreak="0">
    <w:nsid w:val="5A3864F7"/>
    <w:multiLevelType w:val="hybridMultilevel"/>
    <w:tmpl w:val="0E9E099C"/>
    <w:lvl w:ilvl="0" w:tplc="1F7AFC06">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E3A2BFA"/>
    <w:multiLevelType w:val="hybridMultilevel"/>
    <w:tmpl w:val="C3148F4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3" w15:restartNumberingAfterBreak="0">
    <w:nsid w:val="62FA6787"/>
    <w:multiLevelType w:val="hybridMultilevel"/>
    <w:tmpl w:val="C456D19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7E4463"/>
    <w:multiLevelType w:val="hybridMultilevel"/>
    <w:tmpl w:val="996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77836"/>
    <w:multiLevelType w:val="hybridMultilevel"/>
    <w:tmpl w:val="EED05AE2"/>
    <w:lvl w:ilvl="0" w:tplc="DF2AF0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15"/>
  </w:num>
  <w:num w:numId="3">
    <w:abstractNumId w:val="13"/>
  </w:num>
  <w:num w:numId="4">
    <w:abstractNumId w:val="0"/>
  </w:num>
  <w:num w:numId="5">
    <w:abstractNumId w:val="6"/>
  </w:num>
  <w:num w:numId="6">
    <w:abstractNumId w:val="5"/>
  </w:num>
  <w:num w:numId="7">
    <w:abstractNumId w:val="11"/>
  </w:num>
  <w:num w:numId="8">
    <w:abstractNumId w:val="9"/>
  </w:num>
  <w:num w:numId="9">
    <w:abstractNumId w:val="0"/>
  </w:num>
  <w:num w:numId="10">
    <w:abstractNumId w:val="0"/>
  </w:num>
  <w:num w:numId="11">
    <w:abstractNumId w:val="0"/>
  </w:num>
  <w:num w:numId="12">
    <w:abstractNumId w:val="14"/>
  </w:num>
  <w:num w:numId="13">
    <w:abstractNumId w:val="12"/>
  </w:num>
  <w:num w:numId="14">
    <w:abstractNumId w:val="8"/>
  </w:num>
  <w:num w:numId="15">
    <w:abstractNumId w:val="3"/>
  </w:num>
  <w:num w:numId="16">
    <w:abstractNumId w:val="4"/>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0B9C"/>
    <w:rsid w:val="000115A9"/>
    <w:rsid w:val="000116A7"/>
    <w:rsid w:val="00011E48"/>
    <w:rsid w:val="00012842"/>
    <w:rsid w:val="00012B39"/>
    <w:rsid w:val="00013610"/>
    <w:rsid w:val="000138A1"/>
    <w:rsid w:val="000142E8"/>
    <w:rsid w:val="000147A4"/>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014"/>
    <w:rsid w:val="000273E0"/>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5E4E"/>
    <w:rsid w:val="00076077"/>
    <w:rsid w:val="00076839"/>
    <w:rsid w:val="00076AD3"/>
    <w:rsid w:val="000776E3"/>
    <w:rsid w:val="000807B6"/>
    <w:rsid w:val="00080B66"/>
    <w:rsid w:val="000814F6"/>
    <w:rsid w:val="00081813"/>
    <w:rsid w:val="000818D4"/>
    <w:rsid w:val="000821ED"/>
    <w:rsid w:val="00082546"/>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A1C"/>
    <w:rsid w:val="000967CA"/>
    <w:rsid w:val="00096999"/>
    <w:rsid w:val="000972D7"/>
    <w:rsid w:val="000974BF"/>
    <w:rsid w:val="00097F0D"/>
    <w:rsid w:val="000A0881"/>
    <w:rsid w:val="000A153D"/>
    <w:rsid w:val="000A2809"/>
    <w:rsid w:val="000A4202"/>
    <w:rsid w:val="000A5497"/>
    <w:rsid w:val="000A5BC9"/>
    <w:rsid w:val="000A62E2"/>
    <w:rsid w:val="000A63F9"/>
    <w:rsid w:val="000A6565"/>
    <w:rsid w:val="000A7A22"/>
    <w:rsid w:val="000B0103"/>
    <w:rsid w:val="000B06DA"/>
    <w:rsid w:val="000B1EEE"/>
    <w:rsid w:val="000B243F"/>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786D"/>
    <w:rsid w:val="0011021C"/>
    <w:rsid w:val="00110233"/>
    <w:rsid w:val="00110344"/>
    <w:rsid w:val="00111024"/>
    <w:rsid w:val="001126F6"/>
    <w:rsid w:val="001127C6"/>
    <w:rsid w:val="00113882"/>
    <w:rsid w:val="001138AF"/>
    <w:rsid w:val="001138B0"/>
    <w:rsid w:val="001139B3"/>
    <w:rsid w:val="001145FF"/>
    <w:rsid w:val="00114829"/>
    <w:rsid w:val="00114E69"/>
    <w:rsid w:val="00115082"/>
    <w:rsid w:val="001158DF"/>
    <w:rsid w:val="00115FAB"/>
    <w:rsid w:val="0011681E"/>
    <w:rsid w:val="00116CFB"/>
    <w:rsid w:val="00117CAA"/>
    <w:rsid w:val="00120CC5"/>
    <w:rsid w:val="0012165E"/>
    <w:rsid w:val="00122BBC"/>
    <w:rsid w:val="0012370B"/>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378B7"/>
    <w:rsid w:val="001400DB"/>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57F4"/>
    <w:rsid w:val="00165D90"/>
    <w:rsid w:val="00166045"/>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47A9"/>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200"/>
    <w:rsid w:val="002156FD"/>
    <w:rsid w:val="002159C5"/>
    <w:rsid w:val="00215DFB"/>
    <w:rsid w:val="0021639E"/>
    <w:rsid w:val="00216861"/>
    <w:rsid w:val="00217A33"/>
    <w:rsid w:val="00221123"/>
    <w:rsid w:val="00223339"/>
    <w:rsid w:val="002236A6"/>
    <w:rsid w:val="00224DE6"/>
    <w:rsid w:val="00224E75"/>
    <w:rsid w:val="002259C0"/>
    <w:rsid w:val="00226823"/>
    <w:rsid w:val="002276DD"/>
    <w:rsid w:val="0023002B"/>
    <w:rsid w:val="002300D9"/>
    <w:rsid w:val="00230EC2"/>
    <w:rsid w:val="00231FBA"/>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505"/>
    <w:rsid w:val="00247F50"/>
    <w:rsid w:val="00250267"/>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FF0"/>
    <w:rsid w:val="0027137C"/>
    <w:rsid w:val="002715CC"/>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31ED"/>
    <w:rsid w:val="002840ED"/>
    <w:rsid w:val="002843D9"/>
    <w:rsid w:val="002874D7"/>
    <w:rsid w:val="002903CB"/>
    <w:rsid w:val="002904FA"/>
    <w:rsid w:val="00290CFF"/>
    <w:rsid w:val="00291033"/>
    <w:rsid w:val="00291252"/>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B0640"/>
    <w:rsid w:val="002B10EE"/>
    <w:rsid w:val="002B2798"/>
    <w:rsid w:val="002B35D6"/>
    <w:rsid w:val="002B3DFB"/>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543"/>
    <w:rsid w:val="002D2A79"/>
    <w:rsid w:val="002D41A2"/>
    <w:rsid w:val="002D41B7"/>
    <w:rsid w:val="002D46DF"/>
    <w:rsid w:val="002D537A"/>
    <w:rsid w:val="002D6E86"/>
    <w:rsid w:val="002D73EF"/>
    <w:rsid w:val="002D750B"/>
    <w:rsid w:val="002D7CE0"/>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7D23"/>
    <w:rsid w:val="003002D3"/>
    <w:rsid w:val="00300C7E"/>
    <w:rsid w:val="0030110B"/>
    <w:rsid w:val="00301B43"/>
    <w:rsid w:val="003029D8"/>
    <w:rsid w:val="00302FF6"/>
    <w:rsid w:val="003033EF"/>
    <w:rsid w:val="00303C59"/>
    <w:rsid w:val="00303F2B"/>
    <w:rsid w:val="003048E7"/>
    <w:rsid w:val="00304E98"/>
    <w:rsid w:val="003052BA"/>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0F56"/>
    <w:rsid w:val="00371609"/>
    <w:rsid w:val="00371671"/>
    <w:rsid w:val="0037202C"/>
    <w:rsid w:val="00372D96"/>
    <w:rsid w:val="00374124"/>
    <w:rsid w:val="003749A0"/>
    <w:rsid w:val="00374C3D"/>
    <w:rsid w:val="003751D1"/>
    <w:rsid w:val="003759AE"/>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564"/>
    <w:rsid w:val="00395C7C"/>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9CC"/>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0AB"/>
    <w:rsid w:val="003B6610"/>
    <w:rsid w:val="003B7C07"/>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6E9E"/>
    <w:rsid w:val="003E75FE"/>
    <w:rsid w:val="003E7C25"/>
    <w:rsid w:val="003E7D0F"/>
    <w:rsid w:val="003F0686"/>
    <w:rsid w:val="003F09BC"/>
    <w:rsid w:val="003F10F3"/>
    <w:rsid w:val="003F1815"/>
    <w:rsid w:val="003F1D4E"/>
    <w:rsid w:val="003F2CD5"/>
    <w:rsid w:val="003F2F97"/>
    <w:rsid w:val="003F444D"/>
    <w:rsid w:val="003F4E00"/>
    <w:rsid w:val="003F4FF6"/>
    <w:rsid w:val="003F54C8"/>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9BD"/>
    <w:rsid w:val="00434AB9"/>
    <w:rsid w:val="00434C77"/>
    <w:rsid w:val="0043535D"/>
    <w:rsid w:val="004366A9"/>
    <w:rsid w:val="00436B3D"/>
    <w:rsid w:val="0043704F"/>
    <w:rsid w:val="00437933"/>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58D1"/>
    <w:rsid w:val="004A58E6"/>
    <w:rsid w:val="004A7356"/>
    <w:rsid w:val="004A737C"/>
    <w:rsid w:val="004A7405"/>
    <w:rsid w:val="004A7AEE"/>
    <w:rsid w:val="004A7C3A"/>
    <w:rsid w:val="004A7E85"/>
    <w:rsid w:val="004B03FA"/>
    <w:rsid w:val="004B05F5"/>
    <w:rsid w:val="004B063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6E55"/>
    <w:rsid w:val="004C745C"/>
    <w:rsid w:val="004C7B95"/>
    <w:rsid w:val="004C7F93"/>
    <w:rsid w:val="004D1092"/>
    <w:rsid w:val="004D1C6E"/>
    <w:rsid w:val="004D1F3E"/>
    <w:rsid w:val="004D5272"/>
    <w:rsid w:val="004D6922"/>
    <w:rsid w:val="004D6D5B"/>
    <w:rsid w:val="004E0268"/>
    <w:rsid w:val="004E0985"/>
    <w:rsid w:val="004E1536"/>
    <w:rsid w:val="004E16EC"/>
    <w:rsid w:val="004E1A80"/>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3686"/>
    <w:rsid w:val="00523996"/>
    <w:rsid w:val="00523E1D"/>
    <w:rsid w:val="005242A7"/>
    <w:rsid w:val="00524D31"/>
    <w:rsid w:val="00525911"/>
    <w:rsid w:val="00527F54"/>
    <w:rsid w:val="00530AAB"/>
    <w:rsid w:val="005312EA"/>
    <w:rsid w:val="00531900"/>
    <w:rsid w:val="005328D3"/>
    <w:rsid w:val="005329D4"/>
    <w:rsid w:val="00532E20"/>
    <w:rsid w:val="005332AC"/>
    <w:rsid w:val="00533654"/>
    <w:rsid w:val="00534B66"/>
    <w:rsid w:val="00534CC2"/>
    <w:rsid w:val="005358AC"/>
    <w:rsid w:val="005359C0"/>
    <w:rsid w:val="00535FFB"/>
    <w:rsid w:val="00537288"/>
    <w:rsid w:val="00537436"/>
    <w:rsid w:val="0054017F"/>
    <w:rsid w:val="0054168C"/>
    <w:rsid w:val="00541B87"/>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1D38"/>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32D7"/>
    <w:rsid w:val="0056359E"/>
    <w:rsid w:val="00564431"/>
    <w:rsid w:val="00565200"/>
    <w:rsid w:val="005654FB"/>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6D02"/>
    <w:rsid w:val="0057764D"/>
    <w:rsid w:val="00577829"/>
    <w:rsid w:val="005805C8"/>
    <w:rsid w:val="0058068C"/>
    <w:rsid w:val="00580A09"/>
    <w:rsid w:val="00581104"/>
    <w:rsid w:val="00581452"/>
    <w:rsid w:val="005815A0"/>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7C3"/>
    <w:rsid w:val="005E1D4E"/>
    <w:rsid w:val="005E26CF"/>
    <w:rsid w:val="005E27A6"/>
    <w:rsid w:val="005E32A3"/>
    <w:rsid w:val="005E3865"/>
    <w:rsid w:val="005E531B"/>
    <w:rsid w:val="005E5C72"/>
    <w:rsid w:val="005E6276"/>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39AA"/>
    <w:rsid w:val="00613AE4"/>
    <w:rsid w:val="006140BB"/>
    <w:rsid w:val="0061565F"/>
    <w:rsid w:val="006168EB"/>
    <w:rsid w:val="00616E48"/>
    <w:rsid w:val="006210CA"/>
    <w:rsid w:val="0062160F"/>
    <w:rsid w:val="006218B7"/>
    <w:rsid w:val="00621A10"/>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D71"/>
    <w:rsid w:val="0063636E"/>
    <w:rsid w:val="00636729"/>
    <w:rsid w:val="00637052"/>
    <w:rsid w:val="00637C45"/>
    <w:rsid w:val="00637DD7"/>
    <w:rsid w:val="006402C6"/>
    <w:rsid w:val="00640931"/>
    <w:rsid w:val="00640A24"/>
    <w:rsid w:val="00641880"/>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1997"/>
    <w:rsid w:val="00673A39"/>
    <w:rsid w:val="00674490"/>
    <w:rsid w:val="00675A3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59B9"/>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266"/>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FD1"/>
    <w:rsid w:val="006B5013"/>
    <w:rsid w:val="006B5E7F"/>
    <w:rsid w:val="006B6362"/>
    <w:rsid w:val="006B65B3"/>
    <w:rsid w:val="006B7240"/>
    <w:rsid w:val="006B754F"/>
    <w:rsid w:val="006B7B1B"/>
    <w:rsid w:val="006C15CE"/>
    <w:rsid w:val="006C1861"/>
    <w:rsid w:val="006C1926"/>
    <w:rsid w:val="006C28DC"/>
    <w:rsid w:val="006C29F2"/>
    <w:rsid w:val="006C2B5A"/>
    <w:rsid w:val="006C3E4F"/>
    <w:rsid w:val="006C4634"/>
    <w:rsid w:val="006C480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B65"/>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2EA"/>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68F"/>
    <w:rsid w:val="007738AC"/>
    <w:rsid w:val="00773CCB"/>
    <w:rsid w:val="0077423A"/>
    <w:rsid w:val="00774A10"/>
    <w:rsid w:val="00774ED8"/>
    <w:rsid w:val="00776E35"/>
    <w:rsid w:val="0077760B"/>
    <w:rsid w:val="00777C8D"/>
    <w:rsid w:val="00780E20"/>
    <w:rsid w:val="0078178B"/>
    <w:rsid w:val="0078187B"/>
    <w:rsid w:val="007818AB"/>
    <w:rsid w:val="00781CA3"/>
    <w:rsid w:val="00782A79"/>
    <w:rsid w:val="00782FDA"/>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52BE"/>
    <w:rsid w:val="007A57F4"/>
    <w:rsid w:val="007A62F8"/>
    <w:rsid w:val="007A6870"/>
    <w:rsid w:val="007A701C"/>
    <w:rsid w:val="007A7FE9"/>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662F"/>
    <w:rsid w:val="007C7E90"/>
    <w:rsid w:val="007D03DC"/>
    <w:rsid w:val="007D077A"/>
    <w:rsid w:val="007D0DD1"/>
    <w:rsid w:val="007D114B"/>
    <w:rsid w:val="007D135C"/>
    <w:rsid w:val="007D2670"/>
    <w:rsid w:val="007D291E"/>
    <w:rsid w:val="007D2AA2"/>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8D"/>
    <w:rsid w:val="00811934"/>
    <w:rsid w:val="00811B34"/>
    <w:rsid w:val="00811B49"/>
    <w:rsid w:val="00811CDA"/>
    <w:rsid w:val="00812D06"/>
    <w:rsid w:val="0081310F"/>
    <w:rsid w:val="00813D3C"/>
    <w:rsid w:val="008140C2"/>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48E7"/>
    <w:rsid w:val="008350EE"/>
    <w:rsid w:val="00835A8F"/>
    <w:rsid w:val="0083618B"/>
    <w:rsid w:val="008367AC"/>
    <w:rsid w:val="00837133"/>
    <w:rsid w:val="00837629"/>
    <w:rsid w:val="00837647"/>
    <w:rsid w:val="008405A0"/>
    <w:rsid w:val="00840A6E"/>
    <w:rsid w:val="00841454"/>
    <w:rsid w:val="00841D17"/>
    <w:rsid w:val="008421A1"/>
    <w:rsid w:val="00842653"/>
    <w:rsid w:val="008429E8"/>
    <w:rsid w:val="00843690"/>
    <w:rsid w:val="00843DF6"/>
    <w:rsid w:val="00844536"/>
    <w:rsid w:val="00845BBE"/>
    <w:rsid w:val="008469C3"/>
    <w:rsid w:val="00847378"/>
    <w:rsid w:val="00847AAF"/>
    <w:rsid w:val="00850E12"/>
    <w:rsid w:val="00851487"/>
    <w:rsid w:val="008524D0"/>
    <w:rsid w:val="00852878"/>
    <w:rsid w:val="00853046"/>
    <w:rsid w:val="008535EF"/>
    <w:rsid w:val="008549CE"/>
    <w:rsid w:val="00854C6E"/>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399B"/>
    <w:rsid w:val="0091453E"/>
    <w:rsid w:val="00915485"/>
    <w:rsid w:val="009159A0"/>
    <w:rsid w:val="00915C4E"/>
    <w:rsid w:val="00915EB8"/>
    <w:rsid w:val="00916A2C"/>
    <w:rsid w:val="00916ADD"/>
    <w:rsid w:val="009177C9"/>
    <w:rsid w:val="00917932"/>
    <w:rsid w:val="009205D4"/>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41D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2A13"/>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DFF"/>
    <w:rsid w:val="009A0224"/>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0437"/>
    <w:rsid w:val="009C1289"/>
    <w:rsid w:val="009C1E47"/>
    <w:rsid w:val="009C3C3E"/>
    <w:rsid w:val="009C48A3"/>
    <w:rsid w:val="009C4B4E"/>
    <w:rsid w:val="009C6421"/>
    <w:rsid w:val="009C6C65"/>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5CE"/>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38D"/>
    <w:rsid w:val="009F58A3"/>
    <w:rsid w:val="009F6C6B"/>
    <w:rsid w:val="009F7736"/>
    <w:rsid w:val="009F7EDF"/>
    <w:rsid w:val="00A000B4"/>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BDD"/>
    <w:rsid w:val="00A75573"/>
    <w:rsid w:val="00A75D34"/>
    <w:rsid w:val="00A75E87"/>
    <w:rsid w:val="00A76812"/>
    <w:rsid w:val="00A76B23"/>
    <w:rsid w:val="00A7752A"/>
    <w:rsid w:val="00A80AAC"/>
    <w:rsid w:val="00A81584"/>
    <w:rsid w:val="00A81894"/>
    <w:rsid w:val="00A82A64"/>
    <w:rsid w:val="00A8341A"/>
    <w:rsid w:val="00A83B69"/>
    <w:rsid w:val="00A84237"/>
    <w:rsid w:val="00A84BEB"/>
    <w:rsid w:val="00A8626B"/>
    <w:rsid w:val="00A86405"/>
    <w:rsid w:val="00A86A1B"/>
    <w:rsid w:val="00A86D47"/>
    <w:rsid w:val="00A91E1F"/>
    <w:rsid w:val="00A92296"/>
    <w:rsid w:val="00A9340A"/>
    <w:rsid w:val="00A9427C"/>
    <w:rsid w:val="00A944F3"/>
    <w:rsid w:val="00A9528B"/>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5EC5"/>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393"/>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59FE"/>
    <w:rsid w:val="00B26A6C"/>
    <w:rsid w:val="00B274CC"/>
    <w:rsid w:val="00B27D22"/>
    <w:rsid w:val="00B31513"/>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5D48"/>
    <w:rsid w:val="00B561BF"/>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50B4"/>
    <w:rsid w:val="00B758A2"/>
    <w:rsid w:val="00B75A56"/>
    <w:rsid w:val="00B75A7B"/>
    <w:rsid w:val="00B7640B"/>
    <w:rsid w:val="00B77130"/>
    <w:rsid w:val="00B77B0A"/>
    <w:rsid w:val="00B77E9D"/>
    <w:rsid w:val="00B77EB1"/>
    <w:rsid w:val="00B80223"/>
    <w:rsid w:val="00B811E0"/>
    <w:rsid w:val="00B811EC"/>
    <w:rsid w:val="00B8183A"/>
    <w:rsid w:val="00B81ED2"/>
    <w:rsid w:val="00B820D4"/>
    <w:rsid w:val="00B822F3"/>
    <w:rsid w:val="00B82F3D"/>
    <w:rsid w:val="00B83060"/>
    <w:rsid w:val="00B832BA"/>
    <w:rsid w:val="00B83530"/>
    <w:rsid w:val="00B8364A"/>
    <w:rsid w:val="00B84123"/>
    <w:rsid w:val="00B857C0"/>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234D"/>
    <w:rsid w:val="00BB3FB2"/>
    <w:rsid w:val="00BB43D3"/>
    <w:rsid w:val="00BB4A59"/>
    <w:rsid w:val="00BB4D94"/>
    <w:rsid w:val="00BB5370"/>
    <w:rsid w:val="00BB6031"/>
    <w:rsid w:val="00BB64B0"/>
    <w:rsid w:val="00BB65C4"/>
    <w:rsid w:val="00BB6F7D"/>
    <w:rsid w:val="00BB7B9D"/>
    <w:rsid w:val="00BC1694"/>
    <w:rsid w:val="00BC1B61"/>
    <w:rsid w:val="00BC1E07"/>
    <w:rsid w:val="00BC2362"/>
    <w:rsid w:val="00BC2853"/>
    <w:rsid w:val="00BC33D4"/>
    <w:rsid w:val="00BC41AC"/>
    <w:rsid w:val="00BC4431"/>
    <w:rsid w:val="00BC4B7F"/>
    <w:rsid w:val="00BC5473"/>
    <w:rsid w:val="00BC579E"/>
    <w:rsid w:val="00BC6E2E"/>
    <w:rsid w:val="00BC7DE7"/>
    <w:rsid w:val="00BD097C"/>
    <w:rsid w:val="00BD0BD7"/>
    <w:rsid w:val="00BD210E"/>
    <w:rsid w:val="00BD2639"/>
    <w:rsid w:val="00BD37E2"/>
    <w:rsid w:val="00BD3955"/>
    <w:rsid w:val="00BD4CC9"/>
    <w:rsid w:val="00BD4EB5"/>
    <w:rsid w:val="00BD5B6F"/>
    <w:rsid w:val="00BD620F"/>
    <w:rsid w:val="00BD7B35"/>
    <w:rsid w:val="00BD7BF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683B"/>
    <w:rsid w:val="00BF688B"/>
    <w:rsid w:val="00BF69EB"/>
    <w:rsid w:val="00BF7129"/>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E96"/>
    <w:rsid w:val="00C64256"/>
    <w:rsid w:val="00C64815"/>
    <w:rsid w:val="00C64A18"/>
    <w:rsid w:val="00C64C12"/>
    <w:rsid w:val="00C64DB4"/>
    <w:rsid w:val="00C66738"/>
    <w:rsid w:val="00C66947"/>
    <w:rsid w:val="00C669CC"/>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1D"/>
    <w:rsid w:val="00C97143"/>
    <w:rsid w:val="00C97377"/>
    <w:rsid w:val="00C97587"/>
    <w:rsid w:val="00C97992"/>
    <w:rsid w:val="00C97B34"/>
    <w:rsid w:val="00CA1211"/>
    <w:rsid w:val="00CA1241"/>
    <w:rsid w:val="00CA18F8"/>
    <w:rsid w:val="00CA1941"/>
    <w:rsid w:val="00CA3114"/>
    <w:rsid w:val="00CA3753"/>
    <w:rsid w:val="00CA3D9A"/>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E6A"/>
    <w:rsid w:val="00CC2BF3"/>
    <w:rsid w:val="00CC3544"/>
    <w:rsid w:val="00CC3E39"/>
    <w:rsid w:val="00CC4171"/>
    <w:rsid w:val="00CC4385"/>
    <w:rsid w:val="00CC49A2"/>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679"/>
    <w:rsid w:val="00CE27BF"/>
    <w:rsid w:val="00CE2C0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9B9"/>
    <w:rsid w:val="00D6430D"/>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21B2"/>
    <w:rsid w:val="00DC2440"/>
    <w:rsid w:val="00DC27C5"/>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D79"/>
    <w:rsid w:val="00DF4971"/>
    <w:rsid w:val="00DF4AFC"/>
    <w:rsid w:val="00DF54F5"/>
    <w:rsid w:val="00DF6481"/>
    <w:rsid w:val="00DF76D7"/>
    <w:rsid w:val="00DF776E"/>
    <w:rsid w:val="00DF7C95"/>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5BE"/>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4FEF"/>
    <w:rsid w:val="00E3526B"/>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6C1"/>
    <w:rsid w:val="00E51A34"/>
    <w:rsid w:val="00E5224F"/>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F60"/>
    <w:rsid w:val="00ED143E"/>
    <w:rsid w:val="00ED21E4"/>
    <w:rsid w:val="00ED254B"/>
    <w:rsid w:val="00ED2941"/>
    <w:rsid w:val="00ED57C4"/>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1712B"/>
    <w:rsid w:val="00F2049E"/>
    <w:rsid w:val="00F215A9"/>
    <w:rsid w:val="00F21A6E"/>
    <w:rsid w:val="00F22142"/>
    <w:rsid w:val="00F2226F"/>
    <w:rsid w:val="00F2269F"/>
    <w:rsid w:val="00F226CE"/>
    <w:rsid w:val="00F2381C"/>
    <w:rsid w:val="00F23BB1"/>
    <w:rsid w:val="00F24CCC"/>
    <w:rsid w:val="00F25C93"/>
    <w:rsid w:val="00F26500"/>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4FF5"/>
    <w:rsid w:val="00F56EEB"/>
    <w:rsid w:val="00F56FC3"/>
    <w:rsid w:val="00F5728B"/>
    <w:rsid w:val="00F600F8"/>
    <w:rsid w:val="00F60E3D"/>
    <w:rsid w:val="00F61B63"/>
    <w:rsid w:val="00F61E0A"/>
    <w:rsid w:val="00F62030"/>
    <w:rsid w:val="00F62033"/>
    <w:rsid w:val="00F622A7"/>
    <w:rsid w:val="00F638D7"/>
    <w:rsid w:val="00F6430A"/>
    <w:rsid w:val="00F649C3"/>
    <w:rsid w:val="00F671B2"/>
    <w:rsid w:val="00F672FE"/>
    <w:rsid w:val="00F673C4"/>
    <w:rsid w:val="00F7022D"/>
    <w:rsid w:val="00F705D5"/>
    <w:rsid w:val="00F70FF1"/>
    <w:rsid w:val="00F70FFA"/>
    <w:rsid w:val="00F71A9C"/>
    <w:rsid w:val="00F728F6"/>
    <w:rsid w:val="00F73740"/>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4E5C"/>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3BD"/>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76A3"/>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D3F5ED0"/>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F9"/>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E59F9"/>
    <w:pPr>
      <w:numPr>
        <w:numId w:val="4"/>
      </w:numPr>
      <w:outlineLvl w:val="0"/>
    </w:pPr>
    <w:rPr>
      <w:kern w:val="28"/>
    </w:rPr>
  </w:style>
  <w:style w:type="paragraph" w:styleId="Heading2">
    <w:name w:val="heading 2"/>
    <w:aliases w:val=" Char"/>
    <w:basedOn w:val="Normal"/>
    <w:next w:val="Normal"/>
    <w:link w:val="Heading2Char"/>
    <w:qFormat/>
    <w:rsid w:val="00FE59F9"/>
    <w:pPr>
      <w:numPr>
        <w:ilvl w:val="1"/>
        <w:numId w:val="4"/>
      </w:numPr>
      <w:outlineLvl w:val="1"/>
    </w:pPr>
  </w:style>
  <w:style w:type="paragraph" w:styleId="Heading3">
    <w:name w:val="heading 3"/>
    <w:basedOn w:val="Normal"/>
    <w:next w:val="Normal"/>
    <w:link w:val="Heading3Char"/>
    <w:qFormat/>
    <w:rsid w:val="00FE59F9"/>
    <w:pPr>
      <w:numPr>
        <w:ilvl w:val="2"/>
        <w:numId w:val="4"/>
      </w:numPr>
      <w:ind w:left="567" w:hanging="567"/>
      <w:outlineLvl w:val="2"/>
    </w:pPr>
  </w:style>
  <w:style w:type="paragraph" w:styleId="Heading4">
    <w:name w:val="heading 4"/>
    <w:basedOn w:val="Normal"/>
    <w:next w:val="Normal"/>
    <w:link w:val="Heading4Char"/>
    <w:qFormat/>
    <w:rsid w:val="00FE59F9"/>
    <w:pPr>
      <w:numPr>
        <w:ilvl w:val="3"/>
        <w:numId w:val="4"/>
      </w:numPr>
      <w:ind w:left="567" w:hanging="567"/>
      <w:outlineLvl w:val="3"/>
    </w:pPr>
  </w:style>
  <w:style w:type="paragraph" w:styleId="Heading5">
    <w:name w:val="heading 5"/>
    <w:basedOn w:val="Normal"/>
    <w:next w:val="Normal"/>
    <w:link w:val="Heading5Char"/>
    <w:qFormat/>
    <w:rsid w:val="00FE59F9"/>
    <w:pPr>
      <w:numPr>
        <w:ilvl w:val="4"/>
        <w:numId w:val="4"/>
      </w:numPr>
      <w:ind w:left="567" w:hanging="567"/>
      <w:outlineLvl w:val="4"/>
    </w:pPr>
  </w:style>
  <w:style w:type="paragraph" w:styleId="Heading6">
    <w:name w:val="heading 6"/>
    <w:basedOn w:val="Normal"/>
    <w:next w:val="Normal"/>
    <w:link w:val="Heading6Char"/>
    <w:qFormat/>
    <w:rsid w:val="00FE59F9"/>
    <w:pPr>
      <w:numPr>
        <w:ilvl w:val="5"/>
        <w:numId w:val="4"/>
      </w:numPr>
      <w:ind w:left="567" w:hanging="567"/>
      <w:outlineLvl w:val="5"/>
    </w:pPr>
  </w:style>
  <w:style w:type="paragraph" w:styleId="Heading7">
    <w:name w:val="heading 7"/>
    <w:basedOn w:val="Normal"/>
    <w:next w:val="Normal"/>
    <w:link w:val="Heading7Char"/>
    <w:qFormat/>
    <w:rsid w:val="00FE59F9"/>
    <w:pPr>
      <w:numPr>
        <w:ilvl w:val="6"/>
        <w:numId w:val="4"/>
      </w:numPr>
      <w:ind w:left="567" w:hanging="567"/>
      <w:outlineLvl w:val="6"/>
    </w:pPr>
  </w:style>
  <w:style w:type="paragraph" w:styleId="Heading8">
    <w:name w:val="heading 8"/>
    <w:basedOn w:val="Normal"/>
    <w:next w:val="Normal"/>
    <w:link w:val="Heading8Char"/>
    <w:qFormat/>
    <w:rsid w:val="00FE59F9"/>
    <w:pPr>
      <w:numPr>
        <w:ilvl w:val="7"/>
        <w:numId w:val="4"/>
      </w:numPr>
      <w:ind w:left="567" w:hanging="567"/>
      <w:outlineLvl w:val="7"/>
    </w:pPr>
  </w:style>
  <w:style w:type="paragraph" w:styleId="Heading9">
    <w:name w:val="heading 9"/>
    <w:basedOn w:val="Normal"/>
    <w:next w:val="Normal"/>
    <w:link w:val="Heading9Char"/>
    <w:qFormat/>
    <w:rsid w:val="00FE59F9"/>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e-D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e-D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e-D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e-D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e-D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e-D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e-D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e-D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e-DE" w:eastAsia="en-US" w:bidi="ar-SA"/>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
    <w:basedOn w:val="Normal"/>
    <w:link w:val="FootnoteTextChar"/>
    <w:qFormat/>
    <w:rsid w:val="00FE59F9"/>
    <w:pPr>
      <w:keepLines/>
      <w:spacing w:after="60" w:line="240" w:lineRule="auto"/>
      <w:ind w:left="567" w:hanging="567"/>
    </w:pPr>
    <w:rPr>
      <w:sz w:val="16"/>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qFormat/>
    <w:locked/>
    <w:rsid w:val="003B283B"/>
    <w:rPr>
      <w:rFonts w:ascii="Times New Roman" w:hAnsi="Times New Roman"/>
      <w:sz w:val="16"/>
      <w:szCs w:val="22"/>
      <w:lang w:val="de-DE" w:eastAsia="en-US" w:bidi="ar-SA"/>
    </w:rPr>
  </w:style>
  <w:style w:type="paragraph" w:styleId="Header">
    <w:name w:val="header"/>
    <w:basedOn w:val="Normal"/>
    <w:link w:val="HeaderChar"/>
    <w:qFormat/>
    <w:rsid w:val="00FE59F9"/>
  </w:style>
  <w:style w:type="character" w:customStyle="1" w:styleId="HeaderChar">
    <w:name w:val="Header Char"/>
    <w:basedOn w:val="DefaultParagraphFont"/>
    <w:link w:val="Header"/>
    <w:locked/>
    <w:rsid w:val="003B283B"/>
    <w:rPr>
      <w:rFonts w:ascii="Times New Roman" w:hAnsi="Times New Roman"/>
      <w:sz w:val="22"/>
      <w:szCs w:val="22"/>
      <w:lang w:val="de-D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de-DE" w:eastAsia="en-US" w:bidi="ar-SA"/>
    </w:rPr>
  </w:style>
  <w:style w:type="paragraph" w:styleId="Footer">
    <w:name w:val="footer"/>
    <w:basedOn w:val="Normal"/>
    <w:link w:val="FooterChar"/>
    <w:qFormat/>
    <w:locked/>
    <w:rsid w:val="00FE59F9"/>
  </w:style>
  <w:style w:type="character" w:customStyle="1" w:styleId="FooterChar">
    <w:name w:val="Footer Char"/>
    <w:basedOn w:val="DefaultParagraphFont"/>
    <w:link w:val="Footer"/>
    <w:rsid w:val="0036522E"/>
    <w:rPr>
      <w:rFonts w:ascii="Times New Roman" w:hAnsi="Times New Roman"/>
      <w:sz w:val="22"/>
      <w:szCs w:val="22"/>
      <w:lang w:val="de-DE"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unhideWhenUsed/>
    <w:qFormat/>
    <w:locked/>
    <w:rsid w:val="00FE59F9"/>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E59F9"/>
    <w:pPr>
      <w:ind w:left="720"/>
    </w:pPr>
    <w:rPr>
      <w:i/>
    </w:rPr>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de-DE"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de-DE"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de-DE"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de-DE" w:eastAsia="en-US" w:bidi="ar-SA"/>
    </w:rPr>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de-DE" w:eastAsia="en-US" w:bidi="ar-SA"/>
    </w:rPr>
  </w:style>
  <w:style w:type="paragraph" w:customStyle="1" w:styleId="TitleStyle">
    <w:name w:val="Title Style"/>
    <w:uiPriority w:val="99"/>
    <w:rsid w:val="00AB0BCE"/>
    <w:pPr>
      <w:widowControl w:val="0"/>
      <w:autoSpaceDE w:val="0"/>
      <w:autoSpaceDN w:val="0"/>
      <w:adjustRightInd w:val="0"/>
    </w:pPr>
    <w:rPr>
      <w:rFonts w:ascii="Arial" w:eastAsiaTheme="minorEastAsia" w:hAnsi="Arial" w:cs="Arial"/>
      <w:b/>
      <w:bCs/>
      <w:color w:val="404040"/>
      <w:lang w:bidi="ar-SA"/>
    </w:rPr>
  </w:style>
  <w:style w:type="character" w:customStyle="1" w:styleId="normal--char">
    <w:name w:val="normal--char"/>
    <w:basedOn w:val="DefaultParagraphFont"/>
    <w:rsid w:val="0053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triin.aasmaa@eesc.europa.eu" TargetMode="External"/><Relationship Id="rId26" Type="http://schemas.openxmlformats.org/officeDocument/2006/relationships/hyperlink" Target="mailto:Conrad.Ganslandt@eesc.europa.eu" TargetMode="External"/><Relationship Id="rId39" Type="http://schemas.openxmlformats.org/officeDocument/2006/relationships/footer" Target="footer3.xml"/><Relationship Id="rId21" Type="http://schemas.openxmlformats.org/officeDocument/2006/relationships/hyperlink" Target="mailto:Monica.Guarinoni@eesc.europa.eu" TargetMode="External"/><Relationship Id="rId34" Type="http://schemas.openxmlformats.org/officeDocument/2006/relationships/hyperlink" Target="mailto:Agota.Bazsik@eesc.europa.eu"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dalila.bernard@eesc.europa.eu" TargetMode="External"/><Relationship Id="rId20" Type="http://schemas.openxmlformats.org/officeDocument/2006/relationships/hyperlink" Target="mailto:Stella.Bro&#380;ekEveraert@eesc.europa.eu" TargetMode="External"/><Relationship Id="rId29" Type="http://schemas.openxmlformats.org/officeDocument/2006/relationships/hyperlink" Target="mailto:Agota.Bazsik@eesc.europa.eu" TargetMode="External"/><Relationship Id="rId41" Type="http://schemas.openxmlformats.org/officeDocument/2006/relationships/footer" Target="footer4.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nrad.Ganslandt@eesc.europa.eu" TargetMode="External"/><Relationship Id="rId32" Type="http://schemas.openxmlformats.org/officeDocument/2006/relationships/hyperlink" Target="mailto:Agota.Bazsik@eesc.europa.e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yperlink" Target="mailto:Silvia.Staffa@eesc.europa.eu" TargetMode="External"/><Relationship Id="rId23" Type="http://schemas.openxmlformats.org/officeDocument/2006/relationships/hyperlink" Target="mailto:Conrad.Ganslandt@eesc.europa.eu" TargetMode="External"/><Relationship Id="rId28" Type="http://schemas.openxmlformats.org/officeDocument/2006/relationships/hyperlink" Target="mailto:Alessandro.Rizzi@eesc.europa.e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nna.Cameron@eesc.europa.eu" TargetMode="External"/><Relationship Id="rId31" Type="http://schemas.openxmlformats.org/officeDocument/2006/relationships/hyperlink" Target="mailto:Agota.Bazsik@eesc.europa.eu" TargetMode="External"/><Relationship Id="rId44"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na.Cameron@eesc.europa.eu" TargetMode="External"/><Relationship Id="rId27" Type="http://schemas.openxmlformats.org/officeDocument/2006/relationships/hyperlink" Target="mailto:Alessandro.Rizzi@eesc.europa.eu" TargetMode="External"/><Relationship Id="rId30" Type="http://schemas.openxmlformats.org/officeDocument/2006/relationships/hyperlink" Target="mailto:Agota.Bazsik@eesc.europa.eu" TargetMode="External"/><Relationship Id="rId35" Type="http://schemas.openxmlformats.org/officeDocument/2006/relationships/hyperlink" Target="mailto:Andreas.Berger@eesc.europa.eu" TargetMode="External"/><Relationship Id="rId43" Type="http://schemas.openxmlformats.org/officeDocument/2006/relationships/theme" Target="theme/theme1.xml"/><Relationship Id="rId8" Type="http://schemas.openxmlformats.org/officeDocument/2006/relationships/webSettings" Target="webSettings.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hyperlink" Target="mailto:alexander.alexandrov@eesc.europa.eu" TargetMode="External"/><Relationship Id="rId25" Type="http://schemas.openxmlformats.org/officeDocument/2006/relationships/hyperlink" Target="mailto:Conrad.Ganslandt@eesc.europa.eu" TargetMode="External"/><Relationship Id="rId33" Type="http://schemas.openxmlformats.org/officeDocument/2006/relationships/hyperlink" Target="mailto:Agota.Bazsik@eesc.europa.eu" TargetMode="External"/><Relationship Id="rId38" Type="http://schemas.openxmlformats.org/officeDocument/2006/relationships/footer" Target="footer2.xml"/><Relationship Id="rId46"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de/our-work/opinions-information-reports/opinions/transition-towards-more-sustainable-european-future-strategy-2050-own-initiative-opinion"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VV634QRNENMJ-2141480542-8934</_dlc_DocId>
    <_dlc_DocIdUrl xmlns="cda99570-6012-4083-bfeb-7d32ad1ce1a3">
      <Url>http://dm2016/eesc/2020/_layouts/15/DocIdRedir.aspx?ID=VV634QRNENMJ-2141480542-8934</Url>
      <Description>VV634QRNENMJ-2141480542-8934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2021-02-22T12:00:00+00:00</ProductionDate>
    <FicheYear xmlns="cda99570-6012-4083-bfeb-7d32ad1ce1a3">2020</FicheYear>
    <DocumentNumber xmlns="de9c580c-2aa5-4762-938d-521e4861f44f">5647</DocumentNumber>
    <DocumentVersion xmlns="cda99570-6012-4083-bfeb-7d32ad1ce1a3">3</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2021-02-24T12:00:00+00:00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2518</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B6FAB86D-7CE1-4823-B2C8-C7A3E9892A0F}"/>
</file>

<file path=customXml/itemProps2.xml><?xml version="1.0" encoding="utf-8"?>
<ds:datastoreItem xmlns:ds="http://schemas.openxmlformats.org/officeDocument/2006/customXml" ds:itemID="{2BDB2A97-2677-4E3A-B484-8D33EF0B21E9}"/>
</file>

<file path=customXml/itemProps3.xml><?xml version="1.0" encoding="utf-8"?>
<ds:datastoreItem xmlns:ds="http://schemas.openxmlformats.org/officeDocument/2006/customXml" ds:itemID="{3FC14DD7-135D-40E2-94C7-3CB51B76172B}"/>
</file>

<file path=customXml/itemProps4.xml><?xml version="1.0" encoding="utf-8"?>
<ds:datastoreItem xmlns:ds="http://schemas.openxmlformats.org/officeDocument/2006/customXml" ds:itemID="{E9C92FCB-5209-4EA0-9092-5D4C23F1666A}"/>
</file>

<file path=docProps/app.xml><?xml version="1.0" encoding="utf-8"?>
<Properties xmlns="http://schemas.openxmlformats.org/officeDocument/2006/extended-properties" xmlns:vt="http://schemas.openxmlformats.org/officeDocument/2006/docPropsVTypes">
  <Template>Styles.dotm</Template>
  <TotalTime>23</TotalTime>
  <Pages>19</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Summary of Opinions adopted, 557th plenary session on 27-28 January 2021</vt:lpstr>
    </vt:vector>
  </TitlesOfParts>
  <Company>CESE-CdR</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über die verabschiedeten Stellungnahmen, 557. Plenartagung vom 27./28. Januar 2021</dc:title>
  <dc:subject>Beratende Arbeiten/Verschiedenes</dc:subject>
  <dc:creator>Marcos Jaime Tornin</dc:creator>
  <cp:keywords>EESC-2020-05647-00-03-TCD-TRA-EN</cp:keywords>
  <dc:description>Rapporteur:  - Original language: EN - Date of document: 22/02/2021 - Date of meeting: 24/02/2021 - External documents:  - Administrator:  DEGIORGIO Reuben</dc:description>
  <cp:lastModifiedBy>Jonnek Holger</cp:lastModifiedBy>
  <cp:revision>8</cp:revision>
  <cp:lastPrinted>2021-02-16T15:37:00Z</cp:lastPrinted>
  <dcterms:created xsi:type="dcterms:W3CDTF">2021-02-22T09:39:00Z</dcterms:created>
  <dcterms:modified xsi:type="dcterms:W3CDTF">2021-02-22T13:36:00Z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22/02/2021, 18/02/2021, 17/02/2021, 10/02/2021, 17/12/2020, 27/11/2020, 04/11/2020, 02/10/2020, 31/07/2020, 10/07/2020, 05/06/2020, 17/12/2019, 23/07/2019, 19/07/2019, 27/06/2019, 05/06/2019, 03/05/2019, 13/12/2018, 09/11/2018, 12/07/2018, 23/05/2018, 13/</vt:lpwstr>
  </property>
  <property fmtid="{D5CDD505-2E9C-101B-9397-08002B2CF9AE}" pid="4" name="Pref_Time">
    <vt:lpwstr>10:39:29, 17:44:54, 16:19:36, 11:26:46, 09:27:11, 16:11:50, 14:44:22, 08:37:38, 09:41:41, 09:57:56, 16:00:49, 12:32:46, 14:11:10, 11:32:00, 12:00:39, 16:39:54, 14:43:22, 11:27:48, 09:10:15, 14:45:38, 09:50:08, 13:54:15, 10:33:11, 11:57:02, 15:31:00, 09:45</vt:lpwstr>
  </property>
  <property fmtid="{D5CDD505-2E9C-101B-9397-08002B2CF9AE}" pid="5" name="Pref_User">
    <vt:lpwstr>hnic, hnic, hnic, amett, enied, amett, enied, hnic, hnic, hnic, hnic, amett, enied, enied, amett, amett, enied, enied, amett, enied, hnic, mreg, jhvi, mkop, hnic, mkop, amett, jhvi, amett, tvoc, tvoc, tvoc, amett, hnic, mreg, mreg, enied, mreg, jhvi, tvoc</vt:lpwstr>
  </property>
  <property fmtid="{D5CDD505-2E9C-101B-9397-08002B2CF9AE}" pid="6" name="Pref_FileName">
    <vt:lpwstr>EESC-2020-05647-00-03-TCD-ORI.docx, EESC-2020-05647-00-02-TCD-ORI.docx, EESC-2020-05647-00-01-TCD-ORI.docx, EESC-2020-05647-00-00-TCD-ORI.docx, EESC-2020-04882-00-01-TCD-ORI.docx, EESC-2020-04882-00-00-TCD-ORI.docx, EESC-2020-04079-00-00-TCD-ORI.docx, EES</vt:lpwstr>
  </property>
  <property fmtid="{D5CDD505-2E9C-101B-9397-08002B2CF9AE}" pid="7" name="ContentTypeId">
    <vt:lpwstr>0x010100EA97B91038054C99906057A708A1480A0076B3A83997D445469E673E9B07871DA8</vt:lpwstr>
  </property>
  <property fmtid="{D5CDD505-2E9C-101B-9397-08002B2CF9AE}" pid="8" name="_dlc_DocIdItemGuid">
    <vt:lpwstr>a8932c49-54ad-49f0-8603-738862231cb1</vt:lpwstr>
  </property>
  <property fmtid="{D5CDD505-2E9C-101B-9397-08002B2CF9AE}" pid="9" name="AvailableTranslations">
    <vt:lpwstr>32;#DA|5d49c027-8956-412b-aa16-e85a0f96ad0e;#46;#SK|46d9fce0-ef79-4f71-b89b-cd6aa82426b8;#47;#ET|ff6c3f4c-b02c-4c3c-ab07-2c37995a7a0a;#45;#FI|87606a43-d45f-42d6-b8c9-e1a3457db5b7;#43;#HR|2f555653-ed1a-4fe6-8362-9082d95989e5;#39;#HU|6b229040-c589-4408-b4c1-4285663d20a8;#30;#LT|a7ff5ce7-6123-4f68-865a-a57c31810414;#11;#FR|d2afafd3-4c81-4f60-8f52-ee33f2f54ff3;#13;#IT|0774613c-01ed-4e5d-a25d-11d2388de825;#31;#CS|72f9705b-0217-4fd3-bea2-cbc7ed80e26e;#24;#LV|46f7e311-5d9f-4663-b433-18aeccb7ace7;#10;#DE|f6b31e5a-26fa-4935-b661-318e46daf27e;#41;#NL|55c6556c-b4f4-441d-9acf-c498d4f838bd;#40;#SV|c2ed69e7-a339-43d7-8f22-d93680a92aa0;#34;#SL|98a412ae-eb01-49e9-ae3d-585a81724cfc;#4;#EN|f2175f21-25d7-44a3-96da-d6a61b075e1b;#29;#PT|50ccc04a-eadd-42ae-a0cb-acaf45f812ba;#16;#ES|e7a6b05b-ae16-40c8-add9-68b64b03aeba;#48;#RO|feb747a2-64cd-4299-af12-4833ddc30497;#9;#PL|1e03da61-4678-4e07-b136-b5024ca9197b;#38;#EL|6d4f4d51-af9b-4650-94b4-4276bee85c91;#44;#BG|1a1b3951-7821-4e6a-85f5-5673fc08bd2c</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5647</vt:i4>
  </property>
  <property fmtid="{D5CDD505-2E9C-101B-9397-08002B2CF9AE}" pid="14" name="FicheYear">
    <vt:i4>2020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2021-02-24T12:00:00Z</vt:filetime>
  </property>
  <property fmtid="{D5CDD505-2E9C-101B-9397-08002B2CF9AE}" pid="29" name="AvailableTranslations_0">
    <vt:lpwstr>HU|6b229040-c589-4408-b4c1-4285663d20a8;EN|f2175f21-25d7-44a3-96da-d6a61b075e1b;PL|1e03da61-4678-4e07-b136-b5024ca9197b;EL|6d4f4d51-af9b-4650-94b4-4276bee85c91</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38;#EL|6d4f4d51-af9b-4650-94b4-4276bee85c91;#39;#HU|6b229040-c589-4408-b4c1-4285663d20a8;#8;#TCD|cd9d6eb6-3f4f-424a-b2d1-57c9d450eaaf;#6;#Final|ea5e6674-7b27-4bac-b091-73adbb394efe;#5;#Unrestricted|826e22d7-d029-4ec0-a450-0c28ff673572;#4;#EN|f2175f21-25d7-44a3-96da-d6a61b075e1b;#9;#PL|1e03da61-4678-4e07-b136-b5024ca9197b;#2;#TRA|150d2a88-1431-44e6-a8ca-0bb753ab8672;#1;#EESC|422833ec-8d7e-4e65-8e4e-8bed07ffb729;#51;#SPL-CES|32d8cb1f-c9ec-4365-95c7-8385a18618a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2518</vt:i4>
  </property>
  <property fmtid="{D5CDD505-2E9C-101B-9397-08002B2CF9AE}" pid="37" name="DocumentLanguage">
    <vt:lpwstr>10;#DE|f6b31e5a-26fa-4935-b661-318e46daf27e</vt:lpwstr>
  </property>
  <property fmtid="{D5CDD505-2E9C-101B-9397-08002B2CF9AE}" pid="38" name="_docset_NoMedatataSyncRequired">
    <vt:lpwstr>False</vt:lpwstr>
  </property>
</Properties>
</file>