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229" w:rsidRDefault="00767C09" w:rsidP="00686EC2">
      <w:pPr>
        <w:spacing w:line="240" w:lineRule="auto"/>
        <w:rPr>
          <w:rFonts w:ascii="Verdana" w:hAnsi="Verdana"/>
          <w:sz w:val="20"/>
        </w:rPr>
      </w:pPr>
      <w:r>
        <w:rPr>
          <w:rFonts w:ascii="Verdana" w:hAnsi="Verdana"/>
          <w:noProof/>
          <w:sz w:val="20"/>
          <w:lang w:val="fr-BE" w:eastAsia="fr-BE"/>
        </w:rPr>
        <w:drawing>
          <wp:inline distT="0" distB="0" distL="0" distR="0" wp14:anchorId="387355DC" wp14:editId="3BB19A69">
            <wp:extent cx="5760085" cy="1398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PL.png"/>
                    <pic:cNvPicPr/>
                  </pic:nvPicPr>
                  <pic:blipFill>
                    <a:blip r:embed="rId7">
                      <a:extLst>
                        <a:ext uri="{28A0092B-C50C-407E-A947-70E740481C1C}">
                          <a14:useLocalDpi xmlns:a14="http://schemas.microsoft.com/office/drawing/2010/main" val="0"/>
                        </a:ext>
                      </a:extLst>
                    </a:blip>
                    <a:stretch>
                      <a:fillRect/>
                    </a:stretch>
                  </pic:blipFill>
                  <pic:spPr>
                    <a:xfrm>
                      <a:off x="0" y="0"/>
                      <a:ext cx="5760085" cy="1398270"/>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rsidR="00C93E55" w:rsidTr="00705C0F">
        <w:trPr>
          <w:cantSplit/>
        </w:trPr>
        <w:tc>
          <w:tcPr>
            <w:tcW w:w="5168" w:type="dxa"/>
          </w:tcPr>
          <w:p w:rsidR="00C93E55" w:rsidRPr="00604F69" w:rsidRDefault="00321382" w:rsidP="00F92DAC">
            <w:pPr>
              <w:spacing w:before="120" w:after="120" w:line="240" w:lineRule="auto"/>
              <w:rPr>
                <w:rFonts w:ascii="Verdana" w:hAnsi="Verdana" w:cstheme="minorHAnsi"/>
                <w:b/>
                <w:szCs w:val="22"/>
              </w:rPr>
            </w:pPr>
            <w:r>
              <w:rPr>
                <w:rFonts w:ascii="Verdana" w:hAnsi="Verdana"/>
                <w:b/>
                <w:noProof/>
                <w:szCs w:val="22"/>
                <w:lang w:val="fr-BE" w:eastAsia="fr-BE"/>
              </w:rPr>
              <mc:AlternateContent>
                <mc:Choice Requires="wps">
                  <w:drawing>
                    <wp:anchor distT="0" distB="0" distL="114300" distR="114300" simplePos="0" relativeHeight="251659264" behindDoc="1" locked="0" layoutInCell="0" allowOverlap="1" wp14:anchorId="7443A896" wp14:editId="62A779A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382" w:rsidRPr="00260E65" w:rsidRDefault="00321382">
                                  <w:pPr>
                                    <w:jc w:val="center"/>
                                    <w:rPr>
                                      <w:rFonts w:ascii="Arial" w:hAnsi="Arial" w:cs="Arial"/>
                                      <w:b/>
                                      <w:bCs/>
                                      <w:sz w:val="48"/>
                                    </w:rPr>
                                  </w:pPr>
                                  <w:r>
                                    <w:rPr>
                                      <w:rFonts w:ascii="Arial" w:hAnsi="Arial"/>
                                      <w:b/>
                                      <w:bCs/>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3A89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321382" w:rsidRPr="00260E65" w:rsidRDefault="00321382">
                            <w:pPr>
                              <w:jc w:val="center"/>
                              <w:rPr>
                                <w:rFonts w:ascii="Arial" w:hAnsi="Arial" w:cs="Arial"/>
                                <w:b/>
                                <w:bCs/>
                                <w:sz w:val="48"/>
                              </w:rPr>
                            </w:pPr>
                            <w:r>
                              <w:rPr>
                                <w:rFonts w:ascii="Arial" w:hAnsi="Arial"/>
                                <w:b/>
                                <w:bCs/>
                                <w:sz w:val="48"/>
                              </w:rPr>
                              <w:t>PL</w:t>
                            </w:r>
                          </w:p>
                        </w:txbxContent>
                      </v:textbox>
                      <w10:wrap anchorx="page" anchory="page"/>
                    </v:shape>
                  </w:pict>
                </mc:Fallback>
              </mc:AlternateContent>
            </w:r>
            <w:r>
              <w:rPr>
                <w:rFonts w:ascii="Verdana" w:hAnsi="Verdana"/>
                <w:b/>
                <w:szCs w:val="22"/>
              </w:rPr>
              <w:t>KOMUNIKAT PRASOWY nr 39/2020</w:t>
            </w:r>
          </w:p>
        </w:tc>
        <w:tc>
          <w:tcPr>
            <w:tcW w:w="4119" w:type="dxa"/>
          </w:tcPr>
          <w:p w:rsidR="00C93E55" w:rsidRDefault="00D647DE" w:rsidP="00F92DAC">
            <w:pPr>
              <w:spacing w:before="120" w:after="120" w:line="240" w:lineRule="auto"/>
              <w:jc w:val="right"/>
              <w:rPr>
                <w:rFonts w:ascii="Verdana" w:hAnsi="Verdana"/>
                <w:b/>
                <w:bCs/>
                <w:sz w:val="20"/>
              </w:rPr>
            </w:pPr>
            <w:r>
              <w:rPr>
                <w:rFonts w:ascii="Verdana" w:hAnsi="Verdana"/>
                <w:b/>
              </w:rPr>
              <w:t>3 grudnia 2020 r.</w:t>
            </w:r>
          </w:p>
        </w:tc>
      </w:tr>
    </w:tbl>
    <w:p w:rsidR="00F83179" w:rsidRDefault="00F83179" w:rsidP="00686EC2">
      <w:pPr>
        <w:spacing w:line="240" w:lineRule="auto"/>
        <w:rPr>
          <w:rFonts w:ascii="Verdana" w:hAnsi="Verdana"/>
          <w:sz w:val="20"/>
        </w:rPr>
      </w:pPr>
    </w:p>
    <w:p w:rsidR="00F83179" w:rsidRDefault="00F83179" w:rsidP="00686EC2">
      <w:pPr>
        <w:spacing w:line="240" w:lineRule="auto"/>
        <w:rPr>
          <w:rFonts w:ascii="Verdana" w:hAnsi="Verdana"/>
          <w:sz w:val="20"/>
        </w:rPr>
        <w:sectPr w:rsidR="00F83179" w:rsidSect="00837B82">
          <w:footerReference w:type="default" r:id="rId8"/>
          <w:pgSz w:w="11907" w:h="16839" w:code="9"/>
          <w:pgMar w:top="425" w:right="1418" w:bottom="1418" w:left="1418" w:header="709" w:footer="709" w:gutter="0"/>
          <w:cols w:space="720"/>
          <w:docGrid w:linePitch="299"/>
        </w:sectPr>
      </w:pPr>
    </w:p>
    <w:p w:rsidR="00F83179" w:rsidRDefault="00F83179" w:rsidP="00686EC2">
      <w:pPr>
        <w:spacing w:line="240" w:lineRule="auto"/>
        <w:jc w:val="center"/>
        <w:rPr>
          <w:rFonts w:ascii="Verdana" w:hAnsi="Verdana"/>
          <w:b/>
          <w:bCs/>
          <w:sz w:val="28"/>
        </w:rPr>
      </w:pPr>
    </w:p>
    <w:p w:rsidR="00F83179" w:rsidRDefault="00D647DE" w:rsidP="00686EC2">
      <w:pPr>
        <w:spacing w:line="240" w:lineRule="auto"/>
        <w:jc w:val="center"/>
        <w:rPr>
          <w:rFonts w:ascii="Verdana" w:hAnsi="Verdana"/>
          <w:b/>
          <w:bCs/>
          <w:sz w:val="28"/>
        </w:rPr>
      </w:pPr>
      <w:bookmarkStart w:id="0" w:name="_GoBack"/>
      <w:r>
        <w:rPr>
          <w:rFonts w:ascii="Verdana" w:hAnsi="Verdana"/>
          <w:b/>
          <w:color w:val="0070C0"/>
        </w:rPr>
        <w:t>Prawa osób z niepełnosprawnościami do głosowania</w:t>
      </w:r>
      <w:bookmarkEnd w:id="0"/>
      <w:r>
        <w:rPr>
          <w:rFonts w:ascii="Verdana" w:hAnsi="Verdana"/>
          <w:b/>
          <w:color w:val="0070C0"/>
        </w:rPr>
        <w:t xml:space="preserve"> – EKES domaga się zmiany ordynacji wyborczej UE</w:t>
      </w:r>
    </w:p>
    <w:p w:rsidR="00F83179" w:rsidRDefault="00F83179" w:rsidP="00686EC2">
      <w:pPr>
        <w:spacing w:line="240" w:lineRule="auto"/>
        <w:jc w:val="center"/>
        <w:rPr>
          <w:rFonts w:ascii="Verdana" w:hAnsi="Verdana"/>
          <w:b/>
          <w:bCs/>
          <w:sz w:val="28"/>
        </w:rPr>
      </w:pPr>
    </w:p>
    <w:p w:rsidR="00F83179" w:rsidRPr="0004715C" w:rsidRDefault="00D647DE" w:rsidP="00686EC2">
      <w:pPr>
        <w:spacing w:line="240" w:lineRule="auto"/>
        <w:rPr>
          <w:rFonts w:ascii="Verdana" w:hAnsi="Verdana"/>
          <w:b/>
          <w:bCs/>
          <w:sz w:val="20"/>
        </w:rPr>
      </w:pPr>
      <w:r>
        <w:rPr>
          <w:rFonts w:ascii="Verdana" w:hAnsi="Verdana"/>
          <w:b/>
          <w:color w:val="002060"/>
          <w:sz w:val="20"/>
        </w:rPr>
        <w:t>EKES uważa za niedopuszczalny i sprzeczny z podstawowymi wartościami UE fakt, że ze względu na bariery prawne i techniczne wciąż istniejące w całej Europie żaden kraj Unii nie jest w stanie zagwarantować pełnej dostępności wyborów dla wszystkich</w:t>
      </w:r>
    </w:p>
    <w:p w:rsidR="00F83179" w:rsidRDefault="00F83179" w:rsidP="00686EC2">
      <w:pPr>
        <w:spacing w:line="240" w:lineRule="auto"/>
        <w:rPr>
          <w:rFonts w:ascii="Verdana" w:hAnsi="Verdana"/>
          <w:sz w:val="18"/>
        </w:rPr>
      </w:pPr>
    </w:p>
    <w:p w:rsidR="00D647DE" w:rsidRDefault="00D647DE" w:rsidP="00D647DE">
      <w:pPr>
        <w:rPr>
          <w:rFonts w:ascii="Verdana" w:hAnsi="Verdana"/>
          <w:sz w:val="18"/>
          <w:szCs w:val="18"/>
        </w:rPr>
      </w:pPr>
      <w:r>
        <w:rPr>
          <w:rFonts w:ascii="Verdana" w:hAnsi="Verdana"/>
          <w:b/>
          <w:sz w:val="18"/>
          <w:szCs w:val="18"/>
        </w:rPr>
        <w:t>Europejski Komitet Ekonomiczno-Społeczny</w:t>
      </w:r>
      <w:r>
        <w:rPr>
          <w:rFonts w:ascii="Verdana" w:hAnsi="Verdana"/>
          <w:sz w:val="18"/>
          <w:szCs w:val="18"/>
        </w:rPr>
        <w:t xml:space="preserve"> (EKES) wzywa Parlament Europejski (PE), Radę UE i państwa członkowskie do pilnej zmiany Aktu wyborczego z 1976 r. w taki sposób, aby zagwarantować wszystkim obywatelom UE z niepełnosprawnościami rzeczywiste prawo do głosowania w wyborach do PE w 2024 r.</w:t>
      </w:r>
    </w:p>
    <w:p w:rsidR="00D647DE" w:rsidRPr="008D6AC3" w:rsidRDefault="00D647DE" w:rsidP="00D647DE">
      <w:pPr>
        <w:rPr>
          <w:rFonts w:ascii="Verdana" w:hAnsi="Verdana"/>
          <w:sz w:val="18"/>
          <w:szCs w:val="18"/>
        </w:rPr>
      </w:pPr>
    </w:p>
    <w:p w:rsidR="00D647DE" w:rsidRDefault="00D647DE" w:rsidP="00D647DE">
      <w:pPr>
        <w:rPr>
          <w:rFonts w:ascii="Verdana" w:hAnsi="Verdana"/>
          <w:sz w:val="18"/>
          <w:szCs w:val="18"/>
        </w:rPr>
      </w:pPr>
      <w:r>
        <w:rPr>
          <w:rFonts w:ascii="Verdana" w:hAnsi="Verdana"/>
          <w:sz w:val="18"/>
          <w:szCs w:val="18"/>
        </w:rPr>
        <w:t xml:space="preserve">W przyjętej 2 grudnia br. opinii w sprawie </w:t>
      </w:r>
      <w:hyperlink r:id="rId9" w:history="1">
        <w:r>
          <w:rPr>
            <w:rStyle w:val="Hyperlink"/>
            <w:rFonts w:ascii="Verdana" w:hAnsi="Verdana"/>
            <w:bCs/>
            <w:i/>
            <w:sz w:val="18"/>
            <w:szCs w:val="18"/>
          </w:rPr>
          <w:t>zagwaranto</w:t>
        </w:r>
        <w:r w:rsidR="00CE7EFA">
          <w:rPr>
            <w:rStyle w:val="Hyperlink"/>
            <w:rFonts w:ascii="Verdana" w:hAnsi="Verdana"/>
            <w:bCs/>
            <w:i/>
            <w:sz w:val="18"/>
            <w:szCs w:val="18"/>
          </w:rPr>
          <w:t xml:space="preserve">wania rzeczywistych praw osób </w:t>
        </w:r>
        <w:proofErr w:type="spellStart"/>
        <w:r w:rsidR="00CE7EFA">
          <w:rPr>
            <w:rStyle w:val="Hyperlink"/>
            <w:rFonts w:ascii="Verdana" w:hAnsi="Verdana"/>
            <w:bCs/>
            <w:i/>
            <w:sz w:val="18"/>
            <w:szCs w:val="18"/>
          </w:rPr>
          <w:t>z</w:t>
        </w:r>
        <w:r>
          <w:rPr>
            <w:rStyle w:val="Hyperlink"/>
            <w:rFonts w:ascii="Verdana" w:hAnsi="Verdana"/>
            <w:bCs/>
            <w:i/>
            <w:sz w:val="18"/>
            <w:szCs w:val="18"/>
          </w:rPr>
          <w:t>niepełnosprawnościami</w:t>
        </w:r>
        <w:proofErr w:type="spellEnd"/>
        <w:r>
          <w:rPr>
            <w:rStyle w:val="Hyperlink"/>
            <w:rFonts w:ascii="Verdana" w:hAnsi="Verdana"/>
            <w:bCs/>
            <w:i/>
            <w:sz w:val="18"/>
            <w:szCs w:val="18"/>
          </w:rPr>
          <w:t xml:space="preserve"> do głosowania w wyborach do Parlamentu Europejskiego</w:t>
        </w:r>
      </w:hyperlink>
      <w:r>
        <w:rPr>
          <w:rFonts w:ascii="Verdana" w:hAnsi="Verdana"/>
          <w:sz w:val="18"/>
          <w:szCs w:val="18"/>
        </w:rPr>
        <w:t xml:space="preserve"> Komitet ogłosił, że zwraca się o doprecyzowanie w tekście Aktu zasad powszechności, poufności i bezpośredniości wyborów. </w:t>
      </w:r>
    </w:p>
    <w:p w:rsidR="00D647DE" w:rsidRPr="008D6AC3" w:rsidRDefault="00D647DE" w:rsidP="00D647DE">
      <w:pPr>
        <w:rPr>
          <w:rFonts w:ascii="Verdana" w:hAnsi="Verdana"/>
          <w:sz w:val="18"/>
          <w:szCs w:val="18"/>
        </w:rPr>
      </w:pPr>
    </w:p>
    <w:p w:rsidR="00D647DE" w:rsidRDefault="00D647DE" w:rsidP="00D647DE">
      <w:pPr>
        <w:rPr>
          <w:rFonts w:ascii="Verdana" w:hAnsi="Verdana"/>
          <w:sz w:val="18"/>
          <w:szCs w:val="18"/>
        </w:rPr>
      </w:pPr>
      <w:r>
        <w:rPr>
          <w:rFonts w:ascii="Verdana" w:hAnsi="Verdana"/>
          <w:sz w:val="18"/>
          <w:szCs w:val="18"/>
        </w:rPr>
        <w:t>Pozwoliłoby to położyć kres dyskryminacji wyborczyń i wyborców z niepełnosprawnościami wynikającej z obowiązujących przepisów lub ustaleń w różnych państwach członkowskich; sytuacje w poszczególnych krajach znacznie się od siebie różnią. Umożliwiłoby również usunięcie istniejących obecnie barier prawnych czy technicznych pozbawiających miliony osób prawa do głosowania.</w:t>
      </w:r>
    </w:p>
    <w:p w:rsidR="00D647DE" w:rsidRPr="008D6AC3" w:rsidRDefault="00D647DE" w:rsidP="00D647DE">
      <w:pPr>
        <w:rPr>
          <w:rFonts w:ascii="Verdana" w:hAnsi="Verdana"/>
          <w:sz w:val="18"/>
          <w:szCs w:val="18"/>
        </w:rPr>
      </w:pPr>
    </w:p>
    <w:p w:rsidR="00D647DE" w:rsidRDefault="00D647DE" w:rsidP="00D647DE">
      <w:pPr>
        <w:rPr>
          <w:rFonts w:ascii="Verdana" w:hAnsi="Verdana"/>
          <w:b/>
          <w:bCs/>
          <w:sz w:val="18"/>
          <w:szCs w:val="18"/>
        </w:rPr>
      </w:pPr>
      <w:r>
        <w:rPr>
          <w:rFonts w:ascii="Verdana" w:hAnsi="Verdana"/>
          <w:sz w:val="18"/>
          <w:szCs w:val="18"/>
        </w:rPr>
        <w:t xml:space="preserve">„EKES uważa, że taka dyskryminacja jest nie do przyjęcia i sprzeczna z podstawowymi wartościami UE, Traktatem UE oraz najważniejszymi międzynarodowymi aktami prawnymi i politycznymi” – powiedział sprawozdawca opinii </w:t>
      </w:r>
      <w:r>
        <w:rPr>
          <w:rFonts w:ascii="Verdana" w:hAnsi="Verdana"/>
          <w:b/>
          <w:bCs/>
          <w:sz w:val="18"/>
          <w:szCs w:val="18"/>
        </w:rPr>
        <w:t>Krzysztof Pater</w:t>
      </w:r>
      <w:r>
        <w:rPr>
          <w:rFonts w:ascii="Verdana" w:hAnsi="Verdana"/>
          <w:sz w:val="18"/>
          <w:szCs w:val="18"/>
        </w:rPr>
        <w:t>.</w:t>
      </w:r>
    </w:p>
    <w:p w:rsidR="00D647DE" w:rsidRPr="008D6AC3" w:rsidRDefault="00D647DE" w:rsidP="00D647DE">
      <w:pPr>
        <w:rPr>
          <w:rFonts w:ascii="Verdana" w:hAnsi="Verdana"/>
          <w:b/>
          <w:bCs/>
          <w:sz w:val="18"/>
          <w:szCs w:val="18"/>
        </w:rPr>
      </w:pPr>
    </w:p>
    <w:p w:rsidR="00D647DE" w:rsidRDefault="00D647DE" w:rsidP="00D647DE">
      <w:pPr>
        <w:rPr>
          <w:rFonts w:ascii="Verdana" w:hAnsi="Verdana"/>
          <w:sz w:val="18"/>
          <w:szCs w:val="18"/>
        </w:rPr>
      </w:pPr>
      <w:r>
        <w:rPr>
          <w:rFonts w:ascii="Verdana" w:hAnsi="Verdana"/>
          <w:sz w:val="18"/>
          <w:szCs w:val="18"/>
        </w:rPr>
        <w:t>Opinia została przyjęta na ostatniej sesji plenarnej EKES-u, na której w centrum uwagi znalazły się kwestie niepełnosprawności w związku z coroczn</w:t>
      </w:r>
      <w:r w:rsidR="00403152">
        <w:rPr>
          <w:rFonts w:ascii="Verdana" w:hAnsi="Verdana"/>
          <w:sz w:val="18"/>
          <w:szCs w:val="18"/>
        </w:rPr>
        <w:t>ym Międzynarodowym Dniem Osób z </w:t>
      </w:r>
      <w:r>
        <w:rPr>
          <w:rFonts w:ascii="Verdana" w:hAnsi="Verdana"/>
          <w:sz w:val="18"/>
          <w:szCs w:val="18"/>
        </w:rPr>
        <w:t xml:space="preserve">Niepełnosprawnością, obchodzonym na całym świecie 3 grudnia. Opinia jest kontynuacją </w:t>
      </w:r>
      <w:hyperlink r:id="rId10" w:history="1">
        <w:r>
          <w:rPr>
            <w:rStyle w:val="Hyperlink"/>
            <w:rFonts w:ascii="Verdana" w:hAnsi="Verdana"/>
            <w:sz w:val="18"/>
            <w:szCs w:val="18"/>
          </w:rPr>
          <w:t>raportu informacyjnego</w:t>
        </w:r>
      </w:hyperlink>
      <w:r>
        <w:rPr>
          <w:rFonts w:ascii="Verdana" w:hAnsi="Verdana"/>
          <w:sz w:val="18"/>
          <w:szCs w:val="18"/>
        </w:rPr>
        <w:t xml:space="preserve"> EKES-u z 2019 r.</w:t>
      </w:r>
    </w:p>
    <w:p w:rsidR="00D647DE" w:rsidRPr="008D6AC3" w:rsidRDefault="00D647DE" w:rsidP="00D647DE">
      <w:pPr>
        <w:rPr>
          <w:rFonts w:ascii="Verdana" w:hAnsi="Verdana"/>
          <w:sz w:val="18"/>
          <w:szCs w:val="18"/>
        </w:rPr>
      </w:pPr>
    </w:p>
    <w:p w:rsidR="00D647DE" w:rsidRDefault="00D647DE" w:rsidP="00D647DE">
      <w:pPr>
        <w:rPr>
          <w:rFonts w:ascii="Verdana" w:hAnsi="Verdana"/>
          <w:sz w:val="18"/>
          <w:szCs w:val="18"/>
        </w:rPr>
      </w:pPr>
      <w:r>
        <w:rPr>
          <w:rFonts w:ascii="Verdana" w:hAnsi="Verdana"/>
          <w:sz w:val="18"/>
          <w:szCs w:val="18"/>
        </w:rPr>
        <w:t>„Ta opinia dotyczy przede wszystkim godności ludzkiej. Nasze postulaty wynikają z zasady równych praw dla wszystkich. Jak to możliwe, by w X</w:t>
      </w:r>
      <w:r w:rsidR="00403152">
        <w:rPr>
          <w:rFonts w:ascii="Verdana" w:hAnsi="Verdana"/>
          <w:sz w:val="18"/>
          <w:szCs w:val="18"/>
        </w:rPr>
        <w:t>XI wieku miliony obywateli UE z </w:t>
      </w:r>
      <w:r>
        <w:rPr>
          <w:rFonts w:ascii="Verdana" w:hAnsi="Verdana"/>
          <w:sz w:val="18"/>
          <w:szCs w:val="18"/>
        </w:rPr>
        <w:t>niepełnosprawnościami nie mogły korzystać z przysługuj</w:t>
      </w:r>
      <w:r w:rsidR="00403152">
        <w:rPr>
          <w:rFonts w:ascii="Verdana" w:hAnsi="Verdana"/>
          <w:sz w:val="18"/>
          <w:szCs w:val="18"/>
        </w:rPr>
        <w:t>ącego im prawa do głosowania, a </w:t>
      </w:r>
      <w:r>
        <w:rPr>
          <w:rFonts w:ascii="Verdana" w:hAnsi="Verdana"/>
          <w:sz w:val="18"/>
          <w:szCs w:val="18"/>
        </w:rPr>
        <w:t xml:space="preserve">decydenci nie robili prawie nic, by tę sytuację zmienić? To kwestia o kluczowym znaczeniu dla unijnej demokracji" – podkreślił </w:t>
      </w:r>
      <w:r>
        <w:rPr>
          <w:rFonts w:ascii="Verdana" w:hAnsi="Verdana"/>
          <w:b/>
          <w:sz w:val="18"/>
          <w:szCs w:val="18"/>
        </w:rPr>
        <w:t>Krzysztof Pater</w:t>
      </w:r>
      <w:r>
        <w:rPr>
          <w:rFonts w:ascii="Verdana" w:hAnsi="Verdana"/>
          <w:sz w:val="18"/>
          <w:szCs w:val="18"/>
        </w:rPr>
        <w:t>.</w:t>
      </w:r>
    </w:p>
    <w:p w:rsidR="00D647DE" w:rsidRPr="008D6AC3" w:rsidRDefault="00D647DE" w:rsidP="00D647DE">
      <w:pPr>
        <w:rPr>
          <w:rFonts w:ascii="Verdana" w:hAnsi="Verdana"/>
          <w:sz w:val="18"/>
          <w:szCs w:val="18"/>
        </w:rPr>
      </w:pPr>
    </w:p>
    <w:p w:rsidR="00D647DE" w:rsidRDefault="00D647DE" w:rsidP="00D647DE">
      <w:pPr>
        <w:rPr>
          <w:rFonts w:ascii="Verdana" w:hAnsi="Verdana"/>
          <w:sz w:val="18"/>
          <w:szCs w:val="18"/>
        </w:rPr>
      </w:pPr>
      <w:r>
        <w:rPr>
          <w:rFonts w:ascii="Verdana" w:hAnsi="Verdana"/>
          <w:sz w:val="18"/>
          <w:szCs w:val="18"/>
        </w:rPr>
        <w:t>Sprawozdawca wyraził nadzieję, że osoby z niepełnosprawnościami nie podzielą losu europejskich kobiet – ostatnie ograniczenia ich prawa do głosowania w obecnej UE zniesiono dopiero w 1976 r., 70 lat po tym, jak Finlandia, jako pierwszy kraj w Europie, wpuściła kobiety do lokali wyborczych.</w:t>
      </w:r>
    </w:p>
    <w:p w:rsidR="00D647DE" w:rsidRPr="008D6AC3" w:rsidRDefault="00D647DE" w:rsidP="00D647DE">
      <w:pPr>
        <w:rPr>
          <w:rFonts w:ascii="Verdana" w:hAnsi="Verdana"/>
          <w:sz w:val="18"/>
          <w:szCs w:val="18"/>
        </w:rPr>
      </w:pPr>
    </w:p>
    <w:p w:rsidR="00D647DE" w:rsidRDefault="00D647DE" w:rsidP="00D647DE">
      <w:pPr>
        <w:rPr>
          <w:rFonts w:ascii="Verdana" w:hAnsi="Verdana"/>
          <w:sz w:val="18"/>
          <w:szCs w:val="18"/>
        </w:rPr>
      </w:pPr>
      <w:r>
        <w:rPr>
          <w:rFonts w:ascii="Verdana" w:hAnsi="Verdana"/>
          <w:sz w:val="18"/>
          <w:szCs w:val="18"/>
        </w:rPr>
        <w:lastRenderedPageBreak/>
        <w:t xml:space="preserve">EKES ostrzegł, że bez zmian prawnych liczba obywateli potencjalnie pozbawionych prawa do głosowania będzie stale wzrastać, ponieważ odsetek osób z pewną niepełnosprawnością w szybko starzejącej się ludności UE wzrasta średnio o jeden procent co sześć lat. </w:t>
      </w:r>
    </w:p>
    <w:p w:rsidR="00D647DE" w:rsidRPr="008D6AC3" w:rsidRDefault="00D647DE" w:rsidP="00D647DE">
      <w:pPr>
        <w:rPr>
          <w:rFonts w:ascii="Verdana" w:hAnsi="Verdana"/>
          <w:sz w:val="18"/>
          <w:szCs w:val="18"/>
        </w:rPr>
      </w:pPr>
    </w:p>
    <w:p w:rsidR="00D647DE" w:rsidRPr="008D6AC3" w:rsidRDefault="00D647DE" w:rsidP="00D647DE">
      <w:pPr>
        <w:rPr>
          <w:rFonts w:ascii="Verdana" w:hAnsi="Verdana"/>
          <w:sz w:val="18"/>
          <w:szCs w:val="18"/>
        </w:rPr>
      </w:pPr>
      <w:r>
        <w:rPr>
          <w:rFonts w:ascii="Verdana" w:hAnsi="Verdana"/>
          <w:sz w:val="18"/>
          <w:szCs w:val="18"/>
        </w:rPr>
        <w:t>Prawa do głosowania odmawia się również osobom korzystają</w:t>
      </w:r>
      <w:r w:rsidR="00403152">
        <w:rPr>
          <w:rFonts w:ascii="Verdana" w:hAnsi="Verdana"/>
          <w:sz w:val="18"/>
          <w:szCs w:val="18"/>
        </w:rPr>
        <w:t>cym z opieki krótkoterminowej w </w:t>
      </w:r>
      <w:r>
        <w:rPr>
          <w:rFonts w:ascii="Verdana" w:hAnsi="Verdana"/>
          <w:sz w:val="18"/>
          <w:szCs w:val="18"/>
        </w:rPr>
        <w:t>szpitalu, a także osobom w trakcie leczenia lub rehabilitacji</w:t>
      </w:r>
      <w:r w:rsidR="00403152">
        <w:rPr>
          <w:rFonts w:ascii="Verdana" w:hAnsi="Verdana"/>
          <w:sz w:val="18"/>
          <w:szCs w:val="18"/>
        </w:rPr>
        <w:t xml:space="preserve"> w domu czy też przebywającym w </w:t>
      </w:r>
      <w:r>
        <w:rPr>
          <w:rFonts w:ascii="Verdana" w:hAnsi="Verdana"/>
          <w:sz w:val="18"/>
          <w:szCs w:val="18"/>
        </w:rPr>
        <w:t>izolacji ze względu na zagrożenie epidemiologiczne.</w:t>
      </w:r>
    </w:p>
    <w:p w:rsidR="00D647DE" w:rsidRPr="008D6AC3" w:rsidRDefault="00D647DE" w:rsidP="00D647DE">
      <w:pPr>
        <w:rPr>
          <w:rFonts w:ascii="Verdana" w:hAnsi="Verdana"/>
          <w:sz w:val="18"/>
          <w:szCs w:val="18"/>
        </w:rPr>
      </w:pPr>
    </w:p>
    <w:p w:rsidR="00D647DE" w:rsidRDefault="00D647DE" w:rsidP="00D647DE">
      <w:pPr>
        <w:rPr>
          <w:rFonts w:ascii="Verdana" w:hAnsi="Verdana"/>
          <w:b/>
          <w:sz w:val="18"/>
          <w:szCs w:val="18"/>
        </w:rPr>
      </w:pPr>
      <w:r>
        <w:rPr>
          <w:rFonts w:ascii="Verdana" w:hAnsi="Verdana"/>
          <w:b/>
          <w:sz w:val="18"/>
          <w:szCs w:val="18"/>
        </w:rPr>
        <w:t>W SPRAWOZDANIU EKES-U Z 2019 R. ZWRÓCONO UWAGĘ NA DYSKRYMINACJĘ WYBORCÓW Z NIEPEŁNOSPRAWNOŚCIAMI</w:t>
      </w:r>
    </w:p>
    <w:p w:rsidR="00D647DE" w:rsidRDefault="00D647DE" w:rsidP="00D647DE">
      <w:pPr>
        <w:rPr>
          <w:rFonts w:ascii="Verdana" w:hAnsi="Verdana"/>
          <w:sz w:val="18"/>
          <w:szCs w:val="18"/>
        </w:rPr>
      </w:pPr>
      <w:r>
        <w:rPr>
          <w:rFonts w:ascii="Verdana" w:hAnsi="Verdana"/>
          <w:sz w:val="18"/>
          <w:szCs w:val="18"/>
        </w:rPr>
        <w:t xml:space="preserve">W sprawozdaniu EKES-u z 2019 r. sporządzonym przez </w:t>
      </w:r>
      <w:r>
        <w:rPr>
          <w:rFonts w:ascii="Verdana" w:hAnsi="Verdana"/>
          <w:b/>
          <w:sz w:val="18"/>
          <w:szCs w:val="18"/>
        </w:rPr>
        <w:t>Krzysztofa Patera</w:t>
      </w:r>
      <w:r>
        <w:rPr>
          <w:rFonts w:ascii="Verdana" w:hAnsi="Verdana"/>
          <w:sz w:val="18"/>
          <w:szCs w:val="18"/>
        </w:rPr>
        <w:t xml:space="preserve"> szczegółowo opisano ograniczenia i przeszkody, z jakimi borykają się wy</w:t>
      </w:r>
      <w:r w:rsidR="00403152">
        <w:rPr>
          <w:rFonts w:ascii="Verdana" w:hAnsi="Verdana"/>
          <w:sz w:val="18"/>
          <w:szCs w:val="18"/>
        </w:rPr>
        <w:t>borcy z niepełnosprawnościami w </w:t>
      </w:r>
      <w:r>
        <w:rPr>
          <w:rFonts w:ascii="Verdana" w:hAnsi="Verdana"/>
          <w:sz w:val="18"/>
          <w:szCs w:val="18"/>
        </w:rPr>
        <w:t>poszczególnych państwach członkowskich. Wymieniono w nim również 200 przykładów rozwiązań stosowanych w każdym kraju.</w:t>
      </w:r>
    </w:p>
    <w:p w:rsidR="00D647DE" w:rsidRPr="008D6AC3" w:rsidRDefault="00D647DE" w:rsidP="00D647DE">
      <w:pPr>
        <w:rPr>
          <w:rFonts w:ascii="Verdana" w:hAnsi="Verdana"/>
          <w:sz w:val="18"/>
          <w:szCs w:val="18"/>
        </w:rPr>
      </w:pPr>
    </w:p>
    <w:p w:rsidR="00D647DE" w:rsidRDefault="00D647DE" w:rsidP="00D647DE">
      <w:pPr>
        <w:rPr>
          <w:rFonts w:ascii="Verdana" w:hAnsi="Verdana"/>
          <w:sz w:val="18"/>
          <w:szCs w:val="18"/>
        </w:rPr>
      </w:pPr>
      <w:r>
        <w:rPr>
          <w:rFonts w:ascii="Verdana" w:hAnsi="Verdana"/>
          <w:sz w:val="18"/>
          <w:szCs w:val="18"/>
        </w:rPr>
        <w:t>Ustalenia zawarte w sprawozdaniu, opublikowanym dwa miesiące przed wyborami do PE w 2019 r., zostały następnie potwierdzone w sprawozdaniach z wybo</w:t>
      </w:r>
      <w:r w:rsidR="00403152">
        <w:rPr>
          <w:rFonts w:ascii="Verdana" w:hAnsi="Verdana"/>
          <w:sz w:val="18"/>
          <w:szCs w:val="18"/>
        </w:rPr>
        <w:t>rów sporządzonych przez media i </w:t>
      </w:r>
      <w:r>
        <w:rPr>
          <w:rFonts w:ascii="Verdana" w:hAnsi="Verdana"/>
          <w:sz w:val="18"/>
          <w:szCs w:val="18"/>
        </w:rPr>
        <w:t xml:space="preserve">organizacje społeczeństwa obywatelskiego. </w:t>
      </w:r>
    </w:p>
    <w:p w:rsidR="00D647DE" w:rsidRPr="008D6AC3" w:rsidRDefault="00D647DE" w:rsidP="00D647DE">
      <w:pPr>
        <w:rPr>
          <w:rFonts w:ascii="Verdana" w:hAnsi="Verdana"/>
          <w:sz w:val="18"/>
          <w:szCs w:val="18"/>
        </w:rPr>
      </w:pPr>
    </w:p>
    <w:p w:rsidR="00D647DE" w:rsidRDefault="00D647DE" w:rsidP="00D647DE">
      <w:pPr>
        <w:rPr>
          <w:rFonts w:ascii="Verdana" w:hAnsi="Verdana"/>
          <w:sz w:val="18"/>
          <w:szCs w:val="18"/>
        </w:rPr>
      </w:pPr>
      <w:r>
        <w:rPr>
          <w:rFonts w:ascii="Verdana" w:hAnsi="Verdana"/>
          <w:sz w:val="18"/>
          <w:szCs w:val="18"/>
        </w:rPr>
        <w:t>Pomimo pewnych pozytywnych zmian we francuskich i niemieckich przepisach krajowych wprowadzonych bezpośrednio przed wyborami do PE, ustalono, że prawo krajowe 14 państw nadal uniemożliwia głosowanie ok. 400 tys. obywateli ze względu na problemy związane ze zdrowiem psychicznym lub niepełnosprawność intelektualną. Osoby z ni</w:t>
      </w:r>
      <w:r w:rsidR="00403152">
        <w:rPr>
          <w:rFonts w:ascii="Verdana" w:hAnsi="Verdana"/>
          <w:sz w:val="18"/>
          <w:szCs w:val="18"/>
        </w:rPr>
        <w:t>epełnosprawnościami niebędące w </w:t>
      </w:r>
      <w:r>
        <w:rPr>
          <w:rFonts w:ascii="Verdana" w:hAnsi="Verdana"/>
          <w:sz w:val="18"/>
          <w:szCs w:val="18"/>
        </w:rPr>
        <w:t xml:space="preserve">stanie zagłosować ze względów organizacyjnych lub technicznych wynikających z przepisów krajowych można liczyć w milionach. </w:t>
      </w:r>
    </w:p>
    <w:p w:rsidR="00D647DE" w:rsidRPr="008D6AC3" w:rsidRDefault="00D647DE" w:rsidP="00D647DE">
      <w:pPr>
        <w:rPr>
          <w:rFonts w:ascii="Verdana" w:hAnsi="Verdana"/>
          <w:sz w:val="18"/>
          <w:szCs w:val="18"/>
        </w:rPr>
      </w:pPr>
    </w:p>
    <w:p w:rsidR="00D647DE" w:rsidRPr="008D6AC3" w:rsidRDefault="00D647DE" w:rsidP="00D647DE">
      <w:pPr>
        <w:rPr>
          <w:rFonts w:ascii="Verdana" w:hAnsi="Verdana"/>
          <w:sz w:val="18"/>
          <w:szCs w:val="18"/>
        </w:rPr>
      </w:pPr>
      <w:r>
        <w:rPr>
          <w:rFonts w:ascii="Verdana" w:hAnsi="Verdana"/>
          <w:sz w:val="18"/>
          <w:szCs w:val="18"/>
        </w:rPr>
        <w:t>Ze sprawozdania wynika na przykład, że w ośmiu krajach UE osoby, które fizycznie nie są w stanie udać się do lokalu wyborczego z powodu niepełnosprawności lub choroby, nie mają możliwości zagłosowania w żaden inny sposób. W 18 krajach osoby niedowidzące nie mogą zagłosować samodzielnie, a w dziewięciu krajach wyborcy muszą wpisać na kartę do głosowania numer identyfikacyjny kandydatki lub kandydata, ich imię i nazwisko lub nazwę popieranej partii. Stanowi to znaczącą przeszkodę dla wielu osób.</w:t>
      </w:r>
    </w:p>
    <w:p w:rsidR="00D647DE" w:rsidRPr="008D6AC3" w:rsidRDefault="00D647DE" w:rsidP="00D647DE">
      <w:pPr>
        <w:rPr>
          <w:rFonts w:ascii="Verdana" w:hAnsi="Verdana"/>
          <w:sz w:val="18"/>
          <w:szCs w:val="18"/>
        </w:rPr>
      </w:pPr>
    </w:p>
    <w:p w:rsidR="00D647DE" w:rsidRPr="008D6AC3" w:rsidRDefault="00D647DE" w:rsidP="00D647DE">
      <w:pPr>
        <w:rPr>
          <w:rFonts w:ascii="Verdana" w:hAnsi="Verdana"/>
          <w:b/>
          <w:sz w:val="18"/>
          <w:szCs w:val="18"/>
        </w:rPr>
      </w:pPr>
      <w:r>
        <w:rPr>
          <w:rFonts w:ascii="Verdana" w:hAnsi="Verdana"/>
          <w:b/>
          <w:sz w:val="18"/>
          <w:szCs w:val="18"/>
        </w:rPr>
        <w:t>DZIAŁANIA PROPONOWANE PRZEZ EKES</w:t>
      </w:r>
    </w:p>
    <w:p w:rsidR="00D647DE" w:rsidRPr="008D6AC3" w:rsidRDefault="00D647DE" w:rsidP="00D647DE">
      <w:pPr>
        <w:rPr>
          <w:rFonts w:ascii="Verdana" w:hAnsi="Verdana"/>
          <w:sz w:val="18"/>
          <w:szCs w:val="18"/>
        </w:rPr>
      </w:pPr>
      <w:r>
        <w:rPr>
          <w:rFonts w:ascii="Verdana" w:hAnsi="Verdana"/>
          <w:sz w:val="18"/>
          <w:szCs w:val="18"/>
        </w:rPr>
        <w:t>Zdaniem EKES-u można szybko wyeliminować stosowane praktyk</w:t>
      </w:r>
      <w:r w:rsidR="00403152">
        <w:rPr>
          <w:rFonts w:ascii="Verdana" w:hAnsi="Verdana"/>
          <w:sz w:val="18"/>
          <w:szCs w:val="18"/>
        </w:rPr>
        <w:t>i dyskryminujące obywateli UE z </w:t>
      </w:r>
      <w:r>
        <w:rPr>
          <w:rFonts w:ascii="Verdana" w:hAnsi="Verdana"/>
          <w:sz w:val="18"/>
          <w:szCs w:val="18"/>
        </w:rPr>
        <w:t>niepełnosprawnościami, zmieniając ordynację wyborczą tak, by zobowiązywała państwa członkowskie do wdrożenia norm gwarantujących tym osobom rzeczywiste prawo do głosowania.</w:t>
      </w:r>
    </w:p>
    <w:p w:rsidR="00D647DE" w:rsidRDefault="00D647DE" w:rsidP="00D647DE">
      <w:pPr>
        <w:rPr>
          <w:rFonts w:ascii="Verdana" w:hAnsi="Verdana"/>
          <w:sz w:val="18"/>
          <w:szCs w:val="18"/>
        </w:rPr>
      </w:pPr>
    </w:p>
    <w:p w:rsidR="00D647DE" w:rsidRPr="008D6AC3" w:rsidRDefault="00D647DE" w:rsidP="00D647DE">
      <w:pPr>
        <w:rPr>
          <w:rFonts w:ascii="Verdana" w:hAnsi="Verdana"/>
          <w:sz w:val="18"/>
          <w:szCs w:val="18"/>
        </w:rPr>
      </w:pPr>
      <w:r>
        <w:rPr>
          <w:rFonts w:ascii="Verdana" w:hAnsi="Verdana"/>
          <w:sz w:val="18"/>
          <w:szCs w:val="18"/>
        </w:rPr>
        <w:t xml:space="preserve">W tym celu Komitet wzywa do doprecyzowania zasady powszechności wyborów ujętej w Akcie wyborczym poprzez wskazanie, że żaden obywatel UE nie może na podstawie przepisów krajowych zostać pozbawiony prawa do głosowania w wyborach do PE z powodu niepełnosprawności lub stanu zdrowia. </w:t>
      </w:r>
    </w:p>
    <w:p w:rsidR="00D647DE" w:rsidRDefault="00D647DE" w:rsidP="00D647DE">
      <w:pPr>
        <w:rPr>
          <w:rFonts w:ascii="Verdana" w:hAnsi="Verdana"/>
          <w:sz w:val="18"/>
          <w:szCs w:val="18"/>
        </w:rPr>
      </w:pPr>
    </w:p>
    <w:p w:rsidR="00D647DE" w:rsidRPr="008D6AC3" w:rsidRDefault="00D647DE" w:rsidP="00D647DE">
      <w:pPr>
        <w:rPr>
          <w:rFonts w:ascii="Verdana" w:hAnsi="Verdana"/>
          <w:sz w:val="18"/>
          <w:szCs w:val="18"/>
        </w:rPr>
      </w:pPr>
      <w:r>
        <w:rPr>
          <w:rFonts w:ascii="Verdana" w:hAnsi="Verdana"/>
          <w:sz w:val="18"/>
          <w:szCs w:val="18"/>
        </w:rPr>
        <w:t xml:space="preserve">Należy również doprecyzować zasady bezpośredniości i tajności wyborów, o których mowa w Akcie. Komitet proponuje zestaw sześciu środków, które państwa członkowskie UE powinny podjąć, aby zapewnić przestrzeganie tych zasad z myślą o umożliwieniu głosowania wszystkim, również osobom z niepełnosprawnością. </w:t>
      </w:r>
    </w:p>
    <w:p w:rsidR="00D647DE" w:rsidRDefault="00D647DE" w:rsidP="00D647DE">
      <w:pPr>
        <w:contextualSpacing/>
        <w:rPr>
          <w:rFonts w:ascii="Verdana" w:hAnsi="Verdana"/>
          <w:sz w:val="18"/>
          <w:szCs w:val="18"/>
        </w:rPr>
      </w:pPr>
    </w:p>
    <w:p w:rsidR="00D647DE" w:rsidRPr="008D6AC3" w:rsidRDefault="00D647DE" w:rsidP="00D647DE">
      <w:pPr>
        <w:contextualSpacing/>
        <w:rPr>
          <w:rFonts w:ascii="Verdana" w:hAnsi="Verdana"/>
          <w:sz w:val="18"/>
          <w:szCs w:val="18"/>
        </w:rPr>
      </w:pPr>
      <w:r>
        <w:rPr>
          <w:rFonts w:ascii="Verdana" w:hAnsi="Verdana"/>
          <w:sz w:val="18"/>
          <w:szCs w:val="18"/>
        </w:rPr>
        <w:t>EKES uważa, że UE mogłaby wykorzystać pozytywne doświadczenia wielu krajów w celu wdrożenia proponowanych rozwiązań.</w:t>
      </w:r>
    </w:p>
    <w:p w:rsidR="00D647DE" w:rsidRPr="008D6AC3" w:rsidRDefault="00D647DE" w:rsidP="00D647DE">
      <w:pPr>
        <w:contextualSpacing/>
        <w:rPr>
          <w:rFonts w:ascii="Verdana" w:hAnsi="Verdana"/>
          <w:sz w:val="18"/>
          <w:szCs w:val="18"/>
        </w:rPr>
      </w:pPr>
    </w:p>
    <w:p w:rsidR="00F83179" w:rsidRDefault="00D647DE" w:rsidP="00D647DE">
      <w:pPr>
        <w:spacing w:line="240" w:lineRule="auto"/>
        <w:rPr>
          <w:rFonts w:ascii="Verdana" w:hAnsi="Verdana"/>
          <w:sz w:val="18"/>
        </w:rPr>
      </w:pPr>
      <w:r>
        <w:rPr>
          <w:rFonts w:ascii="Verdana" w:hAnsi="Verdana"/>
          <w:sz w:val="18"/>
          <w:szCs w:val="18"/>
        </w:rPr>
        <w:t xml:space="preserve">„Jeżeli wszystkie te przepisy zostaną wdrożone, unijne wybory w 2024 r. będą rzeczywiście powszechne i dostępne dla wszystkich. To właśnie nasz cel. Mogłoby to zapoczątkować nową erę praw osób z niepełnosprawnościami w Europie" - podsumował </w:t>
      </w:r>
      <w:r>
        <w:rPr>
          <w:rFonts w:ascii="Verdana" w:hAnsi="Verdana"/>
          <w:b/>
          <w:sz w:val="18"/>
          <w:szCs w:val="18"/>
        </w:rPr>
        <w:t>Krzysztof Pater</w:t>
      </w:r>
      <w:r>
        <w:rPr>
          <w:rFonts w:ascii="Verdana" w:hAnsi="Verdana"/>
          <w:sz w:val="18"/>
          <w:szCs w:val="18"/>
        </w:rPr>
        <w:t>.</w:t>
      </w:r>
    </w:p>
    <w:p w:rsidR="00F83179" w:rsidRDefault="00F83179" w:rsidP="00686EC2">
      <w:pPr>
        <w:spacing w:line="240" w:lineRule="auto"/>
        <w:rPr>
          <w:rFonts w:ascii="Verdana" w:hAnsi="Verdana"/>
          <w:sz w:val="18"/>
        </w:rPr>
      </w:pPr>
    </w:p>
    <w:p w:rsidR="00D647DE" w:rsidRDefault="00D647DE" w:rsidP="00403152">
      <w:pPr>
        <w:keepNext/>
        <w:keepLines/>
        <w:rPr>
          <w:color w:val="000000"/>
          <w:sz w:val="24"/>
          <w:szCs w:val="24"/>
        </w:rPr>
      </w:pPr>
      <w:r>
        <w:rPr>
          <w:rFonts w:ascii="Verdana" w:hAnsi="Verdana"/>
          <w:b/>
          <w:bCs/>
          <w:color w:val="000000"/>
          <w:sz w:val="18"/>
          <w:szCs w:val="18"/>
        </w:rPr>
        <w:lastRenderedPageBreak/>
        <w:t>Szczegółowych informacji udziela:</w:t>
      </w:r>
    </w:p>
    <w:p w:rsidR="00D647DE" w:rsidRDefault="00D647DE" w:rsidP="00403152">
      <w:pPr>
        <w:keepNext/>
        <w:keepLines/>
        <w:rPr>
          <w:rFonts w:ascii="Verdana" w:hAnsi="Verdana"/>
          <w:color w:val="000000"/>
          <w:sz w:val="18"/>
          <w:szCs w:val="18"/>
        </w:rPr>
      </w:pPr>
      <w:r>
        <w:rPr>
          <w:rFonts w:ascii="Verdana" w:hAnsi="Verdana"/>
          <w:color w:val="000000"/>
          <w:sz w:val="18"/>
          <w:szCs w:val="18"/>
        </w:rPr>
        <w:t xml:space="preserve">Dział Prasy EKES-u – Laura </w:t>
      </w:r>
      <w:proofErr w:type="spellStart"/>
      <w:r>
        <w:rPr>
          <w:rFonts w:ascii="Verdana" w:hAnsi="Verdana"/>
          <w:color w:val="000000"/>
          <w:sz w:val="18"/>
          <w:szCs w:val="18"/>
        </w:rPr>
        <w:t>Lui</w:t>
      </w:r>
      <w:proofErr w:type="spellEnd"/>
    </w:p>
    <w:p w:rsidR="00D647DE" w:rsidRDefault="00D647DE" w:rsidP="00403152">
      <w:pPr>
        <w:keepNext/>
        <w:keepLines/>
        <w:rPr>
          <w:rFonts w:ascii="Calibri" w:hAnsi="Calibri"/>
          <w:color w:val="000000"/>
          <w:sz w:val="24"/>
          <w:szCs w:val="24"/>
        </w:rPr>
      </w:pPr>
      <w:r>
        <w:rPr>
          <w:rFonts w:ascii="Verdana" w:hAnsi="Verdana"/>
          <w:color w:val="000000"/>
          <w:sz w:val="18"/>
          <w:szCs w:val="18"/>
        </w:rPr>
        <w:t xml:space="preserve">+32 (0)2 546 9189 </w:t>
      </w:r>
    </w:p>
    <w:p w:rsidR="00D647DE" w:rsidRDefault="007E509C" w:rsidP="00403152">
      <w:pPr>
        <w:keepNext/>
        <w:keepLines/>
        <w:rPr>
          <w:color w:val="000000"/>
          <w:sz w:val="24"/>
          <w:szCs w:val="24"/>
        </w:rPr>
      </w:pPr>
      <w:hyperlink r:id="rId11" w:history="1">
        <w:r w:rsidR="00604F69">
          <w:rPr>
            <w:rStyle w:val="Hyperlink"/>
            <w:rFonts w:ascii="Verdana" w:hAnsi="Verdana"/>
            <w:sz w:val="18"/>
            <w:szCs w:val="18"/>
          </w:rPr>
          <w:t>laurairena.lui@eesc.europa.eu</w:t>
        </w:r>
      </w:hyperlink>
    </w:p>
    <w:p w:rsidR="00D647DE" w:rsidRDefault="00D647DE" w:rsidP="00403152">
      <w:pPr>
        <w:keepNext/>
        <w:keepLines/>
        <w:rPr>
          <w:color w:val="000000"/>
          <w:sz w:val="24"/>
          <w:szCs w:val="24"/>
        </w:rPr>
      </w:pPr>
      <w:r>
        <w:rPr>
          <w:rFonts w:ascii="Verdana" w:hAnsi="Verdana"/>
          <w:b/>
          <w:bCs/>
          <w:color w:val="000000"/>
          <w:sz w:val="18"/>
          <w:szCs w:val="18"/>
        </w:rPr>
        <w:t>@EESC_PRESS</w:t>
      </w:r>
    </w:p>
    <w:p w:rsidR="00F83179" w:rsidRDefault="00F83179" w:rsidP="00F51000">
      <w:pPr>
        <w:spacing w:line="240" w:lineRule="auto"/>
        <w:jc w:val="left"/>
        <w:rPr>
          <w:rFonts w:ascii="Verdana" w:hAnsi="Verdana"/>
          <w:sz w:val="18"/>
        </w:rPr>
      </w:pPr>
    </w:p>
    <w:p w:rsidR="00F83179" w:rsidRDefault="00F83179" w:rsidP="00CE439D">
      <w:pPr>
        <w:rPr>
          <w:rFonts w:ascii="Verdana" w:hAnsi="Verdana"/>
          <w:b/>
          <w:bCs/>
          <w:i/>
          <w:sz w:val="16"/>
          <w:szCs w:val="16"/>
        </w:rPr>
      </w:pPr>
      <w:r>
        <w:rPr>
          <w:rFonts w:ascii="Verdana" w:hAnsi="Verdana"/>
          <w:bCs/>
          <w:i/>
          <w:sz w:val="16"/>
          <w:szCs w:val="16"/>
        </w:rPr>
        <w:t>__</w:t>
      </w:r>
      <w:r>
        <w:rPr>
          <w:rFonts w:ascii="Verdana" w:hAnsi="Verdana"/>
          <w:b/>
          <w:bCs/>
          <w:i/>
          <w:sz w:val="16"/>
          <w:szCs w:val="16"/>
        </w:rPr>
        <w:t>_____________________________________________________________________________</w:t>
      </w:r>
    </w:p>
    <w:p w:rsidR="00F83179" w:rsidRPr="00CE439D" w:rsidRDefault="00F83179" w:rsidP="00CE439D">
      <w:pPr>
        <w:rPr>
          <w:rFonts w:ascii="Verdana" w:hAnsi="Verdana"/>
          <w:i/>
          <w:sz w:val="16"/>
          <w:szCs w:val="16"/>
        </w:rPr>
      </w:pPr>
      <w:r>
        <w:rPr>
          <w:rFonts w:ascii="Verdana" w:hAnsi="Verdana"/>
          <w:i/>
          <w:sz w:val="16"/>
          <w:szCs w:val="16"/>
        </w:rPr>
        <w:t>Europejski Komitet Ekonomiczno-Społeczny (EKES) reprezentuje ró</w:t>
      </w:r>
      <w:r w:rsidR="00403152">
        <w:rPr>
          <w:rFonts w:ascii="Verdana" w:hAnsi="Verdana"/>
          <w:i/>
          <w:sz w:val="16"/>
          <w:szCs w:val="16"/>
        </w:rPr>
        <w:t>żnorodne środowiska społeczne i </w:t>
      </w:r>
      <w:r>
        <w:rPr>
          <w:rFonts w:ascii="Verdana" w:hAnsi="Verdana"/>
          <w:i/>
          <w:sz w:val="16"/>
          <w:szCs w:val="16"/>
        </w:rPr>
        <w:t>gospodarcze zorganizowanego społeczeństwa obywatelskiego. Jest instytucjonalnym organem doradczym powołanym w 1957 r. na mocy traktatu rzymskiego. Doradcza funkcja EK</w:t>
      </w:r>
      <w:r w:rsidR="00403152">
        <w:rPr>
          <w:rFonts w:ascii="Verdana" w:hAnsi="Verdana"/>
          <w:i/>
          <w:sz w:val="16"/>
          <w:szCs w:val="16"/>
        </w:rPr>
        <w:t>ES-u umożliwia jego członkom, a </w:t>
      </w:r>
      <w:r>
        <w:rPr>
          <w:rFonts w:ascii="Verdana" w:hAnsi="Verdana"/>
          <w:i/>
          <w:sz w:val="16"/>
          <w:szCs w:val="16"/>
        </w:rPr>
        <w:t>zatem i reprezentowanym przez nich organizacjom, uczestniczenie w unijnym procesie decyzyjnym.</w:t>
      </w:r>
    </w:p>
    <w:p w:rsidR="00F83179" w:rsidRDefault="00F83179" w:rsidP="00CE439D">
      <w:pPr>
        <w:rPr>
          <w:rFonts w:ascii="Verdana" w:hAnsi="Verdana"/>
          <w:b/>
          <w:bCs/>
          <w:i/>
          <w:sz w:val="16"/>
          <w:szCs w:val="16"/>
        </w:rPr>
      </w:pPr>
      <w:r>
        <w:rPr>
          <w:rFonts w:ascii="Verdana" w:hAnsi="Verdana"/>
          <w:bCs/>
          <w:i/>
          <w:sz w:val="16"/>
          <w:szCs w:val="16"/>
        </w:rPr>
        <w:t>__</w:t>
      </w:r>
      <w:r>
        <w:rPr>
          <w:rFonts w:ascii="Verdana" w:hAnsi="Verdana"/>
          <w:b/>
          <w:bCs/>
          <w:i/>
          <w:sz w:val="16"/>
          <w:szCs w:val="16"/>
        </w:rPr>
        <w:t>_____________________________________________________________________________</w:t>
      </w:r>
    </w:p>
    <w:p w:rsidR="007F1060" w:rsidRDefault="007F1060" w:rsidP="00686EC2">
      <w:pPr>
        <w:spacing w:line="240" w:lineRule="auto"/>
        <w:rPr>
          <w:rFonts w:ascii="Verdana" w:hAnsi="Verdana"/>
          <w:color w:val="000000"/>
          <w:sz w:val="16"/>
          <w:szCs w:val="16"/>
          <w:lang w:eastAsia="en-GB"/>
        </w:rPr>
      </w:pPr>
    </w:p>
    <w:p w:rsidR="00F83179" w:rsidRDefault="007F1060" w:rsidP="00686EC2">
      <w:pPr>
        <w:spacing w:line="240" w:lineRule="auto"/>
        <w:rPr>
          <w:rFonts w:ascii="Verdana" w:hAnsi="Verdana"/>
          <w:sz w:val="18"/>
        </w:rPr>
      </w:pPr>
      <w:r>
        <w:rPr>
          <w:rFonts w:ascii="Verdana" w:hAnsi="Verdana"/>
          <w:color w:val="000000"/>
          <w:sz w:val="16"/>
          <w:szCs w:val="16"/>
        </w:rPr>
        <w:t>Jeśli nie chcesz już otrzymywać tych wiadomości, prosimy o przesłanie wiadomości elektronicznej na adres</w:t>
      </w:r>
      <w:r>
        <w:t xml:space="preserve"> </w:t>
      </w:r>
      <w:hyperlink r:id="rId12" w:history="1">
        <w:r>
          <w:rPr>
            <w:rStyle w:val="Hyperlink"/>
            <w:rFonts w:ascii="Verdana" w:hAnsi="Verdana"/>
            <w:sz w:val="16"/>
            <w:szCs w:val="16"/>
          </w:rPr>
          <w:t>press@eesc.europa.eu</w:t>
        </w:r>
      </w:hyperlink>
      <w:r>
        <w:t>.</w:t>
      </w:r>
    </w:p>
    <w:sectPr w:rsidR="00F83179" w:rsidSect="00837B82">
      <w:type w:val="continuous"/>
      <w:pgSz w:w="11907" w:h="16839" w:code="9"/>
      <w:pgMar w:top="851" w:right="1418" w:bottom="992"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F79" w:rsidRDefault="00071F79">
      <w:r>
        <w:separator/>
      </w:r>
    </w:p>
  </w:endnote>
  <w:endnote w:type="continuationSeparator" w:id="0">
    <w:p w:rsidR="00071F79" w:rsidRDefault="0007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179" w:rsidRPr="0004715C" w:rsidRDefault="00F83179" w:rsidP="0004715C">
    <w:pPr>
      <w:spacing w:line="240" w:lineRule="auto"/>
      <w:jc w:val="center"/>
      <w:rPr>
        <w:rFonts w:ascii="Verdana" w:hAnsi="Verdana"/>
        <w:sz w:val="16"/>
        <w:szCs w:val="16"/>
      </w:rPr>
    </w:pPr>
    <w:proofErr w:type="spellStart"/>
    <w:r>
      <w:rPr>
        <w:rFonts w:ascii="Verdana" w:hAnsi="Verdana"/>
        <w:sz w:val="16"/>
        <w:szCs w:val="16"/>
      </w:rPr>
      <w:t>Rue</w:t>
    </w:r>
    <w:proofErr w:type="spellEnd"/>
    <w:r>
      <w:rPr>
        <w:rFonts w:ascii="Verdana" w:hAnsi="Verdana"/>
        <w:sz w:val="16"/>
        <w:szCs w:val="16"/>
      </w:rPr>
      <w:t xml:space="preserve"> </w:t>
    </w:r>
    <w:proofErr w:type="spellStart"/>
    <w:r>
      <w:rPr>
        <w:rFonts w:ascii="Verdana" w:hAnsi="Verdana"/>
        <w:sz w:val="16"/>
        <w:szCs w:val="16"/>
      </w:rPr>
      <w:t>Belliard</w:t>
    </w:r>
    <w:proofErr w:type="spellEnd"/>
    <w:r>
      <w:rPr>
        <w:rFonts w:ascii="Verdana" w:hAnsi="Verdana"/>
        <w:sz w:val="16"/>
        <w:szCs w:val="16"/>
      </w:rPr>
      <w:t>/</w:t>
    </w:r>
    <w:proofErr w:type="spellStart"/>
    <w:r>
      <w:rPr>
        <w:rFonts w:ascii="Verdana" w:hAnsi="Verdana"/>
        <w:sz w:val="16"/>
        <w:szCs w:val="16"/>
      </w:rPr>
      <w:t>Belliardstraat</w:t>
    </w:r>
    <w:proofErr w:type="spellEnd"/>
    <w:r>
      <w:rPr>
        <w:rFonts w:ascii="Verdana" w:hAnsi="Verdana"/>
        <w:sz w:val="16"/>
        <w:szCs w:val="16"/>
      </w:rPr>
      <w:t xml:space="preserve"> 99, 1040 </w:t>
    </w:r>
    <w:proofErr w:type="spellStart"/>
    <w:r>
      <w:rPr>
        <w:rFonts w:ascii="Verdana" w:hAnsi="Verdana"/>
        <w:sz w:val="16"/>
        <w:szCs w:val="16"/>
      </w:rPr>
      <w:t>Bruxelles</w:t>
    </w:r>
    <w:proofErr w:type="spellEnd"/>
    <w:r>
      <w:rPr>
        <w:rFonts w:ascii="Verdana" w:hAnsi="Verdana"/>
        <w:sz w:val="16"/>
        <w:szCs w:val="16"/>
      </w:rPr>
      <w:t>/</w:t>
    </w:r>
    <w:proofErr w:type="spellStart"/>
    <w:r>
      <w:rPr>
        <w:rFonts w:ascii="Verdana" w:hAnsi="Verdana"/>
        <w:sz w:val="16"/>
        <w:szCs w:val="16"/>
      </w:rPr>
      <w:t>Brussel</w:t>
    </w:r>
    <w:proofErr w:type="spellEnd"/>
    <w:r>
      <w:rPr>
        <w:rFonts w:ascii="Verdana" w:hAnsi="Verdana"/>
        <w:sz w:val="16"/>
        <w:szCs w:val="16"/>
      </w:rPr>
      <w:t xml:space="preserve"> BELGIA</w:t>
    </w:r>
  </w:p>
  <w:p w:rsidR="00F83179" w:rsidRPr="0004715C" w:rsidRDefault="00F83179" w:rsidP="0004715C">
    <w:pPr>
      <w:spacing w:line="240" w:lineRule="auto"/>
      <w:jc w:val="center"/>
      <w:rPr>
        <w:rFonts w:ascii="Verdana" w:hAnsi="Verdana"/>
        <w:sz w:val="16"/>
        <w:szCs w:val="16"/>
      </w:rPr>
    </w:pPr>
    <w:proofErr w:type="gramStart"/>
    <w:r>
      <w:rPr>
        <w:rFonts w:ascii="Verdana" w:hAnsi="Verdana"/>
        <w:sz w:val="16"/>
        <w:szCs w:val="16"/>
      </w:rPr>
      <w:t>tel</w:t>
    </w:r>
    <w:proofErr w:type="gramEnd"/>
    <w:r>
      <w:rPr>
        <w:rFonts w:ascii="Verdana" w:hAnsi="Verdana"/>
        <w:sz w:val="16"/>
        <w:szCs w:val="16"/>
      </w:rPr>
      <w:t>. +32 25469406 – faks +32 25469764</w:t>
    </w:r>
  </w:p>
  <w:p w:rsidR="00F83179" w:rsidRDefault="00F83179" w:rsidP="0004715C">
    <w:pPr>
      <w:spacing w:line="240" w:lineRule="auto"/>
      <w:jc w:val="center"/>
      <w:rPr>
        <w:rFonts w:ascii="Verdana" w:hAnsi="Verdana"/>
        <w:sz w:val="16"/>
        <w:szCs w:val="16"/>
      </w:rPr>
    </w:pPr>
    <w:proofErr w:type="gramStart"/>
    <w:r>
      <w:rPr>
        <w:rFonts w:ascii="Verdana" w:hAnsi="Verdana"/>
        <w:sz w:val="16"/>
        <w:szCs w:val="16"/>
      </w:rPr>
      <w:t>e-mail</w:t>
    </w:r>
    <w:proofErr w:type="gramEnd"/>
    <w:r>
      <w:rPr>
        <w:rFonts w:ascii="Verdana" w:hAnsi="Verdana"/>
        <w:sz w:val="16"/>
        <w:szCs w:val="16"/>
      </w:rPr>
      <w:t>:</w:t>
    </w:r>
    <w:r>
      <w:t xml:space="preserve"> </w:t>
    </w:r>
    <w:hyperlink r:id="rId1" w:history="1">
      <w:r>
        <w:rPr>
          <w:rStyle w:val="Hyperlink"/>
          <w:rFonts w:ascii="Verdana" w:hAnsi="Verdana"/>
          <w:sz w:val="16"/>
          <w:szCs w:val="16"/>
        </w:rPr>
        <w:t>press@eesc.europa.eu</w:t>
      </w:r>
    </w:hyperlink>
    <w:r>
      <w:rPr>
        <w:rFonts w:ascii="Verdana" w:hAnsi="Verdana"/>
        <w:sz w:val="16"/>
        <w:szCs w:val="16"/>
      </w:rPr>
      <w:t xml:space="preserve"> – </w:t>
    </w:r>
    <w:proofErr w:type="spellStart"/>
    <w:r>
      <w:rPr>
        <w:rFonts w:ascii="Verdana" w:hAnsi="Verdana"/>
        <w:sz w:val="16"/>
        <w:szCs w:val="16"/>
      </w:rPr>
      <w:t>internet</w:t>
    </w:r>
    <w:proofErr w:type="spellEnd"/>
    <w:r>
      <w:rPr>
        <w:rFonts w:ascii="Verdana" w:hAnsi="Verdana"/>
        <w:sz w:val="16"/>
        <w:szCs w:val="16"/>
      </w:rPr>
      <w:t>:</w:t>
    </w:r>
    <w:r>
      <w:t xml:space="preserve"> </w:t>
    </w:r>
    <w:hyperlink r:id="rId2" w:history="1">
      <w:r>
        <w:rPr>
          <w:rStyle w:val="Hyperlink"/>
          <w:rFonts w:ascii="Verdana" w:hAnsi="Verdana"/>
          <w:sz w:val="16"/>
          <w:szCs w:val="16"/>
        </w:rPr>
        <w:t>www.eesc.europa.eu</w:t>
      </w:r>
    </w:hyperlink>
  </w:p>
  <w:p w:rsidR="00F83179" w:rsidRPr="0004715C" w:rsidRDefault="00F83179" w:rsidP="00F61167">
    <w:pPr>
      <w:spacing w:line="240" w:lineRule="auto"/>
      <w:jc w:val="center"/>
      <w:rPr>
        <w:rFonts w:ascii="Verdana" w:hAnsi="Verdana"/>
        <w:sz w:val="16"/>
        <w:szCs w:val="16"/>
      </w:rPr>
    </w:pPr>
    <w:r>
      <w:rPr>
        <w:rFonts w:ascii="Verdana" w:hAnsi="Verdana"/>
        <w:sz w:val="16"/>
        <w:szCs w:val="16"/>
      </w:rPr>
      <w:t xml:space="preserve">Śledź EKES na </w:t>
    </w:r>
    <w:r>
      <w:rPr>
        <w:noProof/>
        <w:lang w:val="fr-BE" w:eastAsia="fr-BE"/>
      </w:rPr>
      <w:drawing>
        <wp:inline distT="0" distB="0" distL="0" distR="0" wp14:anchorId="10C42576" wp14:editId="4FDDE9F8">
          <wp:extent cx="222250" cy="222250"/>
          <wp:effectExtent l="0" t="0" r="6350" b="6350"/>
          <wp:docPr id="1" name="Picture 1" descr="http://www.eesc.europa.eu/resources/toolip/img/2011/08/23/ico-twitter.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sc.europa.eu/resources/toolip/img/2011/08/23/ico-twitter.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Pr>
        <w:rFonts w:ascii="Verdana" w:hAnsi="Verdana"/>
        <w:sz w:val="16"/>
      </w:rPr>
      <w:t>  </w:t>
    </w:r>
    <w:r>
      <w:rPr>
        <w:noProof/>
        <w:lang w:val="fr-BE" w:eastAsia="fr-BE"/>
      </w:rPr>
      <w:drawing>
        <wp:inline distT="0" distB="0" distL="0" distR="0" wp14:anchorId="0F65C196" wp14:editId="4DC05FF3">
          <wp:extent cx="222250" cy="222250"/>
          <wp:effectExtent l="0" t="0" r="6350" b="6350"/>
          <wp:docPr id="2" name="Picture 2" descr="http://www.eesc.europa.eu/resources/toolip/img/2011/08/23/ico-facebook.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sc.europa.eu/resources/toolip/img/2011/08/23/ico-facebook.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t>  </w:t>
    </w:r>
    <w:r>
      <w:rPr>
        <w:noProof/>
        <w:lang w:val="fr-BE" w:eastAsia="fr-BE"/>
      </w:rPr>
      <w:drawing>
        <wp:inline distT="0" distB="0" distL="0" distR="0" wp14:anchorId="682DB98D" wp14:editId="3D3452FB">
          <wp:extent cx="222250" cy="222250"/>
          <wp:effectExtent l="0" t="0" r="6350" b="6350"/>
          <wp:docPr id="3" name="Picture 3" descr="http://www.eesc.europa.eu/resources/toolip/img/2011/08/25/youtube-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sc.europa.eu/resources/toolip/img/2011/08/25/youtube-logo.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F79" w:rsidRDefault="00071F79">
      <w:r>
        <w:separator/>
      </w:r>
    </w:p>
  </w:footnote>
  <w:footnote w:type="continuationSeparator" w:id="0">
    <w:p w:rsidR="00071F79" w:rsidRDefault="00071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5"/>
    <w:rsid w:val="0004715C"/>
    <w:rsid w:val="00067F21"/>
    <w:rsid w:val="00071F79"/>
    <w:rsid w:val="00104DFA"/>
    <w:rsid w:val="00105E49"/>
    <w:rsid w:val="00142677"/>
    <w:rsid w:val="0018613F"/>
    <w:rsid w:val="001D73C0"/>
    <w:rsid w:val="00227A31"/>
    <w:rsid w:val="002734F3"/>
    <w:rsid w:val="002B4379"/>
    <w:rsid w:val="002D2FE9"/>
    <w:rsid w:val="00321382"/>
    <w:rsid w:val="00337F0A"/>
    <w:rsid w:val="0038577F"/>
    <w:rsid w:val="00394D81"/>
    <w:rsid w:val="003A77E7"/>
    <w:rsid w:val="003B714A"/>
    <w:rsid w:val="003C1F6B"/>
    <w:rsid w:val="003C2229"/>
    <w:rsid w:val="00403152"/>
    <w:rsid w:val="00424928"/>
    <w:rsid w:val="004605FD"/>
    <w:rsid w:val="004716B1"/>
    <w:rsid w:val="00494BBC"/>
    <w:rsid w:val="004E422F"/>
    <w:rsid w:val="005270ED"/>
    <w:rsid w:val="005549A1"/>
    <w:rsid w:val="00556CD0"/>
    <w:rsid w:val="005A0E46"/>
    <w:rsid w:val="005B3342"/>
    <w:rsid w:val="005C08F4"/>
    <w:rsid w:val="005C2258"/>
    <w:rsid w:val="005C46DB"/>
    <w:rsid w:val="00604F69"/>
    <w:rsid w:val="00626C38"/>
    <w:rsid w:val="00662EE3"/>
    <w:rsid w:val="00686EC2"/>
    <w:rsid w:val="006B4D96"/>
    <w:rsid w:val="006B4DBE"/>
    <w:rsid w:val="006C5C42"/>
    <w:rsid w:val="00712EA3"/>
    <w:rsid w:val="00767C09"/>
    <w:rsid w:val="007A5486"/>
    <w:rsid w:val="007E509C"/>
    <w:rsid w:val="007F1060"/>
    <w:rsid w:val="008133EA"/>
    <w:rsid w:val="00837B82"/>
    <w:rsid w:val="008820BE"/>
    <w:rsid w:val="008C573E"/>
    <w:rsid w:val="009C2FCF"/>
    <w:rsid w:val="009D3245"/>
    <w:rsid w:val="00A74687"/>
    <w:rsid w:val="00A96CE7"/>
    <w:rsid w:val="00AA61D9"/>
    <w:rsid w:val="00AF2692"/>
    <w:rsid w:val="00B239E2"/>
    <w:rsid w:val="00B54383"/>
    <w:rsid w:val="00B710AF"/>
    <w:rsid w:val="00B9349D"/>
    <w:rsid w:val="00B96D77"/>
    <w:rsid w:val="00BB36F5"/>
    <w:rsid w:val="00C93E55"/>
    <w:rsid w:val="00C97D1B"/>
    <w:rsid w:val="00CB5993"/>
    <w:rsid w:val="00CE439D"/>
    <w:rsid w:val="00CE7EFA"/>
    <w:rsid w:val="00D647DE"/>
    <w:rsid w:val="00D9016E"/>
    <w:rsid w:val="00DC66B3"/>
    <w:rsid w:val="00E83FED"/>
    <w:rsid w:val="00EC55A1"/>
    <w:rsid w:val="00F51000"/>
    <w:rsid w:val="00F61167"/>
    <w:rsid w:val="00F83179"/>
    <w:rsid w:val="00F92D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FFA7136"/>
  <w15:docId w15:val="{389EA14D-8A49-4785-BCD1-8A3EEF6E55B1}"/>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pl-PL"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pl-PL"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pl-PL"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pl-PL"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pl-PL"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pl-PL"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pl-PL"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pl-PL"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pl-PL"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pl-PL"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pl-PL"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pl-PL"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pl-PL" w:eastAsia="en-US"/>
    </w:rPr>
  </w:style>
  <w:style w:type="character" w:styleId="PlaceholderText">
    <w:name w:val="Placeholder Text"/>
    <w:basedOn w:val="DefaultParagraphFont"/>
    <w:uiPriority w:val="99"/>
    <w:semiHidden/>
    <w:rsid w:val="004031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ess@eesc.europa.eu?subject="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irena.lui@eesc.europa.eu"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eesc.europa.eu/pl/our-work/publications-other-work/publications/real-rights-persons-disabilities-vote-european-parliament-elections-information-report" TargetMode="External"/><Relationship Id="rId4" Type="http://schemas.openxmlformats.org/officeDocument/2006/relationships/webSettings" Target="webSettings.xml"/><Relationship Id="rId9" Type="http://schemas.openxmlformats.org/officeDocument/2006/relationships/hyperlink" Target="https://www.eesc.europa.eu/pl/our-work/opinions-information-reports/opinions/need-guarantee-real-rights-persons-disabilities-vote-european-parliament-elections-additional-opin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http://www.eesc.europa.eu/resources/toolip/img/2011/08/25/youtube-logo.jpg" TargetMode="External"/><Relationship Id="rId3" Type="http://schemas.openxmlformats.org/officeDocument/2006/relationships/hyperlink" Target="https://twitter.com/EU_EESC" TargetMode="External"/><Relationship Id="rId7" Type="http://schemas.openxmlformats.org/officeDocument/2006/relationships/hyperlink" Target="http://www.youtube.com/user/EurEcoSocCommittee" TargetMode="External"/><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 Id="rId6" Type="http://schemas.openxmlformats.org/officeDocument/2006/relationships/image" Target="http://www.eesc.europa.eu/resources/toolip/img/2011/08/23/ico-facebook.gif" TargetMode="External"/><Relationship Id="rId5" Type="http://schemas.openxmlformats.org/officeDocument/2006/relationships/hyperlink" Target="http://www.facebook.com/pages/EESC-European-Economic-and-Social-Committee/144709575593854" TargetMode="External"/><Relationship Id="rId4" Type="http://schemas.openxmlformats.org/officeDocument/2006/relationships/image" Target="http://www.eesc.europa.eu/resources/toolip/img/2011/08/23/ico-twitter.gif" TargetMode="Externa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6B3A83997D445469E673E9B07871DA8" ma:contentTypeVersion="4" ma:contentTypeDescription="Defines the documents for Document Manager V2" ma:contentTypeScope="" ma:versionID="36e64be1a7d8d0aefd2d0207eaf7dcb2">
  <xsd:schema xmlns:xsd="http://www.w3.org/2001/XMLSchema" xmlns:xs="http://www.w3.org/2001/XMLSchema" xmlns:p="http://schemas.microsoft.com/office/2006/metadata/properties" xmlns:ns2="cda99570-6012-4083-bfeb-7d32ad1ce1a3" xmlns:ns3="http://schemas.microsoft.com/sharepoint/v3/fields" xmlns:ns4="de9c580c-2aa5-4762-938d-521e4861f44f" targetNamespace="http://schemas.microsoft.com/office/2006/metadata/properties" ma:root="true" ma:fieldsID="ae362fd9a150fca7250a3bc7b443d27b" ns2:_="" ns3:_="" ns4:_="">
    <xsd:import namespace="cda99570-6012-4083-bfeb-7d32ad1ce1a3"/>
    <xsd:import namespace="http://schemas.microsoft.com/sharepoint/v3/fields"/>
    <xsd:import namespace="de9c580c-2aa5-4762-938d-521e4861f4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c580c-2aa5-4762-938d-521e4861f4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VV634QRNENMJ-2141480542-2114</_dlc_DocId>
    <_dlc_DocIdUrl xmlns="cda99570-6012-4083-bfeb-7d32ad1ce1a3">
      <Url>http://dm2016/eesc/2020/_layouts/15/DocIdRedir.aspx?ID=VV634QRNENMJ-2141480542-2114</Url>
      <Description>VV634QRNENMJ-2141480542-2114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2020-12-02T12:00:00+00:00</ProductionDate>
    <FicheYear xmlns="cda99570-6012-4083-bfeb-7d32ad1ce1a3">2020</FicheYear>
    <DocumentNumber xmlns="de9c580c-2aa5-4762-938d-521e4861f44f">5484</DocumentNumber>
    <DocumentVersion xmlns="cda99570-6012-4083-bfeb-7d32ad1ce1a3">0</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48</Value>
      <Value>47</Value>
      <Value>46</Value>
      <Value>45</Value>
      <Value>44</Value>
      <Value>43</Value>
      <Value>41</Value>
      <Value>40</Value>
      <Value>39</Value>
      <Value>38</Value>
      <Value>36</Value>
      <Value>34</Value>
      <Value>32</Value>
      <Value>31</Value>
      <Value>30</Value>
      <Value>29</Value>
      <Value>24</Value>
      <Value>16</Value>
      <Value>15</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13443</FicheNumber>
    <DocumentPart xmlns="cda99570-6012-4083-bfeb-7d32ad1ce1a3">0</DocumentPart>
    <AdoptionDate xmlns="cda99570-6012-4083-bfeb-7d32ad1ce1a3" xsi:nil="true"/>
    <RequestingService xmlns="cda99570-6012-4083-bfeb-7d32ad1ce1a3">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de9c580c-2aa5-4762-938d-521e4861f44f"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228AF7C2-5E79-471E-86A0-AB3884B86589}"/>
</file>

<file path=customXml/itemProps2.xml><?xml version="1.0" encoding="utf-8"?>
<ds:datastoreItem xmlns:ds="http://schemas.openxmlformats.org/officeDocument/2006/customXml" ds:itemID="{277FEB73-56DD-452B-A311-F8EDE5A53F72}"/>
</file>

<file path=customXml/itemProps3.xml><?xml version="1.0" encoding="utf-8"?>
<ds:datastoreItem xmlns:ds="http://schemas.openxmlformats.org/officeDocument/2006/customXml" ds:itemID="{8AA96588-C5FC-4F7B-9081-1AF6380F04A6}"/>
</file>

<file path=customXml/itemProps4.xml><?xml version="1.0" encoding="utf-8"?>
<ds:datastoreItem xmlns:ds="http://schemas.openxmlformats.org/officeDocument/2006/customXml" ds:itemID="{084CF393-0932-4BD8-9BE2-3A60A7B8AB44}"/>
</file>

<file path=docProps/app.xml><?xml version="1.0" encoding="utf-8"?>
<Properties xmlns="http://schemas.openxmlformats.org/officeDocument/2006/extended-properties" xmlns:vt="http://schemas.openxmlformats.org/officeDocument/2006/docPropsVTypes">
  <Template>Styles.dotm</Template>
  <TotalTime>68</TotalTime>
  <Pages>3</Pages>
  <Words>1110</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 press release template</vt:lpstr>
    </vt:vector>
  </TitlesOfParts>
  <Company>CESE-CdR</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Prawa osób z niepełnosprawnościami do głosowania</dc:title>
  <dc:creator>Emma Nieddu</dc:creator>
  <cp:keywords>EESC-2020-05484-00-00-CP-TRA-EN</cp:keywords>
  <dc:description>Rapporteur:  - Original language: EN - Date of document: 02/12/2020 - Date of meeting:  - External documents:  - Administrator:  LUI Laura Irena</dc:description>
  <cp:lastModifiedBy>Agnieszka Klimaszewska</cp:lastModifiedBy>
  <cp:revision>7</cp:revision>
  <cp:lastPrinted>2007-06-05T13:08:00Z</cp:lastPrinted>
  <dcterms:created xsi:type="dcterms:W3CDTF">2020-12-01T13:14:00Z</dcterms:created>
  <dcterms:modified xsi:type="dcterms:W3CDTF">2020-12-02T14:20:00Z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01/12/2020</vt:lpwstr>
  </property>
  <property fmtid="{D5CDD505-2E9C-101B-9397-08002B2CF9AE}" pid="4" name="Pref_Time">
    <vt:lpwstr>14:12:59</vt:lpwstr>
  </property>
  <property fmtid="{D5CDD505-2E9C-101B-9397-08002B2CF9AE}" pid="5" name="Pref_User">
    <vt:lpwstr>amett</vt:lpwstr>
  </property>
  <property fmtid="{D5CDD505-2E9C-101B-9397-08002B2CF9AE}" pid="6" name="Pref_FileName">
    <vt:lpwstr>EESC-2020-05484-00-00-CP-TRA.docx</vt:lpwstr>
  </property>
  <property fmtid="{D5CDD505-2E9C-101B-9397-08002B2CF9AE}" pid="7" name="ContentTypeId">
    <vt:lpwstr>0x010100EA97B91038054C99906057A708A1480A0076B3A83997D445469E673E9B07871DA8</vt:lpwstr>
  </property>
  <property fmtid="{D5CDD505-2E9C-101B-9397-08002B2CF9AE}" pid="8" name="_dlc_DocIdItemGuid">
    <vt:lpwstr>b05999ea-975a-4aa1-9534-6ec5067dc000</vt:lpwstr>
  </property>
  <property fmtid="{D5CDD505-2E9C-101B-9397-08002B2CF9AE}" pid="9" name="AvailableTranslations">
    <vt:lpwstr>47;#ET|ff6c3f4c-b02c-4c3c-ab07-2c37995a7a0a;#11;#FR|d2afafd3-4c81-4f60-8f52-ee33f2f54ff3;#29;#PT|50ccc04a-eadd-42ae-a0cb-acaf45f812ba;#41;#NL|55c6556c-b4f4-441d-9acf-c498d4f838bd;#30;#LT|a7ff5ce7-6123-4f68-865a-a57c31810414;#46;#SK|46d9fce0-ef79-4f71-b89b-cd6aa82426b8;#10;#DE|f6b31e5a-26fa-4935-b661-318e46daf27e;#4;#EN|f2175f21-25d7-44a3-96da-d6a61b075e1b;#16;#ES|e7a6b05b-ae16-40c8-add9-68b64b03aeba;#36;#MT|7df99101-6854-4a26-b53a-b88c0da02c26;#9;#PL|1e03da61-4678-4e07-b136-b5024ca9197b;#38;#EL|6d4f4d51-af9b-4650-94b4-4276bee85c91;#32;#DA|5d49c027-8956-412b-aa16-e85a0f96ad0e;#31;#CS|72f9705b-0217-4fd3-bea2-cbc7ed80e26e;#48;#RO|feb747a2-64cd-4299-af12-4833ddc30497;#34;#SL|98a412ae-eb01-49e9-ae3d-585a81724cfc;#24;#LV|46f7e311-5d9f-4663-b433-18aeccb7ace7;#40;#SV|c2ed69e7-a339-43d7-8f22-d93680a92aa0;#44;#BG|1a1b3951-7821-4e6a-85f5-5673fc08bd2c;#43;#HR|2f555653-ed1a-4fe6-8362-9082d95989e5;#45;#FI|87606a43-d45f-42d6-b8c9-e1a3457db5b7;#13;#IT|0774613c-01ed-4e5d-a25d-11d2388de825;#39;#HU|6b229040-c589-4408-b4c1-4285663d20a8</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5484</vt:i4>
  </property>
  <property fmtid="{D5CDD505-2E9C-101B-9397-08002B2CF9AE}" pid="14" name="FicheYear">
    <vt:i4>2020</vt:i4>
  </property>
  <property fmtid="{D5CDD505-2E9C-101B-9397-08002B2CF9AE}" pid="15" name="DocumentVersion">
    <vt:i4>0</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15;#CP|de8ad211-9e8d-408b-8324-674d21bb7d18</vt:lpwstr>
  </property>
  <property fmtid="{D5CDD505-2E9C-101B-9397-08002B2CF9AE}" pid="22" name="RequestingService">
    <vt:lpwstr>Presse</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ET|ff6c3f4c-b02c-4c3c-ab07-2c37995a7a0a;PT|50ccc04a-eadd-42ae-a0cb-acaf45f812ba;NL|55c6556c-b4f4-441d-9acf-c498d4f838bd;SK|46d9fce0-ef79-4f71-b89b-cd6aa82426b8;DE|f6b31e5a-26fa-4935-b661-318e46daf27e;EN|f2175f21-25d7-44a3-96da-d6a61b075e1b;ES|e7a6b05b-ae16-40c8-add9-68b64b03aeba;MT|7df99101-6854-4a26-b53a-b88c0da02c26;EL|6d4f4d51-af9b-4650-94b4-4276bee85c91;DA|5d49c027-8956-412b-aa16-e85a0f96ad0e;CS|72f9705b-0217-4fd3-bea2-cbc7ed80e26e;RO|feb747a2-64cd-4299-af12-4833ddc30497;LV|46f7e311-5d9f-4663-b433-18aeccb7ace7;SV|c2ed69e7-a339-43d7-8f22-d93680a92aa0;BG|1a1b3951-7821-4e6a-85f5-5673fc08bd2c;FI|87606a43-d45f-42d6-b8c9-e1a3457db5b7;IT|0774613c-01ed-4e5d-a25d-11d2388de825;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MT|7df99101-6854-4a26-b53a-b88c0da02c26;#39;#HU|6b229040-c589-4408-b4c1-4285663d20a8;#32;#DA|5d49c027-8956-412b-aa16-e85a0f96ad0e;#31;#CS|72f9705b-0217-4fd3-bea2-cbc7ed80e26e;#29;#PT|50ccc04a-eadd-42ae-a0cb-acaf45f812ba;#38;#EL|6d4f4d51-af9b-4650-94b4-4276bee85c91;#45;#FI|87606a43-d45f-42d6-b8c9-e1a3457db5b7;#16;#ES|e7a6b05b-ae16-40c8-add9-68b64b03aeba;#15;#CP|de8ad211-9e8d-408b-8324-674d21bb7d18;#24;#LV|46f7e311-5d9f-4663-b433-18aeccb7ace7;#13;#IT|0774613c-01ed-4e5d-a25d-11d2388de825;#48;#RO|feb747a2-64cd-4299-af12-4833ddc30497;#10;#DE|f6b31e5a-26fa-4935-b661-318e46daf27e;#46;#SK|46d9fce0-ef79-4f71-b89b-cd6aa82426b8;#41;#NL|55c6556c-b4f4-441d-9acf-c498d4f838bd;#44;#BG|1a1b3951-7821-4e6a-85f5-5673fc08bd2c;#6;#Final|ea5e6674-7b27-4bac-b091-73adbb394efe;#5;#Unrestricted|826e22d7-d029-4ec0-a450-0c28ff673572;#4;#EN|f2175f21-25d7-44a3-96da-d6a61b075e1b;#40;#SV|c2ed69e7-a339-43d7-8f22-d93680a92aa0;#2;#TRA|150d2a88-1431-44e6-a8ca-0bb753ab8672;#1;#EESC|422833ec-8d7e-4e65-8e4e-8bed07ffb729;#47;#ET|ff6c3f4c-b02c-4c3c-ab07-2c37995a7a0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13443</vt:i4>
  </property>
  <property fmtid="{D5CDD505-2E9C-101B-9397-08002B2CF9AE}" pid="37" name="DocumentLanguage">
    <vt:lpwstr>9;#PL|1e03da61-4678-4e07-b136-b5024ca9197b</vt:lpwstr>
  </property>
</Properties>
</file>