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A837D" w14:textId="698A33EC" w:rsidR="008E60C1" w:rsidRDefault="008E60C1" w:rsidP="008E60C1">
      <w:pPr>
        <w:spacing w:after="0" w:line="288" w:lineRule="auto"/>
        <w:jc w:val="center"/>
        <w:rPr>
          <w:rFonts w:ascii="Times New Roman" w:hAnsi="Times New Roman"/>
          <w:sz w:val="16"/>
          <w:szCs w:val="16"/>
        </w:rPr>
      </w:pPr>
      <w:r>
        <w:rPr>
          <w:noProof/>
          <w:lang w:val="fr-BE" w:eastAsia="fr-BE"/>
        </w:rPr>
        <w:drawing>
          <wp:inline distT="0" distB="0" distL="0" distR="0" wp14:anchorId="75F6CD8E" wp14:editId="1838C536">
            <wp:extent cx="1792605" cy="1241425"/>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p>
    <w:p w14:paraId="1FCAC5C7" w14:textId="5FC76EDE" w:rsidR="008E60C1" w:rsidRPr="008E60C1" w:rsidRDefault="008E60C1" w:rsidP="008E60C1">
      <w:pPr>
        <w:spacing w:after="0" w:line="288" w:lineRule="auto"/>
        <w:jc w:val="center"/>
        <w:rPr>
          <w:rFonts w:ascii="Times New Roman" w:hAnsi="Times New Roman"/>
          <w:sz w:val="16"/>
          <w:szCs w:val="16"/>
        </w:rPr>
      </w:pPr>
      <w:r w:rsidRPr="008E60C1">
        <w:rPr>
          <w:rFonts w:ascii="Times New Roman" w:hAnsi="Times New Roman"/>
        </w:rPr>
        <w:t>Transporta, enerģētikas, infrastruktūras un informācijas sabiedrības specializētā nodaļa</w:t>
      </w:r>
      <w:r w:rsidRPr="008E60C1">
        <w:rPr>
          <w:rFonts w:ascii="Times New Roman" w:hAnsi="Times New Roman"/>
        </w:rPr>
        <w:cr/>
      </w:r>
    </w:p>
    <w:bookmarkStart w:id="0" w:name="_GoBack"/>
    <w:bookmarkEnd w:id="0"/>
    <w:p w14:paraId="08F6AD37" w14:textId="649AC029" w:rsidR="005604CD" w:rsidRPr="00A132AE" w:rsidRDefault="005604CD" w:rsidP="00A132AE">
      <w:pPr>
        <w:spacing w:after="0" w:line="288" w:lineRule="auto"/>
        <w:jc w:val="both"/>
        <w:rPr>
          <w:rFonts w:ascii="Times New Roman" w:hAnsi="Times New Roman"/>
          <w:sz w:val="16"/>
          <w:szCs w:val="16"/>
        </w:rPr>
      </w:pPr>
      <w:r>
        <w:rPr>
          <w:rFonts w:ascii="Times New Roman" w:hAnsi="Times New Roman"/>
          <w:b/>
          <w:noProof/>
          <w:sz w:val="20"/>
          <w:lang w:val="fr-BE" w:eastAsia="fr-BE"/>
        </w:rPr>
        <mc:AlternateContent>
          <mc:Choice Requires="wps">
            <w:drawing>
              <wp:anchor distT="0" distB="0" distL="114300" distR="114300" simplePos="0" relativeHeight="251658240" behindDoc="1" locked="0" layoutInCell="0" allowOverlap="1" wp14:anchorId="34E883F8" wp14:editId="7CCA7A4C">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DEDC" w14:textId="77777777" w:rsidR="000C2D2F" w:rsidRPr="00260E65" w:rsidRDefault="000C2D2F">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83F8"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14:paraId="174CDEDC" w14:textId="77777777" w:rsidR="000C2D2F" w:rsidRPr="00260E65" w:rsidRDefault="000C2D2F">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14:paraId="44C9EEAC" w14:textId="456E15E3" w:rsidR="00856868" w:rsidRPr="006255E2" w:rsidRDefault="00856868" w:rsidP="00722DA3">
      <w:pPr>
        <w:spacing w:after="0" w:line="288" w:lineRule="auto"/>
        <w:jc w:val="center"/>
        <w:rPr>
          <w:rFonts w:ascii="Times New Roman" w:hAnsi="Times New Roman"/>
          <w:b/>
        </w:rPr>
      </w:pPr>
      <w:r>
        <w:rPr>
          <w:rFonts w:ascii="Times New Roman" w:hAnsi="Times New Roman"/>
          <w:b/>
        </w:rPr>
        <w:t xml:space="preserve">TEN 2021. GADA DARBA PROGRAMMA </w:t>
      </w:r>
    </w:p>
    <w:p w14:paraId="07990D63" w14:textId="7B571298" w:rsidR="0049537D" w:rsidRPr="006255E2" w:rsidRDefault="0049537D">
      <w:pPr>
        <w:spacing w:after="0" w:line="288" w:lineRule="auto"/>
        <w:jc w:val="both"/>
        <w:rPr>
          <w:rFonts w:ascii="Times New Roman" w:hAnsi="Times New Roman"/>
        </w:rPr>
      </w:pPr>
    </w:p>
    <w:p w14:paraId="30EC8D26" w14:textId="7B7D0556" w:rsidR="00B561E6" w:rsidRPr="006255E2" w:rsidRDefault="00B561E6">
      <w:pPr>
        <w:spacing w:after="0" w:line="288" w:lineRule="auto"/>
        <w:jc w:val="both"/>
        <w:rPr>
          <w:rFonts w:ascii="Times New Roman" w:hAnsi="Times New Roman"/>
        </w:rPr>
      </w:pPr>
      <w:r>
        <w:rPr>
          <w:rFonts w:ascii="Times New Roman" w:hAnsi="Times New Roman"/>
        </w:rPr>
        <w:t>TEN darba programma nāk klajā uzreiz pēc tam, kad Eiropadome ir apstiprinājusi Eiropas Komisijas (EK) priekšlikumu 2030. gadam izvirzīt vērienīgākus mērķus klimata jomā. Ilgtermiņā tas nozīmē paātrināt zaļo pārkārtošanu un sasniegt jauno mērķi – līdz 2030. gadam par 55 % samazināt siltumnīcefekta gāzu emisijas un līdz 2050. gadam panākt klimatneitralitāti. Tas ir vērienīgs plāns, un tajā būtu jāpatur prātā sociāli taisnīga un ekonomiski pamatota pārkārtošana, izmantojot Eiropas zaļo kursu, lai “nevienu neatstātu novārtā”.</w:t>
      </w:r>
    </w:p>
    <w:p w14:paraId="7DEFB6C7" w14:textId="77777777" w:rsidR="00B561E6" w:rsidRPr="006255E2" w:rsidRDefault="00B561E6">
      <w:pPr>
        <w:spacing w:after="0" w:line="288" w:lineRule="auto"/>
        <w:jc w:val="both"/>
        <w:rPr>
          <w:rFonts w:ascii="Times New Roman" w:hAnsi="Times New Roman"/>
        </w:rPr>
      </w:pPr>
    </w:p>
    <w:p w14:paraId="7043F789" w14:textId="0642B366" w:rsidR="00B561E6" w:rsidRPr="006255E2" w:rsidRDefault="00B561E6">
      <w:pPr>
        <w:spacing w:after="0" w:line="288" w:lineRule="auto"/>
        <w:jc w:val="both"/>
        <w:rPr>
          <w:rFonts w:ascii="Times New Roman" w:hAnsi="Times New Roman"/>
        </w:rPr>
      </w:pPr>
      <w:r>
        <w:rPr>
          <w:rFonts w:ascii="Times New Roman" w:hAnsi="Times New Roman"/>
        </w:rPr>
        <w:t xml:space="preserve">Eiropas zaļais kurss ir skaidra prioritāte un atveseļošanas plāna pamatelements. Covid-19 krīzes laikā gūtā pieredze gandrīz noteikti paātrinās virzību uz jauniem darba, automatizācijas un digitalizācijas veidiem. Patiešām, ir pavērušās ilgtspējīgu enerģijas, transporta un vispārējas nozīmes pakalpojumu projektu, tehnoloģiju un tirgus risinājumu finansēšanas iespējas ar augstu potenciālu sniegt tiešus labumus iedzīvotājiem un vietējām teritorijām. </w:t>
      </w:r>
    </w:p>
    <w:p w14:paraId="7C5F1A34" w14:textId="77777777" w:rsidR="00A961F0" w:rsidRPr="006255E2" w:rsidRDefault="00A961F0">
      <w:pPr>
        <w:spacing w:after="0" w:line="288" w:lineRule="auto"/>
        <w:jc w:val="both"/>
        <w:rPr>
          <w:rFonts w:ascii="Times New Roman" w:hAnsi="Times New Roman"/>
        </w:rPr>
      </w:pPr>
    </w:p>
    <w:p w14:paraId="7A7C3DB9" w14:textId="312406CE" w:rsidR="00B561E6" w:rsidRPr="006255E2" w:rsidRDefault="00B561E6">
      <w:pPr>
        <w:spacing w:after="0" w:line="288" w:lineRule="auto"/>
        <w:jc w:val="both"/>
        <w:rPr>
          <w:rFonts w:ascii="Times New Roman" w:hAnsi="Times New Roman"/>
        </w:rPr>
      </w:pPr>
      <w:r>
        <w:rPr>
          <w:rFonts w:ascii="Times New Roman" w:hAnsi="Times New Roman"/>
        </w:rPr>
        <w:t xml:space="preserve">Pamatojoties uz TEN specializētās nodaļas iepriekšējo darbu informācijas sabiedrības un mediju jomā, kā arī saskaņā ar drošības savienības mērķiem, TEN specializētā nodaļa paredz darbu iekšējās drošības jomā. </w:t>
      </w:r>
    </w:p>
    <w:p w14:paraId="0B58E543" w14:textId="77777777" w:rsidR="00B561E6" w:rsidRPr="006255E2" w:rsidRDefault="00B561E6">
      <w:pPr>
        <w:spacing w:after="0" w:line="288" w:lineRule="auto"/>
        <w:jc w:val="both"/>
        <w:rPr>
          <w:rFonts w:ascii="Times New Roman" w:hAnsi="Times New Roman"/>
        </w:rPr>
      </w:pPr>
    </w:p>
    <w:p w14:paraId="6C5FE2F9" w14:textId="25DB8BE0" w:rsidR="00B561E6" w:rsidRPr="006255E2" w:rsidRDefault="00B561E6">
      <w:pPr>
        <w:spacing w:after="0" w:line="288" w:lineRule="auto"/>
        <w:jc w:val="both"/>
        <w:rPr>
          <w:rFonts w:ascii="Times New Roman" w:hAnsi="Times New Roman"/>
        </w:rPr>
      </w:pPr>
      <w:r>
        <w:rPr>
          <w:rFonts w:ascii="Times New Roman" w:hAnsi="Times New Roman"/>
        </w:rPr>
        <w:t xml:space="preserve">Galvenais motīvs 2021. gadā būs Eiropas Savienības (ES) atveseļošana un noturība. Visām turpmāk minētajām nozarēm ir svarīga loma, lai darba ņēmēji, uzņēmumi un iedzīvotāji zināmā mērā varētu atgriezties normālā situācijā. </w:t>
      </w:r>
    </w:p>
    <w:p w14:paraId="2ABDFE4E" w14:textId="77777777" w:rsidR="00A961F0" w:rsidRPr="006255E2" w:rsidRDefault="00A961F0">
      <w:pPr>
        <w:spacing w:after="0" w:line="288" w:lineRule="auto"/>
        <w:jc w:val="both"/>
        <w:rPr>
          <w:rFonts w:ascii="Times New Roman" w:hAnsi="Times New Roman"/>
        </w:rPr>
      </w:pPr>
    </w:p>
    <w:p w14:paraId="35936E08" w14:textId="7291D77B" w:rsidR="00B561E6" w:rsidRPr="006255E2" w:rsidRDefault="00B561E6">
      <w:pPr>
        <w:spacing w:after="0" w:line="288" w:lineRule="auto"/>
        <w:jc w:val="both"/>
        <w:rPr>
          <w:rFonts w:ascii="Times New Roman" w:hAnsi="Times New Roman"/>
        </w:rPr>
      </w:pPr>
      <w:r>
        <w:rPr>
          <w:rFonts w:ascii="Times New Roman" w:hAnsi="Times New Roman"/>
        </w:rPr>
        <w:t>Eiropas iniciatīvām būs arvien izteiktāks transversāls raksturs. Tāpēc TEN specializētā nodaļa cer uz aktīvu sadarbību ar pārējām nodaļām un CCMI, lai nodrošinātu Eiropas organizētas pilsoniskās sabiedrības plašu un saskanīgu līdzdalību Eiropas politikas veidošanā.</w:t>
      </w:r>
    </w:p>
    <w:p w14:paraId="73F1013E" w14:textId="77777777" w:rsidR="00B561E6" w:rsidRPr="006255E2" w:rsidRDefault="00B561E6">
      <w:pPr>
        <w:spacing w:after="0" w:line="288" w:lineRule="auto"/>
        <w:jc w:val="both"/>
        <w:rPr>
          <w:rFonts w:ascii="Times New Roman" w:hAnsi="Times New Roman"/>
        </w:rPr>
      </w:pPr>
    </w:p>
    <w:p w14:paraId="0B0FC9E5" w14:textId="600471FB" w:rsidR="00B561E6" w:rsidRPr="006255E2" w:rsidRDefault="00B561E6">
      <w:pPr>
        <w:spacing w:after="0" w:line="288" w:lineRule="auto"/>
        <w:jc w:val="both"/>
        <w:rPr>
          <w:rFonts w:ascii="Times New Roman" w:hAnsi="Times New Roman"/>
        </w:rPr>
      </w:pPr>
      <w:r>
        <w:rPr>
          <w:rFonts w:ascii="Times New Roman" w:hAnsi="Times New Roman"/>
        </w:rPr>
        <w:t xml:space="preserve">Gatavojoties nākamajam gadam enerģētikas, transporta un vispārējas nozīmes pakalpojumu, informācijas sabiedrības un plašsaziņas līdzekļu jomā, TEN specializētā nodaļa ir iecerējusi vērā ņemamu darba programmu. Tai būs saspringts grafiks, jo jauni priekšlikumi jau tiek sniegti 2020. gada pēdējos mēnešos un ir gaidāmi vēl visa 2021. gada laikā. Tas nozīmēs arī to, ka TEN specializētās nodaļas locekļiem būs vairākas iespējas paust visu dalībvalstu organizētas pilsoniskās sabiedrības viedokli Eiropas politikas veidošanā pašreizējos sarežģītajos apstākļos. </w:t>
      </w:r>
    </w:p>
    <w:p w14:paraId="3AAA6320" w14:textId="45CFB44B" w:rsidR="00F779A7" w:rsidRPr="00A132AE" w:rsidRDefault="00F779A7">
      <w:pPr>
        <w:spacing w:after="0" w:line="288" w:lineRule="auto"/>
        <w:jc w:val="both"/>
        <w:rPr>
          <w:rFonts w:ascii="Times New Roman" w:hAnsi="Times New Roman"/>
        </w:rPr>
      </w:pPr>
    </w:p>
    <w:p w14:paraId="4C4477A3" w14:textId="60350D7B" w:rsidR="00F779A7" w:rsidRPr="006255E2" w:rsidRDefault="00F779A7">
      <w:pPr>
        <w:spacing w:after="0" w:line="288" w:lineRule="auto"/>
        <w:jc w:val="both"/>
        <w:rPr>
          <w:rFonts w:ascii="Times New Roman" w:hAnsi="Times New Roman"/>
        </w:rPr>
      </w:pPr>
      <w:r>
        <w:rPr>
          <w:rFonts w:ascii="Times New Roman" w:hAnsi="Times New Roman"/>
        </w:rPr>
        <w:t xml:space="preserve">Visbeidzot, kā vispārīga piezīme attiecībā uz visu TEN specializētās nodaļas darbu un TEN specializētās nodaļas tematiskajām izpētes grupām (TIG) ir jāņem vērā, ka 2020. gadā smagu ietekmi radīja Covid-19, kas izraisīja vēl nepieredzētu veselības, ekonomikas un sociālo krīzi visā pasaulē. Pandēmijas </w:t>
      </w:r>
      <w:r>
        <w:rPr>
          <w:rFonts w:ascii="Times New Roman" w:hAnsi="Times New Roman"/>
        </w:rPr>
        <w:lastRenderedPageBreak/>
        <w:t>ietekme neapšaubāmi būs izjūtama arī 2021. gadā, tāpēc TEN specializētā nodaļa un tās tematiskās izpētes grupas pielāgos savas prioritātes un darbību, lai reaģētu uz koronavīrusa uzliesmojumu un mazinātu tā sociālekonomisko ietekmi Eiropas Savienībā.</w:t>
      </w:r>
    </w:p>
    <w:p w14:paraId="047AD230" w14:textId="591475ED" w:rsidR="009F1B0A" w:rsidRPr="006255E2" w:rsidRDefault="009F1B0A">
      <w:pPr>
        <w:spacing w:after="0" w:line="288" w:lineRule="auto"/>
        <w:jc w:val="both"/>
        <w:rPr>
          <w:rFonts w:ascii="Times New Roman" w:hAnsi="Times New Roman"/>
        </w:rPr>
      </w:pPr>
    </w:p>
    <w:p w14:paraId="15A346DD" w14:textId="7BABF8DD" w:rsidR="00856868" w:rsidRPr="006255E2" w:rsidRDefault="00856868" w:rsidP="00A132AE">
      <w:pPr>
        <w:keepNext/>
        <w:spacing w:after="0" w:line="288" w:lineRule="auto"/>
        <w:rPr>
          <w:rFonts w:ascii="Times New Roman" w:hAnsi="Times New Roman"/>
          <w:b/>
        </w:rPr>
      </w:pPr>
      <w:r>
        <w:rPr>
          <w:rFonts w:ascii="Times New Roman" w:hAnsi="Times New Roman"/>
          <w:b/>
        </w:rPr>
        <w:t>ENERĢĒTIKA</w:t>
      </w:r>
    </w:p>
    <w:p w14:paraId="0C9A8C26" w14:textId="713A1C72" w:rsidR="00856868" w:rsidRPr="00A132AE" w:rsidRDefault="00856868" w:rsidP="00A132AE">
      <w:pPr>
        <w:keepNext/>
        <w:spacing w:after="0" w:line="288" w:lineRule="auto"/>
        <w:jc w:val="both"/>
        <w:rPr>
          <w:rFonts w:ascii="Times New Roman" w:hAnsi="Times New Roman"/>
        </w:rPr>
      </w:pPr>
    </w:p>
    <w:p w14:paraId="422DAA63" w14:textId="3B933480" w:rsidR="00B561E6" w:rsidRPr="006255E2" w:rsidRDefault="00827258">
      <w:pPr>
        <w:spacing w:after="0" w:line="288" w:lineRule="auto"/>
        <w:jc w:val="both"/>
        <w:rPr>
          <w:rFonts w:ascii="Times New Roman" w:hAnsi="Times New Roman"/>
        </w:rPr>
      </w:pPr>
      <w:r>
        <w:rPr>
          <w:rFonts w:ascii="Times New Roman" w:hAnsi="Times New Roman"/>
        </w:rPr>
        <w:t xml:space="preserve">Šis ir izšķirošs laiks ES turpmākajai attīstībai — no Covid-19 pandēmijas izrietošā ārkārtas situācija veselības jomā rada milzīgus zaudējumus visām ekonomikas nozarēm, savukārt klimata pārmaiņu problēma tajā pašā laikā nozīmē, ka mums arī turpmāk ir jātiecas uz Eiropas zaļajā kursā un digitalizācijas programmā noteiktajiem mērķiem. Jaunā daudzgadu finanšu shēma un </w:t>
      </w:r>
      <w:r>
        <w:rPr>
          <w:rFonts w:ascii="Times New Roman" w:hAnsi="Times New Roman"/>
          <w:i/>
          <w:iCs/>
        </w:rPr>
        <w:t>NextGenerationEU</w:t>
      </w:r>
      <w:r>
        <w:rPr>
          <w:rFonts w:ascii="Times New Roman" w:hAnsi="Times New Roman"/>
        </w:rPr>
        <w:t xml:space="preserve"> pagaidu instruments sniegs finansiālu stimulu, lai atbalstītu atveseļošanu. Eiropas Komisija (EK) ir nākusi klajā ar ļoti vērienīgu darba programmu, kas, neraugoties uz to, ka tā sastāv no vairākiem atšķirīgiem jaunu un pielāgotu tiesību aktu priekšlikumiem, būtu jāskata kopumā, ņemot vērā vispārējo mērķi panākt klimatneitralitāti. </w:t>
      </w:r>
    </w:p>
    <w:p w14:paraId="58B17C42" w14:textId="77777777" w:rsidR="00A961F0" w:rsidRPr="006255E2" w:rsidRDefault="00A961F0">
      <w:pPr>
        <w:spacing w:after="0" w:line="288" w:lineRule="auto"/>
        <w:jc w:val="both"/>
        <w:rPr>
          <w:rFonts w:ascii="Times New Roman" w:hAnsi="Times New Roman"/>
        </w:rPr>
      </w:pPr>
    </w:p>
    <w:p w14:paraId="49905BE8" w14:textId="349C809B" w:rsidR="00A961F0" w:rsidRPr="006255E2" w:rsidRDefault="00DC7368">
      <w:pPr>
        <w:spacing w:after="0" w:line="288" w:lineRule="auto"/>
        <w:jc w:val="both"/>
        <w:rPr>
          <w:rFonts w:ascii="Times New Roman" w:hAnsi="Times New Roman"/>
        </w:rPr>
      </w:pPr>
      <w:r>
        <w:rPr>
          <w:rFonts w:ascii="Times New Roman" w:hAnsi="Times New Roman"/>
        </w:rPr>
        <w:t xml:space="preserve">Tomēr ir jāņem vērā finansiālā un sociālā spriedze, ar ko saskaras iedzīvotāji un uzņēmumi, kurus skārusi krīze, tostarp bezdarbs un nabadzība. Uzņēmumi, kuriem 2020. gada pavasarī bija likviditātes problēmas, tagad saskaras ar jaunu maksātnespējas risku. Tāpēc, īstenojot Eiropas Komisijas darba programmu, pienācīgi jāņem vērā nepieciešamība atjaunot tirgus un nodrošināt sociālo un teritoriālo kohēziju, piemēram, pienācīgi apsverot enerģētikas nozarē veikto pasākumu reālo ietekmi uz iedzīvotāju un uzņēmumu, jo īpaši MVU, dzīvi, kā arī apzinot jaunas uzņēmējdarbības iespējas, saglabājot apdraudētās darbvietas un radot jaunas darbvietas. Tas atbilst arī Portugāles prezidentūras prioritātēm nākamajam pusgadam, kurā galvenā uzmanība tiks pievērsta noturīgai, zaļai, sociālai, digitālai un globālai ES. Izpētes grupa </w:t>
      </w:r>
      <w:r>
        <w:rPr>
          <w:rFonts w:ascii="Times New Roman" w:hAnsi="Times New Roman"/>
          <w:i/>
        </w:rPr>
        <w:t>2020. gada ziņojums par enerģētikas savienības stāvokli un nacionālo enerģētikas un klimata plānu novērtējums</w:t>
      </w:r>
      <w:r>
        <w:rPr>
          <w:rFonts w:ascii="Times New Roman" w:hAnsi="Times New Roman"/>
        </w:rPr>
        <w:t xml:space="preserve"> (TEN/724) būs iespēja izskatīt dažādās perspektīvas saistībā ar šo tematu un to finansiālo ilgtspēju, kā arī analizēt dalībvalstu veiktos un plānotos pasākumus, tostarp taisnīgas pārkārtošanās kontekstā. </w:t>
      </w:r>
    </w:p>
    <w:p w14:paraId="6B00317F" w14:textId="77777777" w:rsidR="00A961F0" w:rsidRPr="006255E2" w:rsidRDefault="00A961F0" w:rsidP="00A132AE">
      <w:pPr>
        <w:spacing w:after="0" w:line="288" w:lineRule="auto"/>
        <w:jc w:val="both"/>
        <w:rPr>
          <w:rFonts w:ascii="Times New Roman" w:hAnsi="Times New Roman"/>
        </w:rPr>
      </w:pPr>
    </w:p>
    <w:p w14:paraId="53AADF19" w14:textId="2E8FAE9F" w:rsidR="00856868" w:rsidRPr="006255E2" w:rsidRDefault="008E071B">
      <w:pPr>
        <w:spacing w:after="0" w:line="288" w:lineRule="auto"/>
        <w:jc w:val="both"/>
        <w:rPr>
          <w:rFonts w:ascii="Times New Roman" w:hAnsi="Times New Roman"/>
        </w:rPr>
      </w:pPr>
      <w:r>
        <w:rPr>
          <w:rFonts w:ascii="Times New Roman" w:hAnsi="Times New Roman"/>
        </w:rPr>
        <w:t xml:space="preserve">Enerģētiskās nabadzības mazināšana un aizsardzības nodrošināšana neaizsargātām mājsaimniecībām joprojām būs viena no TEN specializētās nodaļas prioritātēm, ko īstenos ciešā sadarbībā ar SOC specializēto nodaļu. Šī tēma ir saistīta ar vispārējas nozīmes pakalpojumu (VNP) politikas jomu, un to izskatīs izpētes grupa </w:t>
      </w:r>
      <w:r>
        <w:rPr>
          <w:rFonts w:ascii="Times New Roman" w:hAnsi="Times New Roman"/>
          <w:i/>
        </w:rPr>
        <w:t>Eiropas renovācijas vilnis</w:t>
      </w:r>
      <w:r>
        <w:rPr>
          <w:rFonts w:ascii="Times New Roman" w:hAnsi="Times New Roman"/>
        </w:rPr>
        <w:t xml:space="preserve"> (TEN/723). Iniciatīvās paredzēts plašs pasākumu klāsts, lai līdz 2030. gadam vismaz divkāršotu ikgadējo energorenovācijas līmeni dzīvojamās un nedzīvojamās ēkās, nodrošinot energoefektivitāti par pieņemamu cenu un sniedzot impulsu būvniecības ekosistēmai un darbvietu radīšanai šajā nozarē. Pēc tam tiks pārskatīta </w:t>
      </w:r>
      <w:r>
        <w:rPr>
          <w:rFonts w:ascii="Times New Roman" w:hAnsi="Times New Roman"/>
          <w:i/>
        </w:rPr>
        <w:t xml:space="preserve">Energoefektivitātes direktīva </w:t>
      </w:r>
      <w:r>
        <w:rPr>
          <w:rFonts w:ascii="Times New Roman" w:hAnsi="Times New Roman"/>
        </w:rPr>
        <w:t xml:space="preserve">un </w:t>
      </w:r>
      <w:r>
        <w:rPr>
          <w:rFonts w:ascii="Times New Roman" w:hAnsi="Times New Roman"/>
          <w:i/>
        </w:rPr>
        <w:t>Direktīva par ēku energoefektivitāti</w:t>
      </w:r>
      <w:r>
        <w:rPr>
          <w:rFonts w:ascii="Times New Roman" w:hAnsi="Times New Roman"/>
        </w:rPr>
        <w:t>, kurā paredzēta obligātu minimālo energoefektivitātes standartu (</w:t>
      </w:r>
      <w:r>
        <w:rPr>
          <w:rFonts w:ascii="Times New Roman" w:hAnsi="Times New Roman"/>
          <w:i/>
          <w:iCs/>
        </w:rPr>
        <w:t>MEPS</w:t>
      </w:r>
      <w:r>
        <w:rPr>
          <w:rFonts w:ascii="Times New Roman" w:hAnsi="Times New Roman"/>
        </w:rPr>
        <w:t xml:space="preserve">) pakāpeniska ieviešana esošajām ēkām. Šajā saistībā TEN specializētā nodaļa veicinās pētījumu par </w:t>
      </w:r>
      <w:r>
        <w:rPr>
          <w:rFonts w:ascii="Times New Roman" w:hAnsi="Times New Roman"/>
          <w:i/>
        </w:rPr>
        <w:t>minimālajiem energoefektivitātes standartiem dzīvojamo ēku sektorā</w:t>
      </w:r>
      <w:r>
        <w:rPr>
          <w:rFonts w:ascii="Times New Roman" w:hAnsi="Times New Roman"/>
        </w:rPr>
        <w:t xml:space="preserve">, lai izvērtētu minimālo energoefektivitātes standartu attiecināšanu uz dažādiem ēku veidiem, galveno uzmanību pievēršot ietekmei uz patērētājiem enerģētiskās nabadzības un neaizsargātības situācijā un izklāstot politikas ieteikumus. </w:t>
      </w:r>
    </w:p>
    <w:p w14:paraId="74C73797" w14:textId="77777777" w:rsidR="00A961F0" w:rsidRPr="006255E2" w:rsidRDefault="00A961F0" w:rsidP="00A132AE">
      <w:pPr>
        <w:spacing w:after="0" w:line="288" w:lineRule="auto"/>
        <w:jc w:val="both"/>
        <w:rPr>
          <w:rFonts w:ascii="Times New Roman" w:hAnsi="Times New Roman"/>
        </w:rPr>
      </w:pPr>
    </w:p>
    <w:p w14:paraId="368C1A8F" w14:textId="5AE3184D" w:rsidR="001F6EC3" w:rsidRPr="006255E2" w:rsidRDefault="00856868">
      <w:pPr>
        <w:spacing w:after="0" w:line="288" w:lineRule="auto"/>
        <w:jc w:val="both"/>
        <w:rPr>
          <w:rFonts w:ascii="Times New Roman" w:hAnsi="Times New Roman"/>
        </w:rPr>
      </w:pPr>
      <w:r>
        <w:rPr>
          <w:rFonts w:ascii="Times New Roman" w:hAnsi="Times New Roman"/>
        </w:rPr>
        <w:t xml:space="preserve">Attiecībā uz energosistēmu un infrastruktūras turpmāko organizāciju TEN specializētā nodaļa ir atkārtoti uzsvērusi, cik svarīga ir visu patērētāju – mājsaimniecību, uzņēmumu un energokopienu – aktīva līdzdalība viedo energosistēmu attīstībā. Kā uzsvērts EESK atzinumā </w:t>
      </w:r>
      <w:r>
        <w:rPr>
          <w:rFonts w:ascii="Times New Roman" w:hAnsi="Times New Roman"/>
          <w:i/>
        </w:rPr>
        <w:t>Starp Eiropas mēroga supertīklu un vietējām enerģētiskajām salām</w:t>
      </w:r>
      <w:r>
        <w:rPr>
          <w:rFonts w:ascii="Times New Roman" w:hAnsi="Times New Roman"/>
        </w:rPr>
        <w:t xml:space="preserve"> (TEN/706), EESK atzinumos, aplūkojot publiskos </w:t>
      </w:r>
      <w:r>
        <w:rPr>
          <w:rFonts w:ascii="Times New Roman" w:hAnsi="Times New Roman"/>
        </w:rPr>
        <w:lastRenderedPageBreak/>
        <w:t>ieguldījumus infrastruktūrā, būtu sīkāk jāprecizē jautājums par infrastruktūras īpašumtiesībām un kontroli, jo īpaši tāpēc, ka tas ir saistīts ar ievērojamu publiskā finansējuma apjomu.</w:t>
      </w:r>
    </w:p>
    <w:p w14:paraId="46408FFC" w14:textId="77777777" w:rsidR="00A961F0" w:rsidRPr="006255E2" w:rsidRDefault="00A961F0">
      <w:pPr>
        <w:spacing w:after="0" w:line="288" w:lineRule="auto"/>
        <w:jc w:val="both"/>
        <w:rPr>
          <w:rFonts w:ascii="Times New Roman" w:hAnsi="Times New Roman"/>
        </w:rPr>
      </w:pPr>
    </w:p>
    <w:p w14:paraId="4F70B237" w14:textId="6D42D46B" w:rsidR="001F6EC3" w:rsidRPr="006255E2" w:rsidRDefault="00922F72">
      <w:pPr>
        <w:spacing w:after="0" w:line="288" w:lineRule="auto"/>
        <w:jc w:val="both"/>
        <w:rPr>
          <w:rFonts w:ascii="Times New Roman" w:hAnsi="Times New Roman"/>
        </w:rPr>
      </w:pPr>
      <w:r>
        <w:rPr>
          <w:rFonts w:ascii="Times New Roman" w:hAnsi="Times New Roman"/>
        </w:rPr>
        <w:t xml:space="preserve">Komiteja nesen pabeidza izstrādāt atzinumus par diviem papildinošiem EK paziņojumiem, proti, par </w:t>
      </w:r>
      <w:r>
        <w:rPr>
          <w:rFonts w:ascii="Times New Roman" w:hAnsi="Times New Roman"/>
          <w:i/>
        </w:rPr>
        <w:t>ES energosistēmas integrācijas stratēģiju</w:t>
      </w:r>
      <w:r>
        <w:rPr>
          <w:rFonts w:ascii="Times New Roman" w:hAnsi="Times New Roman"/>
        </w:rPr>
        <w:t xml:space="preserve"> (TEN/717) un </w:t>
      </w:r>
      <w:r>
        <w:rPr>
          <w:rFonts w:ascii="Times New Roman" w:hAnsi="Times New Roman"/>
          <w:i/>
          <w:iCs/>
        </w:rPr>
        <w:t>Ūdeņraža stratēģiju</w:t>
      </w:r>
      <w:r>
        <w:rPr>
          <w:rFonts w:ascii="Times New Roman" w:hAnsi="Times New Roman"/>
        </w:rPr>
        <w:t xml:space="preserve"> (TEN/718); atzinumi tika pieņemti EESK janvāra plenārsesijā. </w:t>
      </w:r>
    </w:p>
    <w:p w14:paraId="54C35A67" w14:textId="77777777" w:rsidR="00A961F0" w:rsidRPr="006255E2" w:rsidRDefault="00A961F0">
      <w:pPr>
        <w:spacing w:after="0" w:line="288" w:lineRule="auto"/>
        <w:jc w:val="both"/>
        <w:rPr>
          <w:rFonts w:ascii="Times New Roman" w:hAnsi="Times New Roman"/>
        </w:rPr>
      </w:pPr>
    </w:p>
    <w:p w14:paraId="5D3D9E64" w14:textId="345B799C" w:rsidR="00856868" w:rsidRPr="006255E2" w:rsidRDefault="00856868">
      <w:pPr>
        <w:spacing w:after="0" w:line="288" w:lineRule="auto"/>
        <w:jc w:val="both"/>
        <w:rPr>
          <w:rFonts w:ascii="Times New Roman" w:hAnsi="Times New Roman"/>
        </w:rPr>
      </w:pPr>
      <w:r>
        <w:rPr>
          <w:rFonts w:ascii="Times New Roman" w:hAnsi="Times New Roman"/>
        </w:rPr>
        <w:t xml:space="preserve">Daudzas likumdošanas iniciatīvas tiks veidotas šo stratēģiju ietvaros. Lai nodrošinātu, ka kopīgu interešu projekti, kas veido savienojumus starp enerģijas tirgiem, tiek īstenoti savlaicīgi, Eiropas Komisija 2020. gada beigās nāca klajā ar priekšlikumu </w:t>
      </w:r>
      <w:r>
        <w:rPr>
          <w:rFonts w:ascii="Times New Roman" w:hAnsi="Times New Roman"/>
          <w:i/>
        </w:rPr>
        <w:t>pārskatīt TEN-E regulas pamatnostādnes</w:t>
      </w:r>
      <w:r>
        <w:rPr>
          <w:rFonts w:ascii="Times New Roman" w:hAnsi="Times New Roman"/>
        </w:rPr>
        <w:t>, kurās paredzēti noteikumi Eiropas energoinfrastruktūras izstrādei un sadarbspējai. Pašlaik TEN specializētā nodaļa rūpīgi izvērtē ierosināto jauno regulu. Saistībā ar transporta jomu tiks</w:t>
      </w:r>
      <w:r>
        <w:rPr>
          <w:rFonts w:ascii="Times New Roman" w:hAnsi="Times New Roman"/>
          <w:i/>
        </w:rPr>
        <w:t xml:space="preserve"> pārskatīta Direktīva par alternatīvo degvielu infrastruktūras ieviešanu</w:t>
      </w:r>
      <w:r>
        <w:rPr>
          <w:rFonts w:ascii="Times New Roman" w:hAnsi="Times New Roman"/>
        </w:rPr>
        <w:t>, lai nodrošinātu blīva, plaša alternatīvo degvielu infrastruktūras tīkla pieejamību un izmantojamību visā ES, galvenokārt attiecībā uz enerģijas uzkrāšanu (dambji un elektriskie akumulatori), dabasgāzi un hibrīdgāzi, kā arī ūdeņradi.</w:t>
      </w:r>
    </w:p>
    <w:p w14:paraId="4383C368" w14:textId="77777777" w:rsidR="00A961F0" w:rsidRPr="006255E2" w:rsidRDefault="00A961F0" w:rsidP="00A132AE">
      <w:pPr>
        <w:spacing w:after="0" w:line="288" w:lineRule="auto"/>
        <w:jc w:val="both"/>
        <w:rPr>
          <w:rFonts w:ascii="Times New Roman" w:hAnsi="Times New Roman"/>
        </w:rPr>
      </w:pPr>
    </w:p>
    <w:p w14:paraId="1FF25A24" w14:textId="475C738F" w:rsidR="00856868" w:rsidRPr="006255E2" w:rsidRDefault="00182A05">
      <w:pPr>
        <w:spacing w:after="0" w:line="288" w:lineRule="auto"/>
        <w:jc w:val="both"/>
        <w:rPr>
          <w:rFonts w:ascii="Times New Roman" w:hAnsi="Times New Roman"/>
        </w:rPr>
      </w:pPr>
      <w:r>
        <w:rPr>
          <w:rFonts w:ascii="Times New Roman" w:hAnsi="Times New Roman"/>
        </w:rPr>
        <w:t xml:space="preserve">Saistībā ar nākotnes energosistēmu organizāciju nozīmīgs temats TEN specializētās nodaļas darbā 2021. gadā būs arī atjaunojamo energoresursu loma — dekarbonizācijas un tīras elektrifikācijas mērķi nevar sasniegt, ja vien netiek būtiski palielināta atjaunojamo energoresursu daļa energoresursu struktūrā. Iniciatīva </w:t>
      </w:r>
      <w:r>
        <w:rPr>
          <w:rFonts w:ascii="Times New Roman" w:hAnsi="Times New Roman"/>
          <w:i/>
        </w:rPr>
        <w:t>Atkrastes atjaunīgās enerģijas stratēģija</w:t>
      </w:r>
      <w:r>
        <w:rPr>
          <w:rFonts w:ascii="Times New Roman" w:hAnsi="Times New Roman"/>
        </w:rPr>
        <w:t xml:space="preserve"> (TEN/726) un plānotā </w:t>
      </w:r>
      <w:r>
        <w:rPr>
          <w:rFonts w:ascii="Times New Roman" w:hAnsi="Times New Roman"/>
          <w:i/>
        </w:rPr>
        <w:t>Atjaunojamo energoresursu direktīvas pārskatīšana</w:t>
      </w:r>
      <w:r>
        <w:rPr>
          <w:rFonts w:ascii="Times New Roman" w:hAnsi="Times New Roman"/>
        </w:rPr>
        <w:t xml:space="preserve"> būs iespēja padziļināti novērtēt izmaiņas šajā jomā un pilsoniskās sabiedrības vārdā sniegt ieteikumus, tostarp saistībā ar biodegvielas lomu un potenciālu. </w:t>
      </w:r>
    </w:p>
    <w:p w14:paraId="20A0146C" w14:textId="77777777" w:rsidR="00A961F0" w:rsidRPr="006255E2" w:rsidRDefault="00A961F0">
      <w:pPr>
        <w:spacing w:after="0" w:line="288" w:lineRule="auto"/>
        <w:jc w:val="both"/>
        <w:rPr>
          <w:rFonts w:ascii="Times New Roman" w:hAnsi="Times New Roman"/>
        </w:rPr>
      </w:pPr>
    </w:p>
    <w:p w14:paraId="2F78DB90" w14:textId="5F2EC5B0" w:rsidR="00856868" w:rsidRPr="006255E2" w:rsidRDefault="00182A05">
      <w:pPr>
        <w:spacing w:after="0" w:line="288" w:lineRule="auto"/>
        <w:jc w:val="both"/>
        <w:rPr>
          <w:rFonts w:ascii="Times New Roman" w:hAnsi="Times New Roman"/>
        </w:rPr>
      </w:pPr>
      <w:r>
        <w:rPr>
          <w:rFonts w:ascii="Times New Roman" w:hAnsi="Times New Roman"/>
        </w:rPr>
        <w:t xml:space="preserve">Attiecībā uz gāzi tiks izstrādātas jaunas politikas nostādnes un pārskatīti esošie tiesību akti, tiecoties uz klimatneitralitāti. Metāns faktiski ir otrs nozīmīgākais siltumnīcefekta gāzu radītājs, kas veicina klimata pārmaiņas, un aptuveni vienu trešo daļu no antropogēnajām metāna emisijām pasaulē rada enerģētika. Pirmajos 2021. gada mēnešos TEN specializētā nodaļa rūpīgi izskatīs </w:t>
      </w:r>
      <w:r>
        <w:rPr>
          <w:rFonts w:ascii="Times New Roman" w:hAnsi="Times New Roman"/>
          <w:i/>
        </w:rPr>
        <w:t>Metāna stratēģiju</w:t>
      </w:r>
      <w:r>
        <w:rPr>
          <w:rFonts w:ascii="Times New Roman" w:hAnsi="Times New Roman"/>
        </w:rPr>
        <w:t xml:space="preserve"> (TEN/725). Pēc tam tiks sagatavota likumdošanas iniciatīva, kas īpaši vērsta uz metāna emisiju samazināšanu enerģētikā; to izskatīs kopā ar plānoto trešās enerģētikas paketes pārskatīšanu attiecībā uz Dabasgāzes direktīvu un Dabasgāzes pārvades tīklu regulu, kas jāierosina, lai regulētu konkurētspējīgus dekarbonizētus gāzes tirgus.</w:t>
      </w:r>
    </w:p>
    <w:p w14:paraId="5F02972C" w14:textId="77777777" w:rsidR="00A961F0" w:rsidRPr="006255E2" w:rsidRDefault="00A961F0">
      <w:pPr>
        <w:spacing w:after="0" w:line="288" w:lineRule="auto"/>
        <w:jc w:val="both"/>
        <w:rPr>
          <w:rFonts w:ascii="Times New Roman" w:hAnsi="Times New Roman"/>
        </w:rPr>
      </w:pPr>
    </w:p>
    <w:p w14:paraId="6DCB3864" w14:textId="13EEE124" w:rsidR="00A961F0" w:rsidRPr="006255E2" w:rsidRDefault="00856868">
      <w:pPr>
        <w:spacing w:after="0" w:line="288" w:lineRule="auto"/>
        <w:jc w:val="both"/>
        <w:rPr>
          <w:rFonts w:ascii="Times New Roman" w:hAnsi="Times New Roman"/>
        </w:rPr>
      </w:pPr>
      <w:r>
        <w:rPr>
          <w:rFonts w:ascii="Times New Roman" w:hAnsi="Times New Roman"/>
        </w:rPr>
        <w:t xml:space="preserve">Visbeidzot, lai sasniegtu klimatneitralitāti, būs vajadzīga transversāla un ar citām specializētajām nodaļām un CCMI saskaņota pieeja, ņemot vērā, ka daudzas no EK paredzētajām iniciatīvām skar dažādas politikas jomas, kā to apliecina 2020. gada decembrī publicētais tiesību akta priekšlikums </w:t>
      </w:r>
      <w:r>
        <w:rPr>
          <w:rFonts w:ascii="Times New Roman" w:hAnsi="Times New Roman"/>
          <w:i/>
        </w:rPr>
        <w:t>Ilgtspējas prasības akumulatoriem Eiropas Savienībā</w:t>
      </w:r>
      <w:r>
        <w:rPr>
          <w:rFonts w:ascii="Times New Roman" w:hAnsi="Times New Roman"/>
        </w:rPr>
        <w:t xml:space="preserve">, kura mērķis ir nodrošināt konkurētspējīgu, aprites ekonomikas principam atbilstīgu, ilgtspējīgu un drošu vērtības ķēdi visiem Savienības tirgū laistajiem akumulatoriem. Citi kopīgu interešu temati varētu būt </w:t>
      </w:r>
      <w:r>
        <w:rPr>
          <w:rFonts w:ascii="Times New Roman" w:hAnsi="Times New Roman"/>
          <w:i/>
        </w:rPr>
        <w:t>Kopīgo centienu regulas un Enerģētikas un vides atbalsta pamatnostādņu pārskatīšana</w:t>
      </w:r>
      <w:r>
        <w:rPr>
          <w:rFonts w:ascii="Times New Roman" w:hAnsi="Times New Roman"/>
        </w:rPr>
        <w:t xml:space="preserve">. TEN specializētā nodaļa pievērsīs uzmanību energopatēriņa un energoefektivitātes ietekmei digitalizācijas jomā, tiklīdz būs skaidrs, ka digitālā tīkla izvēršana būs viens no svarīgākajiem faktoriem ES ekonomikas atveseļošanā. </w:t>
      </w:r>
    </w:p>
    <w:p w14:paraId="641F4369" w14:textId="77777777" w:rsidR="00722DA3" w:rsidRPr="006255E2" w:rsidRDefault="00722DA3">
      <w:pPr>
        <w:spacing w:after="0" w:line="288" w:lineRule="auto"/>
        <w:jc w:val="both"/>
        <w:rPr>
          <w:rFonts w:ascii="Times New Roman" w:hAnsi="Times New Roman"/>
        </w:rPr>
      </w:pPr>
    </w:p>
    <w:p w14:paraId="05024660" w14:textId="11F48CD3" w:rsidR="00010C54" w:rsidRPr="006255E2" w:rsidRDefault="00010C54">
      <w:pPr>
        <w:spacing w:after="0" w:line="288" w:lineRule="auto"/>
        <w:jc w:val="both"/>
        <w:rPr>
          <w:rFonts w:ascii="Times New Roman" w:hAnsi="Times New Roman"/>
          <w:b/>
        </w:rPr>
      </w:pPr>
      <w:r>
        <w:rPr>
          <w:rFonts w:ascii="Times New Roman" w:hAnsi="Times New Roman"/>
        </w:rPr>
        <w:t>EESK arī uzskata, ka svarīga nozīme ir gaidāmajam priekšlikumam pārskatīt Enerģijas nodokļu direktīvu.</w:t>
      </w:r>
    </w:p>
    <w:p w14:paraId="49CE1A7E" w14:textId="77777777" w:rsidR="00A961F0" w:rsidRPr="006255E2" w:rsidRDefault="00A961F0">
      <w:pPr>
        <w:spacing w:after="0" w:line="288" w:lineRule="auto"/>
        <w:jc w:val="both"/>
        <w:rPr>
          <w:rFonts w:ascii="Times New Roman" w:hAnsi="Times New Roman"/>
        </w:rPr>
      </w:pPr>
    </w:p>
    <w:p w14:paraId="297D3E67" w14:textId="3EE71D10" w:rsidR="00856868" w:rsidRPr="006255E2" w:rsidRDefault="00856868">
      <w:pPr>
        <w:spacing w:after="0" w:line="288" w:lineRule="auto"/>
        <w:jc w:val="both"/>
        <w:rPr>
          <w:rFonts w:ascii="Times New Roman" w:hAnsi="Times New Roman"/>
        </w:rPr>
      </w:pPr>
      <w:r>
        <w:rPr>
          <w:rFonts w:ascii="Times New Roman" w:hAnsi="Times New Roman"/>
          <w:b/>
        </w:rPr>
        <w:lastRenderedPageBreak/>
        <w:t>Tematiskā izpētes grupa “Enerģētika”</w:t>
      </w:r>
      <w:r>
        <w:rPr>
          <w:rFonts w:ascii="Times New Roman" w:hAnsi="Times New Roman"/>
        </w:rPr>
        <w:t xml:space="preserve"> </w:t>
      </w:r>
      <w:r>
        <w:rPr>
          <w:rFonts w:ascii="Times New Roman" w:hAnsi="Times New Roman"/>
          <w:b/>
        </w:rPr>
        <w:t>(TIG-E)</w:t>
      </w:r>
      <w:r>
        <w:rPr>
          <w:rFonts w:ascii="Times New Roman" w:hAnsi="Times New Roman"/>
        </w:rPr>
        <w:t xml:space="preserve"> centīsies saistīt EESK darba kārtību enerģētikas jautājumos ar plašāku ES enerģētikas politikas kontekstu un veicināt spēcīgāku pilsoniskās sabiedrības lomu, lai nodrošinātu sekmīgu enerģētikas pārkārtošanu, kas nevienu neatstāj novārtā.</w:t>
      </w:r>
    </w:p>
    <w:p w14:paraId="37BF7E73" w14:textId="77777777" w:rsidR="008F78AD" w:rsidRPr="006255E2" w:rsidRDefault="008F78AD">
      <w:pPr>
        <w:spacing w:after="0" w:line="288" w:lineRule="auto"/>
        <w:jc w:val="both"/>
        <w:rPr>
          <w:rFonts w:ascii="Times New Roman" w:hAnsi="Times New Roman"/>
        </w:rPr>
      </w:pPr>
    </w:p>
    <w:p w14:paraId="44CFC777" w14:textId="58D48CC1" w:rsidR="00856868" w:rsidRPr="006255E2" w:rsidRDefault="00856868">
      <w:pPr>
        <w:spacing w:after="0" w:line="288" w:lineRule="auto"/>
        <w:jc w:val="both"/>
        <w:rPr>
          <w:rFonts w:ascii="Times New Roman" w:hAnsi="Times New Roman"/>
        </w:rPr>
      </w:pPr>
      <w:r>
        <w:rPr>
          <w:rFonts w:ascii="Times New Roman" w:hAnsi="Times New Roman"/>
        </w:rPr>
        <w:t>Šis mērķis tiks sasniegts, rīkojot ekspertu uzklausīšanas un publiskas konferences, locekļiem piedaloties ārējos pasākumos, kā arī atlasot attiecīgas tēmas izpētei un apspriešanai, sniedzot transversālu un uz nākotni vērstu ieguldījumu TEN specializētās nodaļas darbā un, iespējams, arī izstrādājot priekšlikumus pašiniciatīvas projektiem.</w:t>
      </w:r>
    </w:p>
    <w:p w14:paraId="46D81555" w14:textId="77777777" w:rsidR="008F78AD" w:rsidRPr="006255E2" w:rsidRDefault="008F78AD">
      <w:pPr>
        <w:spacing w:after="0" w:line="288" w:lineRule="auto"/>
        <w:jc w:val="both"/>
        <w:rPr>
          <w:rFonts w:ascii="Times New Roman" w:hAnsi="Times New Roman"/>
        </w:rPr>
      </w:pPr>
    </w:p>
    <w:p w14:paraId="7223F618" w14:textId="7E9FCFD7" w:rsidR="00856868" w:rsidRPr="006255E2" w:rsidRDefault="00856868">
      <w:pPr>
        <w:spacing w:after="0" w:line="288" w:lineRule="auto"/>
        <w:jc w:val="both"/>
        <w:rPr>
          <w:rFonts w:ascii="Times New Roman" w:hAnsi="Times New Roman"/>
        </w:rPr>
      </w:pPr>
      <w:r>
        <w:rPr>
          <w:rFonts w:ascii="Times New Roman" w:hAnsi="Times New Roman"/>
        </w:rPr>
        <w:t xml:space="preserve">Lai nākamajā gadā uzsāktu šādu dialogu, TIG-E locekļi veiks padziļinātu analīzi par galvenajiem un savstarpēji saistītajiem jautājumiem EK 2021. gada darba programmā, kurā paredzēts iekļaut plašu klāstu likumdošanas iniciatīvu, kas tieši vai netieši ietekmē enerģētikas jomu. Šis pārskats kopā ar vērtīgajiem ieskatiem, ko sniedz TIG-E locekļu īpašās zināšanas, radīs pamatu, lai turpmākajā darbā sekmētu koncentrēšanos uz konkrētiem tematiem. Iespējamie temati varētu būt, piemēram, vajadzība mazināt enerģētisko nabadzību, tostarp ieviešot kopējus standartus un pienācīgu infrastruktūru; atjaunojamo energoresursu nozīme turpmākajās energosistēmās saistībā ar </w:t>
      </w:r>
      <w:r>
        <w:rPr>
          <w:rFonts w:ascii="Times New Roman" w:hAnsi="Times New Roman"/>
          <w:i/>
        </w:rPr>
        <w:t>Atjaunojamo energoresursu direktīvas gaidāmo pārskatīšanu</w:t>
      </w:r>
      <w:r>
        <w:rPr>
          <w:rFonts w:ascii="Times New Roman" w:hAnsi="Times New Roman"/>
        </w:rPr>
        <w:t>; dekarbonizācijas procesa ietekme uz enerģētiku reģionālajā un vietējā līmenī; aktīvas iedzīvotāju lomas veicināšana šajā pārkārtošanā, jo īpaši attiecībā uz energokopienām.</w:t>
      </w:r>
    </w:p>
    <w:p w14:paraId="538A88BA" w14:textId="77777777" w:rsidR="000B292A" w:rsidRPr="006255E2" w:rsidRDefault="000B292A">
      <w:pPr>
        <w:spacing w:after="0" w:line="288" w:lineRule="auto"/>
        <w:rPr>
          <w:rFonts w:ascii="Times New Roman" w:hAnsi="Times New Roman"/>
        </w:rPr>
      </w:pPr>
    </w:p>
    <w:p w14:paraId="3F14DC48" w14:textId="5717EC00" w:rsidR="007624FE" w:rsidRPr="006255E2" w:rsidRDefault="00022748">
      <w:pPr>
        <w:keepNext/>
        <w:spacing w:after="0" w:line="288" w:lineRule="auto"/>
        <w:rPr>
          <w:rFonts w:ascii="Times New Roman" w:hAnsi="Times New Roman"/>
          <w:b/>
        </w:rPr>
      </w:pPr>
      <w:r>
        <w:rPr>
          <w:rFonts w:ascii="Times New Roman" w:hAnsi="Times New Roman"/>
          <w:b/>
        </w:rPr>
        <w:t>TRANSPORTS</w:t>
      </w:r>
    </w:p>
    <w:p w14:paraId="4BC5B190" w14:textId="77777777" w:rsidR="008F78AD" w:rsidRPr="006255E2" w:rsidRDefault="008F78AD">
      <w:pPr>
        <w:keepNext/>
        <w:spacing w:after="0" w:line="288" w:lineRule="auto"/>
        <w:rPr>
          <w:rFonts w:ascii="Times New Roman" w:hAnsi="Times New Roman"/>
          <w:b/>
        </w:rPr>
      </w:pPr>
    </w:p>
    <w:p w14:paraId="5B37030E" w14:textId="530CDB88"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Savā 2021. gada darba programmā EK izklāsta savu transporta nozares koncepciju saistībā ar Eiropas zaļo kursu, koncentrējoties uz attiecīgo klimata tiesību aktu pārstrādāšanu. Uzsvars uz Eiropas zaļā kursa ietvaros plānoto darbu atspoguļo arī transporta nozarē paredzētās zaļās pārkārtošanās sistēmisko raksturu. Šajā saistībā TEN specializētā nodaļa pievērsīs īpašu uzmanību gan pasākumiem, ar kuriem Eiropas Komisija nāks klajā viedas un ilgtspējīgas mobilitātes jomā, gan arī ierosinājumam </w:t>
      </w:r>
      <w:r>
        <w:rPr>
          <w:rFonts w:ascii="Times New Roman" w:hAnsi="Times New Roman"/>
          <w:i/>
        </w:rPr>
        <w:t xml:space="preserve">pārskatīt regulu par Eiropas transporta tīklu </w:t>
      </w:r>
      <w:r>
        <w:rPr>
          <w:rFonts w:ascii="Times New Roman" w:hAnsi="Times New Roman"/>
        </w:rPr>
        <w:t xml:space="preserve">un </w:t>
      </w:r>
      <w:r>
        <w:rPr>
          <w:rFonts w:ascii="Times New Roman" w:hAnsi="Times New Roman"/>
          <w:i/>
        </w:rPr>
        <w:t>Direktīvu par intelektiskām transporta sistēmām</w:t>
      </w:r>
      <w:r>
        <w:rPr>
          <w:rFonts w:ascii="Times New Roman" w:hAnsi="Times New Roman"/>
        </w:rPr>
        <w:t>, kā arī</w:t>
      </w:r>
      <w:r>
        <w:rPr>
          <w:rFonts w:ascii="Times New Roman" w:hAnsi="Times New Roman"/>
          <w:i/>
        </w:rPr>
        <w:t xml:space="preserve"> ES 2021. gada dzelzceļa koridora iniciatīvu</w:t>
      </w:r>
      <w:r>
        <w:rPr>
          <w:rFonts w:ascii="Times New Roman" w:hAnsi="Times New Roman"/>
        </w:rPr>
        <w:t xml:space="preserve">, kas paredz </w:t>
      </w:r>
      <w:r>
        <w:rPr>
          <w:rFonts w:ascii="Times New Roman" w:hAnsi="Times New Roman"/>
          <w:i/>
        </w:rPr>
        <w:t>pārskatīt Dzelzceļa kravu pārvadājumu koridora regulu un veikt pasākumus dzelzceļa pasažieru pārvadājumu veicināšanai</w:t>
      </w:r>
      <w:r>
        <w:rPr>
          <w:rFonts w:ascii="Times New Roman" w:hAnsi="Times New Roman"/>
        </w:rPr>
        <w:t>.</w:t>
      </w:r>
    </w:p>
    <w:p w14:paraId="13599D4E" w14:textId="77777777" w:rsidR="008F78AD" w:rsidRPr="006255E2" w:rsidRDefault="008F78AD">
      <w:pPr>
        <w:spacing w:after="0" w:line="288" w:lineRule="auto"/>
        <w:jc w:val="both"/>
        <w:rPr>
          <w:rFonts w:ascii="Times New Roman" w:eastAsia="Times New Roman" w:hAnsi="Times New Roman"/>
        </w:rPr>
      </w:pPr>
    </w:p>
    <w:p w14:paraId="2311B6D2" w14:textId="26FCBA86" w:rsidR="00022748" w:rsidRPr="006255E2" w:rsidRDefault="00022748">
      <w:pPr>
        <w:spacing w:after="0" w:line="288" w:lineRule="auto"/>
        <w:jc w:val="both"/>
        <w:rPr>
          <w:rFonts w:ascii="Times New Roman" w:eastAsia="Times New Roman" w:hAnsi="Times New Roman"/>
        </w:rPr>
      </w:pPr>
      <w:r>
        <w:rPr>
          <w:rFonts w:ascii="Times New Roman" w:hAnsi="Times New Roman"/>
        </w:rPr>
        <w:t>Turklāt, ņemot vērā Eiropas Komisijas paziņojumu par tās jauno ilgtspējīgas un viedas mobilitātes stratēģiju, kas kalpos par ceļvedi nākamajiem gadiem un iezīmēs stratēģiju transporta nozarei, kuras pamatā ir pilnībā izveidots iekšējais tirgus un kura ir piemērota tīrai, digitālai un mūsdienīgai ekonomikai 2030. un 2050. gada perspektīvā, TEN specializētā nodaļa sniegs ieguldījumu atzinuma (TEN/729) izstrādē. TEN specializētā nodaļa cieši sekos šim tematam, pievēršoties transporta ilgtspējas palielināšanai.</w:t>
      </w:r>
    </w:p>
    <w:p w14:paraId="07A1D506" w14:textId="77777777" w:rsidR="008F78AD" w:rsidRPr="006255E2" w:rsidRDefault="008F78AD">
      <w:pPr>
        <w:spacing w:after="0" w:line="288" w:lineRule="auto"/>
        <w:jc w:val="both"/>
        <w:rPr>
          <w:rFonts w:ascii="Times New Roman" w:eastAsia="Times New Roman" w:hAnsi="Times New Roman"/>
        </w:rPr>
      </w:pPr>
    </w:p>
    <w:p w14:paraId="13D6FB5A" w14:textId="491BE66C" w:rsidR="00DB4A3D" w:rsidRPr="006255E2" w:rsidRDefault="007624FE">
      <w:pPr>
        <w:spacing w:after="0" w:line="288" w:lineRule="auto"/>
        <w:jc w:val="both"/>
        <w:rPr>
          <w:rFonts w:ascii="Times New Roman" w:eastAsia="Times New Roman" w:hAnsi="Times New Roman"/>
        </w:rPr>
      </w:pPr>
      <w:r>
        <w:rPr>
          <w:rFonts w:ascii="Times New Roman" w:hAnsi="Times New Roman"/>
        </w:rPr>
        <w:t xml:space="preserve">Jaunās pandēmijas situācijas dēļ būs jāņem vērā ar Covid-19 saistītās problēmas, un stratēģijā tās tiks risinātas, jo transports ir viena no krīzes vissmagāk skartajām nozarēm (piegādes ķēdes pārrāvumi, strauja lejupslīde ceļojumu un tūrisma jomā, savienojamības samazināšanās). Stratēģijā teikts, ka atjaunot spēcīgāku vienoto tirgu, kura pamatā ir ilgtspējīga, vieda un noturīga transporta sistēma, ir galvenais priekšnoteikums nozares spējai atlabt no krīzes un nodrošināt tās noturību pret iespējamām krīzēm nākotnē. </w:t>
      </w:r>
    </w:p>
    <w:p w14:paraId="1921231F" w14:textId="77777777" w:rsidR="008F78AD" w:rsidRPr="006255E2" w:rsidRDefault="008F78AD">
      <w:pPr>
        <w:spacing w:after="0" w:line="288" w:lineRule="auto"/>
        <w:jc w:val="both"/>
        <w:rPr>
          <w:rFonts w:ascii="Times New Roman" w:eastAsia="Times New Roman" w:hAnsi="Times New Roman"/>
        </w:rPr>
      </w:pPr>
    </w:p>
    <w:p w14:paraId="655B3D77" w14:textId="5CDE4EA0" w:rsidR="00DB4A3D" w:rsidRPr="006255E2" w:rsidRDefault="00DB4A3D">
      <w:pPr>
        <w:spacing w:after="0" w:line="288" w:lineRule="auto"/>
        <w:jc w:val="both"/>
        <w:rPr>
          <w:rFonts w:ascii="Times New Roman" w:eastAsia="Times New Roman" w:hAnsi="Times New Roman"/>
        </w:rPr>
      </w:pPr>
      <w:r>
        <w:rPr>
          <w:rFonts w:ascii="Times New Roman" w:hAnsi="Times New Roman"/>
        </w:rPr>
        <w:t xml:space="preserve">Galvenie elementi ir atbilstīgi resursi ES finansējuma programmās, digitalizācijas attīstība, atbilstoši resursi un uzlabotas vadības sistēmas, kas dod iespēju laikus pabeigt TEN-T izveidi, transportlīdzekļu </w:t>
      </w:r>
      <w:r>
        <w:rPr>
          <w:rFonts w:ascii="Times New Roman" w:hAnsi="Times New Roman"/>
        </w:rPr>
        <w:lastRenderedPageBreak/>
        <w:t xml:space="preserve">parka atjaunošana visās transporta jomās, paātrināta Eiropas vienotās transporta telpas izveides pabeigšana un tādu atlikušo šķēršļu likvidēšana, kas neļauj brīvi sniegt pakalpojumus. </w:t>
      </w:r>
    </w:p>
    <w:p w14:paraId="070D42FD" w14:textId="77777777" w:rsidR="008F78AD" w:rsidRPr="006255E2" w:rsidRDefault="008F78AD">
      <w:pPr>
        <w:spacing w:after="0" w:line="288" w:lineRule="auto"/>
        <w:jc w:val="both"/>
        <w:rPr>
          <w:rFonts w:ascii="Times New Roman" w:eastAsia="Times New Roman" w:hAnsi="Times New Roman"/>
        </w:rPr>
      </w:pPr>
    </w:p>
    <w:p w14:paraId="5E5007EB" w14:textId="4392B9D3" w:rsidR="007624FE" w:rsidRPr="006255E2" w:rsidRDefault="007624FE" w:rsidP="00A132AE">
      <w:pPr>
        <w:keepNext/>
        <w:spacing w:after="0" w:line="288" w:lineRule="auto"/>
        <w:jc w:val="both"/>
        <w:rPr>
          <w:rFonts w:ascii="Times New Roman" w:eastAsia="Times New Roman" w:hAnsi="Times New Roman"/>
          <w:iCs/>
        </w:rPr>
      </w:pPr>
      <w:r>
        <w:rPr>
          <w:rFonts w:ascii="Times New Roman" w:hAnsi="Times New Roman"/>
        </w:rPr>
        <w:t>TEN specializētā nodaļa rūpīgi sekos līdzi visām šīs stratēģijas iniciatīvām un tās uzraudzīs, jo tās var tikt iesniegtas EESK apspriešanai šādās astoņās darbības jomās:</w:t>
      </w:r>
    </w:p>
    <w:p w14:paraId="0D8CB0F5" w14:textId="77777777" w:rsidR="008F78AD" w:rsidRPr="006255E2" w:rsidRDefault="008F78AD" w:rsidP="00A132AE">
      <w:pPr>
        <w:keepNext/>
        <w:spacing w:after="0" w:line="288" w:lineRule="auto"/>
        <w:jc w:val="both"/>
        <w:rPr>
          <w:rFonts w:ascii="Times New Roman" w:eastAsia="Times New Roman" w:hAnsi="Times New Roman"/>
        </w:rPr>
      </w:pPr>
    </w:p>
    <w:p w14:paraId="79B84DC9" w14:textId="23B82CD7" w:rsidR="007624FE" w:rsidRPr="006255E2" w:rsidRDefault="007624FE" w:rsidP="00A132AE">
      <w:pPr>
        <w:numPr>
          <w:ilvl w:val="0"/>
          <w:numId w:val="1"/>
        </w:numPr>
        <w:tabs>
          <w:tab w:val="clear" w:pos="360"/>
        </w:tabs>
        <w:spacing w:after="0" w:line="288" w:lineRule="auto"/>
        <w:jc w:val="both"/>
        <w:rPr>
          <w:rFonts w:ascii="Times New Roman" w:eastAsia="Times New Roman" w:hAnsi="Times New Roman"/>
          <w:iCs/>
        </w:rPr>
      </w:pPr>
      <w:r>
        <w:rPr>
          <w:rFonts w:ascii="Times New Roman" w:hAnsi="Times New Roman"/>
          <w:iCs/>
        </w:rPr>
        <w:t xml:space="preserve">veicināt tīrāku tehnoloģiju un alternatīvo degvielu ieviešanu autotransporta, jūras transporta un aviācijas nozarē; </w:t>
      </w:r>
    </w:p>
    <w:p w14:paraId="2E8D0EEF" w14:textId="77777777" w:rsidR="007624FE" w:rsidRPr="006255E2" w:rsidRDefault="007624FE" w:rsidP="00A132AE">
      <w:pPr>
        <w:numPr>
          <w:ilvl w:val="0"/>
          <w:numId w:val="1"/>
        </w:numPr>
        <w:tabs>
          <w:tab w:val="clear" w:pos="360"/>
        </w:tabs>
        <w:spacing w:after="0" w:line="288" w:lineRule="auto"/>
        <w:jc w:val="both"/>
        <w:rPr>
          <w:rFonts w:ascii="Times New Roman" w:eastAsia="Times New Roman" w:hAnsi="Times New Roman"/>
        </w:rPr>
      </w:pPr>
      <w:r>
        <w:rPr>
          <w:rFonts w:ascii="Times New Roman" w:hAnsi="Times New Roman"/>
          <w:iCs/>
        </w:rPr>
        <w:t>palielināt ilgtspējīgāku transporta veidu, piemēram, dzelzceļa un iekšzemes ūdensceļu, īpatsvaru un uzlabot efektivitāti visā transporta sistēmā;</w:t>
      </w:r>
    </w:p>
    <w:p w14:paraId="7482A47D" w14:textId="4A0BFF22" w:rsidR="007624FE" w:rsidRPr="006255E2" w:rsidRDefault="007624FE" w:rsidP="00A132AE">
      <w:pPr>
        <w:numPr>
          <w:ilvl w:val="0"/>
          <w:numId w:val="1"/>
        </w:numPr>
        <w:tabs>
          <w:tab w:val="clear" w:pos="360"/>
        </w:tabs>
        <w:spacing w:after="0" w:line="288" w:lineRule="auto"/>
        <w:jc w:val="both"/>
        <w:rPr>
          <w:rFonts w:ascii="Times New Roman" w:eastAsia="Times New Roman" w:hAnsi="Times New Roman"/>
        </w:rPr>
      </w:pPr>
      <w:r>
        <w:rPr>
          <w:rFonts w:ascii="Times New Roman" w:hAnsi="Times New Roman"/>
          <w:iCs/>
        </w:rPr>
        <w:t>stimulēt patērētāju pareizo izvēli un mazemisiju praksi;</w:t>
      </w:r>
    </w:p>
    <w:p w14:paraId="49478FB8" w14:textId="39112A2A" w:rsidR="009E1CCA" w:rsidRPr="006255E2" w:rsidRDefault="009E1CCA" w:rsidP="00A132AE">
      <w:pPr>
        <w:numPr>
          <w:ilvl w:val="0"/>
          <w:numId w:val="1"/>
        </w:numPr>
        <w:spacing w:after="0" w:line="288" w:lineRule="auto"/>
        <w:ind w:left="567" w:hanging="567"/>
        <w:jc w:val="both"/>
        <w:rPr>
          <w:rFonts w:ascii="Times New Roman" w:eastAsia="Times New Roman" w:hAnsi="Times New Roman"/>
        </w:rPr>
      </w:pPr>
      <w:r>
        <w:rPr>
          <w:rFonts w:ascii="Times New Roman" w:hAnsi="Times New Roman"/>
          <w:iCs/>
        </w:rPr>
        <w:t>ieguldīt mazemisiju un bezemisiju risinājumos, tostarp infrastruktūrā;</w:t>
      </w:r>
    </w:p>
    <w:p w14:paraId="7B2C3BDD" w14:textId="364DD005" w:rsidR="009B2708" w:rsidRPr="006255E2" w:rsidRDefault="009B2708" w:rsidP="00A132AE">
      <w:pPr>
        <w:numPr>
          <w:ilvl w:val="0"/>
          <w:numId w:val="1"/>
        </w:numPr>
        <w:spacing w:after="0" w:line="288" w:lineRule="auto"/>
        <w:ind w:left="567" w:hanging="567"/>
        <w:jc w:val="both"/>
        <w:rPr>
          <w:rFonts w:ascii="Times New Roman" w:eastAsia="Times New Roman" w:hAnsi="Times New Roman"/>
        </w:rPr>
      </w:pPr>
      <w:r>
        <w:rPr>
          <w:rFonts w:ascii="Times New Roman" w:hAnsi="Times New Roman"/>
          <w:iCs/>
        </w:rPr>
        <w:t>īstenot TEN-T;</w:t>
      </w:r>
    </w:p>
    <w:p w14:paraId="7559C8E6" w14:textId="623221DC" w:rsidR="00D82B71" w:rsidRPr="006255E2" w:rsidRDefault="009B2708" w:rsidP="00A132AE">
      <w:pPr>
        <w:numPr>
          <w:ilvl w:val="0"/>
          <w:numId w:val="1"/>
        </w:numPr>
        <w:spacing w:after="0" w:line="288" w:lineRule="auto"/>
        <w:ind w:left="567" w:hanging="567"/>
        <w:jc w:val="both"/>
        <w:rPr>
          <w:rFonts w:ascii="Times New Roman" w:eastAsia="Times New Roman" w:hAnsi="Times New Roman"/>
        </w:rPr>
      </w:pPr>
      <w:r>
        <w:rPr>
          <w:rFonts w:ascii="Times New Roman" w:hAnsi="Times New Roman"/>
        </w:rPr>
        <w:t>attīstīt intelektiskas transporta sistēmas, tostarp multimodālo biļešu tirdzniecību;</w:t>
      </w:r>
    </w:p>
    <w:p w14:paraId="7876EA1F" w14:textId="77777777" w:rsidR="00D82B71" w:rsidRPr="006255E2" w:rsidRDefault="00D82B71">
      <w:pPr>
        <w:numPr>
          <w:ilvl w:val="0"/>
          <w:numId w:val="1"/>
        </w:numPr>
        <w:spacing w:after="0" w:line="288" w:lineRule="auto"/>
        <w:ind w:left="567" w:hanging="567"/>
        <w:jc w:val="both"/>
        <w:rPr>
          <w:rFonts w:ascii="Times New Roman" w:eastAsia="Times New Roman" w:hAnsi="Times New Roman"/>
        </w:rPr>
      </w:pPr>
      <w:r>
        <w:rPr>
          <w:rFonts w:ascii="Times New Roman" w:hAnsi="Times New Roman"/>
          <w:iCs/>
        </w:rPr>
        <w:t>atjaunot pasažieru uzticību un tirgus pieprasījumu;</w:t>
      </w:r>
    </w:p>
    <w:p w14:paraId="70E099F3" w14:textId="584A8208" w:rsidR="009B2708" w:rsidRPr="006255E2" w:rsidRDefault="00D82B71" w:rsidP="00A132AE">
      <w:pPr>
        <w:numPr>
          <w:ilvl w:val="0"/>
          <w:numId w:val="1"/>
        </w:numPr>
        <w:spacing w:after="0" w:line="288" w:lineRule="auto"/>
        <w:ind w:left="567" w:hanging="567"/>
        <w:jc w:val="both"/>
        <w:rPr>
          <w:rFonts w:ascii="Times New Roman" w:eastAsia="Times New Roman" w:hAnsi="Times New Roman"/>
        </w:rPr>
      </w:pPr>
      <w:r>
        <w:rPr>
          <w:rFonts w:ascii="Times New Roman" w:hAnsi="Times New Roman"/>
        </w:rPr>
        <w:t>stratēģijas sabiedriskā transporta pievilcības palielināšanai un tā paplašināšanai.</w:t>
      </w:r>
    </w:p>
    <w:p w14:paraId="7225CD9C" w14:textId="77777777" w:rsidR="007624FE" w:rsidRPr="006255E2" w:rsidRDefault="007624FE">
      <w:pPr>
        <w:spacing w:after="0" w:line="288" w:lineRule="auto"/>
        <w:jc w:val="both"/>
        <w:rPr>
          <w:rFonts w:ascii="Times New Roman" w:eastAsia="Times New Roman" w:hAnsi="Times New Roman"/>
        </w:rPr>
      </w:pPr>
    </w:p>
    <w:p w14:paraId="2F4DC26C" w14:textId="086B8998" w:rsidR="007624FE" w:rsidRPr="006255E2" w:rsidRDefault="007624FE">
      <w:pPr>
        <w:spacing w:after="0" w:line="288" w:lineRule="auto"/>
        <w:jc w:val="both"/>
        <w:rPr>
          <w:rFonts w:ascii="Times New Roman" w:eastAsia="Times New Roman" w:hAnsi="Times New Roman"/>
          <w:iCs/>
          <w:highlight w:val="yellow"/>
        </w:rPr>
      </w:pPr>
      <w:r>
        <w:rPr>
          <w:rFonts w:ascii="Times New Roman" w:hAnsi="Times New Roman"/>
          <w:iCs/>
        </w:rPr>
        <w:t xml:space="preserve">Lai līdz 2050. gadam izveidotu klimatneitrālu Eiropu, TEN specializētā nodaļa rūpīgi sekos līdzi Eiropas Komisijas iniciatīvām, kas tiecas nodrošināt, ka ilgtspējīgs transports ir saistīts ar viedu transportu, un šajā sakarā pilnībā izmantot digitalizācijas un automatizācijas pavērtās iespējas, piemēram, palielinot satiksmes efektivitāti ar mākslīgā intelekta palīdzību vai līdz minimumam samazinot satiksmes radītos draudus. Minētie faktori ir svarīgi, lai visos transporta veidos mobilitāte būtu tīrāka, raita, vieda un droša. </w:t>
      </w:r>
      <w:r>
        <w:rPr>
          <w:rFonts w:ascii="Times New Roman" w:hAnsi="Times New Roman"/>
        </w:rPr>
        <w:t xml:space="preserve">TEN specializētā nodaļa pievērsīsies plānotajai iniciatīvai attiecībā uz </w:t>
      </w:r>
      <w:r>
        <w:rPr>
          <w:rFonts w:ascii="Times New Roman" w:hAnsi="Times New Roman"/>
          <w:i/>
        </w:rPr>
        <w:t>intelektisko transporta sistēmu direktīvas pārskatīšanu</w:t>
      </w:r>
      <w:r>
        <w:rPr>
          <w:rFonts w:ascii="Times New Roman" w:hAnsi="Times New Roman"/>
        </w:rPr>
        <w:t>, kā arī multimodālo biļešu tirdzniecības iniciatīvai.</w:t>
      </w:r>
    </w:p>
    <w:p w14:paraId="6ACD7BBB" w14:textId="77777777" w:rsidR="008F78AD" w:rsidRPr="006255E2" w:rsidRDefault="008F78AD">
      <w:pPr>
        <w:spacing w:after="0" w:line="288" w:lineRule="auto"/>
        <w:jc w:val="both"/>
        <w:rPr>
          <w:rFonts w:ascii="Times New Roman" w:eastAsia="Times New Roman" w:hAnsi="Times New Roman"/>
        </w:rPr>
      </w:pPr>
    </w:p>
    <w:p w14:paraId="2C68A5D9" w14:textId="5562971E" w:rsidR="00022748" w:rsidRPr="006255E2" w:rsidRDefault="00022748">
      <w:pPr>
        <w:spacing w:after="0" w:line="288" w:lineRule="auto"/>
        <w:jc w:val="both"/>
        <w:rPr>
          <w:rFonts w:ascii="Times New Roman" w:eastAsia="Times New Roman" w:hAnsi="Times New Roman"/>
          <w:highlight w:val="lightGray"/>
        </w:rPr>
      </w:pPr>
      <w:r>
        <w:rPr>
          <w:rFonts w:ascii="Times New Roman" w:hAnsi="Times New Roman"/>
        </w:rPr>
        <w:t xml:space="preserve">Ņemot vērā dažādos transporta veidus, TEN specializētā nodaļa sīkāk izskatīs vajadzības aviācijas līmenī, lai pēc Covid-19 krīzes izraisītās dīkstāves atsāktu visas nozares darbību, un īpašu uzmanību pievērsīs </w:t>
      </w:r>
      <w:r>
        <w:rPr>
          <w:rFonts w:ascii="Times New Roman" w:hAnsi="Times New Roman"/>
          <w:i/>
        </w:rPr>
        <w:t xml:space="preserve">ReFuelEU aviācijas tiesību aktu paketei, Atjaunojamo energoresursu direktīvas pārskatīšanai, Eiropas vienotās gaisa telpas izveides </w:t>
      </w:r>
      <w:r>
        <w:rPr>
          <w:rFonts w:ascii="Times New Roman" w:hAnsi="Times New Roman"/>
        </w:rPr>
        <w:t>pabeigšanai</w:t>
      </w:r>
      <w:r>
        <w:rPr>
          <w:rFonts w:ascii="Times New Roman" w:hAnsi="Times New Roman"/>
          <w:i/>
        </w:rPr>
        <w:t xml:space="preserve">, ES ETS pārskatīšanai, CORSIA īstenošanai Eiropas Savienībā </w:t>
      </w:r>
      <w:r>
        <w:rPr>
          <w:rFonts w:ascii="Times New Roman" w:hAnsi="Times New Roman"/>
        </w:rPr>
        <w:t>un pašreiz notiekošajai</w:t>
      </w:r>
      <w:r>
        <w:rPr>
          <w:rFonts w:ascii="Times New Roman" w:hAnsi="Times New Roman"/>
          <w:i/>
        </w:rPr>
        <w:t xml:space="preserve"> Gaisa pasažieru tiesību </w:t>
      </w:r>
      <w:r>
        <w:rPr>
          <w:rFonts w:ascii="Times New Roman" w:hAnsi="Times New Roman"/>
        </w:rPr>
        <w:t xml:space="preserve">un </w:t>
      </w:r>
      <w:r>
        <w:rPr>
          <w:rFonts w:ascii="Times New Roman" w:hAnsi="Times New Roman"/>
          <w:i/>
        </w:rPr>
        <w:t>lidostas maksu direktīvas pārskatīšanai</w:t>
      </w:r>
      <w:r>
        <w:rPr>
          <w:rFonts w:ascii="Times New Roman" w:hAnsi="Times New Roman"/>
        </w:rPr>
        <w:t>.</w:t>
      </w:r>
    </w:p>
    <w:p w14:paraId="45AF3D63" w14:textId="77777777" w:rsidR="00022748" w:rsidRPr="006255E2" w:rsidRDefault="00022748">
      <w:pPr>
        <w:spacing w:after="0" w:line="288" w:lineRule="auto"/>
        <w:jc w:val="both"/>
        <w:rPr>
          <w:rFonts w:ascii="Times New Roman" w:eastAsia="Times New Roman" w:hAnsi="Times New Roman"/>
          <w:highlight w:val="lightGray"/>
        </w:rPr>
      </w:pPr>
    </w:p>
    <w:p w14:paraId="6ED2EAB6" w14:textId="6EF7D134" w:rsidR="00022748" w:rsidRPr="006255E2" w:rsidRDefault="00022748">
      <w:pPr>
        <w:spacing w:after="0" w:line="288" w:lineRule="auto"/>
        <w:jc w:val="both"/>
        <w:rPr>
          <w:rFonts w:ascii="Times New Roman" w:eastAsia="Times New Roman" w:hAnsi="Times New Roman"/>
          <w:highlight w:val="lightGray"/>
        </w:rPr>
      </w:pPr>
      <w:r>
        <w:rPr>
          <w:rFonts w:ascii="Times New Roman" w:hAnsi="Times New Roman"/>
        </w:rPr>
        <w:t xml:space="preserve">Jūrniecības nozarē TEN specializētā nodaļa sekos līdzi likumdošanas iniciatīvu paketei </w:t>
      </w:r>
      <w:r>
        <w:rPr>
          <w:rFonts w:ascii="Times New Roman" w:hAnsi="Times New Roman"/>
          <w:i/>
        </w:rPr>
        <w:t>FuelEU Maritime</w:t>
      </w:r>
      <w:r>
        <w:rPr>
          <w:rFonts w:ascii="Times New Roman" w:hAnsi="Times New Roman"/>
        </w:rPr>
        <w:t>, ņemot vērā, ka ir vajadzīgi risinājumi, lai uzlabotu gan esošās, gan nākamās paaudzes flotes ar mērķi samazināt enerģijas patēriņu un izmantot tīru enerģiju.</w:t>
      </w:r>
    </w:p>
    <w:p w14:paraId="7F036D02" w14:textId="77777777" w:rsidR="008F78AD" w:rsidRPr="006255E2" w:rsidRDefault="008F78AD">
      <w:pPr>
        <w:spacing w:after="0" w:line="288" w:lineRule="auto"/>
        <w:jc w:val="both"/>
        <w:rPr>
          <w:rFonts w:ascii="Times New Roman" w:eastAsia="Times New Roman" w:hAnsi="Times New Roman"/>
        </w:rPr>
      </w:pPr>
    </w:p>
    <w:p w14:paraId="3EDFB88F" w14:textId="3ABEB905"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Autotransporta jomā TEN specializētā nodaļa koncentrēsies uz EK iniciatīvām koordinētai likumdošanas pieejai, lai gūtu progresu gan attiecībā uz infrastruktūru, gan transportlīdzekļiem, īpaši vēršot uzmanību uz lielas noslodzes transportlīdzekļiem, kā arī uz </w:t>
      </w:r>
      <w:r>
        <w:rPr>
          <w:rFonts w:ascii="Times New Roman" w:hAnsi="Times New Roman"/>
          <w:i/>
          <w:iCs/>
        </w:rPr>
        <w:t>ilgtspējīgu alternatīvo degvielu infrastruktūras regulējuma pārskatīšanu</w:t>
      </w:r>
      <w:r>
        <w:rPr>
          <w:rFonts w:ascii="Times New Roman" w:hAnsi="Times New Roman"/>
        </w:rPr>
        <w:t xml:space="preserve">, lai stimulētu tādu transportlīdzekļu ieviešanu, kuri ļauj izvērst multimodālos pārvadājumus. </w:t>
      </w:r>
    </w:p>
    <w:p w14:paraId="613C3A12" w14:textId="369FD3D1" w:rsidR="00F44F6B" w:rsidRPr="006255E2" w:rsidRDefault="00F44F6B">
      <w:pPr>
        <w:spacing w:after="0" w:line="288" w:lineRule="auto"/>
        <w:jc w:val="both"/>
        <w:rPr>
          <w:rFonts w:ascii="Times New Roman" w:eastAsia="Times New Roman" w:hAnsi="Times New Roman"/>
        </w:rPr>
      </w:pPr>
    </w:p>
    <w:p w14:paraId="35B7B6C1" w14:textId="41CCBB66" w:rsidR="00F44F6B" w:rsidRPr="006255E2" w:rsidRDefault="00F44F6B">
      <w:pPr>
        <w:spacing w:after="0" w:line="288" w:lineRule="auto"/>
        <w:jc w:val="both"/>
        <w:rPr>
          <w:rFonts w:ascii="Times New Roman" w:eastAsia="Times New Roman" w:hAnsi="Times New Roman"/>
        </w:rPr>
      </w:pPr>
      <w:r>
        <w:rPr>
          <w:rFonts w:ascii="Times New Roman" w:hAnsi="Times New Roman"/>
        </w:rPr>
        <w:t xml:space="preserve">Attiecībā uz dzelzceļu TEN specializētā nodaļa pievērsīsies plānotajai </w:t>
      </w:r>
      <w:r>
        <w:rPr>
          <w:rFonts w:ascii="Times New Roman" w:hAnsi="Times New Roman"/>
          <w:i/>
        </w:rPr>
        <w:t xml:space="preserve">dzelzceļa koridora iniciatīvai, </w:t>
      </w:r>
      <w:r>
        <w:rPr>
          <w:rFonts w:ascii="Times New Roman" w:hAnsi="Times New Roman"/>
        </w:rPr>
        <w:t xml:space="preserve">tostarp </w:t>
      </w:r>
      <w:r>
        <w:rPr>
          <w:rFonts w:ascii="Times New Roman" w:hAnsi="Times New Roman"/>
          <w:i/>
        </w:rPr>
        <w:t>dzelzceļa kravu pārvadājumu koridora regulas pārskatīšanai un darbībām pasažieru dzelzceļa pārvadājumu veicināšanai</w:t>
      </w:r>
      <w:r>
        <w:rPr>
          <w:rFonts w:ascii="Times New Roman" w:hAnsi="Times New Roman"/>
        </w:rPr>
        <w:t>.</w:t>
      </w:r>
    </w:p>
    <w:p w14:paraId="63EAD1F8" w14:textId="77777777" w:rsidR="00F44F6B" w:rsidRPr="006255E2" w:rsidRDefault="00F44F6B">
      <w:pPr>
        <w:spacing w:after="0" w:line="288" w:lineRule="auto"/>
        <w:jc w:val="both"/>
        <w:rPr>
          <w:rFonts w:ascii="Times New Roman" w:eastAsia="Times New Roman" w:hAnsi="Times New Roman"/>
        </w:rPr>
      </w:pPr>
    </w:p>
    <w:p w14:paraId="4285F85A" w14:textId="76DC88E0" w:rsidR="00F44F6B" w:rsidRPr="006255E2" w:rsidRDefault="00F44F6B">
      <w:pPr>
        <w:spacing w:after="0" w:line="288" w:lineRule="auto"/>
        <w:jc w:val="both"/>
        <w:rPr>
          <w:rFonts w:ascii="Times New Roman" w:eastAsia="Times New Roman" w:hAnsi="Times New Roman"/>
        </w:rPr>
      </w:pPr>
      <w:r>
        <w:rPr>
          <w:rFonts w:ascii="Times New Roman" w:hAnsi="Times New Roman"/>
        </w:rPr>
        <w:t xml:space="preserve">TEN specializētā nodaļa pievērsīsies arī </w:t>
      </w:r>
      <w:r>
        <w:rPr>
          <w:rFonts w:ascii="Times New Roman" w:hAnsi="Times New Roman"/>
          <w:i/>
        </w:rPr>
        <w:t>priekšlikumam pārskatīt Regulu par Eiropas transporta tīklu</w:t>
      </w:r>
      <w:r>
        <w:rPr>
          <w:rFonts w:ascii="Times New Roman" w:hAnsi="Times New Roman"/>
        </w:rPr>
        <w:t xml:space="preserve"> (TEN-T).</w:t>
      </w:r>
    </w:p>
    <w:p w14:paraId="289565B2" w14:textId="77777777" w:rsidR="00F44F6B" w:rsidRPr="006255E2" w:rsidRDefault="00F44F6B">
      <w:pPr>
        <w:spacing w:after="0" w:line="288" w:lineRule="auto"/>
        <w:jc w:val="both"/>
        <w:rPr>
          <w:rFonts w:ascii="Times New Roman" w:eastAsia="Times New Roman" w:hAnsi="Times New Roman"/>
        </w:rPr>
      </w:pPr>
    </w:p>
    <w:p w14:paraId="2C8DD5D7" w14:textId="5812BBA7" w:rsidR="00F44F6B" w:rsidRPr="006255E2" w:rsidRDefault="00F44F6B">
      <w:pPr>
        <w:spacing w:after="0" w:line="288" w:lineRule="auto"/>
        <w:jc w:val="both"/>
        <w:rPr>
          <w:rFonts w:ascii="Times New Roman" w:eastAsia="Times New Roman" w:hAnsi="Times New Roman"/>
        </w:rPr>
      </w:pPr>
      <w:r>
        <w:rPr>
          <w:rFonts w:ascii="Times New Roman" w:hAnsi="Times New Roman"/>
        </w:rPr>
        <w:t>TEN specializētā nodaļa arī pieņem zināšanai EK nodomu novērtēt Covid-19 pandēmijas ietekmi uz savienojamību un konkurenci transporta nozares iekšējā tirgū un ierosināt turpmākus pasākumus, kā arī sagatavot ārkārtas rīcības plānu(-us) krīzes situācijām laikposmā no 2021. gada līdz 2023. gadam.</w:t>
      </w:r>
    </w:p>
    <w:p w14:paraId="27B827F5" w14:textId="1093D758" w:rsidR="00022748" w:rsidRPr="006255E2" w:rsidRDefault="00022748" w:rsidP="00A132AE">
      <w:pPr>
        <w:spacing w:after="0" w:line="288" w:lineRule="auto"/>
        <w:jc w:val="both"/>
        <w:rPr>
          <w:rFonts w:ascii="Times New Roman" w:eastAsia="Times New Roman" w:hAnsi="Times New Roman"/>
        </w:rPr>
      </w:pPr>
    </w:p>
    <w:p w14:paraId="5EE1ABF5" w14:textId="1778F4D3"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Attiecībā uz dzelzceļa transportu tiks uzsvērts </w:t>
      </w:r>
      <w:r>
        <w:rPr>
          <w:rFonts w:ascii="Times New Roman" w:hAnsi="Times New Roman"/>
          <w:i/>
        </w:rPr>
        <w:t>2021. gads kā Eiropas Dzelzceļa gads</w:t>
      </w:r>
      <w:r>
        <w:rPr>
          <w:rFonts w:ascii="Times New Roman" w:hAnsi="Times New Roman"/>
        </w:rPr>
        <w:t>, kurā īpaša uzmanība tiks pievērsta kravu pārvadājumiem, tranzīta biļetēm un modālajai pārejai. Šis temats tiks izstrādāts sadarbībā ar CCMI.</w:t>
      </w:r>
    </w:p>
    <w:p w14:paraId="128EBA90" w14:textId="77777777" w:rsidR="00022748" w:rsidRPr="006255E2" w:rsidRDefault="00022748">
      <w:pPr>
        <w:spacing w:after="0" w:line="288" w:lineRule="auto"/>
        <w:jc w:val="both"/>
        <w:rPr>
          <w:rFonts w:ascii="Times New Roman" w:eastAsia="Times New Roman" w:hAnsi="Times New Roman"/>
        </w:rPr>
      </w:pPr>
    </w:p>
    <w:p w14:paraId="20022A50" w14:textId="14EE5AA2" w:rsidR="00022748" w:rsidRPr="006255E2" w:rsidRDefault="00022748">
      <w:pPr>
        <w:spacing w:after="0" w:line="288" w:lineRule="auto"/>
        <w:jc w:val="both"/>
        <w:rPr>
          <w:rFonts w:ascii="Times New Roman" w:hAnsi="Times New Roman"/>
        </w:rPr>
      </w:pPr>
      <w:r>
        <w:rPr>
          <w:rFonts w:ascii="Times New Roman" w:hAnsi="Times New Roman"/>
        </w:rPr>
        <w:t xml:space="preserve">Saskaņā ar ES Padomes prezidentvalsts Portugāles prioritātēm un pēc tās īpaša pieprasījuma TEN specializētā nodaļa ir aicināta sagatavot izpētes atzinumu par </w:t>
      </w:r>
      <w:r>
        <w:rPr>
          <w:rFonts w:ascii="Times New Roman" w:hAnsi="Times New Roman"/>
          <w:i/>
          <w:iCs/>
        </w:rPr>
        <w:t>Eiropas vienotā dzelzceļa telpu</w:t>
      </w:r>
      <w:r>
        <w:rPr>
          <w:rFonts w:ascii="Times New Roman" w:hAnsi="Times New Roman"/>
        </w:rPr>
        <w:t xml:space="preserve"> (TEN/727); tas ir atzinums, ko paredzēts pieņemt EESK marta plenārsesijā.</w:t>
      </w:r>
    </w:p>
    <w:p w14:paraId="7CCEC996" w14:textId="77777777" w:rsidR="008F78AD" w:rsidRPr="006255E2" w:rsidRDefault="008F78AD" w:rsidP="00A132AE">
      <w:pPr>
        <w:spacing w:after="0" w:line="288" w:lineRule="auto"/>
        <w:jc w:val="both"/>
        <w:rPr>
          <w:rFonts w:ascii="Times New Roman" w:hAnsi="Times New Roman"/>
        </w:rPr>
      </w:pPr>
    </w:p>
    <w:p w14:paraId="1D2B9882" w14:textId="666C1657" w:rsidR="006F344D" w:rsidRPr="006255E2" w:rsidRDefault="00CE5A08">
      <w:pPr>
        <w:spacing w:after="0" w:line="288" w:lineRule="auto"/>
        <w:jc w:val="both"/>
        <w:rPr>
          <w:rFonts w:ascii="Times New Roman" w:hAnsi="Times New Roman"/>
          <w:b/>
        </w:rPr>
      </w:pPr>
      <w:r>
        <w:rPr>
          <w:rFonts w:ascii="Times New Roman" w:hAnsi="Times New Roman"/>
        </w:rPr>
        <w:t>Pamatojoties uz šo un iepriekšējo darbu, TEN specializētā nodaļa pirmā pusgada beigās organizēs augsta līmeņa pasākumu par šo tematu.</w:t>
      </w:r>
    </w:p>
    <w:p w14:paraId="0E1DF1F1" w14:textId="77777777" w:rsidR="00022748" w:rsidRPr="006255E2" w:rsidRDefault="00022748">
      <w:pPr>
        <w:spacing w:after="0" w:line="288" w:lineRule="auto"/>
        <w:jc w:val="both"/>
        <w:rPr>
          <w:rFonts w:ascii="Times New Roman" w:eastAsia="Times New Roman" w:hAnsi="Times New Roman"/>
        </w:rPr>
      </w:pPr>
    </w:p>
    <w:p w14:paraId="2DD76AD7" w14:textId="5BA20123" w:rsidR="00022748" w:rsidRPr="006255E2" w:rsidRDefault="00CE5A08">
      <w:pPr>
        <w:spacing w:after="0" w:line="288" w:lineRule="auto"/>
        <w:jc w:val="both"/>
        <w:rPr>
          <w:rFonts w:ascii="Times New Roman" w:eastAsia="Times New Roman" w:hAnsi="Times New Roman"/>
        </w:rPr>
      </w:pPr>
      <w:r>
        <w:rPr>
          <w:rFonts w:ascii="Times New Roman" w:hAnsi="Times New Roman"/>
          <w:b/>
        </w:rPr>
        <w:t>Tematiskā izpētes grupa “Transports” (TIG-T)</w:t>
      </w:r>
      <w:r>
        <w:rPr>
          <w:rFonts w:ascii="Times New Roman" w:hAnsi="Times New Roman"/>
        </w:rPr>
        <w:t xml:space="preserve"> turpinās darboties kā iekšēja TEN specializētās nodaļas domnīca transporta jautājumos.</w:t>
      </w:r>
    </w:p>
    <w:p w14:paraId="763568AA" w14:textId="77777777" w:rsidR="008F78AD" w:rsidRPr="006255E2" w:rsidRDefault="008F78AD" w:rsidP="00A132AE">
      <w:pPr>
        <w:spacing w:after="0" w:line="288" w:lineRule="auto"/>
        <w:jc w:val="both"/>
        <w:rPr>
          <w:rFonts w:ascii="Times New Roman" w:eastAsia="Times New Roman" w:hAnsi="Times New Roman"/>
        </w:rPr>
      </w:pPr>
    </w:p>
    <w:p w14:paraId="479A46AC" w14:textId="35A4CA59"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TIG-T darba pamatelements būs jaunu problēmjautājumu prognozēšana un jaunu ideju un koncepciju izstrāde un pārskatīšana, jo īpaši darba apstākļu un sociāli taisnīgas pārkārtošanas jomā. </w:t>
      </w:r>
    </w:p>
    <w:p w14:paraId="02DBD67E" w14:textId="77777777" w:rsidR="00022748" w:rsidRPr="006255E2" w:rsidRDefault="00022748">
      <w:pPr>
        <w:spacing w:after="0" w:line="288" w:lineRule="auto"/>
        <w:jc w:val="both"/>
        <w:rPr>
          <w:rFonts w:ascii="Times New Roman" w:eastAsia="Times New Roman" w:hAnsi="Times New Roman"/>
        </w:rPr>
      </w:pPr>
    </w:p>
    <w:p w14:paraId="46C04157" w14:textId="6A88A5AF"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Gan EK, gan Padomes prioritātes 2021. gadā ir vērstas uz to, lai atveseļošanos no Covid-19 krīzes apvienotu ar abu galveno prioritāšu — zaļā kursa un digitalizācijas — īstenošanu, vienlaikus meklējot sinerģijas starp šiem mērķiem. </w:t>
      </w:r>
    </w:p>
    <w:p w14:paraId="58978ED5" w14:textId="77777777" w:rsidR="00022748" w:rsidRPr="006255E2" w:rsidRDefault="00022748">
      <w:pPr>
        <w:spacing w:after="0" w:line="288" w:lineRule="auto"/>
        <w:jc w:val="both"/>
        <w:rPr>
          <w:rFonts w:ascii="Times New Roman" w:eastAsia="Times New Roman" w:hAnsi="Times New Roman"/>
        </w:rPr>
      </w:pPr>
    </w:p>
    <w:p w14:paraId="494F6542" w14:textId="17491C78"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Komisijas iniciatīvas, kas ir nozīmīgas saistībā ar transportu, ietver dokumentu kopumu </w:t>
      </w:r>
      <w:r>
        <w:rPr>
          <w:rFonts w:ascii="Times New Roman" w:hAnsi="Times New Roman"/>
          <w:i/>
        </w:rPr>
        <w:t>Fit for 55</w:t>
      </w:r>
      <w:r>
        <w:rPr>
          <w:rFonts w:ascii="Times New Roman" w:hAnsi="Times New Roman"/>
        </w:rPr>
        <w:t xml:space="preserve"> un pasākumus, kas paredzēti emisiju pastiprinātas samazināšanas mērķu īstenošanai līdz 2030. gadam. Pasākumi, kas skar transportu, ir </w:t>
      </w:r>
      <w:r>
        <w:rPr>
          <w:rFonts w:ascii="Times New Roman" w:hAnsi="Times New Roman"/>
          <w:i/>
        </w:rPr>
        <w:t>ES emisijas kvotu tirdzniecības sistēmas (ETS) pārskatīšana</w:t>
      </w:r>
      <w:r>
        <w:rPr>
          <w:rFonts w:ascii="Times New Roman" w:hAnsi="Times New Roman"/>
        </w:rPr>
        <w:t>, to attiecinot arī uz</w:t>
      </w:r>
      <w:r>
        <w:rPr>
          <w:rFonts w:ascii="Times New Roman" w:hAnsi="Times New Roman"/>
          <w:i/>
        </w:rPr>
        <w:t xml:space="preserve"> jūras transportu, un aviācijas ETS pārskatīšana, ņemot vērā Starptautiskās Civilās aviācijas organizācijas (ICAO) </w:t>
      </w:r>
      <w:r>
        <w:rPr>
          <w:rFonts w:ascii="Times New Roman" w:hAnsi="Times New Roman"/>
        </w:rPr>
        <w:t>Starptautiskās aviācijas radīto oglekļa emisiju izlīdzināšanas un samazināšanas</w:t>
      </w:r>
      <w:r>
        <w:rPr>
          <w:rFonts w:ascii="Times New Roman" w:hAnsi="Times New Roman"/>
          <w:i/>
        </w:rPr>
        <w:t xml:space="preserve"> shēmu (CORSIA), kā arī Atjaunojamo energoresursu direktīvas </w:t>
      </w:r>
      <w:r>
        <w:rPr>
          <w:rFonts w:ascii="Times New Roman" w:hAnsi="Times New Roman"/>
        </w:rPr>
        <w:t xml:space="preserve">un </w:t>
      </w:r>
      <w:r>
        <w:rPr>
          <w:rFonts w:ascii="Times New Roman" w:hAnsi="Times New Roman"/>
          <w:i/>
        </w:rPr>
        <w:t>Energoefektivitātes direktīvas pārskatīšana</w:t>
      </w:r>
      <w:r>
        <w:rPr>
          <w:rFonts w:ascii="Times New Roman" w:hAnsi="Times New Roman"/>
        </w:rPr>
        <w:t>.</w:t>
      </w:r>
    </w:p>
    <w:p w14:paraId="05EC73B1" w14:textId="77777777" w:rsidR="00022748" w:rsidRPr="006255E2" w:rsidRDefault="00022748">
      <w:pPr>
        <w:spacing w:after="0" w:line="288" w:lineRule="auto"/>
        <w:jc w:val="both"/>
        <w:rPr>
          <w:rFonts w:ascii="Times New Roman" w:eastAsia="Times New Roman" w:hAnsi="Times New Roman"/>
        </w:rPr>
      </w:pPr>
    </w:p>
    <w:p w14:paraId="5B1EF131" w14:textId="77777777" w:rsidR="00022748" w:rsidRPr="006255E2" w:rsidRDefault="00022748">
      <w:pPr>
        <w:spacing w:after="0" w:line="288" w:lineRule="auto"/>
        <w:jc w:val="both"/>
        <w:rPr>
          <w:rFonts w:ascii="Times New Roman" w:eastAsia="Times New Roman" w:hAnsi="Times New Roman"/>
        </w:rPr>
      </w:pPr>
      <w:r>
        <w:rPr>
          <w:rFonts w:ascii="Times New Roman" w:hAnsi="Times New Roman"/>
        </w:rPr>
        <w:t xml:space="preserve">Arī iniciatīvas citās nozarēs varētu būt saistītas ar transportu, piemēram, plānotais </w:t>
      </w:r>
      <w:r>
        <w:rPr>
          <w:rFonts w:ascii="Times New Roman" w:hAnsi="Times New Roman"/>
          <w:i/>
        </w:rPr>
        <w:t xml:space="preserve">priekšlikums par uzticamu un drošu Eiropas e-identifikāciju </w:t>
      </w:r>
      <w:r>
        <w:rPr>
          <w:rFonts w:ascii="Times New Roman" w:hAnsi="Times New Roman"/>
        </w:rPr>
        <w:t>un turpmākās darbības pēc</w:t>
      </w:r>
      <w:r>
        <w:rPr>
          <w:rFonts w:ascii="Times New Roman" w:hAnsi="Times New Roman"/>
          <w:i/>
        </w:rPr>
        <w:t xml:space="preserve"> Baltās grāmatas par ārvalstu subsīdijām</w:t>
      </w:r>
      <w:r>
        <w:rPr>
          <w:rFonts w:ascii="Times New Roman" w:hAnsi="Times New Roman"/>
        </w:rPr>
        <w:t>.</w:t>
      </w:r>
    </w:p>
    <w:p w14:paraId="4D17BEDD" w14:textId="77777777" w:rsidR="00022748" w:rsidRPr="006255E2" w:rsidRDefault="00022748">
      <w:pPr>
        <w:spacing w:after="0" w:line="288" w:lineRule="auto"/>
        <w:jc w:val="both"/>
        <w:rPr>
          <w:rFonts w:ascii="Times New Roman" w:eastAsia="Times New Roman" w:hAnsi="Times New Roman"/>
        </w:rPr>
      </w:pPr>
    </w:p>
    <w:p w14:paraId="23020ADD" w14:textId="2A129E88" w:rsidR="00022748" w:rsidRPr="006255E2" w:rsidRDefault="00022748">
      <w:pPr>
        <w:keepNext/>
        <w:spacing w:after="0" w:line="288" w:lineRule="auto"/>
        <w:jc w:val="both"/>
        <w:rPr>
          <w:rFonts w:ascii="Times New Roman" w:eastAsia="Times New Roman" w:hAnsi="Times New Roman"/>
        </w:rPr>
      </w:pPr>
      <w:r>
        <w:rPr>
          <w:rFonts w:ascii="Times New Roman" w:hAnsi="Times New Roman"/>
        </w:rPr>
        <w:t>Šajā kontekstā īpaši interesantas šķiet šādas tēmas:</w:t>
      </w:r>
    </w:p>
    <w:p w14:paraId="43B675AB" w14:textId="77777777" w:rsidR="008F78AD" w:rsidRPr="006255E2" w:rsidRDefault="008F78AD" w:rsidP="00A132AE">
      <w:pPr>
        <w:keepNext/>
        <w:spacing w:after="0" w:line="288" w:lineRule="auto"/>
        <w:jc w:val="both"/>
        <w:rPr>
          <w:rFonts w:ascii="Times New Roman" w:hAnsi="Times New Roman"/>
        </w:rPr>
      </w:pPr>
    </w:p>
    <w:p w14:paraId="3FA50569" w14:textId="21BB8B22" w:rsidR="00022748" w:rsidRPr="006255E2" w:rsidRDefault="00022748" w:rsidP="00A132AE">
      <w:pPr>
        <w:numPr>
          <w:ilvl w:val="0"/>
          <w:numId w:val="1"/>
        </w:numPr>
        <w:tabs>
          <w:tab w:val="clear" w:pos="360"/>
        </w:tabs>
        <w:spacing w:after="0" w:line="288" w:lineRule="auto"/>
        <w:jc w:val="both"/>
        <w:rPr>
          <w:rFonts w:ascii="Times New Roman" w:hAnsi="Times New Roman"/>
        </w:rPr>
      </w:pPr>
      <w:r>
        <w:rPr>
          <w:rFonts w:ascii="Times New Roman" w:hAnsi="Times New Roman"/>
        </w:rPr>
        <w:t xml:space="preserve">ES ETS attiecināšana uz jūras transportu un ES aviācijas ETS pārskatīšana, tostarp </w:t>
      </w:r>
      <w:r>
        <w:rPr>
          <w:rFonts w:ascii="Times New Roman" w:hAnsi="Times New Roman"/>
          <w:i/>
          <w:iCs/>
        </w:rPr>
        <w:t>CORSIA</w:t>
      </w:r>
      <w:r>
        <w:rPr>
          <w:rFonts w:ascii="Times New Roman" w:hAnsi="Times New Roman"/>
        </w:rPr>
        <w:t xml:space="preserve"> līdzāspastāvēšana Eiropas Savienībā, ar mērķi nodrošināt, ka tās ierosinātā regula efektīvi kalpo vides mērķiem, vienlaikus saglabāt neizkropļotu konkurenci ES vienotajā aviācijas tirgū un ES </w:t>
      </w:r>
      <w:r>
        <w:rPr>
          <w:rFonts w:ascii="Times New Roman" w:hAnsi="Times New Roman"/>
        </w:rPr>
        <w:lastRenderedPageBreak/>
        <w:t xml:space="preserve">kuģniecības nozarē. Ir runāts par sistēmas paplašināšanu, to attiecinot arī uz sauszemes transportu, taču EK 2021. gada darba programmā tas neatspoguļojas. </w:t>
      </w:r>
    </w:p>
    <w:p w14:paraId="3D02AB8D" w14:textId="642086A2" w:rsidR="00022748" w:rsidRPr="006255E2" w:rsidRDefault="00022748" w:rsidP="00A132AE">
      <w:pPr>
        <w:numPr>
          <w:ilvl w:val="0"/>
          <w:numId w:val="1"/>
        </w:numPr>
        <w:tabs>
          <w:tab w:val="clear" w:pos="360"/>
        </w:tabs>
        <w:spacing w:after="0" w:line="288" w:lineRule="auto"/>
        <w:jc w:val="both"/>
        <w:rPr>
          <w:rFonts w:ascii="Times New Roman" w:hAnsi="Times New Roman"/>
        </w:rPr>
      </w:pPr>
      <w:r>
        <w:rPr>
          <w:rFonts w:ascii="Times New Roman" w:hAnsi="Times New Roman"/>
        </w:rPr>
        <w:t>Plānotā ITS un multimodālo biļešu tirdzniecības pārskatīšana. Šī tēma varētu būt plaša un ietvert mākslīgā intelekta pielietojumus transporta jomā;</w:t>
      </w:r>
    </w:p>
    <w:p w14:paraId="77E673A0" w14:textId="67E59431" w:rsidR="00022748" w:rsidRPr="006255E2" w:rsidRDefault="00022748" w:rsidP="00A132AE">
      <w:pPr>
        <w:numPr>
          <w:ilvl w:val="0"/>
          <w:numId w:val="1"/>
        </w:numPr>
        <w:tabs>
          <w:tab w:val="clear" w:pos="360"/>
        </w:tabs>
        <w:spacing w:after="0" w:line="288" w:lineRule="auto"/>
        <w:jc w:val="both"/>
        <w:rPr>
          <w:rFonts w:ascii="Times New Roman" w:hAnsi="Times New Roman"/>
        </w:rPr>
      </w:pPr>
      <w:r>
        <w:rPr>
          <w:rFonts w:ascii="Times New Roman" w:hAnsi="Times New Roman"/>
          <w:i/>
        </w:rPr>
        <w:t>TEN-T regulas pārskatīšana</w:t>
      </w:r>
      <w:r>
        <w:rPr>
          <w:rFonts w:ascii="Times New Roman" w:hAnsi="Times New Roman"/>
        </w:rPr>
        <w:t xml:space="preserve">, ņemot vērā, ka ES Revīzijas palāta ir nopietni kritizējusi TEN-T īstenošanu, norādot uz problēmām pārrobežu savienojumu īstenošanā, uz nepietiekamu koordināciju starp dalībvalstīm un vispārējām pamatnostādņu problēmām; </w:t>
      </w:r>
    </w:p>
    <w:p w14:paraId="07873055" w14:textId="6E85A367" w:rsidR="00022748" w:rsidRPr="006255E2" w:rsidRDefault="00022748" w:rsidP="00A132AE">
      <w:pPr>
        <w:numPr>
          <w:ilvl w:val="0"/>
          <w:numId w:val="1"/>
        </w:numPr>
        <w:tabs>
          <w:tab w:val="clear" w:pos="360"/>
        </w:tabs>
        <w:spacing w:after="0" w:line="288" w:lineRule="auto"/>
        <w:jc w:val="both"/>
        <w:rPr>
          <w:rFonts w:ascii="Times New Roman" w:hAnsi="Times New Roman"/>
        </w:rPr>
      </w:pPr>
      <w:r>
        <w:rPr>
          <w:rFonts w:ascii="Times New Roman" w:hAnsi="Times New Roman"/>
          <w:i/>
        </w:rPr>
        <w:t>Iniciatīva “Dzelzceļa koridori”</w:t>
      </w:r>
      <w:r>
        <w:rPr>
          <w:rFonts w:ascii="Times New Roman" w:hAnsi="Times New Roman"/>
        </w:rPr>
        <w:t xml:space="preserve"> attiecas uz būtisko jautājumu par dzelzceļa kravu pārvadājumu efektivitāti, kas ietekmē arī multimodalitātes perspektīvas un ir ļoti aktuāls, ņemot vērā skaidro saikni ar </w:t>
      </w:r>
      <w:r>
        <w:rPr>
          <w:rFonts w:ascii="Times New Roman" w:hAnsi="Times New Roman"/>
          <w:i/>
        </w:rPr>
        <w:t>Eiropas Dzelzceļa gadu (2021)</w:t>
      </w:r>
      <w:r>
        <w:rPr>
          <w:rFonts w:ascii="Times New Roman" w:hAnsi="Times New Roman"/>
        </w:rPr>
        <w:t xml:space="preserve">. </w:t>
      </w:r>
    </w:p>
    <w:p w14:paraId="6855F2DC" w14:textId="77777777" w:rsidR="00022748" w:rsidRPr="006255E2" w:rsidRDefault="00022748">
      <w:pPr>
        <w:spacing w:after="0" w:line="288" w:lineRule="auto"/>
        <w:ind w:left="567" w:hanging="567"/>
        <w:jc w:val="both"/>
        <w:rPr>
          <w:rFonts w:ascii="Times New Roman" w:hAnsi="Times New Roman"/>
        </w:rPr>
      </w:pPr>
    </w:p>
    <w:p w14:paraId="4452D4C9" w14:textId="380F0C57" w:rsidR="00022748" w:rsidRPr="006255E2" w:rsidRDefault="00022748">
      <w:pPr>
        <w:spacing w:after="0" w:line="288" w:lineRule="auto"/>
        <w:jc w:val="both"/>
        <w:rPr>
          <w:rFonts w:ascii="Times New Roman" w:eastAsia="Times New Roman" w:hAnsi="Times New Roman"/>
        </w:rPr>
      </w:pPr>
      <w:r>
        <w:rPr>
          <w:rFonts w:ascii="Times New Roman" w:hAnsi="Times New Roman"/>
        </w:rPr>
        <w:t>Būtu jāpievērš uzmanība arī tam, ka Padome ir prasījusi Eiropas Komisijai nākt klajā ar priekšlikumu par ārkārtas rīcības plānu Eiropas kravu pārvadājumu nozarē pandēmijas vai citu ievērojamu krīžu situācijā.</w:t>
      </w:r>
    </w:p>
    <w:p w14:paraId="38BA0E51" w14:textId="77777777" w:rsidR="00022748" w:rsidRPr="006255E2" w:rsidRDefault="00022748">
      <w:pPr>
        <w:spacing w:after="0" w:line="288" w:lineRule="auto"/>
        <w:jc w:val="both"/>
        <w:rPr>
          <w:rFonts w:ascii="Times New Roman" w:eastAsia="Times New Roman" w:hAnsi="Times New Roman"/>
        </w:rPr>
      </w:pPr>
    </w:p>
    <w:p w14:paraId="54C41776" w14:textId="28EB18DD" w:rsidR="00022748" w:rsidRPr="006255E2" w:rsidRDefault="00022748">
      <w:pPr>
        <w:spacing w:after="0" w:line="288" w:lineRule="auto"/>
        <w:jc w:val="both"/>
        <w:rPr>
          <w:rFonts w:ascii="Times New Roman" w:eastAsia="Times New Roman" w:hAnsi="Times New Roman"/>
        </w:rPr>
      </w:pPr>
      <w:r>
        <w:rPr>
          <w:rFonts w:ascii="Times New Roman" w:hAnsi="Times New Roman"/>
        </w:rPr>
        <w:t>TIG-T centīsies pilnveidot sadarbību ar citām institūcijām, proti, ES Padomes prezidentūru, Eiropas Komisiju (MOVE ĢD), Eiropas Parlamentu (TRAN komiteja) un Reģionu komiteju.</w:t>
      </w:r>
    </w:p>
    <w:p w14:paraId="76CC4748" w14:textId="77777777" w:rsidR="000B292A" w:rsidRPr="006255E2" w:rsidRDefault="000B292A">
      <w:pPr>
        <w:spacing w:after="0" w:line="288" w:lineRule="auto"/>
        <w:jc w:val="both"/>
        <w:rPr>
          <w:rFonts w:ascii="Times New Roman" w:eastAsia="Times New Roman" w:hAnsi="Times New Roman"/>
          <w:bCs/>
        </w:rPr>
      </w:pPr>
    </w:p>
    <w:p w14:paraId="15D798F5" w14:textId="3D15EB7B" w:rsidR="00022748" w:rsidRPr="006255E2" w:rsidRDefault="00022748">
      <w:pPr>
        <w:keepNext/>
        <w:spacing w:after="0" w:line="288" w:lineRule="auto"/>
        <w:jc w:val="both"/>
        <w:rPr>
          <w:rFonts w:ascii="Times New Roman" w:eastAsia="Times New Roman" w:hAnsi="Times New Roman"/>
          <w:b/>
          <w:bCs/>
        </w:rPr>
      </w:pPr>
      <w:r>
        <w:rPr>
          <w:rFonts w:ascii="Times New Roman" w:hAnsi="Times New Roman"/>
          <w:b/>
          <w:bCs/>
        </w:rPr>
        <w:t>VISPĀRĒJAS NOZĪMES PAKALPOJUMI</w:t>
      </w:r>
    </w:p>
    <w:p w14:paraId="1DA0ECAD" w14:textId="77777777" w:rsidR="000E55DA" w:rsidRPr="006255E2" w:rsidRDefault="000E55DA">
      <w:pPr>
        <w:keepNext/>
        <w:spacing w:after="0" w:line="288" w:lineRule="auto"/>
        <w:jc w:val="both"/>
        <w:rPr>
          <w:rFonts w:ascii="Times New Roman" w:eastAsia="Times New Roman" w:hAnsi="Times New Roman"/>
          <w:b/>
        </w:rPr>
      </w:pPr>
    </w:p>
    <w:p w14:paraId="0E3878BC" w14:textId="3E1DF85E" w:rsidR="00B52852" w:rsidRPr="006255E2" w:rsidRDefault="00ED28D5">
      <w:pPr>
        <w:spacing w:after="0" w:line="288" w:lineRule="auto"/>
        <w:jc w:val="both"/>
        <w:rPr>
          <w:rFonts w:ascii="Times New Roman" w:eastAsia="Times New Roman" w:hAnsi="Times New Roman"/>
          <w:bCs/>
        </w:rPr>
      </w:pPr>
      <w:r>
        <w:rPr>
          <w:rFonts w:ascii="Times New Roman" w:hAnsi="Times New Roman"/>
          <w:bCs/>
        </w:rPr>
        <w:t>TEN specializētā nodaļa turpinās darbu, lai sabiedrību pārveidotu, pamatojoties uz vispārējas nozīmes pakalpojumu (VNP) sniegtajiem ieguvumiem. Lai gan 2020. gada beigās joprojām ir grūti novērtēt Covid-19 pandēmijas ietekmi uz katru dzīves jomu, krīze ir atklājusi nepieciešamību nodrošināt efektīvus vispārējas nozīmes pakalpojumus (VNP) un vispārējas tautsaimnieciskas nozīmes pakalpojumus (VTNP).</w:t>
      </w:r>
    </w:p>
    <w:p w14:paraId="6A4466A4" w14:textId="77777777" w:rsidR="00D400AC" w:rsidRPr="006255E2" w:rsidRDefault="00D400AC">
      <w:pPr>
        <w:spacing w:after="0" w:line="288" w:lineRule="auto"/>
        <w:jc w:val="both"/>
        <w:rPr>
          <w:rFonts w:ascii="Times New Roman" w:eastAsia="Times New Roman" w:hAnsi="Times New Roman"/>
          <w:bCs/>
        </w:rPr>
      </w:pPr>
    </w:p>
    <w:p w14:paraId="277C7A06" w14:textId="1ECE0A2A" w:rsidR="00B52852" w:rsidRPr="006255E2" w:rsidRDefault="00B52852">
      <w:pPr>
        <w:spacing w:after="0" w:line="288" w:lineRule="auto"/>
        <w:jc w:val="both"/>
        <w:rPr>
          <w:rFonts w:ascii="Times New Roman" w:eastAsia="Times New Roman" w:hAnsi="Times New Roman"/>
          <w:bCs/>
        </w:rPr>
      </w:pPr>
      <w:r>
        <w:rPr>
          <w:rFonts w:ascii="Times New Roman" w:hAnsi="Times New Roman"/>
          <w:bCs/>
        </w:rPr>
        <w:t>Lai novērstu iespējamās tirgus nepilnības vispārējas tautsaimnieciskas nozīmes pakalpojumu jomā, Līgumam par Eiropas Savienības darbību (LESD) pievienotajā 26. protokolā par sabiedriskajiem pakalpojumiem ir noteikts, ka dalībvalstis gādā par to, lai tiktu nodrošināts “augsts kvalitātes, drošības un pieejamības līmenis, vienlīdzīga attieksme un vispārējas piekļuves un patērētāju tiesību veicināšana”. Tomēr dažās dalībvalstīs vairāki vispārējas tautsaimnieciskas nozīmes pakalpojumi neatbilst vai daļēji neatbilst Protokolā noteiktajiem kritērijiem.</w:t>
      </w:r>
    </w:p>
    <w:p w14:paraId="6D61F4B8" w14:textId="77777777" w:rsidR="00B52852" w:rsidRPr="006255E2" w:rsidRDefault="00B52852">
      <w:pPr>
        <w:spacing w:after="0" w:line="288" w:lineRule="auto"/>
        <w:jc w:val="both"/>
        <w:rPr>
          <w:rFonts w:ascii="Times New Roman" w:eastAsia="Times New Roman" w:hAnsi="Times New Roman"/>
          <w:bCs/>
        </w:rPr>
      </w:pPr>
    </w:p>
    <w:p w14:paraId="61F62E0E" w14:textId="77777777" w:rsidR="00B52852" w:rsidRPr="006255E2" w:rsidRDefault="00B52852" w:rsidP="00A132AE">
      <w:pPr>
        <w:keepNext/>
        <w:spacing w:after="0" w:line="288" w:lineRule="auto"/>
        <w:jc w:val="both"/>
        <w:rPr>
          <w:rFonts w:ascii="Times New Roman" w:eastAsia="Times New Roman" w:hAnsi="Times New Roman"/>
          <w:bCs/>
        </w:rPr>
      </w:pPr>
      <w:r>
        <w:rPr>
          <w:rFonts w:ascii="Times New Roman" w:hAnsi="Times New Roman"/>
          <w:bCs/>
        </w:rPr>
        <w:t>Lai visiem nodrošinātu kvalitatīvu un mūsdienīgu piekļuvi, būs nepieciešams:</w:t>
      </w:r>
    </w:p>
    <w:p w14:paraId="3C51A8A0" w14:textId="77777777" w:rsidR="00B52852" w:rsidRPr="006255E2" w:rsidRDefault="00B52852" w:rsidP="00A132AE">
      <w:pPr>
        <w:keepNext/>
        <w:spacing w:after="0" w:line="288" w:lineRule="auto"/>
        <w:jc w:val="both"/>
        <w:rPr>
          <w:rFonts w:ascii="Times New Roman" w:eastAsia="Times New Roman" w:hAnsi="Times New Roman"/>
          <w:bCs/>
        </w:rPr>
      </w:pPr>
    </w:p>
    <w:p w14:paraId="23BEDE4A" w14:textId="77777777" w:rsidR="00B52852" w:rsidRPr="006255E2" w:rsidRDefault="00B52852" w:rsidP="00A132AE">
      <w:pPr>
        <w:numPr>
          <w:ilvl w:val="0"/>
          <w:numId w:val="1"/>
        </w:numPr>
        <w:tabs>
          <w:tab w:val="clear" w:pos="360"/>
        </w:tabs>
        <w:spacing w:after="0" w:line="288" w:lineRule="auto"/>
        <w:jc w:val="both"/>
        <w:rPr>
          <w:rFonts w:ascii="Times New Roman" w:eastAsia="Times New Roman" w:hAnsi="Times New Roman"/>
          <w:bCs/>
        </w:rPr>
      </w:pPr>
      <w:r>
        <w:rPr>
          <w:rFonts w:ascii="Times New Roman" w:hAnsi="Times New Roman"/>
          <w:bCs/>
        </w:rPr>
        <w:t>pārskatīt Eiropas līmenī pieņemtos universālo pakalpojumu pienākumus un tos pielāgot tehnoloģiskajai un sociālajai attīstībai;</w:t>
      </w:r>
    </w:p>
    <w:p w14:paraId="6C628064" w14:textId="77777777" w:rsidR="00B52852" w:rsidRPr="006255E2" w:rsidRDefault="00B52852" w:rsidP="00A132AE">
      <w:pPr>
        <w:numPr>
          <w:ilvl w:val="0"/>
          <w:numId w:val="1"/>
        </w:numPr>
        <w:tabs>
          <w:tab w:val="clear" w:pos="360"/>
        </w:tabs>
        <w:spacing w:after="0" w:line="288" w:lineRule="auto"/>
        <w:jc w:val="both"/>
        <w:rPr>
          <w:rFonts w:ascii="Times New Roman" w:eastAsia="Times New Roman" w:hAnsi="Times New Roman"/>
          <w:bCs/>
        </w:rPr>
      </w:pPr>
      <w:r>
        <w:rPr>
          <w:rFonts w:ascii="Times New Roman" w:hAnsi="Times New Roman"/>
          <w:bCs/>
        </w:rPr>
        <w:t>pārskatīt dažādo vispārējas tautsaimnieciskas nozīmes pakalpojumu kvalitātes standartus, kas noteikti Eiropā;</w:t>
      </w:r>
    </w:p>
    <w:p w14:paraId="19E46F6C" w14:textId="77777777" w:rsidR="00B52852" w:rsidRPr="006255E2" w:rsidRDefault="00B52852" w:rsidP="00A132AE">
      <w:pPr>
        <w:numPr>
          <w:ilvl w:val="0"/>
          <w:numId w:val="1"/>
        </w:numPr>
        <w:tabs>
          <w:tab w:val="clear" w:pos="360"/>
        </w:tabs>
        <w:spacing w:after="0" w:line="288" w:lineRule="auto"/>
        <w:jc w:val="both"/>
        <w:rPr>
          <w:rFonts w:ascii="Times New Roman" w:eastAsia="Times New Roman" w:hAnsi="Times New Roman"/>
          <w:bCs/>
        </w:rPr>
      </w:pPr>
      <w:r>
        <w:rPr>
          <w:rFonts w:ascii="Times New Roman" w:hAnsi="Times New Roman"/>
          <w:bCs/>
        </w:rPr>
        <w:t>prasīt dalībvalstīm noteikt universālas piekļuves rādītājus katram vispārējas tautsaimnieciskas nozīmes pakalpojumam (piekļuves punktu blīvums un maksimālais attālums starp tiem, pakalpojuma regularitāte u. tml.);</w:t>
      </w:r>
    </w:p>
    <w:p w14:paraId="6B9335B5" w14:textId="77777777" w:rsidR="00B52852" w:rsidRPr="006255E2" w:rsidRDefault="00B52852" w:rsidP="00A132AE">
      <w:pPr>
        <w:numPr>
          <w:ilvl w:val="0"/>
          <w:numId w:val="1"/>
        </w:numPr>
        <w:tabs>
          <w:tab w:val="clear" w:pos="360"/>
        </w:tabs>
        <w:spacing w:after="0" w:line="288" w:lineRule="auto"/>
        <w:jc w:val="both"/>
        <w:rPr>
          <w:rFonts w:ascii="Times New Roman" w:eastAsia="Times New Roman" w:hAnsi="Times New Roman"/>
          <w:bCs/>
        </w:rPr>
      </w:pPr>
      <w:r>
        <w:rPr>
          <w:rFonts w:ascii="Times New Roman" w:hAnsi="Times New Roman"/>
          <w:bCs/>
        </w:rPr>
        <w:t>precizēt pieejamu cenu jēdzienu, lai nodrošinātu vispārējas tautsaimnieciskas nozīmes pakalpojumu finansiālo pieejamību;</w:t>
      </w:r>
    </w:p>
    <w:p w14:paraId="098058CB" w14:textId="77777777" w:rsidR="00B52852" w:rsidRPr="006255E2" w:rsidRDefault="00B52852" w:rsidP="00A132AE">
      <w:pPr>
        <w:numPr>
          <w:ilvl w:val="0"/>
          <w:numId w:val="1"/>
        </w:numPr>
        <w:tabs>
          <w:tab w:val="clear" w:pos="360"/>
        </w:tabs>
        <w:spacing w:after="0" w:line="288" w:lineRule="auto"/>
        <w:jc w:val="both"/>
        <w:rPr>
          <w:rFonts w:ascii="Times New Roman" w:eastAsia="Times New Roman" w:hAnsi="Times New Roman"/>
          <w:bCs/>
        </w:rPr>
      </w:pPr>
      <w:r>
        <w:rPr>
          <w:rFonts w:ascii="Times New Roman" w:hAnsi="Times New Roman"/>
          <w:bCs/>
        </w:rPr>
        <w:lastRenderedPageBreak/>
        <w:t>izstrādāt Kopienas metodoloģiju, lai izvērtētu vispārējas tautsaimnieciskas nozīmes pakalpojumu rezultātus.</w:t>
      </w:r>
    </w:p>
    <w:p w14:paraId="1BDB16ED" w14:textId="77777777" w:rsidR="00B52852" w:rsidRPr="006255E2" w:rsidRDefault="00B52852">
      <w:pPr>
        <w:spacing w:after="0" w:line="288" w:lineRule="auto"/>
        <w:jc w:val="both"/>
        <w:rPr>
          <w:rFonts w:ascii="Times New Roman" w:eastAsia="Times New Roman" w:hAnsi="Times New Roman"/>
          <w:bCs/>
        </w:rPr>
      </w:pPr>
    </w:p>
    <w:p w14:paraId="3F0B37E6" w14:textId="79947EED" w:rsidR="00022748" w:rsidRPr="006255E2" w:rsidRDefault="00844EC0">
      <w:pPr>
        <w:spacing w:after="0" w:line="288" w:lineRule="auto"/>
        <w:jc w:val="both"/>
        <w:rPr>
          <w:rFonts w:ascii="Times New Roman" w:eastAsia="Times New Roman" w:hAnsi="Times New Roman"/>
          <w:bCs/>
        </w:rPr>
      </w:pPr>
      <w:r>
        <w:rPr>
          <w:rFonts w:ascii="Times New Roman" w:hAnsi="Times New Roman"/>
          <w:bCs/>
        </w:rPr>
        <w:t xml:space="preserve">Covid-19 krīze ir parādījusi, ka ir steidzami vajadzīgi vispārējas nozīmes pakalpojumi, kas atbilst 26. protokolā izklāstītajiem kritērijiem, jo īpaši tiem, kas noteikti Eiropas sociālo tiesību pīlārā (ESTP), piemēram, veselības un sociālās aprūpes pakalpojumi, digitālie sakari, transports, enerģētika, finanšu pakalpojumi, ūdensapgāde, sanitārija un atkritumu savākšana. </w:t>
      </w:r>
      <w:r>
        <w:rPr>
          <w:rFonts w:ascii="Times New Roman" w:hAnsi="Times New Roman"/>
        </w:rPr>
        <w:t>Saskaņā ar gaidāmo Portugāles prezidentūru, kura ESTP īstenošanu uzskata par vienu no savām prioritātēm, TEN specializētā nodaļa turpinās savu darbu saistībā ar ESTP, jo īpaši attiecībā uz kvalitatīvas palīdzības sniegšanu mājokļa jautājumos tiem, kuriem tāda palīdzība ir vajadzīga, un attiecībā uz tiesībām piekļūt kvalitatīviem pamatpakalpojumiem. Zaļā kursa plāns attiecībā uz būvniecību un Eiropas sociālo tiesību pīlārs būtu jāizmanto kā iespēja piešķirt konkrētu un skaidru formu ES mājokļu politikai, pienācīgi ņemot vērā dalībvalstu politiku un praksi.</w:t>
      </w:r>
    </w:p>
    <w:p w14:paraId="2C6C3611" w14:textId="77777777" w:rsidR="00ED28D5" w:rsidRPr="006255E2" w:rsidRDefault="00ED28D5">
      <w:pPr>
        <w:spacing w:after="0" w:line="288" w:lineRule="auto"/>
        <w:jc w:val="both"/>
        <w:rPr>
          <w:rFonts w:ascii="Times New Roman" w:eastAsia="Times New Roman" w:hAnsi="Times New Roman"/>
        </w:rPr>
      </w:pPr>
    </w:p>
    <w:p w14:paraId="4E62F6E7" w14:textId="59304E11" w:rsidR="00022748" w:rsidRPr="006255E2" w:rsidRDefault="00022748">
      <w:pPr>
        <w:spacing w:after="0" w:line="288" w:lineRule="auto"/>
        <w:jc w:val="both"/>
        <w:rPr>
          <w:rFonts w:ascii="Times New Roman" w:eastAsia="Times New Roman" w:hAnsi="Times New Roman"/>
          <w:bCs/>
        </w:rPr>
      </w:pPr>
      <w:r>
        <w:rPr>
          <w:rFonts w:ascii="Times New Roman" w:hAnsi="Times New Roman"/>
          <w:bCs/>
        </w:rPr>
        <w:t xml:space="preserve">Pēc pašiniciatīvas atzinuma </w:t>
      </w:r>
      <w:r>
        <w:rPr>
          <w:rFonts w:ascii="Times New Roman" w:hAnsi="Times New Roman"/>
          <w:bCs/>
          <w:i/>
        </w:rPr>
        <w:t>Universāla piekļuve pienācīgam un ilgtspējīgam mājoklim par ilgtermiņā pieņemamu cenu</w:t>
      </w:r>
      <w:r>
        <w:rPr>
          <w:rFonts w:ascii="Times New Roman" w:hAnsi="Times New Roman"/>
          <w:bCs/>
        </w:rPr>
        <w:t xml:space="preserve"> (TEN/707) pieņemšanas un šim tematam veltītā veiksmīgā tīmekļsemināra, kas notika 2020. gada septembrī, TEN specializētā nodaļa pievērsīsies Komisijas jaunajai stratēģijai, kuras mērķis ir veicināt gan publisko, gan privāto ēku renovāciju. EK paziņojumā </w:t>
      </w:r>
      <w:r>
        <w:rPr>
          <w:rFonts w:ascii="Times New Roman" w:hAnsi="Times New Roman"/>
          <w:bCs/>
          <w:i/>
        </w:rPr>
        <w:t>Eiropas Renovācijas vilnis — par zaļākām ēkām, jaunām darbvietām un labāku dzīvi</w:t>
      </w:r>
      <w:r>
        <w:rPr>
          <w:rFonts w:ascii="Times New Roman" w:hAnsi="Times New Roman"/>
          <w:bCs/>
        </w:rPr>
        <w:t xml:space="preserve"> (TEN/723) ir ierosināta ES līmeņa starpnozaru partnerība sociālo un izmaksu ziņā pieejamu mājokļu jomā jeb tā dēvētā </w:t>
      </w:r>
      <w:r>
        <w:rPr>
          <w:rFonts w:ascii="Times New Roman" w:hAnsi="Times New Roman"/>
          <w:bCs/>
          <w:i/>
        </w:rPr>
        <w:t>Izmaksu ziņā pieejamu mājokļu iniciatīva</w:t>
      </w:r>
      <w:r>
        <w:rPr>
          <w:rFonts w:ascii="Times New Roman" w:hAnsi="Times New Roman"/>
          <w:bCs/>
        </w:rPr>
        <w:t xml:space="preserve">, lai nodrošinātu, ka vietējo renovācijas projektu vajadzībām ir pieejamas visas nepieciešamās tehniskās iespējas un ES fondi. </w:t>
      </w:r>
      <w:r>
        <w:rPr>
          <w:rFonts w:ascii="Times New Roman" w:hAnsi="Times New Roman"/>
        </w:rPr>
        <w:t xml:space="preserve">Šajā saistībā TEN specializētā nodaļa savā sanāksmē, kas notiks februārī, organizēs apaļā galda diskusiju, lai apspriestu </w:t>
      </w:r>
      <w:r>
        <w:rPr>
          <w:rFonts w:ascii="Times New Roman" w:hAnsi="Times New Roman"/>
          <w:i/>
        </w:rPr>
        <w:t>Renovācijas viļņa iniciatīvu</w:t>
      </w:r>
      <w:r>
        <w:rPr>
          <w:rFonts w:ascii="Times New Roman" w:hAnsi="Times New Roman"/>
        </w:rPr>
        <w:t>, kas pavērs vairākas iespējas un radīs tālejošus ieguvumus sociālajā, vides un ekonomikas jomā.</w:t>
      </w:r>
      <w:r>
        <w:rPr>
          <w:rFonts w:ascii="Times New Roman" w:hAnsi="Times New Roman"/>
          <w:bCs/>
        </w:rPr>
        <w:t xml:space="preserve"> EK 18. janvārī sāka izstrādāt iniciatīvu “Jauns Eiropas </w:t>
      </w:r>
      <w:r>
        <w:rPr>
          <w:rFonts w:ascii="Times New Roman" w:hAnsi="Times New Roman"/>
          <w:bCs/>
          <w:i/>
          <w:iCs/>
        </w:rPr>
        <w:t>Bauhaus</w:t>
      </w:r>
      <w:r>
        <w:rPr>
          <w:rFonts w:ascii="Times New Roman" w:hAnsi="Times New Roman"/>
          <w:bCs/>
        </w:rPr>
        <w:t xml:space="preserve">”, kuru savā 2020. gada runā par stāvokli Savienībā minēja Eiropas Komisijas priekšsēdētāja Urzula fon der Leiena. TEN specializētā nodaļa savā darbā integrēs šo vides, ekonomikas un kultūras projektu, kura mērķis ir apvienot dizainu, ilgtspēju, piekļuvi, pieejamību cenas ziņā un ieguldījumus saistībā ar Eiropas zaļā kursa īstenošanu. TEN specializētā nodaļa arī veiks pētījumu par </w:t>
      </w:r>
      <w:r>
        <w:rPr>
          <w:rFonts w:ascii="Times New Roman" w:hAnsi="Times New Roman"/>
          <w:bCs/>
          <w:i/>
        </w:rPr>
        <w:t>minimālajiem energoefektivitātes standartiem (MEPS) dzīvojamo ēku sektorā</w:t>
      </w:r>
      <w:r>
        <w:rPr>
          <w:rFonts w:ascii="Times New Roman" w:hAnsi="Times New Roman"/>
          <w:bCs/>
        </w:rPr>
        <w:t xml:space="preserve">, lai </w:t>
      </w:r>
      <w:r>
        <w:rPr>
          <w:rFonts w:ascii="Times New Roman" w:hAnsi="Times New Roman"/>
          <w:bCs/>
          <w:iCs/>
        </w:rPr>
        <w:t>izvērtētu minimālo energoefektivitātes standartu piemērošanu dažādiem ēku veidiem, galveno uzmanību vēršot uz dzīvojamo ēku sektoru un uz ietekmi, kas radīta patērētājiem enerģētiskās nabadzības un neaizsargātības situācijā.</w:t>
      </w:r>
      <w:r>
        <w:rPr>
          <w:rFonts w:ascii="Times New Roman" w:hAnsi="Times New Roman"/>
          <w:bCs/>
        </w:rPr>
        <w:t xml:space="preserve"> Turpinot darbu atbilstīgi </w:t>
      </w:r>
      <w:r>
        <w:rPr>
          <w:rFonts w:ascii="Times New Roman" w:hAnsi="Times New Roman"/>
          <w:bCs/>
          <w:i/>
        </w:rPr>
        <w:t>Renovācijas viļņa iniciatīvai</w:t>
      </w:r>
      <w:r>
        <w:rPr>
          <w:rFonts w:ascii="Times New Roman" w:hAnsi="Times New Roman"/>
          <w:bCs/>
        </w:rPr>
        <w:t xml:space="preserve"> būvniecības nozarē, EK 2021. gadā pārskatīs </w:t>
      </w:r>
      <w:r>
        <w:rPr>
          <w:rFonts w:ascii="Times New Roman" w:hAnsi="Times New Roman"/>
          <w:bCs/>
          <w:i/>
        </w:rPr>
        <w:t>Ēku energoefektivitātes direktīvu</w:t>
      </w:r>
      <w:r>
        <w:rPr>
          <w:rFonts w:ascii="Times New Roman" w:hAnsi="Times New Roman"/>
          <w:bCs/>
        </w:rPr>
        <w:t xml:space="preserve">, tostarp ietekmes novērtējumu, kas 2021. gadā būs nozīmīga tēma TEN specializētās nodaļas darbā. </w:t>
      </w:r>
    </w:p>
    <w:p w14:paraId="6F3484DA" w14:textId="77777777" w:rsidR="00722DA3" w:rsidRPr="006255E2" w:rsidRDefault="00722DA3">
      <w:pPr>
        <w:spacing w:after="0" w:line="288" w:lineRule="auto"/>
        <w:jc w:val="both"/>
        <w:rPr>
          <w:rFonts w:ascii="Times New Roman" w:eastAsia="Times New Roman" w:hAnsi="Times New Roman"/>
          <w:bCs/>
          <w:iCs/>
          <w:color w:val="000000"/>
        </w:rPr>
      </w:pPr>
    </w:p>
    <w:p w14:paraId="5E835A87" w14:textId="2D2FB74C" w:rsidR="00D400AC" w:rsidRPr="006255E2" w:rsidRDefault="00D400AC">
      <w:pPr>
        <w:spacing w:after="0" w:line="288" w:lineRule="auto"/>
        <w:jc w:val="both"/>
        <w:rPr>
          <w:rFonts w:ascii="Times New Roman" w:eastAsia="Times New Roman" w:hAnsi="Times New Roman"/>
          <w:bCs/>
        </w:rPr>
      </w:pPr>
      <w:r>
        <w:rPr>
          <w:rFonts w:ascii="Times New Roman" w:hAnsi="Times New Roman"/>
          <w:bCs/>
          <w:iCs/>
          <w:color w:val="000000"/>
        </w:rPr>
        <w:t>Ņemot vērā minētos atzinumus un projektus, kas saistīti ar cenas ziņā pieejamiem mājokļiem un Renovācijas viļņa stratēģiju, TEN specializētā nodaļa sadarbībā ar citām specializētajām nodaļām (SOC u. c.) plāno otrajā pusgadā organizēt pasākumu, kurā piedalīsies amatpersonas un augsta līmeņa ieinteresētās personas no ekonomikas, sociālajām, patērētāju un pilsoņu organizācijām.</w:t>
      </w:r>
    </w:p>
    <w:p w14:paraId="13438F34" w14:textId="77777777" w:rsidR="008F78AD" w:rsidRPr="006255E2" w:rsidRDefault="008F78AD">
      <w:pPr>
        <w:spacing w:after="0" w:line="288" w:lineRule="auto"/>
        <w:jc w:val="both"/>
        <w:rPr>
          <w:rFonts w:ascii="Times New Roman" w:eastAsia="Times New Roman" w:hAnsi="Times New Roman"/>
          <w:bCs/>
        </w:rPr>
      </w:pPr>
    </w:p>
    <w:p w14:paraId="45A6D5C2" w14:textId="45C610E7" w:rsidR="00022748" w:rsidRPr="006255E2" w:rsidRDefault="00022748">
      <w:pPr>
        <w:spacing w:after="0" w:line="288" w:lineRule="auto"/>
        <w:jc w:val="both"/>
        <w:rPr>
          <w:rFonts w:ascii="Times New Roman" w:eastAsia="Times New Roman" w:hAnsi="Times New Roman"/>
          <w:bCs/>
        </w:rPr>
      </w:pPr>
      <w:r>
        <w:rPr>
          <w:rFonts w:ascii="Times New Roman" w:hAnsi="Times New Roman"/>
          <w:bCs/>
        </w:rPr>
        <w:t xml:space="preserve">No </w:t>
      </w:r>
      <w:r>
        <w:rPr>
          <w:rFonts w:ascii="Times New Roman" w:hAnsi="Times New Roman"/>
          <w:bCs/>
          <w:i/>
          <w:iCs/>
        </w:rPr>
        <w:t>REFIT</w:t>
      </w:r>
      <w:r>
        <w:rPr>
          <w:rFonts w:ascii="Times New Roman" w:hAnsi="Times New Roman"/>
          <w:bCs/>
        </w:rPr>
        <w:t xml:space="preserve"> iniciatīvām EK ir iecerējusi izvērtēt noteikumus par valsts atbalstu vispārējas tautsaimnieciskas nozīmes pakalpojumiem veselības un sociālās aprūpes jomā. TEN specializētā nodaļa rūpīgi sekos līdzi šim izvērtējumam, kura mērķis ir pārliecināties, cik lielā mērā noteikumi par vispārējas tautsaimnieciskas nozīmes veselības aprūpes un sociālajiem pakalpojumiem ir sasnieguši 2012. gada VTNP dokumentu kopumā paredzētos mērķus. </w:t>
      </w:r>
    </w:p>
    <w:p w14:paraId="249893A2" w14:textId="77777777" w:rsidR="008F78AD" w:rsidRPr="006255E2" w:rsidRDefault="008F78AD">
      <w:pPr>
        <w:spacing w:after="0" w:line="288" w:lineRule="auto"/>
        <w:jc w:val="both"/>
        <w:rPr>
          <w:rFonts w:ascii="Times New Roman" w:eastAsia="Times New Roman" w:hAnsi="Times New Roman"/>
          <w:bCs/>
        </w:rPr>
      </w:pPr>
    </w:p>
    <w:p w14:paraId="2C634526" w14:textId="595BD98A" w:rsidR="00E22022" w:rsidRPr="006255E2" w:rsidRDefault="00E22022">
      <w:pPr>
        <w:spacing w:after="0" w:line="288" w:lineRule="auto"/>
        <w:jc w:val="both"/>
        <w:rPr>
          <w:rFonts w:ascii="Times New Roman" w:eastAsia="Times New Roman" w:hAnsi="Times New Roman"/>
          <w:bCs/>
        </w:rPr>
      </w:pPr>
      <w:r>
        <w:rPr>
          <w:rFonts w:ascii="Times New Roman" w:hAnsi="Times New Roman"/>
        </w:rPr>
        <w:lastRenderedPageBreak/>
        <w:t xml:space="preserve">TEN specializētā nodaļa cieši sekos gaidāmajam EK ceļvedim attiecībā uz savienojamību, prasmēm un digitālajiem sabiedriskajiem pakalpojumiem; ceļvedī tiks noteikti skaidri mērķi 2030. gadam saistībā ar neleģislatīvu iniciatīvu </w:t>
      </w:r>
      <w:r>
        <w:rPr>
          <w:rFonts w:ascii="Times New Roman" w:hAnsi="Times New Roman"/>
          <w:i/>
        </w:rPr>
        <w:t>Eiropas digitālā desmitgade — digitālie mērķrādītāji 2030. gadam</w:t>
      </w:r>
      <w:r>
        <w:rPr>
          <w:rFonts w:ascii="Times New Roman" w:hAnsi="Times New Roman"/>
        </w:rPr>
        <w:t>.</w:t>
      </w:r>
    </w:p>
    <w:p w14:paraId="77609C31" w14:textId="77777777" w:rsidR="000877C3" w:rsidRPr="006255E2" w:rsidRDefault="000877C3">
      <w:pPr>
        <w:spacing w:after="0" w:line="288" w:lineRule="auto"/>
        <w:jc w:val="both"/>
        <w:rPr>
          <w:rFonts w:ascii="Times New Roman" w:eastAsia="Times New Roman" w:hAnsi="Times New Roman"/>
          <w:bCs/>
        </w:rPr>
      </w:pPr>
    </w:p>
    <w:p w14:paraId="5054F863" w14:textId="62A502B7" w:rsidR="00022748" w:rsidRPr="006255E2" w:rsidRDefault="00022748">
      <w:pPr>
        <w:spacing w:after="0" w:line="288" w:lineRule="auto"/>
        <w:jc w:val="both"/>
        <w:rPr>
          <w:rFonts w:ascii="Times New Roman" w:eastAsia="Times New Roman" w:hAnsi="Times New Roman"/>
          <w:bCs/>
        </w:rPr>
      </w:pPr>
      <w:r>
        <w:rPr>
          <w:rFonts w:ascii="Times New Roman" w:hAnsi="Times New Roman"/>
          <w:b/>
          <w:bCs/>
        </w:rPr>
        <w:t>Tematiskā izpētes grupa vispārējas nozīmes pakalpojumu jomā</w:t>
      </w:r>
      <w:r>
        <w:rPr>
          <w:rFonts w:ascii="Times New Roman" w:hAnsi="Times New Roman"/>
          <w:bCs/>
        </w:rPr>
        <w:t xml:space="preserve"> (TSG-SGI) arī turpmāk mudinās attiecīgās Eiropas un valstu iestādes garantēt tiesības uz piekļuvi augsti kvalitatīviem pakalpojumiem ilgtspējīgas attīstības un sociālās kohēzijas kontekstā saskaņā ar TSG-SGI 2020.–2023. gada darba programmas motīvu “Vispārējas nozīmes pakalpojumi, kas palīdz cilvēkiem”.</w:t>
      </w:r>
    </w:p>
    <w:p w14:paraId="6F66063C" w14:textId="77777777" w:rsidR="008F78AD" w:rsidRPr="006255E2" w:rsidRDefault="008F78AD">
      <w:pPr>
        <w:spacing w:after="0" w:line="288" w:lineRule="auto"/>
        <w:jc w:val="both"/>
        <w:rPr>
          <w:rFonts w:ascii="Times New Roman" w:eastAsia="Times New Roman" w:hAnsi="Times New Roman"/>
          <w:bCs/>
        </w:rPr>
      </w:pPr>
    </w:p>
    <w:p w14:paraId="66C9E014" w14:textId="6EF11FFB" w:rsidR="00022748" w:rsidRPr="006255E2" w:rsidRDefault="00022748">
      <w:pPr>
        <w:spacing w:after="0" w:line="288" w:lineRule="auto"/>
        <w:jc w:val="both"/>
        <w:rPr>
          <w:rFonts w:ascii="Times New Roman" w:eastAsia="Times New Roman" w:hAnsi="Times New Roman"/>
          <w:bCs/>
        </w:rPr>
      </w:pPr>
      <w:r>
        <w:rPr>
          <w:rFonts w:ascii="Times New Roman" w:hAnsi="Times New Roman"/>
          <w:bCs/>
        </w:rPr>
        <w:t>TSG-SGI turpinās darbību saistībā ar Eiropas sociālo tiesību pīlāra īstenošanu un lai precizētu pīlāra 20. principu, kas aptver pamatpakalpojumus un to faktisko sniegšanu, jo īpaši, kad to veic pilsoniskās sabiedrības organizācijas. TSG-SGI risinās arī jautājumus saistībā ar vispārējas nozīmes pakalpojumu digitalizāciju un pilsētu un pašvaldību lomu klimata mērķrādītāju sasniegšanā un sociāli taisnīgas pārkārtošanās nodrošināšanā.</w:t>
      </w:r>
    </w:p>
    <w:p w14:paraId="74E832E6" w14:textId="77777777" w:rsidR="008F78AD" w:rsidRPr="006255E2" w:rsidRDefault="008F78AD">
      <w:pPr>
        <w:spacing w:after="0" w:line="288" w:lineRule="auto"/>
        <w:jc w:val="both"/>
        <w:rPr>
          <w:rFonts w:ascii="Times New Roman" w:eastAsia="Times New Roman" w:hAnsi="Times New Roman"/>
          <w:bCs/>
        </w:rPr>
      </w:pPr>
    </w:p>
    <w:p w14:paraId="69A6519B" w14:textId="3364DE5D" w:rsidR="00022748" w:rsidRPr="006255E2" w:rsidRDefault="005C2C3D">
      <w:pPr>
        <w:spacing w:after="0" w:line="288" w:lineRule="auto"/>
        <w:jc w:val="both"/>
        <w:rPr>
          <w:rFonts w:ascii="Times New Roman" w:eastAsia="Times New Roman" w:hAnsi="Times New Roman"/>
          <w:bCs/>
        </w:rPr>
      </w:pPr>
      <w:r>
        <w:rPr>
          <w:rFonts w:ascii="Times New Roman" w:hAnsi="Times New Roman"/>
          <w:bCs/>
        </w:rPr>
        <w:t xml:space="preserve">To darot, TSG-SGI centīsies savā darbā iesaistīt pilsoniskās sabiedrības pārstāvjus, rīkojot ekspertu uzklausīšanas, publiskas konferences un debates. Piemēram, EESK telpās ar “Apvārsnis 2020” un </w:t>
      </w:r>
      <w:r>
        <w:rPr>
          <w:rFonts w:ascii="Times New Roman" w:hAnsi="Times New Roman"/>
          <w:bCs/>
          <w:i/>
        </w:rPr>
        <w:t>CoSIE</w:t>
      </w:r>
      <w:r>
        <w:rPr>
          <w:rFonts w:ascii="Times New Roman" w:hAnsi="Times New Roman"/>
          <w:bCs/>
        </w:rPr>
        <w:t xml:space="preserve"> projektā iesaistīto pašvaldību un universitāšu pārstāvjiem varētu rīkot kopīgu pasākumu par sabiedriskajiem pakalpojumiem, kurus kopīgi rada iedzīvotāji un pilsoniskās sabiedrības organizācijas (plānots 2021. gada pavasarī).</w:t>
      </w:r>
    </w:p>
    <w:p w14:paraId="0D74C68A" w14:textId="77777777" w:rsidR="008F78AD" w:rsidRPr="006255E2" w:rsidRDefault="008F78AD">
      <w:pPr>
        <w:spacing w:after="0" w:line="288" w:lineRule="auto"/>
        <w:jc w:val="both"/>
        <w:rPr>
          <w:rFonts w:ascii="Times New Roman" w:eastAsia="Times New Roman" w:hAnsi="Times New Roman"/>
          <w:bCs/>
        </w:rPr>
      </w:pPr>
    </w:p>
    <w:p w14:paraId="2C958831" w14:textId="15FFC0A6" w:rsidR="00022748" w:rsidRPr="006255E2" w:rsidRDefault="00022748">
      <w:pPr>
        <w:spacing w:after="0" w:line="288" w:lineRule="auto"/>
        <w:jc w:val="both"/>
        <w:rPr>
          <w:rFonts w:ascii="Times New Roman" w:eastAsia="Times New Roman" w:hAnsi="Times New Roman"/>
          <w:bCs/>
        </w:rPr>
      </w:pPr>
      <w:r>
        <w:rPr>
          <w:rFonts w:ascii="Times New Roman" w:hAnsi="Times New Roman"/>
          <w:bCs/>
        </w:rPr>
        <w:t xml:space="preserve">TSG-SGI risinās jautājumu par vispārējas nozīmes pakalpojumu lomu veselības krīzes pārvarēšanā un tādā jautājumā kā sociālās saliedētības nodrošināšana sabiedrībā. Konkrēti, TSG-SGI izvērtēs secinājumus, kas tiks izdarīti, Eiropas Komisijai novērtējot vispārējas tautsaimnieciskas nozīmes pakalpojumu (VTNP) noteikumus, kas piemērojami veselības un sociālās aprūpes pakalpojumiem, un  </w:t>
      </w:r>
      <w:r>
        <w:rPr>
          <w:rFonts w:ascii="Times New Roman" w:hAnsi="Times New Roman"/>
          <w:bCs/>
          <w:i/>
        </w:rPr>
        <w:t>de minimis</w:t>
      </w:r>
      <w:r>
        <w:rPr>
          <w:rFonts w:ascii="Times New Roman" w:hAnsi="Times New Roman"/>
          <w:bCs/>
        </w:rPr>
        <w:t xml:space="preserve"> regulu attiecībā uz vispārējas tautsaimnieciskas nozīmes pakalpojumiem visās nozarēs; novērtējumu kā dienestu darba dokumentu paredzēts publicēt 2021. gada vidū. </w:t>
      </w:r>
    </w:p>
    <w:p w14:paraId="4EC4E36E" w14:textId="77777777" w:rsidR="00B60B8A" w:rsidRPr="006255E2" w:rsidRDefault="00B60B8A">
      <w:pPr>
        <w:spacing w:after="0" w:line="288" w:lineRule="auto"/>
        <w:jc w:val="both"/>
        <w:rPr>
          <w:rFonts w:ascii="Times New Roman" w:eastAsia="Times New Roman" w:hAnsi="Times New Roman"/>
          <w:bCs/>
        </w:rPr>
      </w:pPr>
    </w:p>
    <w:p w14:paraId="7255E479" w14:textId="3EA5FFD8" w:rsidR="00022748" w:rsidRPr="006255E2" w:rsidRDefault="00022748">
      <w:pPr>
        <w:keepNext/>
        <w:spacing w:after="0" w:line="288" w:lineRule="auto"/>
        <w:jc w:val="both"/>
        <w:rPr>
          <w:rFonts w:ascii="Times New Roman" w:eastAsia="Times New Roman" w:hAnsi="Times New Roman"/>
          <w:b/>
        </w:rPr>
      </w:pPr>
      <w:r>
        <w:rPr>
          <w:rFonts w:ascii="Times New Roman" w:hAnsi="Times New Roman"/>
          <w:b/>
        </w:rPr>
        <w:t>INFORMĀCIJAS SABIEDRĪBA UN MEDIJI</w:t>
      </w:r>
    </w:p>
    <w:p w14:paraId="150A236C" w14:textId="103E869F" w:rsidR="00B60B8A" w:rsidRPr="006255E2" w:rsidRDefault="00B60B8A">
      <w:pPr>
        <w:keepNext/>
        <w:spacing w:after="0" w:line="288" w:lineRule="auto"/>
        <w:jc w:val="both"/>
        <w:rPr>
          <w:rFonts w:ascii="Times New Roman" w:eastAsia="Times New Roman" w:hAnsi="Times New Roman"/>
          <w:highlight w:val="yellow"/>
        </w:rPr>
      </w:pPr>
    </w:p>
    <w:p w14:paraId="33856CA0" w14:textId="54FF1F56" w:rsidR="009B011F" w:rsidRPr="006255E2" w:rsidRDefault="00E46EE9">
      <w:pPr>
        <w:spacing w:after="0" w:line="288" w:lineRule="auto"/>
        <w:jc w:val="both"/>
        <w:rPr>
          <w:rFonts w:ascii="Times New Roman" w:hAnsi="Times New Roman"/>
        </w:rPr>
      </w:pPr>
      <w:r>
        <w:rPr>
          <w:rFonts w:ascii="Times New Roman" w:hAnsi="Times New Roman"/>
        </w:rPr>
        <w:t xml:space="preserve">TEN darba programmā attiecībā uz informācijas sabiedrību un medijiem aplūkotas pārmaiņas, ko radījis jaunais tehnoloģiju vilnis, tostarp mākslīgais intelekts (MI), un kuras ietekmējušas medijus un interneta vidi un ir saistītas ar </w:t>
      </w:r>
      <w:r>
        <w:rPr>
          <w:rFonts w:ascii="Times New Roman" w:hAnsi="Times New Roman"/>
          <w:i/>
        </w:rPr>
        <w:t>Tīklu un informācijas sistēmu drošību</w:t>
      </w:r>
      <w:r>
        <w:rPr>
          <w:rFonts w:ascii="Times New Roman" w:hAnsi="Times New Roman"/>
        </w:rPr>
        <w:t xml:space="preserve"> (TEN/730) un </w:t>
      </w:r>
      <w:r>
        <w:rPr>
          <w:rFonts w:ascii="Times New Roman" w:hAnsi="Times New Roman"/>
          <w:i/>
        </w:rPr>
        <w:t>Rīcības plānu plašsaziņas līdzekļu un audiovizuālo mediju jomā</w:t>
      </w:r>
      <w:r>
        <w:rPr>
          <w:rFonts w:ascii="Times New Roman" w:hAnsi="Times New Roman"/>
        </w:rPr>
        <w:t xml:space="preserve"> (TEN/731). Covid-19 pandēmija ir pavērusi jaunas iespējas kibernoziedzniekiem un padarījusi cilvēkus uzņēmīgākus pret vardarbīgi ekstrēmistiskiem diskursiem tiešsaistē. Tas ir vēl vairāk parādījis nepieciešamību nodrošināt aizsardzību gan fiziskajā, gan digitālajā vidē.</w:t>
      </w:r>
    </w:p>
    <w:p w14:paraId="5148BBA6" w14:textId="77777777" w:rsidR="008F78AD" w:rsidRPr="006255E2" w:rsidRDefault="008F78AD">
      <w:pPr>
        <w:spacing w:after="0" w:line="288" w:lineRule="auto"/>
        <w:jc w:val="both"/>
        <w:rPr>
          <w:rFonts w:ascii="Times New Roman" w:hAnsi="Times New Roman"/>
        </w:rPr>
      </w:pPr>
    </w:p>
    <w:p w14:paraId="20A51643" w14:textId="5A62009B" w:rsidR="009B011F" w:rsidRPr="006255E2" w:rsidRDefault="009B011F">
      <w:pPr>
        <w:spacing w:after="0" w:line="288" w:lineRule="auto"/>
        <w:jc w:val="both"/>
        <w:rPr>
          <w:rFonts w:ascii="Times New Roman" w:eastAsia="Times New Roman" w:hAnsi="Times New Roman"/>
        </w:rPr>
      </w:pPr>
      <w:r>
        <w:rPr>
          <w:rFonts w:ascii="Times New Roman" w:hAnsi="Times New Roman"/>
        </w:rPr>
        <w:t>Šī jaunā virzība iekšējās drošības jomā kā daļa no drošības savienības stratēģijas aizstāj iepriekšējo drošības stratēģiju, kas izklāstīta Eiropas drošības programmā. Drošība ir transversāls jautājums, kas ienāk gandrīz katrā dzīves jomā un skar daudzas politikas jomas.</w:t>
      </w:r>
    </w:p>
    <w:p w14:paraId="4E11E227" w14:textId="77777777" w:rsidR="008F78AD" w:rsidRPr="006255E2" w:rsidRDefault="008F78AD">
      <w:pPr>
        <w:spacing w:after="0" w:line="288" w:lineRule="auto"/>
        <w:jc w:val="both"/>
        <w:rPr>
          <w:rFonts w:ascii="Times New Roman" w:eastAsia="Times New Roman" w:hAnsi="Times New Roman"/>
        </w:rPr>
      </w:pPr>
    </w:p>
    <w:p w14:paraId="7853BD89" w14:textId="7CBE1664" w:rsidR="009B011F" w:rsidRPr="006255E2" w:rsidRDefault="009B011F" w:rsidP="00A132AE">
      <w:pPr>
        <w:keepNext/>
        <w:spacing w:after="0" w:line="288" w:lineRule="auto"/>
        <w:jc w:val="both"/>
        <w:rPr>
          <w:rFonts w:ascii="Times New Roman" w:eastAsia="Times New Roman" w:hAnsi="Times New Roman"/>
        </w:rPr>
      </w:pPr>
      <w:r>
        <w:rPr>
          <w:rFonts w:ascii="Times New Roman" w:hAnsi="Times New Roman"/>
        </w:rPr>
        <w:lastRenderedPageBreak/>
        <w:t>Pamatojoties uz EK, Padomes un Parlamenta iepriekšējo darbu, TEN specializētā nodaļa strādās pie drošības savienības stratēģijas, lai šīs pieejas centrā izvirzītu iedzīvotājus, un pievērsīsies trim prioritārajām jomām:</w:t>
      </w:r>
    </w:p>
    <w:p w14:paraId="7F777C5A" w14:textId="77777777" w:rsidR="008F78AD" w:rsidRPr="006255E2" w:rsidRDefault="008F78AD" w:rsidP="00A132AE">
      <w:pPr>
        <w:keepNext/>
        <w:spacing w:after="0" w:line="288" w:lineRule="auto"/>
        <w:jc w:val="both"/>
        <w:rPr>
          <w:rFonts w:ascii="Times New Roman" w:eastAsia="Times New Roman" w:hAnsi="Times New Roman"/>
        </w:rPr>
      </w:pPr>
    </w:p>
    <w:p w14:paraId="3F9B2FA0" w14:textId="77777777" w:rsidR="009B011F" w:rsidRPr="006255E2" w:rsidRDefault="009B011F" w:rsidP="00A132AE">
      <w:pPr>
        <w:numPr>
          <w:ilvl w:val="0"/>
          <w:numId w:val="1"/>
        </w:numPr>
        <w:tabs>
          <w:tab w:val="clear" w:pos="360"/>
        </w:tabs>
        <w:spacing w:after="0" w:line="288" w:lineRule="auto"/>
        <w:jc w:val="both"/>
        <w:rPr>
          <w:rFonts w:ascii="Times New Roman" w:hAnsi="Times New Roman"/>
        </w:rPr>
      </w:pPr>
      <w:r>
        <w:rPr>
          <w:rFonts w:ascii="Times New Roman" w:hAnsi="Times New Roman"/>
        </w:rPr>
        <w:t>cīņa pret organizēto noziedzību un cilvēku tirdzniecību,</w:t>
      </w:r>
    </w:p>
    <w:p w14:paraId="3F7ED488" w14:textId="77777777" w:rsidR="009B011F" w:rsidRPr="006255E2" w:rsidRDefault="009B011F" w:rsidP="00A132AE">
      <w:pPr>
        <w:numPr>
          <w:ilvl w:val="0"/>
          <w:numId w:val="1"/>
        </w:numPr>
        <w:tabs>
          <w:tab w:val="clear" w:pos="360"/>
        </w:tabs>
        <w:spacing w:after="0" w:line="288" w:lineRule="auto"/>
        <w:jc w:val="both"/>
        <w:rPr>
          <w:rFonts w:ascii="Times New Roman" w:hAnsi="Times New Roman"/>
        </w:rPr>
      </w:pPr>
      <w:r>
        <w:rPr>
          <w:rFonts w:ascii="Times New Roman" w:hAnsi="Times New Roman"/>
        </w:rPr>
        <w:t>terorisma un radikalizācijas apkarošana,</w:t>
      </w:r>
    </w:p>
    <w:p w14:paraId="0CD8F143" w14:textId="5924E5CB" w:rsidR="009B011F" w:rsidRPr="006255E2" w:rsidRDefault="009B011F" w:rsidP="00A132AE">
      <w:pPr>
        <w:numPr>
          <w:ilvl w:val="0"/>
          <w:numId w:val="1"/>
        </w:numPr>
        <w:tabs>
          <w:tab w:val="clear" w:pos="360"/>
        </w:tabs>
        <w:spacing w:after="0" w:line="288" w:lineRule="auto"/>
        <w:jc w:val="both"/>
        <w:rPr>
          <w:rFonts w:ascii="Times New Roman" w:eastAsia="Times New Roman" w:hAnsi="Times New Roman"/>
        </w:rPr>
      </w:pPr>
      <w:r>
        <w:rPr>
          <w:rFonts w:ascii="Times New Roman" w:hAnsi="Times New Roman"/>
        </w:rPr>
        <w:t>kibernoziedzības apkarošana.</w:t>
      </w:r>
    </w:p>
    <w:p w14:paraId="5C79CFE7" w14:textId="77777777" w:rsidR="009B011F" w:rsidRPr="006255E2" w:rsidRDefault="009B011F">
      <w:pPr>
        <w:spacing w:after="0" w:line="288" w:lineRule="auto"/>
        <w:jc w:val="both"/>
        <w:rPr>
          <w:rFonts w:ascii="Times New Roman" w:eastAsia="Times New Roman" w:hAnsi="Times New Roman"/>
          <w:highlight w:val="yellow"/>
        </w:rPr>
      </w:pPr>
    </w:p>
    <w:p w14:paraId="40FDA972" w14:textId="77777777" w:rsidR="00B60B8A" w:rsidRPr="006255E2" w:rsidRDefault="00B60B8A">
      <w:pPr>
        <w:spacing w:after="0" w:line="288" w:lineRule="auto"/>
        <w:jc w:val="both"/>
        <w:rPr>
          <w:rFonts w:ascii="Times New Roman" w:eastAsia="Times New Roman" w:hAnsi="Times New Roman"/>
        </w:rPr>
      </w:pPr>
      <w:r>
        <w:rPr>
          <w:rFonts w:ascii="Times New Roman" w:hAnsi="Times New Roman"/>
        </w:rPr>
        <w:t xml:space="preserve">TEN specializētā nodaļa ir pilnībā atbalstījusi 5G tīklu plašu izvēršanu un komercpakalpojumu uzsākšanu Eiropā. 5G tīkli ietver visu attiecīgo tīkla infrastruktūru mobilo un bezvadu sakaru tehnoloģijai, ko izmanto savienojamības un pievienotās vērtības pakalpojumiem un kas nodrošina uzlabotus veiktspējas parametrus, piemēram, ļoti lielu datu pārraides ātrumu un jaudu, zema latentuma sakarus, ārkārtīgi augstu uzticamību un atbalstu lielam skaitam savienotu ierīču. Uzmanības centrā joprojām būs digitālo tīklu drošības jautājums, jo iespējamie 5G darbības traucējumi īpaši smagi ietekmētu daudzus kritiski svarīgus pakalpojumus. Tāpēc būtiska ir koordinēta un konsekventa pieeja ES kritiski svarīgo tehnoloģiju un tīklu kiberdrošībai, it īpaši laikā, kad kiberuzbrukumus veic ļoti daudzi un dažādi apdraudētāji. </w:t>
      </w:r>
    </w:p>
    <w:p w14:paraId="5E5A51A1" w14:textId="77777777" w:rsidR="00B60B8A" w:rsidRPr="006255E2" w:rsidRDefault="00B60B8A">
      <w:pPr>
        <w:spacing w:after="0" w:line="288" w:lineRule="auto"/>
        <w:jc w:val="both"/>
        <w:rPr>
          <w:rFonts w:ascii="Times New Roman" w:eastAsia="Times New Roman" w:hAnsi="Times New Roman"/>
        </w:rPr>
      </w:pPr>
    </w:p>
    <w:p w14:paraId="49FA77D0" w14:textId="3295D238" w:rsidR="00B60B8A" w:rsidRPr="006255E2" w:rsidRDefault="00B60B8A">
      <w:pPr>
        <w:spacing w:after="0" w:line="288" w:lineRule="auto"/>
        <w:jc w:val="both"/>
        <w:rPr>
          <w:rFonts w:ascii="Times New Roman" w:eastAsia="Times New Roman" w:hAnsi="Times New Roman"/>
        </w:rPr>
      </w:pPr>
      <w:r>
        <w:rPr>
          <w:rFonts w:ascii="Times New Roman" w:hAnsi="Times New Roman"/>
        </w:rPr>
        <w:t xml:space="preserve">Atjauninātā kiberdrošības stratēģija, ar ko nāks klajā Eiropas Komisija, ietver </w:t>
      </w:r>
      <w:r>
        <w:rPr>
          <w:rFonts w:ascii="Times New Roman" w:hAnsi="Times New Roman"/>
          <w:i/>
        </w:rPr>
        <w:t>Tīklu un informācijas drošības direktīvas</w:t>
      </w:r>
      <w:r>
        <w:rPr>
          <w:rFonts w:ascii="Times New Roman" w:hAnsi="Times New Roman"/>
        </w:rPr>
        <w:t xml:space="preserve"> (TID direktīvas) pārskatīšanu. Minētā direktīva ir palielinājusi ES valstu kiberdrošības spējas, nosakot, ka dalībvalstīm jāizstrādā valsts kiberdrošības stratēģija, jāizveido valsts datordrošības incidentu reaģēšanas vienības (</w:t>
      </w:r>
      <w:r>
        <w:rPr>
          <w:rFonts w:ascii="Times New Roman" w:hAnsi="Times New Roman"/>
          <w:i/>
        </w:rPr>
        <w:t>CSIRT</w:t>
      </w:r>
      <w:r>
        <w:rPr>
          <w:rFonts w:ascii="Times New Roman" w:hAnsi="Times New Roman"/>
        </w:rPr>
        <w:t>) un jānosaka iestādes, kas ir kompetentas risināt TID jautājumus. Saskaņā ar direktīvas noteikumiem EK ir nolēmusi pārskatīt direktīvas darbību un tajā pašā laikā arī ierosinās papildu pasākumus kritiski svarīgas infrastruktūras aizsardzībai.</w:t>
      </w:r>
    </w:p>
    <w:p w14:paraId="28D336BD" w14:textId="77777777" w:rsidR="00B60B8A" w:rsidRPr="006255E2" w:rsidRDefault="00B60B8A">
      <w:pPr>
        <w:spacing w:after="0" w:line="288" w:lineRule="auto"/>
        <w:jc w:val="both"/>
        <w:rPr>
          <w:rFonts w:ascii="Times New Roman" w:eastAsia="Times New Roman" w:hAnsi="Times New Roman"/>
        </w:rPr>
      </w:pPr>
    </w:p>
    <w:p w14:paraId="49E7B1C6" w14:textId="38AE6E69" w:rsidR="00B60B8A" w:rsidRPr="006255E2" w:rsidRDefault="00B60B8A">
      <w:pPr>
        <w:spacing w:after="0" w:line="288" w:lineRule="auto"/>
        <w:jc w:val="both"/>
        <w:rPr>
          <w:rFonts w:ascii="Times New Roman" w:eastAsia="Times New Roman" w:hAnsi="Times New Roman"/>
        </w:rPr>
      </w:pPr>
      <w:r>
        <w:rPr>
          <w:rFonts w:ascii="Times New Roman" w:hAnsi="Times New Roman"/>
        </w:rPr>
        <w:t>Tāpēc TEN darbība digitālajos jautājumos būs atkarīga no tiesību aktu priekšlikumiem, ko pieņems EK, un būs ļoti svarīgi pienācīgi ņemt vērā pilsoniskās sabiedrības ieguldījumu.</w:t>
      </w:r>
    </w:p>
    <w:p w14:paraId="3DB48194" w14:textId="77777777" w:rsidR="00B60B8A" w:rsidRPr="006255E2" w:rsidRDefault="00B60B8A">
      <w:pPr>
        <w:spacing w:after="0" w:line="288" w:lineRule="auto"/>
        <w:jc w:val="both"/>
        <w:rPr>
          <w:rFonts w:ascii="Times New Roman" w:eastAsia="Times New Roman" w:hAnsi="Times New Roman"/>
        </w:rPr>
      </w:pPr>
    </w:p>
    <w:p w14:paraId="50DBEE1F" w14:textId="77777777" w:rsidR="00B60B8A" w:rsidRPr="006255E2" w:rsidRDefault="00B60B8A">
      <w:pPr>
        <w:spacing w:after="0" w:line="288" w:lineRule="auto"/>
        <w:jc w:val="both"/>
        <w:rPr>
          <w:rFonts w:ascii="Times New Roman" w:eastAsia="Times New Roman" w:hAnsi="Times New Roman"/>
        </w:rPr>
      </w:pPr>
      <w:r>
        <w:rPr>
          <w:rFonts w:ascii="Times New Roman" w:hAnsi="Times New Roman"/>
        </w:rPr>
        <w:t>Uz visiem audiovizuālajiem medijiem — gan uz tradicionālo televīzijas apraidi, gan uz pakalpojumiem pēc pieprasījuma — attiecas Audiovizuālo mediju pakalpojumu direktīva (AVMPD). Satura un mediju sektoram ir nozīmīga ekonomiskā, sociālā un ar kultūru saistītā loma Eiropā. Tiešsaistes/digitālo publikāciju izstrāde attiecas uz visām izdevējdarbības nozares apakšjomām. Pēdējā laikā ir iespējams jebkādu mediju saturu, kas ietver attēlus, skaņu vai rakstītu tekstu, izplatīt un tam piekļūt dažādos veidos, un ES politika ir jāpilnveido, lai atspoguļotu šo jauno situāciju. Audiovizuālajā jomā Eiropas Savienībai ir jāgarantē vienots Eiropas tirgus audiovizuālo mediju pakalpojumiem.</w:t>
      </w:r>
    </w:p>
    <w:p w14:paraId="204AEF8F" w14:textId="77777777" w:rsidR="00B60B8A" w:rsidRPr="006255E2" w:rsidRDefault="00B60B8A">
      <w:pPr>
        <w:spacing w:after="0" w:line="288" w:lineRule="auto"/>
        <w:jc w:val="both"/>
        <w:rPr>
          <w:rFonts w:ascii="Times New Roman" w:eastAsia="Times New Roman" w:hAnsi="Times New Roman"/>
        </w:rPr>
      </w:pPr>
    </w:p>
    <w:p w14:paraId="75D501AF" w14:textId="540D4FB4" w:rsidR="00B60B8A" w:rsidRPr="006255E2" w:rsidRDefault="00B60B8A">
      <w:pPr>
        <w:keepNext/>
        <w:spacing w:after="0" w:line="288" w:lineRule="auto"/>
        <w:jc w:val="both"/>
        <w:rPr>
          <w:rFonts w:ascii="Times New Roman" w:eastAsia="Times New Roman" w:hAnsi="Times New Roman"/>
        </w:rPr>
      </w:pPr>
      <w:r>
        <w:rPr>
          <w:rFonts w:ascii="Times New Roman" w:hAnsi="Times New Roman"/>
        </w:rPr>
        <w:t>TEN specializētā nodaļa savā darbā pievērsīsies arī jaunajiem medijiem un EK ierosinātajam rīcības plānam audiovizuālajā jomā.</w:t>
      </w:r>
    </w:p>
    <w:p w14:paraId="40BEEA64" w14:textId="77777777" w:rsidR="008F78AD" w:rsidRPr="006255E2" w:rsidRDefault="008F78AD">
      <w:pPr>
        <w:keepNext/>
        <w:spacing w:after="0" w:line="288" w:lineRule="auto"/>
        <w:jc w:val="both"/>
        <w:rPr>
          <w:rFonts w:ascii="Times New Roman" w:eastAsia="Times New Roman" w:hAnsi="Times New Roman"/>
        </w:rPr>
      </w:pPr>
    </w:p>
    <w:p w14:paraId="4F7F262D" w14:textId="2F081FC2" w:rsidR="00022748" w:rsidRPr="006255E2" w:rsidRDefault="008F78AD">
      <w:pPr>
        <w:overflowPunct w:val="0"/>
        <w:autoSpaceDE w:val="0"/>
        <w:autoSpaceDN w:val="0"/>
        <w:adjustRightInd w:val="0"/>
        <w:spacing w:after="0" w:line="288" w:lineRule="auto"/>
        <w:jc w:val="center"/>
        <w:textAlignment w:val="baseline"/>
        <w:rPr>
          <w:rFonts w:ascii="Times New Roman" w:hAnsi="Times New Roman"/>
        </w:rPr>
      </w:pPr>
      <w:r>
        <w:rPr>
          <w:rFonts w:ascii="Times New Roman" w:hAnsi="Times New Roman"/>
        </w:rPr>
        <w:t>_____________</w:t>
      </w:r>
    </w:p>
    <w:sectPr w:rsidR="00022748" w:rsidRPr="006255E2" w:rsidSect="005604CD">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4A46" w14:textId="77777777" w:rsidR="00DF2D45" w:rsidRDefault="00DF2D45" w:rsidP="000B292A">
      <w:pPr>
        <w:spacing w:after="0" w:line="240" w:lineRule="auto"/>
      </w:pPr>
      <w:r>
        <w:separator/>
      </w:r>
    </w:p>
  </w:endnote>
  <w:endnote w:type="continuationSeparator" w:id="0">
    <w:p w14:paraId="2F180642" w14:textId="77777777" w:rsidR="00DF2D45" w:rsidRDefault="00DF2D45" w:rsidP="000B292A">
      <w:pPr>
        <w:spacing w:after="0" w:line="240" w:lineRule="auto"/>
      </w:pPr>
      <w:r>
        <w:continuationSeparator/>
      </w:r>
    </w:p>
  </w:endnote>
  <w:endnote w:type="continuationNotice" w:id="1">
    <w:p w14:paraId="5368B70F" w14:textId="77777777" w:rsidR="00DF2D45" w:rsidRDefault="00DF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C420" w14:textId="77777777" w:rsidR="005604CD" w:rsidRPr="005604CD" w:rsidRDefault="005604CD" w:rsidP="0056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CDB2" w14:textId="674255F7" w:rsidR="000C2D2F" w:rsidRPr="005604CD" w:rsidRDefault="005604CD" w:rsidP="005604CD">
    <w:pPr>
      <w:pStyle w:val="Footer"/>
    </w:pPr>
    <w:r>
      <w:t xml:space="preserve">EESC-2020-05442-00-02-TCD-TRA (EN) </w:t>
    </w:r>
    <w:r>
      <w:fldChar w:fldCharType="begin"/>
    </w:r>
    <w:r>
      <w:instrText xml:space="preserve"> PAGE  \* Arabic  \* MERGEFORMAT </w:instrText>
    </w:r>
    <w:r>
      <w:fldChar w:fldCharType="separate"/>
    </w:r>
    <w:r w:rsidR="008E60C1">
      <w:rPr>
        <w:noProof/>
      </w:rPr>
      <w:t>1</w:t>
    </w:r>
    <w:r>
      <w:fldChar w:fldCharType="end"/>
    </w:r>
    <w:r>
      <w:t>/</w:t>
    </w:r>
    <w:r w:rsidR="008E60C1">
      <w:fldChar w:fldCharType="begin"/>
    </w:r>
    <w:r w:rsidR="008E60C1">
      <w:instrText xml:space="preserve"> NUMPAGES </w:instrText>
    </w:r>
    <w:r w:rsidR="008E60C1">
      <w:fldChar w:fldCharType="separate"/>
    </w:r>
    <w:r w:rsidR="008E60C1">
      <w:rPr>
        <w:noProof/>
      </w:rPr>
      <w:t>10</w:t>
    </w:r>
    <w:r w:rsidR="008E60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3875" w14:textId="77777777" w:rsidR="005604CD" w:rsidRPr="005604CD" w:rsidRDefault="005604CD" w:rsidP="0056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B391" w14:textId="77777777" w:rsidR="00DF2D45" w:rsidRDefault="00DF2D45" w:rsidP="000B292A">
      <w:pPr>
        <w:spacing w:after="0" w:line="240" w:lineRule="auto"/>
      </w:pPr>
      <w:r>
        <w:separator/>
      </w:r>
    </w:p>
  </w:footnote>
  <w:footnote w:type="continuationSeparator" w:id="0">
    <w:p w14:paraId="1A7C42F0" w14:textId="77777777" w:rsidR="00DF2D45" w:rsidRDefault="00DF2D45" w:rsidP="000B292A">
      <w:pPr>
        <w:spacing w:after="0" w:line="240" w:lineRule="auto"/>
      </w:pPr>
      <w:r>
        <w:continuationSeparator/>
      </w:r>
    </w:p>
  </w:footnote>
  <w:footnote w:type="continuationNotice" w:id="1">
    <w:p w14:paraId="1E165B45" w14:textId="77777777" w:rsidR="00DF2D45" w:rsidRDefault="00DF2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E5F3" w14:textId="77777777" w:rsidR="005604CD" w:rsidRPr="005604CD" w:rsidRDefault="005604CD" w:rsidP="0056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A8F0" w14:textId="10060B13" w:rsidR="000C2D2F" w:rsidRPr="005604CD" w:rsidRDefault="000C2D2F" w:rsidP="0056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4A05" w14:textId="77777777" w:rsidR="005604CD" w:rsidRPr="005604CD" w:rsidRDefault="005604CD" w:rsidP="0056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17E"/>
    <w:multiLevelType w:val="hybridMultilevel"/>
    <w:tmpl w:val="522CB5FA"/>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6044B19"/>
    <w:multiLevelType w:val="hybridMultilevel"/>
    <w:tmpl w:val="18F83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A43D00"/>
    <w:multiLevelType w:val="multilevel"/>
    <w:tmpl w:val="EB42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55D3"/>
    <w:multiLevelType w:val="multilevel"/>
    <w:tmpl w:val="90D6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C7CC4"/>
    <w:multiLevelType w:val="multilevel"/>
    <w:tmpl w:val="758043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D7937C1"/>
    <w:multiLevelType w:val="hybridMultilevel"/>
    <w:tmpl w:val="48D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68"/>
    <w:rsid w:val="00007512"/>
    <w:rsid w:val="00010C54"/>
    <w:rsid w:val="00016F27"/>
    <w:rsid w:val="00020173"/>
    <w:rsid w:val="00022748"/>
    <w:rsid w:val="0002746E"/>
    <w:rsid w:val="000877C3"/>
    <w:rsid w:val="00094839"/>
    <w:rsid w:val="000A188A"/>
    <w:rsid w:val="000B292A"/>
    <w:rsid w:val="000C2D2F"/>
    <w:rsid w:val="000C6391"/>
    <w:rsid w:val="000D4DCA"/>
    <w:rsid w:val="000E4709"/>
    <w:rsid w:val="000E55DA"/>
    <w:rsid w:val="00100C19"/>
    <w:rsid w:val="00104BBD"/>
    <w:rsid w:val="00141FBF"/>
    <w:rsid w:val="00143999"/>
    <w:rsid w:val="001527A5"/>
    <w:rsid w:val="00182A05"/>
    <w:rsid w:val="001B29DF"/>
    <w:rsid w:val="001B4D69"/>
    <w:rsid w:val="001F28FF"/>
    <w:rsid w:val="001F51CB"/>
    <w:rsid w:val="001F6EC3"/>
    <w:rsid w:val="0021234F"/>
    <w:rsid w:val="002134F7"/>
    <w:rsid w:val="002250C3"/>
    <w:rsid w:val="0023312A"/>
    <w:rsid w:val="00243572"/>
    <w:rsid w:val="00244C54"/>
    <w:rsid w:val="00263A05"/>
    <w:rsid w:val="00275749"/>
    <w:rsid w:val="0027704A"/>
    <w:rsid w:val="00281213"/>
    <w:rsid w:val="00291CAB"/>
    <w:rsid w:val="0029309A"/>
    <w:rsid w:val="002C500D"/>
    <w:rsid w:val="00305538"/>
    <w:rsid w:val="00307C91"/>
    <w:rsid w:val="00320D9E"/>
    <w:rsid w:val="003413E1"/>
    <w:rsid w:val="0035308B"/>
    <w:rsid w:val="0035449C"/>
    <w:rsid w:val="003670D3"/>
    <w:rsid w:val="003760E8"/>
    <w:rsid w:val="003952B1"/>
    <w:rsid w:val="003A5369"/>
    <w:rsid w:val="003B48ED"/>
    <w:rsid w:val="003B69D7"/>
    <w:rsid w:val="003E6825"/>
    <w:rsid w:val="003F6489"/>
    <w:rsid w:val="00401A43"/>
    <w:rsid w:val="00412B21"/>
    <w:rsid w:val="004230F3"/>
    <w:rsid w:val="00431A69"/>
    <w:rsid w:val="00442FD4"/>
    <w:rsid w:val="00455EEC"/>
    <w:rsid w:val="004620C3"/>
    <w:rsid w:val="00472AC5"/>
    <w:rsid w:val="0048520B"/>
    <w:rsid w:val="0049537D"/>
    <w:rsid w:val="004A08AD"/>
    <w:rsid w:val="004A570A"/>
    <w:rsid w:val="004A7194"/>
    <w:rsid w:val="004A7FCC"/>
    <w:rsid w:val="004D73C6"/>
    <w:rsid w:val="00513097"/>
    <w:rsid w:val="005147B0"/>
    <w:rsid w:val="00534C3B"/>
    <w:rsid w:val="00541662"/>
    <w:rsid w:val="00544FBD"/>
    <w:rsid w:val="005579ED"/>
    <w:rsid w:val="005604CD"/>
    <w:rsid w:val="005A04D5"/>
    <w:rsid w:val="005A5E58"/>
    <w:rsid w:val="005C2C3D"/>
    <w:rsid w:val="005D68D5"/>
    <w:rsid w:val="005E53BB"/>
    <w:rsid w:val="005F534F"/>
    <w:rsid w:val="005F5808"/>
    <w:rsid w:val="005F5EC0"/>
    <w:rsid w:val="00612A51"/>
    <w:rsid w:val="00615C45"/>
    <w:rsid w:val="006255E2"/>
    <w:rsid w:val="006330D6"/>
    <w:rsid w:val="006405C6"/>
    <w:rsid w:val="00643A24"/>
    <w:rsid w:val="0065128B"/>
    <w:rsid w:val="00663269"/>
    <w:rsid w:val="006845C7"/>
    <w:rsid w:val="00686D70"/>
    <w:rsid w:val="006C5AD2"/>
    <w:rsid w:val="006D6BA5"/>
    <w:rsid w:val="006E2FBD"/>
    <w:rsid w:val="006E3BB7"/>
    <w:rsid w:val="006F344D"/>
    <w:rsid w:val="006F7B02"/>
    <w:rsid w:val="007041F6"/>
    <w:rsid w:val="00706A03"/>
    <w:rsid w:val="007117EB"/>
    <w:rsid w:val="00722DA3"/>
    <w:rsid w:val="007624FE"/>
    <w:rsid w:val="00784FD8"/>
    <w:rsid w:val="00785E39"/>
    <w:rsid w:val="007B4176"/>
    <w:rsid w:val="007B58E7"/>
    <w:rsid w:val="007B6261"/>
    <w:rsid w:val="007B746D"/>
    <w:rsid w:val="007C165B"/>
    <w:rsid w:val="007C4BDB"/>
    <w:rsid w:val="007D107C"/>
    <w:rsid w:val="007D1E89"/>
    <w:rsid w:val="007D1FA1"/>
    <w:rsid w:val="007F1665"/>
    <w:rsid w:val="007F4021"/>
    <w:rsid w:val="00801B96"/>
    <w:rsid w:val="00821482"/>
    <w:rsid w:val="00827258"/>
    <w:rsid w:val="00827EAA"/>
    <w:rsid w:val="008431D5"/>
    <w:rsid w:val="00844EC0"/>
    <w:rsid w:val="00847C89"/>
    <w:rsid w:val="00853E27"/>
    <w:rsid w:val="00854786"/>
    <w:rsid w:val="008548C6"/>
    <w:rsid w:val="00856868"/>
    <w:rsid w:val="0085795E"/>
    <w:rsid w:val="00877E2D"/>
    <w:rsid w:val="00897ED1"/>
    <w:rsid w:val="008B59C3"/>
    <w:rsid w:val="008E071B"/>
    <w:rsid w:val="008E2049"/>
    <w:rsid w:val="008E60C1"/>
    <w:rsid w:val="008F78AD"/>
    <w:rsid w:val="0092128F"/>
    <w:rsid w:val="00922F72"/>
    <w:rsid w:val="0093788F"/>
    <w:rsid w:val="00953B9E"/>
    <w:rsid w:val="00964FC2"/>
    <w:rsid w:val="009669A7"/>
    <w:rsid w:val="00966C44"/>
    <w:rsid w:val="0097325B"/>
    <w:rsid w:val="00980C35"/>
    <w:rsid w:val="009A7F0F"/>
    <w:rsid w:val="009B011F"/>
    <w:rsid w:val="009B20CE"/>
    <w:rsid w:val="009B2708"/>
    <w:rsid w:val="009E1CCA"/>
    <w:rsid w:val="009F1B0A"/>
    <w:rsid w:val="00A04FCB"/>
    <w:rsid w:val="00A132AE"/>
    <w:rsid w:val="00A5697D"/>
    <w:rsid w:val="00A9288E"/>
    <w:rsid w:val="00A961F0"/>
    <w:rsid w:val="00AA0980"/>
    <w:rsid w:val="00AA1A34"/>
    <w:rsid w:val="00AA23EE"/>
    <w:rsid w:val="00AA3CA4"/>
    <w:rsid w:val="00AC4A5F"/>
    <w:rsid w:val="00AD0E69"/>
    <w:rsid w:val="00AD671F"/>
    <w:rsid w:val="00B02416"/>
    <w:rsid w:val="00B2224A"/>
    <w:rsid w:val="00B23CE8"/>
    <w:rsid w:val="00B4394F"/>
    <w:rsid w:val="00B449CB"/>
    <w:rsid w:val="00B52852"/>
    <w:rsid w:val="00B561E6"/>
    <w:rsid w:val="00B60B8A"/>
    <w:rsid w:val="00B61608"/>
    <w:rsid w:val="00B70AD2"/>
    <w:rsid w:val="00B71466"/>
    <w:rsid w:val="00B85274"/>
    <w:rsid w:val="00B929DB"/>
    <w:rsid w:val="00B93EDD"/>
    <w:rsid w:val="00BC08B7"/>
    <w:rsid w:val="00BC41A1"/>
    <w:rsid w:val="00BE66E2"/>
    <w:rsid w:val="00BF3408"/>
    <w:rsid w:val="00BF522E"/>
    <w:rsid w:val="00C27C3C"/>
    <w:rsid w:val="00C62B11"/>
    <w:rsid w:val="00C9439B"/>
    <w:rsid w:val="00C943EC"/>
    <w:rsid w:val="00CA6286"/>
    <w:rsid w:val="00CB5F2C"/>
    <w:rsid w:val="00CC18E2"/>
    <w:rsid w:val="00CC3D84"/>
    <w:rsid w:val="00CC6045"/>
    <w:rsid w:val="00CE168D"/>
    <w:rsid w:val="00CE21C7"/>
    <w:rsid w:val="00CE5A08"/>
    <w:rsid w:val="00D001A3"/>
    <w:rsid w:val="00D121B3"/>
    <w:rsid w:val="00D33180"/>
    <w:rsid w:val="00D37D8E"/>
    <w:rsid w:val="00D400AC"/>
    <w:rsid w:val="00D51ACA"/>
    <w:rsid w:val="00D6030D"/>
    <w:rsid w:val="00D622CF"/>
    <w:rsid w:val="00D63415"/>
    <w:rsid w:val="00D748DB"/>
    <w:rsid w:val="00D77D2A"/>
    <w:rsid w:val="00D81AA9"/>
    <w:rsid w:val="00D82B71"/>
    <w:rsid w:val="00D874BD"/>
    <w:rsid w:val="00DA1DE7"/>
    <w:rsid w:val="00DA7F61"/>
    <w:rsid w:val="00DB4A3D"/>
    <w:rsid w:val="00DC7368"/>
    <w:rsid w:val="00DD6313"/>
    <w:rsid w:val="00DD6D27"/>
    <w:rsid w:val="00DF2D45"/>
    <w:rsid w:val="00E207E1"/>
    <w:rsid w:val="00E22022"/>
    <w:rsid w:val="00E2312A"/>
    <w:rsid w:val="00E46EE9"/>
    <w:rsid w:val="00E47361"/>
    <w:rsid w:val="00E53DEA"/>
    <w:rsid w:val="00E6161E"/>
    <w:rsid w:val="00E93C71"/>
    <w:rsid w:val="00E95DBC"/>
    <w:rsid w:val="00EA4EAD"/>
    <w:rsid w:val="00EB1333"/>
    <w:rsid w:val="00EC178B"/>
    <w:rsid w:val="00ED28D5"/>
    <w:rsid w:val="00EE1D7C"/>
    <w:rsid w:val="00EF601B"/>
    <w:rsid w:val="00EF6BC8"/>
    <w:rsid w:val="00F03F42"/>
    <w:rsid w:val="00F15233"/>
    <w:rsid w:val="00F2044A"/>
    <w:rsid w:val="00F30F4A"/>
    <w:rsid w:val="00F326AC"/>
    <w:rsid w:val="00F32740"/>
    <w:rsid w:val="00F4371D"/>
    <w:rsid w:val="00F44F6B"/>
    <w:rsid w:val="00F459BD"/>
    <w:rsid w:val="00F56B24"/>
    <w:rsid w:val="00F779A7"/>
    <w:rsid w:val="00F92E56"/>
    <w:rsid w:val="00FA1CC1"/>
    <w:rsid w:val="00FB7EA5"/>
    <w:rsid w:val="00FC30FD"/>
    <w:rsid w:val="00FD5A00"/>
    <w:rsid w:val="00FE2908"/>
    <w:rsid w:val="00FF47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14444"/>
  <w15:chartTrackingRefBased/>
  <w15:docId w15:val="{C48BE82A-F5F4-4E0D-B0A7-729D6F9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2A"/>
    <w:pPr>
      <w:spacing w:line="288" w:lineRule="auto"/>
      <w:jc w:val="both"/>
    </w:pPr>
    <w:rPr>
      <w:rFonts w:ascii="Times New Roman" w:hAnsi="Times New Roman"/>
    </w:rPr>
  </w:style>
  <w:style w:type="character" w:customStyle="1" w:styleId="HeaderChar">
    <w:name w:val="Header Char"/>
    <w:link w:val="Header"/>
    <w:uiPriority w:val="99"/>
    <w:rsid w:val="000B292A"/>
    <w:rPr>
      <w:rFonts w:ascii="Times New Roman" w:hAnsi="Times New Roman"/>
      <w:sz w:val="22"/>
      <w:szCs w:val="22"/>
      <w:lang w:val="lv-LV" w:eastAsia="en-US"/>
    </w:rPr>
  </w:style>
  <w:style w:type="paragraph" w:styleId="Footer">
    <w:name w:val="footer"/>
    <w:basedOn w:val="Normal"/>
    <w:link w:val="FooterChar"/>
    <w:uiPriority w:val="99"/>
    <w:unhideWhenUsed/>
    <w:rsid w:val="000B292A"/>
    <w:pPr>
      <w:spacing w:line="288" w:lineRule="auto"/>
      <w:jc w:val="both"/>
    </w:pPr>
    <w:rPr>
      <w:rFonts w:ascii="Times New Roman" w:hAnsi="Times New Roman"/>
    </w:rPr>
  </w:style>
  <w:style w:type="character" w:customStyle="1" w:styleId="FooterChar">
    <w:name w:val="Footer Char"/>
    <w:link w:val="Footer"/>
    <w:uiPriority w:val="99"/>
    <w:rsid w:val="000B292A"/>
    <w:rPr>
      <w:rFonts w:ascii="Times New Roman" w:hAnsi="Times New Roman"/>
      <w:sz w:val="22"/>
      <w:szCs w:val="22"/>
      <w:lang w:val="lv-LV" w:eastAsia="en-US"/>
    </w:rPr>
  </w:style>
  <w:style w:type="paragraph" w:styleId="Revision">
    <w:name w:val="Revision"/>
    <w:hidden/>
    <w:uiPriority w:val="99"/>
    <w:semiHidden/>
    <w:rsid w:val="00020173"/>
    <w:rPr>
      <w:sz w:val="22"/>
      <w:szCs w:val="22"/>
      <w:lang w:eastAsia="en-US"/>
    </w:rPr>
  </w:style>
  <w:style w:type="paragraph" w:styleId="BalloonText">
    <w:name w:val="Balloon Text"/>
    <w:basedOn w:val="Normal"/>
    <w:link w:val="BalloonTextChar"/>
    <w:uiPriority w:val="99"/>
    <w:semiHidden/>
    <w:unhideWhenUsed/>
    <w:rsid w:val="00B9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DD"/>
    <w:rPr>
      <w:rFonts w:ascii="Segoe UI" w:hAnsi="Segoe UI" w:cs="Segoe UI"/>
      <w:sz w:val="18"/>
      <w:szCs w:val="18"/>
      <w:lang w:val="lv-LV" w:eastAsia="en-US"/>
    </w:rPr>
  </w:style>
  <w:style w:type="character" w:styleId="CommentReference">
    <w:name w:val="annotation reference"/>
    <w:basedOn w:val="DefaultParagraphFont"/>
    <w:uiPriority w:val="99"/>
    <w:semiHidden/>
    <w:unhideWhenUsed/>
    <w:rsid w:val="00B93EDD"/>
    <w:rPr>
      <w:sz w:val="16"/>
      <w:szCs w:val="16"/>
    </w:rPr>
  </w:style>
  <w:style w:type="paragraph" w:styleId="CommentText">
    <w:name w:val="annotation text"/>
    <w:basedOn w:val="Normal"/>
    <w:link w:val="CommentTextChar"/>
    <w:uiPriority w:val="99"/>
    <w:semiHidden/>
    <w:unhideWhenUsed/>
    <w:rsid w:val="00B93EDD"/>
    <w:pPr>
      <w:spacing w:line="240" w:lineRule="auto"/>
    </w:pPr>
    <w:rPr>
      <w:sz w:val="20"/>
      <w:szCs w:val="20"/>
    </w:rPr>
  </w:style>
  <w:style w:type="character" w:customStyle="1" w:styleId="CommentTextChar">
    <w:name w:val="Comment Text Char"/>
    <w:basedOn w:val="DefaultParagraphFont"/>
    <w:link w:val="CommentText"/>
    <w:uiPriority w:val="99"/>
    <w:semiHidden/>
    <w:rsid w:val="00B93EDD"/>
    <w:rPr>
      <w:lang w:val="lv-LV" w:eastAsia="en-US"/>
    </w:rPr>
  </w:style>
  <w:style w:type="paragraph" w:styleId="CommentSubject">
    <w:name w:val="annotation subject"/>
    <w:basedOn w:val="CommentText"/>
    <w:next w:val="CommentText"/>
    <w:link w:val="CommentSubjectChar"/>
    <w:uiPriority w:val="99"/>
    <w:semiHidden/>
    <w:unhideWhenUsed/>
    <w:rsid w:val="00B93EDD"/>
    <w:rPr>
      <w:b/>
      <w:bCs/>
    </w:rPr>
  </w:style>
  <w:style w:type="character" w:customStyle="1" w:styleId="CommentSubjectChar">
    <w:name w:val="Comment Subject Char"/>
    <w:basedOn w:val="CommentTextChar"/>
    <w:link w:val="CommentSubject"/>
    <w:uiPriority w:val="99"/>
    <w:semiHidden/>
    <w:rsid w:val="00B93EDD"/>
    <w:rPr>
      <w:b/>
      <w:bCs/>
      <w:lang w:val="lv-LV" w:eastAsia="en-US"/>
    </w:rPr>
  </w:style>
  <w:style w:type="table" w:styleId="TableGrid">
    <w:name w:val="Table Grid"/>
    <w:basedOn w:val="TableNormal"/>
    <w:uiPriority w:val="39"/>
    <w:rsid w:val="00CC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VV634QRNENMJ-2141480542-7892</_dlc_DocId>
    <_dlc_DocIdUrl xmlns="cda99570-6012-4083-bfeb-7d32ad1ce1a3">
      <Url>http://dm2016/eesc/2020/_layouts/15/DocIdRedir.aspx?ID=VV634QRNENMJ-2141480542-7892</Url>
      <Description>VV634QRNENMJ-2141480542-7892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2021-02-10T12:00:00+00:00</ProductionDate>
    <FicheYear xmlns="cda99570-6012-4083-bfeb-7d32ad1ce1a3">2020</FicheYear>
    <DocumentNumber xmlns="de9c580c-2aa5-4762-938d-521e4861f44f">5442</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10</Value>
      <Value>8</Value>
      <Value>24</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897</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8360C-9A93-4DFE-8D3D-B789C3CCF37A}">
  <ds:schemaRefs>
    <ds:schemaRef ds:uri="cda99570-6012-4083-bfeb-7d32ad1ce1a3"/>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e9c580c-2aa5-4762-938d-521e4861f44f"/>
    <ds:schemaRef ds:uri="http://www.w3.org/XML/1998/namespace"/>
    <ds:schemaRef ds:uri="http://purl.org/dc/dcmitype/"/>
  </ds:schemaRefs>
</ds:datastoreItem>
</file>

<file path=customXml/itemProps2.xml><?xml version="1.0" encoding="utf-8"?>
<ds:datastoreItem xmlns:ds="http://schemas.openxmlformats.org/officeDocument/2006/customXml" ds:itemID="{82FC5254-2EC4-46E4-9E55-9D6FEBD7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6F8BF-26F3-4582-84ED-8A4B20F723BB}">
  <ds:schemaRefs>
    <ds:schemaRef ds:uri="http://schemas.microsoft.com/sharepoint/events"/>
  </ds:schemaRefs>
</ds:datastoreItem>
</file>

<file path=customXml/itemProps4.xml><?xml version="1.0" encoding="utf-8"?>
<ds:datastoreItem xmlns:ds="http://schemas.openxmlformats.org/officeDocument/2006/customXml" ds:itemID="{30D7E2E6-F498-4B62-8FFE-E6B8F8EAE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4881</Words>
  <Characters>26851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Galīgā redakcija - TEN 2021. gada darba programma</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Galīgā redakcija - TEN 2021. gada darba programma</dc:title>
  <dc:creator>Maria Bogdi</dc:creator>
  <cp:keywords>EESC-2020-05442-00-02-TCD-TRA-EN</cp:keywords>
  <dc:description>Rapporteur:  - Original language: EN - Date of document: 10/02/2021 - Date of meeting:  - External documents:  - Administrator: Mme FULAR Birgit Susanne Josefine</dc:description>
  <cp:lastModifiedBy>Maria Bogdi</cp:lastModifiedBy>
  <cp:revision>4</cp:revision>
  <dcterms:created xsi:type="dcterms:W3CDTF">2021-02-10T10:02:00Z</dcterms:created>
  <dcterms:modified xsi:type="dcterms:W3CDTF">2021-02-19T10:19:00Z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29/01/2021, 29/01/2021, 04/01/2021, 04/01/2021</vt:lpwstr>
  </property>
  <property fmtid="{D5CDD505-2E9C-101B-9397-08002B2CF9AE}" pid="4" name="Pref_Time">
    <vt:lpwstr>17:21:42, 15:27:35, 11:40:55, 11:31:35</vt:lpwstr>
  </property>
  <property fmtid="{D5CDD505-2E9C-101B-9397-08002B2CF9AE}" pid="5" name="Pref_User">
    <vt:lpwstr>hnic, htoo, hnic, ssex</vt:lpwstr>
  </property>
  <property fmtid="{D5CDD505-2E9C-101B-9397-08002B2CF9AE}" pid="6" name="Pref_FileName">
    <vt:lpwstr>EESC-2020-05442-00-02-TCD-TRA-EN-CRR.docx, EESC-2020-05442-00-02-TCD-CRR-EN.docx, EESC-2020-05442-00-01-TCD-TRA-EN-CRR.docx, EESC-2020-05442-00-01-TCD-CRR-EN.docx</vt:lpwstr>
  </property>
  <property fmtid="{D5CDD505-2E9C-101B-9397-08002B2CF9AE}" pid="7" name="ContentTypeId">
    <vt:lpwstr>0x010100EA97B91038054C99906057A708A1480A0076B3A83997D445469E673E9B07871DA8</vt:lpwstr>
  </property>
  <property fmtid="{D5CDD505-2E9C-101B-9397-08002B2CF9AE}" pid="8" name="_dlc_DocIdItemGuid">
    <vt:lpwstr>abac3f61-d53e-49ff-a346-8fdf28395515</vt:lpwstr>
  </property>
  <property fmtid="{D5CDD505-2E9C-101B-9397-08002B2CF9AE}" pid="9" name="AvailableTranslations">
    <vt:lpwstr>10;#DE|f6b31e5a-26fa-4935-b661-318e46daf27e;#4;#EN|f2175f21-25d7-44a3-96da-d6a61b075e1b;#11;#FR|d2afafd3-4c81-4f60-8f52-ee33f2f54ff3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5442</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Transports, énergie, infrastructures, société de l'information</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DE|f6b31e5a-26fa-4935-b661-318e46daf27e;EN|f2175f21-25d7-44a3-96da-d6a61b075e1b;FR|d2afafd3-4c81-4f60-8f52-ee33f2f54ff3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11;#FR|d2afafd3-4c81-4f60-8f52-ee33f2f54ff3;#10;#DE|f6b31e5a-26fa-4935-b661-318e46daf27e;#8;#TCD|cd9d6eb6-3f4f-424a-b2d1-57c9d450eaaf;#6;#Final|ea5e6674-7b27-4bac-b091-73adbb394efe;#5;#Unrestricted|826e22d7-d029-4ec0-a450-0c28ff673572;#4;#EN|f2175f21-25d7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897</vt:i4>
  </property>
  <property fmtid="{D5CDD505-2E9C-101B-9397-08002B2CF9AE}" pid="35" name="DocumentLanguage">
    <vt:lpwstr>24;#LV|46f7e311-5d9f-4663-b433-18aeccb7ace7</vt:lpwstr>
  </property>
</Properties>
</file>