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28DDE" w14:textId="77777777" w:rsidR="00903033" w:rsidRDefault="00903033" w:rsidP="00903033">
      <w:pPr>
        <w:spacing w:after="0" w:line="288" w:lineRule="auto"/>
        <w:jc w:val="center"/>
        <w:rPr>
          <w:rFonts w:ascii="Times New Roman" w:hAnsi="Times New Roman"/>
          <w:sz w:val="16"/>
          <w:szCs w:val="16"/>
        </w:rPr>
      </w:pPr>
      <w:r>
        <w:rPr>
          <w:noProof/>
          <w:lang w:val="fr-BE" w:eastAsia="fr-BE"/>
        </w:rPr>
        <w:drawing>
          <wp:inline distT="0" distB="0" distL="0" distR="0" wp14:anchorId="7BC96AEE" wp14:editId="79181967">
            <wp:extent cx="1792605" cy="1241425"/>
            <wp:effectExtent l="0" t="0" r="0" b="0"/>
            <wp:docPr id="2" name="Picture 2" title="EESCLogo_DE"/>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41425"/>
                    </a:xfrm>
                    <a:prstGeom prst="rect">
                      <a:avLst/>
                    </a:prstGeom>
                  </pic:spPr>
                </pic:pic>
              </a:graphicData>
            </a:graphic>
          </wp:inline>
        </w:drawing>
      </w:r>
    </w:p>
    <w:p w14:paraId="02C99434" w14:textId="3F0422D8" w:rsidR="00903033" w:rsidRPr="00903033" w:rsidRDefault="00903033" w:rsidP="00722DA3">
      <w:pPr>
        <w:spacing w:after="0" w:line="288" w:lineRule="auto"/>
        <w:jc w:val="center"/>
        <w:rPr>
          <w:rFonts w:ascii="Times New Roman" w:hAnsi="Times New Roman"/>
        </w:rPr>
      </w:pPr>
      <w:r w:rsidRPr="00903033">
        <w:rPr>
          <w:rFonts w:ascii="Times New Roman" w:hAnsi="Times New Roman"/>
        </w:rPr>
        <w:t>Fachgruppe Verkehr, Energie, Infrastrukturen, Informationsgesellschaft</w:t>
      </w:r>
    </w:p>
    <w:p w14:paraId="1CB98EB7" w14:textId="77777777" w:rsidR="00903033" w:rsidRDefault="00903033" w:rsidP="00722DA3">
      <w:pPr>
        <w:spacing w:after="0" w:line="288" w:lineRule="auto"/>
        <w:jc w:val="center"/>
        <w:rPr>
          <w:rFonts w:ascii="Times New Roman" w:hAnsi="Times New Roman"/>
          <w:b/>
        </w:rPr>
      </w:pPr>
    </w:p>
    <w:p w14:paraId="44C9EEAC" w14:textId="64433EB5" w:rsidR="00856868" w:rsidRPr="006255E2" w:rsidRDefault="00856868" w:rsidP="00722DA3">
      <w:pPr>
        <w:spacing w:after="0" w:line="288" w:lineRule="auto"/>
        <w:jc w:val="center"/>
        <w:rPr>
          <w:rFonts w:ascii="Times New Roman" w:hAnsi="Times New Roman"/>
          <w:b/>
        </w:rPr>
      </w:pPr>
      <w:r>
        <w:rPr>
          <w:rFonts w:ascii="Times New Roman" w:hAnsi="Times New Roman"/>
          <w:b/>
        </w:rPr>
        <w:t xml:space="preserve">ARBEITSPROGRAMM DER FACHGRUPPE TEN FÜR 2021 </w:t>
      </w:r>
    </w:p>
    <w:p w14:paraId="07990D63" w14:textId="7B571298" w:rsidR="0049537D" w:rsidRPr="006255E2" w:rsidRDefault="0049537D">
      <w:pPr>
        <w:spacing w:after="0" w:line="288" w:lineRule="auto"/>
        <w:jc w:val="both"/>
        <w:rPr>
          <w:rFonts w:ascii="Times New Roman" w:hAnsi="Times New Roman"/>
        </w:rPr>
      </w:pPr>
    </w:p>
    <w:p w14:paraId="30EC8D26" w14:textId="7B7D0556" w:rsidR="00B561E6" w:rsidRPr="006255E2" w:rsidRDefault="00B561E6">
      <w:pPr>
        <w:spacing w:after="0" w:line="288" w:lineRule="auto"/>
        <w:jc w:val="both"/>
        <w:rPr>
          <w:rFonts w:ascii="Times New Roman" w:hAnsi="Times New Roman"/>
        </w:rPr>
      </w:pPr>
      <w:r>
        <w:rPr>
          <w:rFonts w:ascii="Times New Roman" w:hAnsi="Times New Roman"/>
        </w:rPr>
        <w:t>Das Arbeitsprogramm der Fachgruppe TEN folgt unmittelbar auf die Billigung des Vorschlags der Europäischen Kommission für ein ehrgeizigeres Klimaziel für 2030 durch den Europäischen Rat. Langfristig bedeutet dies, den ökologischen Wandel zu beschleunigen und bis 2030 das neue Ziel einer Verringerung der Treibhausgasemissionen um 55 % und bis 2050 Klimaneutralität zu erreichen. Bei diesem ehrgeizigen Ziel sollte ein sozial gerechter und wirtschaftlich gerechtfertigter Übergang im Rahmen des europäischen Grünen Deals im Blick behalten werden, damit „niemand zurückgelassen wird“.</w:t>
      </w:r>
    </w:p>
    <w:p w14:paraId="7DEFB6C7" w14:textId="77777777" w:rsidR="00B561E6" w:rsidRPr="006255E2" w:rsidRDefault="00B561E6">
      <w:pPr>
        <w:spacing w:after="0" w:line="288" w:lineRule="auto"/>
        <w:jc w:val="both"/>
        <w:rPr>
          <w:rFonts w:ascii="Times New Roman" w:hAnsi="Times New Roman"/>
        </w:rPr>
      </w:pPr>
    </w:p>
    <w:p w14:paraId="7043F789" w14:textId="0642B366" w:rsidR="00B561E6" w:rsidRPr="006255E2" w:rsidRDefault="00B561E6">
      <w:pPr>
        <w:spacing w:after="0" w:line="288" w:lineRule="auto"/>
        <w:jc w:val="both"/>
        <w:rPr>
          <w:rFonts w:ascii="Times New Roman" w:hAnsi="Times New Roman"/>
        </w:rPr>
      </w:pPr>
      <w:r>
        <w:rPr>
          <w:rFonts w:ascii="Times New Roman" w:hAnsi="Times New Roman"/>
        </w:rPr>
        <w:t xml:space="preserve">Der europäische Grüne Deal ist eine klare Priorität und ein zentrales Element des Aufbauplans. Die Erfahrungen mit der COVID-19-Krise werden mit ziemlicher Sicherheit für eine größere Dynamik in Richtung neuer Arbeitsmethoden, Automatisierung und Digitalisierung sorgen. Es bestehen beachtliche Finanzierungsmöglichkeiten bei Projekten, Technologien und Marktlösungen im Bereich nachhaltige Energie, Verkehr und Dienstleistungen von allgemeinem Interesse, die den Bürgerinnen und Bürgern vor Ort unmittelbare Vorteile bringen können. </w:t>
      </w:r>
    </w:p>
    <w:p w14:paraId="7C5F1A34" w14:textId="77777777" w:rsidR="00A961F0" w:rsidRPr="006255E2" w:rsidRDefault="00A961F0">
      <w:pPr>
        <w:spacing w:after="0" w:line="288" w:lineRule="auto"/>
        <w:jc w:val="both"/>
        <w:rPr>
          <w:rFonts w:ascii="Times New Roman" w:hAnsi="Times New Roman"/>
        </w:rPr>
      </w:pPr>
    </w:p>
    <w:p w14:paraId="7A7C3DB9" w14:textId="312406CE" w:rsidR="00B561E6" w:rsidRPr="006255E2" w:rsidRDefault="00B561E6">
      <w:pPr>
        <w:spacing w:after="0" w:line="288" w:lineRule="auto"/>
        <w:jc w:val="both"/>
        <w:rPr>
          <w:rFonts w:ascii="Times New Roman" w:hAnsi="Times New Roman"/>
        </w:rPr>
      </w:pPr>
      <w:r>
        <w:rPr>
          <w:rFonts w:ascii="Times New Roman" w:hAnsi="Times New Roman"/>
        </w:rPr>
        <w:t xml:space="preserve">Die Fachgruppe TEN will sich auf der Grundlage ihrer früheren Arbeiten, insbesondere im Bereich Informationsgesellschaft und Medien, und im Einklang mit der Sicherheitsunion bei ihrer Arbeit mit der inneren Sicherheit befassen. </w:t>
      </w:r>
    </w:p>
    <w:p w14:paraId="0B58E543" w14:textId="77777777" w:rsidR="00B561E6" w:rsidRPr="006255E2" w:rsidRDefault="00B561E6">
      <w:pPr>
        <w:spacing w:after="0" w:line="288" w:lineRule="auto"/>
        <w:jc w:val="both"/>
        <w:rPr>
          <w:rFonts w:ascii="Times New Roman" w:hAnsi="Times New Roman"/>
        </w:rPr>
      </w:pPr>
    </w:p>
    <w:p w14:paraId="6C5FE2F9" w14:textId="25DB8BE0" w:rsidR="00B561E6" w:rsidRPr="006255E2" w:rsidRDefault="00B561E6">
      <w:pPr>
        <w:spacing w:after="0" w:line="288" w:lineRule="auto"/>
        <w:jc w:val="both"/>
        <w:rPr>
          <w:rFonts w:ascii="Times New Roman" w:hAnsi="Times New Roman"/>
        </w:rPr>
      </w:pPr>
      <w:r>
        <w:rPr>
          <w:rFonts w:ascii="Times New Roman" w:hAnsi="Times New Roman"/>
        </w:rPr>
        <w:t xml:space="preserve">2021 werden der Aufbau und die Resilienz der Europäischen Union (EU) die beherrschenden Themen sein. Allen nachfolgend genannten Wirtschaftszweigen wird eine entscheidende Rolle dabei zukommen, für Beschäftigte, Unternehmen sowie die Unionsbürgerinnen und -bürger ein gewisses Maß an Normalität wiederherzustellen. </w:t>
      </w:r>
    </w:p>
    <w:p w14:paraId="2ABDFE4E" w14:textId="77777777" w:rsidR="00A961F0" w:rsidRPr="006255E2" w:rsidRDefault="00A961F0">
      <w:pPr>
        <w:spacing w:after="0" w:line="288" w:lineRule="auto"/>
        <w:jc w:val="both"/>
        <w:rPr>
          <w:rFonts w:ascii="Times New Roman" w:hAnsi="Times New Roman"/>
        </w:rPr>
      </w:pPr>
    </w:p>
    <w:p w14:paraId="35936E08" w14:textId="7291D77B" w:rsidR="00B561E6" w:rsidRPr="006255E2" w:rsidRDefault="00B561E6">
      <w:pPr>
        <w:spacing w:after="0" w:line="288" w:lineRule="auto"/>
        <w:jc w:val="both"/>
        <w:rPr>
          <w:rFonts w:ascii="Times New Roman" w:hAnsi="Times New Roman"/>
        </w:rPr>
      </w:pPr>
      <w:r>
        <w:rPr>
          <w:rFonts w:ascii="Times New Roman" w:hAnsi="Times New Roman"/>
        </w:rPr>
        <w:t>Die Initiativen der EU werden zunehmend einen bereichsübergreifenden Charakter aufweisen. Daher sieht die Fachgruppe TEN erwartungsvoll einer aktiven Zusammenarbeit mit den anderen Fachgruppen und der CCMI mit dem Ziel einer breiten und kohärenten Beteiligung der organisierten Gesellschaft in Europa an der Gestaltung der europäischen Politik entgegen.</w:t>
      </w:r>
    </w:p>
    <w:p w14:paraId="73F1013E" w14:textId="77777777" w:rsidR="00B561E6" w:rsidRPr="006255E2" w:rsidRDefault="00B561E6">
      <w:pPr>
        <w:spacing w:after="0" w:line="288" w:lineRule="auto"/>
        <w:jc w:val="both"/>
        <w:rPr>
          <w:rFonts w:ascii="Times New Roman" w:hAnsi="Times New Roman"/>
        </w:rPr>
      </w:pPr>
    </w:p>
    <w:p w14:paraId="0B0FC9E5" w14:textId="600471FB" w:rsidR="00B561E6" w:rsidRPr="006255E2" w:rsidRDefault="00B561E6">
      <w:pPr>
        <w:spacing w:after="0" w:line="288" w:lineRule="auto"/>
        <w:jc w:val="both"/>
        <w:rPr>
          <w:rFonts w:ascii="Times New Roman" w:hAnsi="Times New Roman"/>
        </w:rPr>
      </w:pPr>
      <w:r>
        <w:rPr>
          <w:rFonts w:ascii="Times New Roman" w:hAnsi="Times New Roman"/>
        </w:rPr>
        <w:t xml:space="preserve">Hinsichtlich der Energie, des Verkehrs und der Dienstleistungen von allgemeinem Interesse, der Informationsgesellschaft und der Medien sieht die Fachgruppe TEN im kommenden Jahr ein beachtliches Arbeitsprogramm voraus. Vor ihr liegt ein anspruchsvoller Zeitplan. Bereits in den letzten Monaten des Jahres 2020 wurden neue Vorschläge vorgelegt, und im Verlauf des Jahres 2021 sind weitere vorgesehen. Das bedeutet auch, dass die Mitglieder der Fachgruppe TEN mehrfach Gelegenheit </w:t>
      </w:r>
      <w:r>
        <w:rPr>
          <w:rFonts w:ascii="Times New Roman" w:hAnsi="Times New Roman"/>
        </w:rPr>
        <w:lastRenderedPageBreak/>
        <w:t xml:space="preserve">haben werden, der Stimme der organisierten Zivilgesellschaft aus allen Mitgliedstaaten bei der Gestaltung der EU-Politik unter den derzeitigen schwierigen Umständen Gehör zu verschaffen. </w:t>
      </w:r>
    </w:p>
    <w:p w14:paraId="3AAA6320" w14:textId="45CFB44B" w:rsidR="00F779A7" w:rsidRPr="00A132AE" w:rsidRDefault="00F779A7">
      <w:pPr>
        <w:spacing w:after="0" w:line="288" w:lineRule="auto"/>
        <w:jc w:val="both"/>
        <w:rPr>
          <w:rFonts w:ascii="Times New Roman" w:hAnsi="Times New Roman"/>
        </w:rPr>
      </w:pPr>
    </w:p>
    <w:p w14:paraId="4C4477A3" w14:textId="60350D7B" w:rsidR="00F779A7" w:rsidRPr="006255E2" w:rsidRDefault="00F779A7">
      <w:pPr>
        <w:spacing w:after="0" w:line="288" w:lineRule="auto"/>
        <w:jc w:val="both"/>
        <w:rPr>
          <w:rFonts w:ascii="Times New Roman" w:hAnsi="Times New Roman"/>
        </w:rPr>
      </w:pPr>
      <w:r>
        <w:rPr>
          <w:rFonts w:ascii="Times New Roman" w:hAnsi="Times New Roman"/>
        </w:rPr>
        <w:t>Schließlich ist generell bei allen Arbeiten der Fachgruppe TEN und ihrer thematischen Studiengruppen (TSG) zu berücksichtigen, dass durch die COVID-19-Pandemie 2020 auf der ganzen Welt eine nie dagewesene Gesundheits-, Wirtschafts- und Sozialkrise ausgelöst wurde. Die Pandemie wird sich zweifellos auch 2021 noch auswirken. Daher werden die Fachgruppe TEN und ihre TSG ihre Prioritäten und Tätigkeiten entsprechend anpassen, um auf die COVID-19-Krise zu reagieren und deren soziale und wirtschaftliche Folgen in der EU abzumildern.</w:t>
      </w:r>
    </w:p>
    <w:p w14:paraId="047AD230" w14:textId="591475ED" w:rsidR="009F1B0A" w:rsidRPr="006255E2" w:rsidRDefault="009F1B0A">
      <w:pPr>
        <w:spacing w:after="0" w:line="288" w:lineRule="auto"/>
        <w:jc w:val="both"/>
        <w:rPr>
          <w:rFonts w:ascii="Times New Roman" w:hAnsi="Times New Roman"/>
        </w:rPr>
      </w:pPr>
    </w:p>
    <w:p w14:paraId="15A346DD" w14:textId="7BABF8DD" w:rsidR="00856868" w:rsidRPr="006255E2" w:rsidRDefault="00856868" w:rsidP="00A132AE">
      <w:pPr>
        <w:keepNext/>
        <w:spacing w:after="0" w:line="288" w:lineRule="auto"/>
        <w:rPr>
          <w:rFonts w:ascii="Times New Roman" w:hAnsi="Times New Roman"/>
          <w:b/>
        </w:rPr>
      </w:pPr>
      <w:r>
        <w:rPr>
          <w:rFonts w:ascii="Times New Roman" w:hAnsi="Times New Roman"/>
          <w:b/>
        </w:rPr>
        <w:t>ENERGIE</w:t>
      </w:r>
    </w:p>
    <w:p w14:paraId="0C9A8C26" w14:textId="713A1C72" w:rsidR="00856868" w:rsidRPr="00A132AE" w:rsidRDefault="00856868" w:rsidP="00A132AE">
      <w:pPr>
        <w:keepNext/>
        <w:spacing w:after="0" w:line="288" w:lineRule="auto"/>
        <w:jc w:val="both"/>
        <w:rPr>
          <w:rFonts w:ascii="Times New Roman" w:hAnsi="Times New Roman"/>
        </w:rPr>
      </w:pPr>
    </w:p>
    <w:p w14:paraId="422DAA63" w14:textId="3B933480" w:rsidR="00B561E6" w:rsidRPr="006255E2" w:rsidRDefault="00827258">
      <w:pPr>
        <w:spacing w:after="0" w:line="288" w:lineRule="auto"/>
        <w:jc w:val="both"/>
        <w:rPr>
          <w:rFonts w:ascii="Times New Roman" w:hAnsi="Times New Roman"/>
        </w:rPr>
      </w:pPr>
      <w:r>
        <w:rPr>
          <w:rFonts w:ascii="Times New Roman" w:hAnsi="Times New Roman"/>
        </w:rPr>
        <w:t xml:space="preserve">Die heutige Zeit ist entscheidend für die künftige Entwicklung der EU. Der Gesundheitsnotstand infolge der COVID-19-Pandemie hat in ganzen Wirtschaftszweigen enorme Verluste zur Folge. Gleichzeitig ist die EU durch die Herausforderung des Klimawandels gezwungen, die im europäischen Grünen Deal und in der digitalen Agenda festgelegten Ziele weiterzuverfolgen. Mit dem neuen mehrjährigen Finanzrahmen und dem befristeten Instrument NextGenerationEU werden finanzielle Anreize zur Unterstützung des Aufbaus geschaffen. Die Europäische Kommission hat ein ehrgeiziges Arbeitsprogramm vorgelegt, das zwar aus mehreren verschiedenen Vorschlägen für neue und überarbeitete Rechtsvorschriften besteht, jedoch vor dem Hintergrund des übergeordneten Ziels der Erreichung der Klimaneutralität als Einheit zu betrachten ist. </w:t>
      </w:r>
    </w:p>
    <w:p w14:paraId="58B17C42" w14:textId="77777777" w:rsidR="00A961F0" w:rsidRPr="006255E2" w:rsidRDefault="00A961F0">
      <w:pPr>
        <w:spacing w:after="0" w:line="288" w:lineRule="auto"/>
        <w:jc w:val="both"/>
        <w:rPr>
          <w:rFonts w:ascii="Times New Roman" w:hAnsi="Times New Roman"/>
        </w:rPr>
      </w:pPr>
    </w:p>
    <w:p w14:paraId="49905BE8" w14:textId="349C809B" w:rsidR="00A961F0" w:rsidRPr="006255E2" w:rsidRDefault="00DC7368">
      <w:pPr>
        <w:spacing w:after="0" w:line="288" w:lineRule="auto"/>
        <w:jc w:val="both"/>
        <w:rPr>
          <w:rFonts w:ascii="Times New Roman" w:hAnsi="Times New Roman"/>
        </w:rPr>
      </w:pPr>
      <w:r>
        <w:rPr>
          <w:rFonts w:ascii="Times New Roman" w:hAnsi="Times New Roman"/>
        </w:rPr>
        <w:t xml:space="preserve">Gleichwohl muss dem finanziellen und sozialen Druck – u. a. Arbeitslosigkeit und Armut – Rechnung getragen werden, unter dem die von der Krise getroffenen Bürgerinnen und Bürger sowie Unternehmen stehen. Unternehmen mit Liquiditätsproblemen im Frühjahr 2020 droht nun erneut die Insolvenz. Daher muss der Notwendigkeit, die Märkte wiederherzustellen und im Zuge der Umsetzung des Arbeitsprogramms der Kommission den sozialen und territorialen Zusammenhalt zu gewährleisten, gebührende Beachtung geschenkt werden, indem die tatsächlichen Auswirkungen der Maßnahmen im Energiesektor auf das Leben der Unionsbürgerinnen und -bürger sowie auf Unternehmen, insbesondere KMU, angemessen berücksichtigt werden, einschließlich der Ermittlung neuer Geschäftsmöglichkeiten sowie des Erhalts gefährdeter und der Schaffung neuer Arbeitsplätze. Dies steht auch im Einklang mit den Prioritäten des portugiesischen Ratsvorsitzes für das nächste Halbjahr, in deren Mittelpunkt eine resiliente, grüne, soziale, digitale und globale EU stehen wird. Durch die Studiengruppe </w:t>
      </w:r>
      <w:r>
        <w:rPr>
          <w:rFonts w:ascii="Times New Roman" w:hAnsi="Times New Roman"/>
          <w:i/>
        </w:rPr>
        <w:t xml:space="preserve">Bericht über die Lage der Energieunion 2020 und Bewertung der nationalen Energie- und Klimapläne </w:t>
      </w:r>
      <w:r>
        <w:rPr>
          <w:rFonts w:ascii="Times New Roman" w:hAnsi="Times New Roman"/>
        </w:rPr>
        <w:t xml:space="preserve">(TEN/724) bietet sich eine Gelegenheit, die diesbezüglichen verschiedenen Perspektiven und ihre finanzielle Tragfähigkeit zu beleuchten sowie die von den Mitgliedstaaten ergriffenen und geplanten Maßnahmen zu analysieren, auch im Hinblick auf einen gerechten Übergang. </w:t>
      </w:r>
    </w:p>
    <w:p w14:paraId="6B00317F" w14:textId="77777777" w:rsidR="00A961F0" w:rsidRPr="006255E2" w:rsidRDefault="00A961F0" w:rsidP="00A132AE">
      <w:pPr>
        <w:spacing w:after="0" w:line="288" w:lineRule="auto"/>
        <w:jc w:val="both"/>
        <w:rPr>
          <w:rFonts w:ascii="Times New Roman" w:hAnsi="Times New Roman"/>
        </w:rPr>
      </w:pPr>
    </w:p>
    <w:p w14:paraId="53AADF19" w14:textId="2E8FAE9F" w:rsidR="00856868" w:rsidRPr="006255E2" w:rsidRDefault="008E071B">
      <w:pPr>
        <w:spacing w:after="0" w:line="288" w:lineRule="auto"/>
        <w:jc w:val="both"/>
        <w:rPr>
          <w:rFonts w:ascii="Times New Roman" w:hAnsi="Times New Roman"/>
        </w:rPr>
      </w:pPr>
      <w:r>
        <w:rPr>
          <w:rFonts w:ascii="Times New Roman" w:hAnsi="Times New Roman"/>
        </w:rPr>
        <w:t xml:space="preserve">Die Bekämpfung der Energiearmut und der Schutz gefährdeter Haushalte werden weiterhin Prioritäten der Fachgruppe TEN sein, wobei sie eng mit der Fachgruppe SOC zusammenarbeiten wird. Dieses Thema ist mit dem Politikbereich Dienstleistungen von allgemeinem Interesse (DAI) verzahnt und wird von der Studiengruppe </w:t>
      </w:r>
      <w:r>
        <w:rPr>
          <w:rFonts w:ascii="Times New Roman" w:hAnsi="Times New Roman"/>
          <w:i/>
        </w:rPr>
        <w:t>Eine Renovierungswelle für Europa</w:t>
      </w:r>
      <w:r>
        <w:rPr>
          <w:rFonts w:ascii="Times New Roman" w:hAnsi="Times New Roman"/>
        </w:rPr>
        <w:t xml:space="preserve"> (TEN/723) untersucht. Im Rahmen dieser Initiative ist ein breites Spektrum von Maßnahmen vorgesehen, um die jährliche Quote der energetischen Renovierungen von Wohn- und Nichtwohngebäuden bis 2030 mindestens zu verdoppeln. Dabei soll auf Energieeffizienz und Erschwinglichkeit geachtet werden, und es sollen Impulse für das Baugewerbe und die Schaffung von Arbeitsplätzen in dieser Branche gesetzt werden. Später werden </w:t>
      </w:r>
      <w:r>
        <w:rPr>
          <w:rFonts w:ascii="Times New Roman" w:hAnsi="Times New Roman"/>
        </w:rPr>
        <w:lastRenderedPageBreak/>
        <w:t xml:space="preserve">diese Maßnahmen durch Überarbeitungen der </w:t>
      </w:r>
      <w:r>
        <w:rPr>
          <w:rFonts w:ascii="Times New Roman" w:hAnsi="Times New Roman"/>
          <w:i/>
        </w:rPr>
        <w:t>Energieeffizienzrichtlinie</w:t>
      </w:r>
      <w:r>
        <w:rPr>
          <w:rFonts w:ascii="Times New Roman" w:hAnsi="Times New Roman"/>
        </w:rPr>
        <w:t xml:space="preserve"> und der </w:t>
      </w:r>
      <w:r>
        <w:rPr>
          <w:rFonts w:ascii="Times New Roman" w:hAnsi="Times New Roman"/>
          <w:i/>
        </w:rPr>
        <w:t>Richtlinie über die Gesamtenergieeffizienz von Gebäuden</w:t>
      </w:r>
      <w:r>
        <w:rPr>
          <w:rFonts w:ascii="Times New Roman" w:hAnsi="Times New Roman"/>
        </w:rPr>
        <w:t xml:space="preserve"> ergänzt. In der Letzteren soll die schrittweise Einführung von verbindlichen Mindestnormen für die Energieeffizienz von vorhandenen Gebäuden vorgesehen werden. In diesem Zusammenhang wird die Fachgruppe TEN eine Studie zum Thema </w:t>
      </w:r>
      <w:r>
        <w:rPr>
          <w:rFonts w:ascii="Times New Roman" w:hAnsi="Times New Roman"/>
          <w:i/>
        </w:rPr>
        <w:t>Mindestnormen für die Energieeffizienz im Wohnungssektor</w:t>
      </w:r>
      <w:r>
        <w:rPr>
          <w:rFonts w:ascii="Times New Roman" w:hAnsi="Times New Roman"/>
        </w:rPr>
        <w:t xml:space="preserve"> unterstützen, um die Einführung dieser Normen für verschiedene Gebäudearten zu bewerten. Mit dieser Studie sollen in erster Linie die Auswirkungen auf von Energiearmut betroffene und schutzbedürftige Verbraucher untersucht und zudem politische Empfehlungen gegeben werden. </w:t>
      </w:r>
    </w:p>
    <w:p w14:paraId="74C73797" w14:textId="77777777" w:rsidR="00A961F0" w:rsidRPr="006255E2" w:rsidRDefault="00A961F0" w:rsidP="00A132AE">
      <w:pPr>
        <w:spacing w:after="0" w:line="288" w:lineRule="auto"/>
        <w:jc w:val="both"/>
        <w:rPr>
          <w:rFonts w:ascii="Times New Roman" w:hAnsi="Times New Roman"/>
        </w:rPr>
      </w:pPr>
    </w:p>
    <w:p w14:paraId="368C1A8F" w14:textId="1316BFB4" w:rsidR="001F6EC3" w:rsidRPr="006255E2" w:rsidRDefault="00856868">
      <w:pPr>
        <w:spacing w:after="0" w:line="288" w:lineRule="auto"/>
        <w:jc w:val="both"/>
        <w:rPr>
          <w:rFonts w:ascii="Times New Roman" w:hAnsi="Times New Roman"/>
        </w:rPr>
      </w:pPr>
      <w:r>
        <w:rPr>
          <w:rFonts w:ascii="Times New Roman" w:hAnsi="Times New Roman"/>
        </w:rPr>
        <w:t xml:space="preserve">Im Hinblick auf die künftige Gestaltung von Energiesystemen und -infrastrukturen hat die Fachgruppe TEN wiederholt betont, dass alle Verbraucher – Privathaushalte, Unternehmen und Energiegemeinschaften – aktiv an der Entwicklung intelligenter Energiesysteme beteiligt werden müssen. Wie der EWSA in seiner Stellungnahme zum Thema </w:t>
      </w:r>
      <w:r>
        <w:rPr>
          <w:rFonts w:ascii="Times New Roman" w:hAnsi="Times New Roman"/>
          <w:i/>
        </w:rPr>
        <w:t>Zwischen transeuropäischem Supernetz und lokalen Energieinseln</w:t>
      </w:r>
      <w:r>
        <w:rPr>
          <w:rFonts w:ascii="Times New Roman" w:hAnsi="Times New Roman"/>
        </w:rPr>
        <w:t xml:space="preserve"> (TEN/706) hervorgehoben hat, sollte bei Diskussionen über öffentliche Investitionen in die Infrastruktur die Frage von Eigentum und Kont</w:t>
      </w:r>
      <w:r w:rsidR="00D3088F">
        <w:rPr>
          <w:rFonts w:ascii="Times New Roman" w:hAnsi="Times New Roman"/>
        </w:rPr>
        <w:t>rolle der Infrastruktur in EWSA</w:t>
      </w:r>
      <w:r w:rsidR="00D3088F">
        <w:rPr>
          <w:rFonts w:ascii="Times New Roman" w:hAnsi="Times New Roman"/>
        </w:rPr>
        <w:noBreakHyphen/>
      </w:r>
      <w:r>
        <w:rPr>
          <w:rFonts w:ascii="Times New Roman" w:hAnsi="Times New Roman"/>
        </w:rPr>
        <w:t>Stellungnahmen einer weiteren Klärung unterzogen werden, zumal es hierbei um massive öffentliche Mittel geht.</w:t>
      </w:r>
    </w:p>
    <w:p w14:paraId="46408FFC" w14:textId="77777777" w:rsidR="00A961F0" w:rsidRPr="006255E2" w:rsidRDefault="00A961F0">
      <w:pPr>
        <w:spacing w:after="0" w:line="288" w:lineRule="auto"/>
        <w:jc w:val="both"/>
        <w:rPr>
          <w:rFonts w:ascii="Times New Roman" w:hAnsi="Times New Roman"/>
        </w:rPr>
      </w:pPr>
    </w:p>
    <w:p w14:paraId="4F70B237" w14:textId="6D42D46B" w:rsidR="001F6EC3" w:rsidRPr="006255E2" w:rsidRDefault="00922F72">
      <w:pPr>
        <w:spacing w:after="0" w:line="288" w:lineRule="auto"/>
        <w:jc w:val="both"/>
        <w:rPr>
          <w:rFonts w:ascii="Times New Roman" w:hAnsi="Times New Roman"/>
        </w:rPr>
      </w:pPr>
      <w:r>
        <w:rPr>
          <w:rFonts w:ascii="Times New Roman" w:hAnsi="Times New Roman"/>
        </w:rPr>
        <w:t xml:space="preserve">Der EWSA hat vor Kurzem seine Stellungnahmen zu den beiden ergänzenden Mitteilungen der Kommission zu den Themen </w:t>
      </w:r>
      <w:r>
        <w:rPr>
          <w:rFonts w:ascii="Times New Roman" w:hAnsi="Times New Roman"/>
          <w:i/>
        </w:rPr>
        <w:t>EU-Strategie zur Integration des Energiesystems</w:t>
      </w:r>
      <w:r>
        <w:rPr>
          <w:rFonts w:ascii="Times New Roman" w:hAnsi="Times New Roman"/>
        </w:rPr>
        <w:t xml:space="preserve"> (TEN/717) und </w:t>
      </w:r>
      <w:r>
        <w:rPr>
          <w:rFonts w:ascii="Times New Roman" w:hAnsi="Times New Roman"/>
          <w:i/>
        </w:rPr>
        <w:t>Wasserstoffstrategie</w:t>
      </w:r>
      <w:r>
        <w:rPr>
          <w:rFonts w:ascii="Times New Roman" w:hAnsi="Times New Roman"/>
        </w:rPr>
        <w:t xml:space="preserve"> (TEN/718) fertiggestellt, die auf der Plenartagung im Januar verabschiedet wurden. </w:t>
      </w:r>
    </w:p>
    <w:p w14:paraId="54C35A67" w14:textId="77777777" w:rsidR="00A961F0" w:rsidRPr="006255E2" w:rsidRDefault="00A961F0">
      <w:pPr>
        <w:spacing w:after="0" w:line="288" w:lineRule="auto"/>
        <w:jc w:val="both"/>
        <w:rPr>
          <w:rFonts w:ascii="Times New Roman" w:hAnsi="Times New Roman"/>
        </w:rPr>
      </w:pPr>
    </w:p>
    <w:p w14:paraId="5D3D9E64" w14:textId="345B799C" w:rsidR="00856868" w:rsidRPr="006255E2" w:rsidRDefault="00856868">
      <w:pPr>
        <w:spacing w:after="0" w:line="288" w:lineRule="auto"/>
        <w:jc w:val="both"/>
        <w:rPr>
          <w:rFonts w:ascii="Times New Roman" w:hAnsi="Times New Roman"/>
        </w:rPr>
      </w:pPr>
      <w:r>
        <w:rPr>
          <w:rFonts w:ascii="Times New Roman" w:hAnsi="Times New Roman"/>
        </w:rPr>
        <w:t xml:space="preserve">Im Rahmen dieser Strategien werden zahlreiche Legislativinitiativen folgen. Ende 2020 legte die Kommission ihren Vorschlag für die </w:t>
      </w:r>
      <w:r>
        <w:rPr>
          <w:rFonts w:ascii="Times New Roman" w:hAnsi="Times New Roman"/>
          <w:i/>
        </w:rPr>
        <w:t>Überarbeitung der Leitlinien der TEN-E-Verordnung</w:t>
      </w:r>
      <w:r>
        <w:rPr>
          <w:rFonts w:ascii="Times New Roman" w:hAnsi="Times New Roman"/>
        </w:rPr>
        <w:t xml:space="preserve"> vor, in denen Vorschriften für die Entwicklung und Interoperabilität von transeuropäischen Energieinfrastrukturen festgelegt werden, um für die zeitgerechte Umsetzung von Vorhaben von gemeinsamem Interesse, mit denen Energiemärkte vernetzt werden, zu sorgen. Derzeit wird der Vorschlag für die neue Verordnung sorgfältig von der Fachgruppe TEN geprüft. In Verbindung mit dem Verkehrssektor wird auch die </w:t>
      </w:r>
      <w:r>
        <w:rPr>
          <w:rFonts w:ascii="Times New Roman" w:hAnsi="Times New Roman"/>
          <w:i/>
        </w:rPr>
        <w:t>Richtlinie über den Aufbau der Infrastruktur für alternative Kraftstoffe überarbeitet</w:t>
      </w:r>
      <w:r>
        <w:rPr>
          <w:rFonts w:ascii="Times New Roman" w:hAnsi="Times New Roman"/>
        </w:rPr>
        <w:t>, um dafür zu sorgen, dass EU-weit ein engmaschiges, weit verzweigtes Infrastrukturnetz für alternative Kraftstoffe – vor allem Energiespeicherung (Staudämme und elektrische Batterien), Erd- und Hybridgas und Wasserstoff – verfügbar und nutzbar ist.</w:t>
      </w:r>
    </w:p>
    <w:p w14:paraId="4383C368" w14:textId="77777777" w:rsidR="00A961F0" w:rsidRPr="006255E2" w:rsidRDefault="00A961F0" w:rsidP="00A132AE">
      <w:pPr>
        <w:spacing w:after="0" w:line="288" w:lineRule="auto"/>
        <w:jc w:val="both"/>
        <w:rPr>
          <w:rFonts w:ascii="Times New Roman" w:hAnsi="Times New Roman"/>
        </w:rPr>
      </w:pPr>
    </w:p>
    <w:p w14:paraId="1FF25A24" w14:textId="475C738F" w:rsidR="00856868" w:rsidRPr="006255E2" w:rsidRDefault="00182A05">
      <w:pPr>
        <w:spacing w:after="0" w:line="288" w:lineRule="auto"/>
        <w:jc w:val="both"/>
        <w:rPr>
          <w:rFonts w:ascii="Times New Roman" w:hAnsi="Times New Roman"/>
        </w:rPr>
      </w:pPr>
      <w:r>
        <w:rPr>
          <w:rFonts w:ascii="Times New Roman" w:hAnsi="Times New Roman"/>
        </w:rPr>
        <w:t xml:space="preserve">Im Hinblick auf die Gestaltung der künftigen Energiesysteme wird die Rolle von erneuerbaren Energieträgern 2021 ebenfalls ein wichtiges Thema für die Tätigkeit der Fachgruppe TEN sein: Das Ziel der Dekarbonisierung und der sauberen Elektrifizierung ist in der Tat nicht zu erreichen, ohne dass der Anteil erneuerbarer Energieträger am Energiemix deutlich gesteigert wird. Durch die Initiative zur </w:t>
      </w:r>
      <w:r>
        <w:rPr>
          <w:rFonts w:ascii="Times New Roman" w:hAnsi="Times New Roman"/>
          <w:i/>
        </w:rPr>
        <w:t>Strategie für erneuerbare Offshore-Energie</w:t>
      </w:r>
      <w:r>
        <w:rPr>
          <w:rFonts w:ascii="Times New Roman" w:hAnsi="Times New Roman"/>
        </w:rPr>
        <w:t xml:space="preserve"> (TEN/726) und die geplante </w:t>
      </w:r>
      <w:r>
        <w:rPr>
          <w:rFonts w:ascii="Times New Roman" w:hAnsi="Times New Roman"/>
          <w:i/>
        </w:rPr>
        <w:t>Überarbeitung der Erneuerbare-Energien-Richtlinie</w:t>
      </w:r>
      <w:r>
        <w:rPr>
          <w:rFonts w:ascii="Times New Roman" w:hAnsi="Times New Roman"/>
        </w:rPr>
        <w:t xml:space="preserve"> bietet sich eine Möglichkeit, die Entwicklungen in diesem Bereich umfangreicher zu untersuchen und im Interesse der Zivilgesellschaft Empfehlungen zu formulieren, u. a. zur Rolle und zum Potential von Biokraftstoffen. </w:t>
      </w:r>
    </w:p>
    <w:p w14:paraId="20A0146C" w14:textId="77777777" w:rsidR="00A961F0" w:rsidRPr="006255E2" w:rsidRDefault="00A961F0">
      <w:pPr>
        <w:spacing w:after="0" w:line="288" w:lineRule="auto"/>
        <w:jc w:val="both"/>
        <w:rPr>
          <w:rFonts w:ascii="Times New Roman" w:hAnsi="Times New Roman"/>
        </w:rPr>
      </w:pPr>
    </w:p>
    <w:p w14:paraId="2F78DB90" w14:textId="5F2EC5B0" w:rsidR="00856868" w:rsidRPr="006255E2" w:rsidRDefault="00182A05">
      <w:pPr>
        <w:spacing w:after="0" w:line="288" w:lineRule="auto"/>
        <w:jc w:val="both"/>
        <w:rPr>
          <w:rFonts w:ascii="Times New Roman" w:hAnsi="Times New Roman"/>
        </w:rPr>
      </w:pPr>
      <w:r>
        <w:rPr>
          <w:rFonts w:ascii="Times New Roman" w:hAnsi="Times New Roman"/>
        </w:rPr>
        <w:t xml:space="preserve">Im Hinblick auf Gas werden neue politische Maßnahmen entwickelt und vorhandene Rechtsvorschriften überarbeitet, um das Ziel der Klimaneutralität zu verwirklichen. Als zweithäufigstes Treibhausgas trägt Methan zum Klimawandel bei. Etwa ein Drittel der weltweiten, vom Menschen verursachten Methanemissionen sind auf den Energiesektor zurückzuführen. In den ersten Monaten des Jahres 2021 </w:t>
      </w:r>
      <w:r>
        <w:rPr>
          <w:rFonts w:ascii="Times New Roman" w:hAnsi="Times New Roman"/>
        </w:rPr>
        <w:lastRenderedPageBreak/>
        <w:t xml:space="preserve">wird sich die Fachgruppe TEN eingehend mit der </w:t>
      </w:r>
      <w:r>
        <w:rPr>
          <w:rFonts w:ascii="Times New Roman" w:hAnsi="Times New Roman"/>
          <w:i/>
        </w:rPr>
        <w:t>Methanstrategie</w:t>
      </w:r>
      <w:r>
        <w:rPr>
          <w:rFonts w:ascii="Times New Roman" w:hAnsi="Times New Roman"/>
        </w:rPr>
        <w:t xml:space="preserve"> (TEN/725) befassen. Auf diese Strategie wird eine Legislativinitiative folgen, die speziell darauf ausgerichtet ist, die Methanemissionen im Energiesektor zu verringern; diese Initiative wird gemeinsam mit der geplanten Überarbeitung des dritten Energiepakets im Hinblick auf die Erdgasrichtlinie und die Verordnung über Erdgasfernleitungsnetze geprüft werden, die mit dem Ziel der Regulierung wettbewerbsorientierter dekarbonisierter Gasmärkte vorgeschlagen werden sollen.</w:t>
      </w:r>
    </w:p>
    <w:p w14:paraId="5F02972C" w14:textId="77777777" w:rsidR="00A961F0" w:rsidRPr="006255E2" w:rsidRDefault="00A961F0">
      <w:pPr>
        <w:spacing w:after="0" w:line="288" w:lineRule="auto"/>
        <w:jc w:val="both"/>
        <w:rPr>
          <w:rFonts w:ascii="Times New Roman" w:hAnsi="Times New Roman"/>
        </w:rPr>
      </w:pPr>
    </w:p>
    <w:p w14:paraId="6DCB3864" w14:textId="13EEE124" w:rsidR="00A961F0" w:rsidRPr="006255E2" w:rsidRDefault="00856868">
      <w:pPr>
        <w:spacing w:after="0" w:line="288" w:lineRule="auto"/>
        <w:jc w:val="both"/>
        <w:rPr>
          <w:rFonts w:ascii="Times New Roman" w:hAnsi="Times New Roman"/>
        </w:rPr>
      </w:pPr>
      <w:r>
        <w:rPr>
          <w:rFonts w:ascii="Times New Roman" w:hAnsi="Times New Roman"/>
        </w:rPr>
        <w:t xml:space="preserve">Zu guter Letzt machen die Bemühungen um das Erreichen der Klimaneutralität einen übergreifenden und mit den anderen Fachgruppen und der CCMI abgestimmten Ansatz erforderlich, da von den Initiativen, die die Kommission plant, verschiedene Politikbereiche berührt werden. Dies zeigt u. a. der Legislativvorschlag für </w:t>
      </w:r>
      <w:r>
        <w:rPr>
          <w:rFonts w:ascii="Times New Roman" w:hAnsi="Times New Roman"/>
          <w:i/>
        </w:rPr>
        <w:t>Nachhaltigkeitsanforderungen für Batterien in der EU</w:t>
      </w:r>
      <w:r>
        <w:rPr>
          <w:rFonts w:ascii="Times New Roman" w:hAnsi="Times New Roman"/>
        </w:rPr>
        <w:t xml:space="preserve">, der im Dezember 2020 vorgelegt wurde und mit dem für eine wettbewerbsorientierte, kreislauforientierte, nachhaltige und sichere Wertschöpfungskette für alle Batterien gesorgt werden soll, die auf dem Unionsmarkt in Verkehr gebracht werden. Andere Themen von allgemeinem Interesse könnten die </w:t>
      </w:r>
      <w:r>
        <w:rPr>
          <w:rFonts w:ascii="Times New Roman" w:hAnsi="Times New Roman"/>
          <w:i/>
        </w:rPr>
        <w:t>Überarbeitung der Lastenteilungsverordnung und der Leitlinien für Umweltschutz- und Energiebeihilfen</w:t>
      </w:r>
      <w:r>
        <w:rPr>
          <w:rFonts w:ascii="Times New Roman" w:hAnsi="Times New Roman"/>
        </w:rPr>
        <w:t xml:space="preserve"> sein. Die Fachgruppe TEN wird ganz besonders den Auswirkungen von Energiverbrauch und -effizienz im Bereich der Digitalisierung Aufmerksamkeit widmen, sobald ersichtlich sein wird, dass der Ausbau des digitalen Netzes ein ausschlaggebender Faktor für die Erholung der EU ist. </w:t>
      </w:r>
    </w:p>
    <w:p w14:paraId="641F4369" w14:textId="77777777" w:rsidR="00722DA3" w:rsidRPr="006255E2" w:rsidRDefault="00722DA3">
      <w:pPr>
        <w:spacing w:after="0" w:line="288" w:lineRule="auto"/>
        <w:jc w:val="both"/>
        <w:rPr>
          <w:rFonts w:ascii="Times New Roman" w:hAnsi="Times New Roman"/>
        </w:rPr>
      </w:pPr>
    </w:p>
    <w:p w14:paraId="05024660" w14:textId="11F48CD3" w:rsidR="00010C54" w:rsidRPr="006255E2" w:rsidRDefault="00010C54">
      <w:pPr>
        <w:spacing w:after="0" w:line="288" w:lineRule="auto"/>
        <w:jc w:val="both"/>
        <w:rPr>
          <w:rFonts w:ascii="Times New Roman" w:hAnsi="Times New Roman"/>
          <w:b/>
        </w:rPr>
      </w:pPr>
      <w:r>
        <w:rPr>
          <w:rFonts w:ascii="Times New Roman" w:hAnsi="Times New Roman"/>
        </w:rPr>
        <w:t>Darüber hinaus hält der EWSA den anstehenden Vorschlag für eine Überarbeitung der Energiebesteuerungsrichtlinie für wichtig.</w:t>
      </w:r>
    </w:p>
    <w:p w14:paraId="49CE1A7E" w14:textId="77777777" w:rsidR="00A961F0" w:rsidRPr="006255E2" w:rsidRDefault="00A961F0">
      <w:pPr>
        <w:spacing w:after="0" w:line="288" w:lineRule="auto"/>
        <w:jc w:val="both"/>
        <w:rPr>
          <w:rFonts w:ascii="Times New Roman" w:hAnsi="Times New Roman"/>
        </w:rPr>
      </w:pPr>
    </w:p>
    <w:p w14:paraId="297D3E67" w14:textId="3EE71D10" w:rsidR="00856868" w:rsidRPr="006255E2" w:rsidRDefault="00856868">
      <w:pPr>
        <w:spacing w:after="0" w:line="288" w:lineRule="auto"/>
        <w:jc w:val="both"/>
        <w:rPr>
          <w:rFonts w:ascii="Times New Roman" w:hAnsi="Times New Roman"/>
        </w:rPr>
      </w:pPr>
      <w:r>
        <w:rPr>
          <w:rFonts w:ascii="Times New Roman" w:hAnsi="Times New Roman"/>
        </w:rPr>
        <w:t xml:space="preserve">Die </w:t>
      </w:r>
      <w:r>
        <w:rPr>
          <w:rFonts w:ascii="Times New Roman" w:hAnsi="Times New Roman"/>
          <w:b/>
        </w:rPr>
        <w:t>Thematische Studiengruppe Energie (TSG-E)</w:t>
      </w:r>
      <w:r>
        <w:rPr>
          <w:rFonts w:ascii="Times New Roman" w:hAnsi="Times New Roman"/>
        </w:rPr>
        <w:t xml:space="preserve"> wird danach streben, die Agenda des EWSA im Hinblick auf Energiefragen mit dem breiteren Kontext der EU-Energiepolitik zu verknüpfen und eine stärkere Rolle der Zivilgesellschaft zu fördern, um für eine erfolgreiche Energiewende zu sorgen, bei der niemand zurückgelassen wird.</w:t>
      </w:r>
    </w:p>
    <w:p w14:paraId="37BF7E73" w14:textId="77777777" w:rsidR="008F78AD" w:rsidRPr="006255E2" w:rsidRDefault="008F78AD">
      <w:pPr>
        <w:spacing w:after="0" w:line="288" w:lineRule="auto"/>
        <w:jc w:val="both"/>
        <w:rPr>
          <w:rFonts w:ascii="Times New Roman" w:hAnsi="Times New Roman"/>
        </w:rPr>
      </w:pPr>
    </w:p>
    <w:p w14:paraId="44CFC777" w14:textId="58D48CC1" w:rsidR="00856868" w:rsidRPr="006255E2" w:rsidRDefault="00856868">
      <w:pPr>
        <w:spacing w:after="0" w:line="288" w:lineRule="auto"/>
        <w:jc w:val="both"/>
        <w:rPr>
          <w:rFonts w:ascii="Times New Roman" w:hAnsi="Times New Roman"/>
        </w:rPr>
      </w:pPr>
      <w:r>
        <w:rPr>
          <w:rFonts w:ascii="Times New Roman" w:hAnsi="Times New Roman"/>
        </w:rPr>
        <w:t>Dieses Ziel wird erreicht werden, indem Anhörungen von Sachverständigen und öffentliche Konferenzen abgehalten werden, Mitglieder an externen Veranstaltungen teilnehmen und außerdem die relevanten Themen für Studien und Erörterungen ausgewählt werden, sodass ein übergreifender und zukunftsweisender Beitrag zur Arbeit der Fachgruppe TEN geleistet wird und sich möglicherweise auch Vorschläge für Initiativprojekte ergeben.</w:t>
      </w:r>
    </w:p>
    <w:p w14:paraId="46D81555" w14:textId="77777777" w:rsidR="008F78AD" w:rsidRPr="006255E2" w:rsidRDefault="008F78AD">
      <w:pPr>
        <w:spacing w:after="0" w:line="288" w:lineRule="auto"/>
        <w:jc w:val="both"/>
        <w:rPr>
          <w:rFonts w:ascii="Times New Roman" w:hAnsi="Times New Roman"/>
        </w:rPr>
      </w:pPr>
    </w:p>
    <w:p w14:paraId="7223F618" w14:textId="7E9FCFD7" w:rsidR="00856868" w:rsidRPr="006255E2" w:rsidRDefault="00856868">
      <w:pPr>
        <w:spacing w:after="0" w:line="288" w:lineRule="auto"/>
        <w:jc w:val="both"/>
        <w:rPr>
          <w:rFonts w:ascii="Times New Roman" w:hAnsi="Times New Roman"/>
        </w:rPr>
      </w:pPr>
      <w:r>
        <w:rPr>
          <w:rFonts w:ascii="Times New Roman" w:hAnsi="Times New Roman"/>
        </w:rPr>
        <w:t xml:space="preserve">Um im kommenden Jahr einen entsprechenden Dialog einzuleiten, werden die Mitglieder der TSG-E eingehend die wichtigsten zugehörigen Themen im Arbeitsprogramm der Kommission für 2021 analysieren, das voraussichtlich ein breites Spektrum von Legislativinitiativen umfassen wird, die sich mittelbar oder unmittelbar auf den Energiebereich auswirken. Der daraus resultierende Überblick wird in Verbindung mit der nutzbringenden Expertise der Mitglieder der TSG-E die Grundlage für die thematische Schwerpunktsetzung bei den anstehenden Arbeiten bilden. Mögliche Themen wären zum Beispiel die Notwendigkeit der Bekämpfung der Energiearmut, unter anderem durch Einführung gemeinsamer Normen und geeigneter Infrastrukturen, die Rolle der erneuerbaren Energieträger in künftigen Energiesystemen mit Blick auf die geplante </w:t>
      </w:r>
      <w:r>
        <w:rPr>
          <w:rFonts w:ascii="Times New Roman" w:hAnsi="Times New Roman"/>
          <w:i/>
        </w:rPr>
        <w:t>Überarbeitung der Erneuerbare-Energien-Richtlinie</w:t>
      </w:r>
      <w:r>
        <w:rPr>
          <w:rFonts w:ascii="Times New Roman" w:hAnsi="Times New Roman"/>
        </w:rPr>
        <w:t>, die Auswirkungen der Dekarbonisierung des Energiesektors auf regionaler und lokaler Ebene und die Förderung einer aktiven Rolle der Unionsbürgerinnen und -bürger bei diesem Wandel, nicht zuletzt im Hinblick auf Energiegemeinschaften.</w:t>
      </w:r>
    </w:p>
    <w:p w14:paraId="538A88BA" w14:textId="77777777" w:rsidR="000B292A" w:rsidRPr="006255E2" w:rsidRDefault="000B292A">
      <w:pPr>
        <w:spacing w:after="0" w:line="288" w:lineRule="auto"/>
        <w:rPr>
          <w:rFonts w:ascii="Times New Roman" w:hAnsi="Times New Roman"/>
        </w:rPr>
      </w:pPr>
    </w:p>
    <w:p w14:paraId="3F14DC48" w14:textId="5717EC00" w:rsidR="007624FE" w:rsidRPr="006255E2" w:rsidRDefault="00022748">
      <w:pPr>
        <w:keepNext/>
        <w:spacing w:after="0" w:line="288" w:lineRule="auto"/>
        <w:rPr>
          <w:rFonts w:ascii="Times New Roman" w:hAnsi="Times New Roman"/>
          <w:b/>
        </w:rPr>
      </w:pPr>
      <w:r>
        <w:rPr>
          <w:rFonts w:ascii="Times New Roman" w:hAnsi="Times New Roman"/>
          <w:b/>
        </w:rPr>
        <w:lastRenderedPageBreak/>
        <w:t>VERKEHR</w:t>
      </w:r>
    </w:p>
    <w:p w14:paraId="4BC5B190" w14:textId="77777777" w:rsidR="008F78AD" w:rsidRPr="006255E2" w:rsidRDefault="008F78AD">
      <w:pPr>
        <w:keepNext/>
        <w:spacing w:after="0" w:line="288" w:lineRule="auto"/>
        <w:rPr>
          <w:rFonts w:ascii="Times New Roman" w:hAnsi="Times New Roman"/>
          <w:b/>
        </w:rPr>
      </w:pPr>
    </w:p>
    <w:p w14:paraId="5B37030E" w14:textId="530CDB88" w:rsidR="00022748" w:rsidRPr="006255E2" w:rsidRDefault="00022748">
      <w:pPr>
        <w:spacing w:after="0" w:line="288" w:lineRule="auto"/>
        <w:jc w:val="both"/>
        <w:rPr>
          <w:rFonts w:ascii="Times New Roman" w:eastAsia="Times New Roman" w:hAnsi="Times New Roman"/>
        </w:rPr>
      </w:pPr>
      <w:r>
        <w:rPr>
          <w:rFonts w:ascii="Times New Roman" w:hAnsi="Times New Roman"/>
        </w:rPr>
        <w:t xml:space="preserve">In ihrem Arbeitsprogramm für 2021 beschreibt die Kommission ihren Ansatz in Sachen Verkehr vor dem Hintergrund des europäischen Grünen Deals. Dabei liegt das Gewicht auf der Überarbeitung der einschlägigen Klimavorschriften. Der Schwerpunkt der im Rahmen des europäischen Grünen Deals geplanten Arbeiten spiegelt den systemumspannenden Charakter des ökologischen Wandels wider, der auch für die Verkehrsbranche vollzogen werden soll. In diesem Zusammenhang wird die Fachgruppe TEN besonderes Augenmerk auf die Maßnahmen richten, die die Kommission im Bereich intelligente und nachhaltige Mobilität vorlegen wird, wozu unter anderem die </w:t>
      </w:r>
      <w:r>
        <w:rPr>
          <w:rFonts w:ascii="Times New Roman" w:hAnsi="Times New Roman"/>
          <w:i/>
        </w:rPr>
        <w:t>Überarbeitung der Verordnung zum transeuropäischen Verkehrsnetz</w:t>
      </w:r>
      <w:r>
        <w:rPr>
          <w:rFonts w:ascii="Times New Roman" w:hAnsi="Times New Roman"/>
        </w:rPr>
        <w:t xml:space="preserve"> und der </w:t>
      </w:r>
      <w:r>
        <w:rPr>
          <w:rFonts w:ascii="Times New Roman" w:hAnsi="Times New Roman"/>
          <w:i/>
        </w:rPr>
        <w:t>Richtlinie über intelligente Verkehrssysteme</w:t>
      </w:r>
      <w:r>
        <w:rPr>
          <w:rFonts w:ascii="Times New Roman" w:hAnsi="Times New Roman"/>
        </w:rPr>
        <w:t xml:space="preserve"> sowie die </w:t>
      </w:r>
      <w:r>
        <w:rPr>
          <w:rFonts w:ascii="Times New Roman" w:hAnsi="Times New Roman"/>
          <w:i/>
        </w:rPr>
        <w:t>Initiative EU 2021 für Korridore im Schienenverkehr</w:t>
      </w:r>
      <w:r>
        <w:rPr>
          <w:rFonts w:ascii="Times New Roman" w:hAnsi="Times New Roman"/>
        </w:rPr>
        <w:t xml:space="preserve">, einschließlich der </w:t>
      </w:r>
      <w:r>
        <w:rPr>
          <w:rFonts w:ascii="Times New Roman" w:hAnsi="Times New Roman"/>
          <w:i/>
        </w:rPr>
        <w:t>Überarbeitung der Verordnung über Güterverkehrskorridore und Maßnahmen zur Förderung des Personenverkehrs auf der Schiene</w:t>
      </w:r>
      <w:r>
        <w:rPr>
          <w:rFonts w:ascii="Times New Roman" w:hAnsi="Times New Roman"/>
        </w:rPr>
        <w:t>, zählen.</w:t>
      </w:r>
    </w:p>
    <w:p w14:paraId="13599D4E" w14:textId="77777777" w:rsidR="008F78AD" w:rsidRPr="006255E2" w:rsidRDefault="008F78AD">
      <w:pPr>
        <w:spacing w:after="0" w:line="288" w:lineRule="auto"/>
        <w:jc w:val="both"/>
        <w:rPr>
          <w:rFonts w:ascii="Times New Roman" w:eastAsia="Times New Roman" w:hAnsi="Times New Roman"/>
        </w:rPr>
      </w:pPr>
    </w:p>
    <w:p w14:paraId="2311B6D2" w14:textId="26FCBA86" w:rsidR="00022748" w:rsidRPr="006255E2" w:rsidRDefault="00022748">
      <w:pPr>
        <w:spacing w:after="0" w:line="288" w:lineRule="auto"/>
        <w:jc w:val="both"/>
        <w:rPr>
          <w:rFonts w:ascii="Times New Roman" w:eastAsia="Times New Roman" w:hAnsi="Times New Roman"/>
        </w:rPr>
      </w:pPr>
      <w:r>
        <w:rPr>
          <w:rFonts w:ascii="Times New Roman" w:hAnsi="Times New Roman"/>
        </w:rPr>
        <w:t>Ferner wird die Fachgruppe TEN im Nachgang zur Mitteilung der Kommission zu ihrer neuen Strategie für nachhaltige und intelligente Mobilität, die für die nächsten Jahre als Fahrplan dienen wird und mit der eine Strategie für einen Verkehrssektor festgelegt wird, der sich auf einen vollendeten Binnenmarkt stützt, der für eine saubere, digitale und moderne Wirtschaft bis 2030 und 2050 bereit ist, eine Stellungnahme (TEN/729) beisteuern. Die Fachgruppe TEN wird dieses Thema im Hinblick auf eine Verbesserung der Nachhaltigkeit des Verkehrs genau beobachten. Die Fachgruppe TEN wird dieses Thema im Hinblick auf eine Verbesserung der Nachhaltigkeit des Verkehrs genau beobachten.</w:t>
      </w:r>
    </w:p>
    <w:p w14:paraId="07A1D506" w14:textId="77777777" w:rsidR="008F78AD" w:rsidRPr="006255E2" w:rsidRDefault="008F78AD">
      <w:pPr>
        <w:spacing w:after="0" w:line="288" w:lineRule="auto"/>
        <w:jc w:val="both"/>
        <w:rPr>
          <w:rFonts w:ascii="Times New Roman" w:eastAsia="Times New Roman" w:hAnsi="Times New Roman"/>
        </w:rPr>
      </w:pPr>
    </w:p>
    <w:p w14:paraId="13D6FB5A" w14:textId="491BE66C" w:rsidR="00DB4A3D" w:rsidRPr="006255E2" w:rsidRDefault="007624FE">
      <w:pPr>
        <w:spacing w:after="0" w:line="288" w:lineRule="auto"/>
        <w:jc w:val="both"/>
        <w:rPr>
          <w:rFonts w:ascii="Times New Roman" w:eastAsia="Times New Roman" w:hAnsi="Times New Roman"/>
        </w:rPr>
      </w:pPr>
      <w:r>
        <w:rPr>
          <w:rFonts w:ascii="Times New Roman" w:hAnsi="Times New Roman"/>
        </w:rPr>
        <w:t xml:space="preserve">Angesichts der Pandemie werden auch die Herausforderungen infolge der COVID-19-Krise ins Gewicht fallen und in der Strategie berücksichtigt werden, da der Verkehr zu den Wirtschaftszweigen gehört, die von der Krise am schwersten getroffen wurden (Unterbrechungen der Versorgungskette, drastischer Rückgang von Reisen und Tourismus, eingeschränkte Konnektivität). In der Strategie wird ein gestärkter Binnenmarkt, der auf einem nachhaltigen, intelligenten und widerstandsfähigen Verkehrssystem fußt, als wesentliche Voraussetzung dafür gesehen, dass der Sektor gestärkt aus der Krise hervorgeht und widerstandsfähiger gegen eventuelle künftige Krisen wird. </w:t>
      </w:r>
    </w:p>
    <w:p w14:paraId="1921231F" w14:textId="77777777" w:rsidR="008F78AD" w:rsidRPr="006255E2" w:rsidRDefault="008F78AD">
      <w:pPr>
        <w:spacing w:after="0" w:line="288" w:lineRule="auto"/>
        <w:jc w:val="both"/>
        <w:rPr>
          <w:rFonts w:ascii="Times New Roman" w:eastAsia="Times New Roman" w:hAnsi="Times New Roman"/>
        </w:rPr>
      </w:pPr>
    </w:p>
    <w:p w14:paraId="655B3D77" w14:textId="5CDE4EA0" w:rsidR="00DB4A3D" w:rsidRPr="006255E2" w:rsidRDefault="00DB4A3D">
      <w:pPr>
        <w:spacing w:after="0" w:line="288" w:lineRule="auto"/>
        <w:jc w:val="both"/>
        <w:rPr>
          <w:rFonts w:ascii="Times New Roman" w:eastAsia="Times New Roman" w:hAnsi="Times New Roman"/>
        </w:rPr>
      </w:pPr>
      <w:r>
        <w:rPr>
          <w:rFonts w:ascii="Times New Roman" w:hAnsi="Times New Roman"/>
        </w:rPr>
        <w:t xml:space="preserve">Zu den Schlüsselelementen gehören ausreichende Mittel für EU-Förderprogramme, die Weiterentwicklung der Digitalisierung, angemessene Ressourcen und verbesserte Leitsysteme für eine fristgerechte Fertigstellung des TEN-V-Netzes, eine Flottenerneuerung bei allen Verkehrsträgern und eine raschere Vollendung des einheitlichen europäischen Verkehrsraums unter Beseitigung der den freien Dienstleistungsverkehr noch behindernden Hemmnisse. </w:t>
      </w:r>
    </w:p>
    <w:p w14:paraId="070D42FD" w14:textId="77777777" w:rsidR="008F78AD" w:rsidRPr="006255E2" w:rsidRDefault="008F78AD">
      <w:pPr>
        <w:spacing w:after="0" w:line="288" w:lineRule="auto"/>
        <w:jc w:val="both"/>
        <w:rPr>
          <w:rFonts w:ascii="Times New Roman" w:eastAsia="Times New Roman" w:hAnsi="Times New Roman"/>
        </w:rPr>
      </w:pPr>
    </w:p>
    <w:p w14:paraId="5E5007EB" w14:textId="4392B9D3" w:rsidR="007624FE" w:rsidRPr="006255E2" w:rsidRDefault="007624FE" w:rsidP="00A132AE">
      <w:pPr>
        <w:keepNext/>
        <w:spacing w:after="0" w:line="288" w:lineRule="auto"/>
        <w:jc w:val="both"/>
        <w:rPr>
          <w:rFonts w:ascii="Times New Roman" w:eastAsia="Times New Roman" w:hAnsi="Times New Roman"/>
          <w:iCs/>
        </w:rPr>
      </w:pPr>
      <w:r>
        <w:rPr>
          <w:rFonts w:ascii="Times New Roman" w:hAnsi="Times New Roman"/>
        </w:rPr>
        <w:t>Die Fachgruppe TEN wird alle in dieser Strategie enthaltenen Initiativen genau beobachten und überwachen, da der EWSA in den folgenden acht Maßnahmenbereichen damit befasst werden könnte:</w:t>
      </w:r>
    </w:p>
    <w:p w14:paraId="0D8CB0F5" w14:textId="77777777" w:rsidR="008F78AD" w:rsidRPr="006255E2" w:rsidRDefault="008F78AD" w:rsidP="00A132AE">
      <w:pPr>
        <w:keepNext/>
        <w:spacing w:after="0" w:line="288" w:lineRule="auto"/>
        <w:jc w:val="both"/>
        <w:rPr>
          <w:rFonts w:ascii="Times New Roman" w:eastAsia="Times New Roman" w:hAnsi="Times New Roman"/>
        </w:rPr>
      </w:pPr>
    </w:p>
    <w:p w14:paraId="79B84DC9" w14:textId="23B82CD7" w:rsidR="007624FE" w:rsidRPr="006255E2" w:rsidRDefault="007624FE" w:rsidP="00A132AE">
      <w:pPr>
        <w:numPr>
          <w:ilvl w:val="0"/>
          <w:numId w:val="1"/>
        </w:numPr>
        <w:tabs>
          <w:tab w:val="clear" w:pos="360"/>
        </w:tabs>
        <w:spacing w:after="0" w:line="288" w:lineRule="auto"/>
        <w:jc w:val="both"/>
        <w:rPr>
          <w:rFonts w:ascii="Times New Roman" w:eastAsia="Times New Roman" w:hAnsi="Times New Roman"/>
          <w:iCs/>
        </w:rPr>
      </w:pPr>
      <w:r>
        <w:rPr>
          <w:rFonts w:ascii="Times New Roman" w:hAnsi="Times New Roman"/>
          <w:iCs/>
        </w:rPr>
        <w:t xml:space="preserve">Förderung der Nutzung sauberer Technologien und alternativer Kraftstoffe im Straßen-, Schiffs- und Luftverkehr; </w:t>
      </w:r>
    </w:p>
    <w:p w14:paraId="2E8D0EEF" w14:textId="77777777" w:rsidR="007624FE" w:rsidRPr="006255E2" w:rsidRDefault="007624FE" w:rsidP="00A132AE">
      <w:pPr>
        <w:numPr>
          <w:ilvl w:val="0"/>
          <w:numId w:val="1"/>
        </w:numPr>
        <w:tabs>
          <w:tab w:val="clear" w:pos="360"/>
        </w:tabs>
        <w:spacing w:after="0" w:line="288" w:lineRule="auto"/>
        <w:jc w:val="both"/>
        <w:rPr>
          <w:rFonts w:ascii="Times New Roman" w:eastAsia="Times New Roman" w:hAnsi="Times New Roman"/>
        </w:rPr>
      </w:pPr>
      <w:r>
        <w:rPr>
          <w:rFonts w:ascii="Times New Roman" w:hAnsi="Times New Roman"/>
          <w:iCs/>
        </w:rPr>
        <w:t>Erhöhung des Anteils nachhaltigerer Verkehrsträger wie Schiene und Binnenwasserstraßen und Verbesserung der Effizienz des gesamten Verkehrssystems;</w:t>
      </w:r>
    </w:p>
    <w:p w14:paraId="7482A47D" w14:textId="4A0BFF22" w:rsidR="007624FE" w:rsidRPr="006255E2" w:rsidRDefault="007624FE" w:rsidP="00A132AE">
      <w:pPr>
        <w:numPr>
          <w:ilvl w:val="0"/>
          <w:numId w:val="1"/>
        </w:numPr>
        <w:tabs>
          <w:tab w:val="clear" w:pos="360"/>
        </w:tabs>
        <w:spacing w:after="0" w:line="288" w:lineRule="auto"/>
        <w:jc w:val="both"/>
        <w:rPr>
          <w:rFonts w:ascii="Times New Roman" w:eastAsia="Times New Roman" w:hAnsi="Times New Roman"/>
        </w:rPr>
      </w:pPr>
      <w:r>
        <w:rPr>
          <w:rFonts w:ascii="Times New Roman" w:hAnsi="Times New Roman"/>
          <w:iCs/>
        </w:rPr>
        <w:t>Schaffung von Anreizen für die richtigen Verbraucherentscheidungen und emissionsarme Verfahren;</w:t>
      </w:r>
    </w:p>
    <w:p w14:paraId="49478FB8" w14:textId="39112A2A" w:rsidR="009E1CCA" w:rsidRPr="006255E2" w:rsidRDefault="009E1CCA" w:rsidP="00A132AE">
      <w:pPr>
        <w:numPr>
          <w:ilvl w:val="0"/>
          <w:numId w:val="1"/>
        </w:numPr>
        <w:spacing w:after="0" w:line="288" w:lineRule="auto"/>
        <w:ind w:left="567" w:hanging="567"/>
        <w:jc w:val="both"/>
        <w:rPr>
          <w:rFonts w:ascii="Times New Roman" w:eastAsia="Times New Roman" w:hAnsi="Times New Roman"/>
        </w:rPr>
      </w:pPr>
      <w:r>
        <w:rPr>
          <w:rFonts w:ascii="Times New Roman" w:hAnsi="Times New Roman"/>
          <w:iCs/>
        </w:rPr>
        <w:t>Investitionen in emissionsarme und -freie Lösungen, unter anderem für die Infrastruktur;</w:t>
      </w:r>
    </w:p>
    <w:p w14:paraId="7B2C3BDD" w14:textId="364DD005" w:rsidR="009B2708" w:rsidRPr="006255E2" w:rsidRDefault="009B2708" w:rsidP="00A132AE">
      <w:pPr>
        <w:numPr>
          <w:ilvl w:val="0"/>
          <w:numId w:val="1"/>
        </w:numPr>
        <w:spacing w:after="0" w:line="288" w:lineRule="auto"/>
        <w:ind w:left="567" w:hanging="567"/>
        <w:jc w:val="both"/>
        <w:rPr>
          <w:rFonts w:ascii="Times New Roman" w:eastAsia="Times New Roman" w:hAnsi="Times New Roman"/>
        </w:rPr>
      </w:pPr>
      <w:r>
        <w:rPr>
          <w:rFonts w:ascii="Times New Roman" w:hAnsi="Times New Roman"/>
          <w:iCs/>
        </w:rPr>
        <w:lastRenderedPageBreak/>
        <w:t>Verwirklichung des TEN-V-Netzes;</w:t>
      </w:r>
    </w:p>
    <w:p w14:paraId="7559C8E6" w14:textId="623221DC" w:rsidR="00D82B71" w:rsidRPr="006255E2" w:rsidRDefault="009B2708" w:rsidP="00A132AE">
      <w:pPr>
        <w:numPr>
          <w:ilvl w:val="0"/>
          <w:numId w:val="1"/>
        </w:numPr>
        <w:spacing w:after="0" w:line="288" w:lineRule="auto"/>
        <w:ind w:left="567" w:hanging="567"/>
        <w:jc w:val="both"/>
        <w:rPr>
          <w:rFonts w:ascii="Times New Roman" w:eastAsia="Times New Roman" w:hAnsi="Times New Roman"/>
        </w:rPr>
      </w:pPr>
      <w:r>
        <w:rPr>
          <w:rFonts w:ascii="Times New Roman" w:hAnsi="Times New Roman"/>
        </w:rPr>
        <w:t>Entwicklung intelligenter Verkehrssysteme, einschließlich multimodaler Flug- bzw. Fahrscheine;</w:t>
      </w:r>
    </w:p>
    <w:p w14:paraId="7876EA1F" w14:textId="77777777" w:rsidR="00D82B71" w:rsidRPr="006255E2" w:rsidRDefault="00D82B71">
      <w:pPr>
        <w:numPr>
          <w:ilvl w:val="0"/>
          <w:numId w:val="1"/>
        </w:numPr>
        <w:spacing w:after="0" w:line="288" w:lineRule="auto"/>
        <w:ind w:left="567" w:hanging="567"/>
        <w:jc w:val="both"/>
        <w:rPr>
          <w:rFonts w:ascii="Times New Roman" w:eastAsia="Times New Roman" w:hAnsi="Times New Roman"/>
        </w:rPr>
      </w:pPr>
      <w:r>
        <w:rPr>
          <w:rFonts w:ascii="Times New Roman" w:hAnsi="Times New Roman"/>
          <w:iCs/>
        </w:rPr>
        <w:t>Wiederherstellung des Vertrauens der Fahr- bzw. Fluggäste und der Marktnachfrage;</w:t>
      </w:r>
    </w:p>
    <w:p w14:paraId="70E099F3" w14:textId="584A8208" w:rsidR="009B2708" w:rsidRPr="006255E2" w:rsidRDefault="00D82B71" w:rsidP="00A132AE">
      <w:pPr>
        <w:numPr>
          <w:ilvl w:val="0"/>
          <w:numId w:val="1"/>
        </w:numPr>
        <w:spacing w:after="0" w:line="288" w:lineRule="auto"/>
        <w:ind w:left="567" w:hanging="567"/>
        <w:jc w:val="both"/>
        <w:rPr>
          <w:rFonts w:ascii="Times New Roman" w:eastAsia="Times New Roman" w:hAnsi="Times New Roman"/>
        </w:rPr>
      </w:pPr>
      <w:r>
        <w:rPr>
          <w:rFonts w:ascii="Times New Roman" w:hAnsi="Times New Roman"/>
        </w:rPr>
        <w:t>Strategien für die Steigerung der Attraktivität und den Ausbau der öffentlichen Verkehrsmittel.</w:t>
      </w:r>
    </w:p>
    <w:p w14:paraId="7225CD9C" w14:textId="77777777" w:rsidR="007624FE" w:rsidRPr="006255E2" w:rsidRDefault="007624FE">
      <w:pPr>
        <w:spacing w:after="0" w:line="288" w:lineRule="auto"/>
        <w:jc w:val="both"/>
        <w:rPr>
          <w:rFonts w:ascii="Times New Roman" w:eastAsia="Times New Roman" w:hAnsi="Times New Roman"/>
        </w:rPr>
      </w:pPr>
    </w:p>
    <w:p w14:paraId="2F4DC26C" w14:textId="086B8998" w:rsidR="007624FE" w:rsidRPr="006255E2" w:rsidRDefault="007624FE">
      <w:pPr>
        <w:spacing w:after="0" w:line="288" w:lineRule="auto"/>
        <w:jc w:val="both"/>
        <w:rPr>
          <w:rFonts w:ascii="Times New Roman" w:eastAsia="Times New Roman" w:hAnsi="Times New Roman"/>
          <w:iCs/>
          <w:highlight w:val="yellow"/>
        </w:rPr>
      </w:pPr>
      <w:r>
        <w:rPr>
          <w:rFonts w:ascii="Times New Roman" w:hAnsi="Times New Roman"/>
          <w:iCs/>
        </w:rPr>
        <w:t xml:space="preserve">Mit dem Ziel eines klimaneutralen Europas bis 2050 wird die Fachgruppe TEN die Initiativen der Kommission genau beobachten, um dafür zu sorgen, dass der Verkehr zugleich nachhaltig und intelligent gestaltet wird, indem die Chancen der Digitalisierung und Automatisierung, etwa durch Erhöhung der Verkehrseffizienz durch künstliche Intelligenz, umfassend genutzt und verkehrsbedingte Gefahren auf ein Minimum begrenzt werden. Dies ist der Schlüssel zu einer saubereren, nahtlosen, intelligenten und sicheren Mobilität aller Verkehrsträger. </w:t>
      </w:r>
      <w:r>
        <w:rPr>
          <w:rFonts w:ascii="Times New Roman" w:hAnsi="Times New Roman"/>
        </w:rPr>
        <w:t xml:space="preserve">Die Fachgruppe TEN wird sich mit der geplanten Initiative der </w:t>
      </w:r>
      <w:r>
        <w:rPr>
          <w:rFonts w:ascii="Times New Roman" w:hAnsi="Times New Roman"/>
          <w:i/>
        </w:rPr>
        <w:t>Überarbeitung der Richtlinie über intelligente Verkehrssysteme</w:t>
      </w:r>
      <w:r>
        <w:rPr>
          <w:rFonts w:ascii="Times New Roman" w:hAnsi="Times New Roman"/>
        </w:rPr>
        <w:t>, einschließlich einer Initiative zu einem multimodalen Fahrscheinsystem, befassen.</w:t>
      </w:r>
    </w:p>
    <w:p w14:paraId="6ACD7BBB" w14:textId="77777777" w:rsidR="008F78AD" w:rsidRPr="006255E2" w:rsidRDefault="008F78AD">
      <w:pPr>
        <w:spacing w:after="0" w:line="288" w:lineRule="auto"/>
        <w:jc w:val="both"/>
        <w:rPr>
          <w:rFonts w:ascii="Times New Roman" w:eastAsia="Times New Roman" w:hAnsi="Times New Roman"/>
        </w:rPr>
      </w:pPr>
    </w:p>
    <w:p w14:paraId="2C68A5D9" w14:textId="5562971E" w:rsidR="00022748" w:rsidRPr="006255E2" w:rsidRDefault="00022748">
      <w:pPr>
        <w:spacing w:after="0" w:line="288" w:lineRule="auto"/>
        <w:jc w:val="both"/>
        <w:rPr>
          <w:rFonts w:ascii="Times New Roman" w:eastAsia="Times New Roman" w:hAnsi="Times New Roman"/>
          <w:highlight w:val="lightGray"/>
        </w:rPr>
      </w:pPr>
      <w:r>
        <w:rPr>
          <w:rFonts w:ascii="Times New Roman" w:hAnsi="Times New Roman"/>
        </w:rPr>
        <w:t xml:space="preserve">Unter Berücksichtigung der verschiedenen Verkehrsträger wird die Fachgruppe TEN die Bedürfnisse der Luftfahrtbranche genau untersuchen, um den gesamten Wirtschaftszweig nach dem Stillstand infolge der COVID-19-Krise wieder auf den richtigen Weg zu bringen, und dabei dem </w:t>
      </w:r>
      <w:r>
        <w:rPr>
          <w:rFonts w:ascii="Times New Roman" w:hAnsi="Times New Roman"/>
          <w:i/>
        </w:rPr>
        <w:t>Legislativpaket „ReFuelEU Aviation“</w:t>
      </w:r>
      <w:r>
        <w:rPr>
          <w:rFonts w:ascii="Times New Roman" w:hAnsi="Times New Roman"/>
        </w:rPr>
        <w:t xml:space="preserve">, der </w:t>
      </w:r>
      <w:r>
        <w:rPr>
          <w:rFonts w:ascii="Times New Roman" w:hAnsi="Times New Roman"/>
          <w:i/>
        </w:rPr>
        <w:t>Überarbeitung der Erneuerbare-Energien-Richtlinie</w:t>
      </w:r>
      <w:r>
        <w:rPr>
          <w:rFonts w:ascii="Times New Roman" w:hAnsi="Times New Roman"/>
        </w:rPr>
        <w:t xml:space="preserve">, der Verwirklichung des </w:t>
      </w:r>
      <w:r>
        <w:rPr>
          <w:rFonts w:ascii="Times New Roman" w:hAnsi="Times New Roman"/>
          <w:i/>
        </w:rPr>
        <w:t>einheitlichen europäischen Luftraums</w:t>
      </w:r>
      <w:r>
        <w:rPr>
          <w:rFonts w:ascii="Times New Roman" w:hAnsi="Times New Roman"/>
        </w:rPr>
        <w:t xml:space="preserve">, der </w:t>
      </w:r>
      <w:r>
        <w:rPr>
          <w:rFonts w:ascii="Times New Roman" w:hAnsi="Times New Roman"/>
          <w:i/>
        </w:rPr>
        <w:t>Überarbeitung des EU-EHS</w:t>
      </w:r>
      <w:r>
        <w:rPr>
          <w:rFonts w:ascii="Times New Roman" w:hAnsi="Times New Roman"/>
        </w:rPr>
        <w:t xml:space="preserve">, der </w:t>
      </w:r>
      <w:r>
        <w:rPr>
          <w:rFonts w:ascii="Times New Roman" w:hAnsi="Times New Roman"/>
          <w:i/>
        </w:rPr>
        <w:t>Umsetzung des CORSIA in der EU</w:t>
      </w:r>
      <w:r>
        <w:rPr>
          <w:rFonts w:ascii="Times New Roman" w:hAnsi="Times New Roman"/>
        </w:rPr>
        <w:t xml:space="preserve"> und den laufenden </w:t>
      </w:r>
      <w:r>
        <w:rPr>
          <w:rFonts w:ascii="Times New Roman" w:hAnsi="Times New Roman"/>
          <w:i/>
        </w:rPr>
        <w:t>Überarbeitungen der Fluggastrechte</w:t>
      </w:r>
      <w:r>
        <w:rPr>
          <w:rFonts w:ascii="Times New Roman" w:hAnsi="Times New Roman"/>
        </w:rPr>
        <w:t xml:space="preserve"> und der </w:t>
      </w:r>
      <w:r>
        <w:rPr>
          <w:rFonts w:ascii="Times New Roman" w:hAnsi="Times New Roman"/>
          <w:i/>
        </w:rPr>
        <w:t>Richtlinie über Flughafenentgelte</w:t>
      </w:r>
      <w:r>
        <w:rPr>
          <w:rFonts w:ascii="Times New Roman" w:hAnsi="Times New Roman"/>
        </w:rPr>
        <w:t xml:space="preserve"> besondere Aufmerksamkeit widmen.</w:t>
      </w:r>
    </w:p>
    <w:p w14:paraId="45AF3D63" w14:textId="77777777" w:rsidR="00022748" w:rsidRPr="006255E2" w:rsidRDefault="00022748">
      <w:pPr>
        <w:spacing w:after="0" w:line="288" w:lineRule="auto"/>
        <w:jc w:val="both"/>
        <w:rPr>
          <w:rFonts w:ascii="Times New Roman" w:eastAsia="Times New Roman" w:hAnsi="Times New Roman"/>
          <w:highlight w:val="lightGray"/>
        </w:rPr>
      </w:pPr>
    </w:p>
    <w:p w14:paraId="6ED2EAB6" w14:textId="6EF7D134" w:rsidR="00022748" w:rsidRPr="006255E2" w:rsidRDefault="00022748">
      <w:pPr>
        <w:spacing w:after="0" w:line="288" w:lineRule="auto"/>
        <w:jc w:val="both"/>
        <w:rPr>
          <w:rFonts w:ascii="Times New Roman" w:eastAsia="Times New Roman" w:hAnsi="Times New Roman"/>
          <w:highlight w:val="lightGray"/>
        </w:rPr>
      </w:pPr>
      <w:r>
        <w:rPr>
          <w:rFonts w:ascii="Times New Roman" w:hAnsi="Times New Roman"/>
        </w:rPr>
        <w:t xml:space="preserve">Im Bereich des Seeverkehrs wird die Fachgruppe TEN das </w:t>
      </w:r>
      <w:r>
        <w:rPr>
          <w:rFonts w:ascii="Times New Roman" w:hAnsi="Times New Roman"/>
          <w:i/>
        </w:rPr>
        <w:t>Legislativpaket „FuelEU Maritime“</w:t>
      </w:r>
      <w:r>
        <w:rPr>
          <w:rFonts w:ascii="Times New Roman" w:hAnsi="Times New Roman"/>
        </w:rPr>
        <w:t xml:space="preserve"> mit dem Ziel beobachten, Lösungen zur Verbesserung der bestehenden Flotten sowie der Flotten der nächsten Generation vorzulegen, um den Energieverbrauch zu senken und die Verwendung sauberer Energie zu erhöhen.</w:t>
      </w:r>
    </w:p>
    <w:p w14:paraId="7F036D02" w14:textId="77777777" w:rsidR="008F78AD" w:rsidRPr="006255E2" w:rsidRDefault="008F78AD">
      <w:pPr>
        <w:spacing w:after="0" w:line="288" w:lineRule="auto"/>
        <w:jc w:val="both"/>
        <w:rPr>
          <w:rFonts w:ascii="Times New Roman" w:eastAsia="Times New Roman" w:hAnsi="Times New Roman"/>
        </w:rPr>
      </w:pPr>
    </w:p>
    <w:p w14:paraId="3EDFB88F" w14:textId="3ABEB905" w:rsidR="00022748" w:rsidRPr="006255E2" w:rsidRDefault="00022748">
      <w:pPr>
        <w:spacing w:after="0" w:line="288" w:lineRule="auto"/>
        <w:jc w:val="both"/>
        <w:rPr>
          <w:rFonts w:ascii="Times New Roman" w:eastAsia="Times New Roman" w:hAnsi="Times New Roman"/>
        </w:rPr>
      </w:pPr>
      <w:r>
        <w:rPr>
          <w:rFonts w:ascii="Times New Roman" w:hAnsi="Times New Roman"/>
        </w:rPr>
        <w:t xml:space="preserve">Was den Straßenverkehr betrifft, wird sich die Fachgruppe TEN auf die Initiativen der Kommission für einen koordinierten Ansatz bei den Rechtsvorschriften konzentrieren, mit dem sowohl bei der Infrastruktur als auch bei den Fahrzeugen Fortschritte erzielt werden sollen, mit besonderem Schwerpunkt auf schweren Nutzfahrzeugen. Darüber hinaus steht die </w:t>
      </w:r>
      <w:r>
        <w:rPr>
          <w:rFonts w:ascii="Times New Roman" w:hAnsi="Times New Roman"/>
          <w:i/>
        </w:rPr>
        <w:t>Überarbeitung des Rahmens für die Infrastruktur für nachhaltige alternative Kraftstoffe</w:t>
      </w:r>
      <w:r>
        <w:rPr>
          <w:rFonts w:ascii="Times New Roman" w:hAnsi="Times New Roman"/>
        </w:rPr>
        <w:t xml:space="preserve"> im Blickpunkt, mit der Anreize für den Einsatz von Fahrzeugen zur Unterstützung der Entwicklung des multimodalen Verkehrs geschaffen werden sollen. </w:t>
      </w:r>
    </w:p>
    <w:p w14:paraId="613C3A12" w14:textId="369FD3D1" w:rsidR="00F44F6B" w:rsidRPr="006255E2" w:rsidRDefault="00F44F6B">
      <w:pPr>
        <w:spacing w:after="0" w:line="288" w:lineRule="auto"/>
        <w:jc w:val="both"/>
        <w:rPr>
          <w:rFonts w:ascii="Times New Roman" w:eastAsia="Times New Roman" w:hAnsi="Times New Roman"/>
        </w:rPr>
      </w:pPr>
    </w:p>
    <w:p w14:paraId="35B7B6C1" w14:textId="41CCBB66" w:rsidR="00F44F6B" w:rsidRPr="006255E2" w:rsidRDefault="00F44F6B">
      <w:pPr>
        <w:spacing w:after="0" w:line="288" w:lineRule="auto"/>
        <w:jc w:val="both"/>
        <w:rPr>
          <w:rFonts w:ascii="Times New Roman" w:eastAsia="Times New Roman" w:hAnsi="Times New Roman"/>
        </w:rPr>
      </w:pPr>
      <w:r>
        <w:rPr>
          <w:rFonts w:ascii="Times New Roman" w:hAnsi="Times New Roman"/>
        </w:rPr>
        <w:t xml:space="preserve">Hinsichtlich des Schienenverkehrs wird sich die Fachgruppe TEN auf die geplante </w:t>
      </w:r>
      <w:r>
        <w:rPr>
          <w:rFonts w:ascii="Times New Roman" w:hAnsi="Times New Roman"/>
          <w:i/>
        </w:rPr>
        <w:t>Initiative für Korridore im Schienenverkehr</w:t>
      </w:r>
      <w:r>
        <w:rPr>
          <w:rFonts w:ascii="Times New Roman" w:hAnsi="Times New Roman"/>
        </w:rPr>
        <w:t xml:space="preserve">, einschließlich der </w:t>
      </w:r>
      <w:r>
        <w:rPr>
          <w:rFonts w:ascii="Times New Roman" w:hAnsi="Times New Roman"/>
          <w:i/>
        </w:rPr>
        <w:t>Überarbeitung der Verordnung über Güterverkehrskorridore und Maßnahmen zur Förderung des Personenverkehrs auf der Schiene</w:t>
      </w:r>
      <w:r>
        <w:rPr>
          <w:rFonts w:ascii="Times New Roman" w:hAnsi="Times New Roman"/>
        </w:rPr>
        <w:t>, konzentrieren.</w:t>
      </w:r>
    </w:p>
    <w:p w14:paraId="63EAD1F8" w14:textId="77777777" w:rsidR="00F44F6B" w:rsidRPr="006255E2" w:rsidRDefault="00F44F6B">
      <w:pPr>
        <w:spacing w:after="0" w:line="288" w:lineRule="auto"/>
        <w:jc w:val="both"/>
        <w:rPr>
          <w:rFonts w:ascii="Times New Roman" w:eastAsia="Times New Roman" w:hAnsi="Times New Roman"/>
        </w:rPr>
      </w:pPr>
    </w:p>
    <w:p w14:paraId="4285F85A" w14:textId="76DC88E0" w:rsidR="00F44F6B" w:rsidRPr="006255E2" w:rsidRDefault="00F44F6B">
      <w:pPr>
        <w:spacing w:after="0" w:line="288" w:lineRule="auto"/>
        <w:jc w:val="both"/>
        <w:rPr>
          <w:rFonts w:ascii="Times New Roman" w:eastAsia="Times New Roman" w:hAnsi="Times New Roman"/>
        </w:rPr>
      </w:pPr>
      <w:r>
        <w:rPr>
          <w:rFonts w:ascii="Times New Roman" w:hAnsi="Times New Roman"/>
        </w:rPr>
        <w:t xml:space="preserve">Außerdem wird sie sich mit dem </w:t>
      </w:r>
      <w:r>
        <w:rPr>
          <w:rFonts w:ascii="Times New Roman" w:hAnsi="Times New Roman"/>
          <w:i/>
        </w:rPr>
        <w:t>Vorschlag für eine Überarbeitung der Verordnung über das transeuropäische Verkehrsnetz</w:t>
      </w:r>
      <w:r>
        <w:rPr>
          <w:rFonts w:ascii="Times New Roman" w:hAnsi="Times New Roman"/>
        </w:rPr>
        <w:t xml:space="preserve"> (TEN-V) beschäftigen.</w:t>
      </w:r>
    </w:p>
    <w:p w14:paraId="289565B2" w14:textId="77777777" w:rsidR="00F44F6B" w:rsidRPr="006255E2" w:rsidRDefault="00F44F6B">
      <w:pPr>
        <w:spacing w:after="0" w:line="288" w:lineRule="auto"/>
        <w:jc w:val="both"/>
        <w:rPr>
          <w:rFonts w:ascii="Times New Roman" w:eastAsia="Times New Roman" w:hAnsi="Times New Roman"/>
        </w:rPr>
      </w:pPr>
    </w:p>
    <w:p w14:paraId="2C8DD5D7" w14:textId="5812BBA7" w:rsidR="00F44F6B" w:rsidRPr="006255E2" w:rsidRDefault="00F44F6B">
      <w:pPr>
        <w:spacing w:after="0" w:line="288" w:lineRule="auto"/>
        <w:jc w:val="both"/>
        <w:rPr>
          <w:rFonts w:ascii="Times New Roman" w:eastAsia="Times New Roman" w:hAnsi="Times New Roman"/>
        </w:rPr>
      </w:pPr>
      <w:r>
        <w:rPr>
          <w:rFonts w:ascii="Times New Roman" w:hAnsi="Times New Roman"/>
        </w:rPr>
        <w:t xml:space="preserve">Darüber hinaus nimmt die Fachgruppe TEN die Absicht der Kommission zur Kenntnis, die Auswirkungen der COVID-19-Pandemie auf Konnektivität und Wettbewerb im Verkehrsbinnenmarkt </w:t>
      </w:r>
      <w:r>
        <w:rPr>
          <w:rFonts w:ascii="Times New Roman" w:hAnsi="Times New Roman"/>
        </w:rPr>
        <w:lastRenderedPageBreak/>
        <w:t>zu bewerten und Folgemaßnahmen vorzuschlagen sowie Notfallpläne für Krisensituationen auszuarbeiten, beides für 2021-2023.</w:t>
      </w:r>
    </w:p>
    <w:p w14:paraId="27B827F5" w14:textId="1093D758" w:rsidR="00022748" w:rsidRPr="006255E2" w:rsidRDefault="00022748" w:rsidP="00A132AE">
      <w:pPr>
        <w:spacing w:after="0" w:line="288" w:lineRule="auto"/>
        <w:jc w:val="both"/>
        <w:rPr>
          <w:rFonts w:ascii="Times New Roman" w:eastAsia="Times New Roman" w:hAnsi="Times New Roman"/>
        </w:rPr>
      </w:pPr>
    </w:p>
    <w:p w14:paraId="5EE1ABF5" w14:textId="1778F4D3" w:rsidR="00022748" w:rsidRPr="006255E2" w:rsidRDefault="00022748">
      <w:pPr>
        <w:spacing w:after="0" w:line="288" w:lineRule="auto"/>
        <w:jc w:val="both"/>
        <w:rPr>
          <w:rFonts w:ascii="Times New Roman" w:eastAsia="Times New Roman" w:hAnsi="Times New Roman"/>
        </w:rPr>
      </w:pPr>
      <w:r>
        <w:rPr>
          <w:rFonts w:ascii="Times New Roman" w:hAnsi="Times New Roman"/>
        </w:rPr>
        <w:t xml:space="preserve">Im Bereich des Schienenverkehrs steht </w:t>
      </w:r>
      <w:r>
        <w:rPr>
          <w:rFonts w:ascii="Times New Roman" w:hAnsi="Times New Roman"/>
          <w:i/>
        </w:rPr>
        <w:t>2021 das Europäische Jahr der Schiene</w:t>
      </w:r>
      <w:r>
        <w:rPr>
          <w:rFonts w:ascii="Times New Roman" w:hAnsi="Times New Roman"/>
        </w:rPr>
        <w:t xml:space="preserve"> im Fokus, wobei besonderes Gewicht auf die Bereiche Güterverkehr, durchgehende Fahrausweise und Verlagerung auf alternative Verkehrsträger gelegt werden soll. Dieser Themenbereich wird in Zusammenarbeit mit der CCMI entwickelt.</w:t>
      </w:r>
    </w:p>
    <w:p w14:paraId="128EBA90" w14:textId="77777777" w:rsidR="00022748" w:rsidRPr="006255E2" w:rsidRDefault="00022748">
      <w:pPr>
        <w:spacing w:after="0" w:line="288" w:lineRule="auto"/>
        <w:jc w:val="both"/>
        <w:rPr>
          <w:rFonts w:ascii="Times New Roman" w:eastAsia="Times New Roman" w:hAnsi="Times New Roman"/>
        </w:rPr>
      </w:pPr>
    </w:p>
    <w:p w14:paraId="20022A50" w14:textId="14EE5AA2" w:rsidR="00022748" w:rsidRPr="006255E2" w:rsidRDefault="00022748">
      <w:pPr>
        <w:spacing w:after="0" w:line="288" w:lineRule="auto"/>
        <w:jc w:val="both"/>
        <w:rPr>
          <w:rFonts w:ascii="Times New Roman" w:hAnsi="Times New Roman"/>
        </w:rPr>
      </w:pPr>
      <w:r>
        <w:rPr>
          <w:rFonts w:ascii="Times New Roman" w:hAnsi="Times New Roman"/>
        </w:rPr>
        <w:t xml:space="preserve">Im Einklang mit den Prioritäten des portugiesischen EU-Ratsvorsitzes erarbeitet die Fachgruppe TEN auf dessen besonderes Ersuchen eine Sondierungsstellungnahme zum </w:t>
      </w:r>
      <w:r>
        <w:rPr>
          <w:rFonts w:ascii="Times New Roman" w:hAnsi="Times New Roman"/>
          <w:i/>
        </w:rPr>
        <w:t>einheitlichen europäischen Eisenbahnraum</w:t>
      </w:r>
      <w:r>
        <w:rPr>
          <w:rFonts w:ascii="Times New Roman" w:hAnsi="Times New Roman"/>
        </w:rPr>
        <w:t xml:space="preserve"> (TEN/727), die auf der Plenartagung im März verabschiedet werden soll.</w:t>
      </w:r>
    </w:p>
    <w:p w14:paraId="7CCEC996" w14:textId="77777777" w:rsidR="008F78AD" w:rsidRPr="006255E2" w:rsidRDefault="008F78AD" w:rsidP="00A132AE">
      <w:pPr>
        <w:spacing w:after="0" w:line="288" w:lineRule="auto"/>
        <w:jc w:val="both"/>
        <w:rPr>
          <w:rFonts w:ascii="Times New Roman" w:hAnsi="Times New Roman"/>
        </w:rPr>
      </w:pPr>
    </w:p>
    <w:p w14:paraId="1D2B9882" w14:textId="666C1657" w:rsidR="006F344D" w:rsidRPr="006255E2" w:rsidRDefault="00CE5A08">
      <w:pPr>
        <w:spacing w:after="0" w:line="288" w:lineRule="auto"/>
        <w:jc w:val="both"/>
        <w:rPr>
          <w:rFonts w:ascii="Times New Roman" w:hAnsi="Times New Roman"/>
          <w:b/>
        </w:rPr>
      </w:pPr>
      <w:r>
        <w:rPr>
          <w:rFonts w:ascii="Times New Roman" w:hAnsi="Times New Roman"/>
        </w:rPr>
        <w:t>Die Fachgruppe TEN wird auf der Grundlage dieser und früherer Arbeiten am Ende des ersten Halbjahrs eine hochrangige Veranstaltung zu diesem Thema organisieren.</w:t>
      </w:r>
    </w:p>
    <w:p w14:paraId="0E1DF1F1" w14:textId="77777777" w:rsidR="00022748" w:rsidRPr="006255E2" w:rsidRDefault="00022748">
      <w:pPr>
        <w:spacing w:after="0" w:line="288" w:lineRule="auto"/>
        <w:jc w:val="both"/>
        <w:rPr>
          <w:rFonts w:ascii="Times New Roman" w:eastAsia="Times New Roman" w:hAnsi="Times New Roman"/>
        </w:rPr>
      </w:pPr>
    </w:p>
    <w:p w14:paraId="2DD76AD7" w14:textId="5BA20123" w:rsidR="00022748" w:rsidRPr="006255E2" w:rsidRDefault="00CE5A08">
      <w:pPr>
        <w:spacing w:after="0" w:line="288" w:lineRule="auto"/>
        <w:jc w:val="both"/>
        <w:rPr>
          <w:rFonts w:ascii="Times New Roman" w:eastAsia="Times New Roman" w:hAnsi="Times New Roman"/>
        </w:rPr>
      </w:pPr>
      <w:r>
        <w:rPr>
          <w:rFonts w:ascii="Times New Roman" w:hAnsi="Times New Roman"/>
        </w:rPr>
        <w:t xml:space="preserve">Die </w:t>
      </w:r>
      <w:r>
        <w:rPr>
          <w:rFonts w:ascii="Times New Roman" w:hAnsi="Times New Roman"/>
          <w:b/>
        </w:rPr>
        <w:t>Thematische Studiengruppe Verkehr (TSG-T)</w:t>
      </w:r>
      <w:r>
        <w:rPr>
          <w:rFonts w:ascii="Times New Roman" w:hAnsi="Times New Roman"/>
        </w:rPr>
        <w:t xml:space="preserve"> wird der Fachgruppe TEN weiterhin als interne Denkfabrik in Verkehrsangelegenheiten dienen.</w:t>
      </w:r>
    </w:p>
    <w:p w14:paraId="763568AA" w14:textId="77777777" w:rsidR="008F78AD" w:rsidRPr="006255E2" w:rsidRDefault="008F78AD" w:rsidP="00A132AE">
      <w:pPr>
        <w:spacing w:after="0" w:line="288" w:lineRule="auto"/>
        <w:jc w:val="both"/>
        <w:rPr>
          <w:rFonts w:ascii="Times New Roman" w:eastAsia="Times New Roman" w:hAnsi="Times New Roman"/>
        </w:rPr>
      </w:pPr>
    </w:p>
    <w:p w14:paraId="479A46AC" w14:textId="35A4CA59" w:rsidR="00022748" w:rsidRPr="006255E2" w:rsidRDefault="00022748">
      <w:pPr>
        <w:spacing w:after="0" w:line="288" w:lineRule="auto"/>
        <w:jc w:val="both"/>
        <w:rPr>
          <w:rFonts w:ascii="Times New Roman" w:eastAsia="Times New Roman" w:hAnsi="Times New Roman"/>
        </w:rPr>
      </w:pPr>
      <w:r>
        <w:rPr>
          <w:rFonts w:ascii="Times New Roman" w:hAnsi="Times New Roman"/>
        </w:rPr>
        <w:t xml:space="preserve">Ein zentraler Teil der Arbeit der TSG-T wird darin bestehen, neue Herausforderungen vorherzusehen und neue Ideen und Konzepte, insbesondere im Bereich Arbeitsbedingungen und sozial gerechter Übergang, zu entwickeln und zu prüfen. </w:t>
      </w:r>
    </w:p>
    <w:p w14:paraId="02DBD67E" w14:textId="77777777" w:rsidR="00022748" w:rsidRPr="006255E2" w:rsidRDefault="00022748">
      <w:pPr>
        <w:spacing w:after="0" w:line="288" w:lineRule="auto"/>
        <w:jc w:val="both"/>
        <w:rPr>
          <w:rFonts w:ascii="Times New Roman" w:eastAsia="Times New Roman" w:hAnsi="Times New Roman"/>
        </w:rPr>
      </w:pPr>
    </w:p>
    <w:p w14:paraId="46C04157" w14:textId="6A88A5AF" w:rsidR="00022748" w:rsidRPr="006255E2" w:rsidRDefault="00022748">
      <w:pPr>
        <w:spacing w:after="0" w:line="288" w:lineRule="auto"/>
        <w:jc w:val="both"/>
        <w:rPr>
          <w:rFonts w:ascii="Times New Roman" w:eastAsia="Times New Roman" w:hAnsi="Times New Roman"/>
        </w:rPr>
      </w:pPr>
      <w:r>
        <w:rPr>
          <w:rFonts w:ascii="Times New Roman" w:hAnsi="Times New Roman"/>
        </w:rPr>
        <w:t xml:space="preserve">Sowohl die Kommission als auch der Rat konzentrieren sich bei ihren Prioritäten für 2021 offenbar darauf, die Erholung von der COVID-19-Krise mit der Umsetzung der beiden zentralen Prioritäten – des europäischen Grünen Deals und der Digitalisierung – zu kombinieren und gleichzeitig Synergien zwischen diesen beiden Zielen anzustreben. </w:t>
      </w:r>
    </w:p>
    <w:p w14:paraId="58978ED5" w14:textId="77777777" w:rsidR="00022748" w:rsidRPr="006255E2" w:rsidRDefault="00022748">
      <w:pPr>
        <w:spacing w:after="0" w:line="288" w:lineRule="auto"/>
        <w:jc w:val="both"/>
        <w:rPr>
          <w:rFonts w:ascii="Times New Roman" w:eastAsia="Times New Roman" w:hAnsi="Times New Roman"/>
        </w:rPr>
      </w:pPr>
    </w:p>
    <w:p w14:paraId="494F6542" w14:textId="17491C78" w:rsidR="00022748" w:rsidRPr="006255E2" w:rsidRDefault="00022748">
      <w:pPr>
        <w:spacing w:after="0" w:line="288" w:lineRule="auto"/>
        <w:jc w:val="both"/>
        <w:rPr>
          <w:rFonts w:ascii="Times New Roman" w:eastAsia="Times New Roman" w:hAnsi="Times New Roman"/>
        </w:rPr>
      </w:pPr>
      <w:r>
        <w:rPr>
          <w:rFonts w:ascii="Times New Roman" w:hAnsi="Times New Roman"/>
        </w:rPr>
        <w:t xml:space="preserve">Zu den bedeutenden Initiativen der Kommission, die für den Verkehrssektor relevant sind, gehört das Paket </w:t>
      </w:r>
      <w:r>
        <w:rPr>
          <w:rFonts w:ascii="Times New Roman" w:hAnsi="Times New Roman"/>
          <w:i/>
        </w:rPr>
        <w:t>Fit für das 55-%-Ziel</w:t>
      </w:r>
      <w:r>
        <w:rPr>
          <w:rFonts w:ascii="Times New Roman" w:hAnsi="Times New Roman"/>
        </w:rPr>
        <w:t xml:space="preserve"> mit Maßnahmen zur Umsetzung der verstärkten Emissionsreduktionsziele für 2030. Die Maßnahmen, die den Verkehrssektor betreffen, sind die </w:t>
      </w:r>
      <w:r>
        <w:rPr>
          <w:rFonts w:ascii="Times New Roman" w:hAnsi="Times New Roman"/>
          <w:i/>
        </w:rPr>
        <w:t>Überarbeitung des Emissionshandelssystems der EU</w:t>
      </w:r>
      <w:r>
        <w:rPr>
          <w:rFonts w:ascii="Times New Roman" w:hAnsi="Times New Roman"/>
        </w:rPr>
        <w:t xml:space="preserve"> (EHS), die Ausdehnung dieses Systems auf den </w:t>
      </w:r>
      <w:r>
        <w:rPr>
          <w:rFonts w:ascii="Times New Roman" w:hAnsi="Times New Roman"/>
          <w:i/>
        </w:rPr>
        <w:t>Seeverkehr</w:t>
      </w:r>
      <w:r>
        <w:rPr>
          <w:rFonts w:ascii="Times New Roman" w:hAnsi="Times New Roman"/>
        </w:rPr>
        <w:t xml:space="preserve">, die </w:t>
      </w:r>
      <w:r>
        <w:rPr>
          <w:rFonts w:ascii="Times New Roman" w:hAnsi="Times New Roman"/>
          <w:i/>
        </w:rPr>
        <w:t>Überprüfung des luftfahrtspezifischen Emissionshandelssystems im Hinblick auf das CORSIA-System</w:t>
      </w:r>
      <w:r>
        <w:rPr>
          <w:rFonts w:ascii="Times New Roman" w:hAnsi="Times New Roman"/>
        </w:rPr>
        <w:t xml:space="preserve"> (System zur Verrechnung und Reduzierung von Kohlenstoffdioxid für die internationale Luftfahrt) </w:t>
      </w:r>
      <w:r>
        <w:rPr>
          <w:rFonts w:ascii="Times New Roman" w:hAnsi="Times New Roman"/>
          <w:i/>
        </w:rPr>
        <w:t>der Internationalen Zivilluftfahrt-Organisation</w:t>
      </w:r>
      <w:r>
        <w:rPr>
          <w:rFonts w:ascii="Times New Roman" w:hAnsi="Times New Roman"/>
        </w:rPr>
        <w:t xml:space="preserve"> (ICAO) und die </w:t>
      </w:r>
      <w:r>
        <w:rPr>
          <w:rFonts w:ascii="Times New Roman" w:hAnsi="Times New Roman"/>
          <w:i/>
        </w:rPr>
        <w:t>Überprüfung der Erneuerbare-Energien-Richtlinie und der Energieeffizienzrichtlinie</w:t>
      </w:r>
      <w:r>
        <w:rPr>
          <w:rFonts w:ascii="Times New Roman" w:hAnsi="Times New Roman"/>
        </w:rPr>
        <w:t>.</w:t>
      </w:r>
    </w:p>
    <w:p w14:paraId="05EC73B1" w14:textId="77777777" w:rsidR="00022748" w:rsidRPr="006255E2" w:rsidRDefault="00022748">
      <w:pPr>
        <w:spacing w:after="0" w:line="288" w:lineRule="auto"/>
        <w:jc w:val="both"/>
        <w:rPr>
          <w:rFonts w:ascii="Times New Roman" w:eastAsia="Times New Roman" w:hAnsi="Times New Roman"/>
        </w:rPr>
      </w:pPr>
    </w:p>
    <w:p w14:paraId="5B1EF131" w14:textId="77777777" w:rsidR="00022748" w:rsidRPr="006255E2" w:rsidRDefault="00022748">
      <w:pPr>
        <w:spacing w:after="0" w:line="288" w:lineRule="auto"/>
        <w:jc w:val="both"/>
        <w:rPr>
          <w:rFonts w:ascii="Times New Roman" w:eastAsia="Times New Roman" w:hAnsi="Times New Roman"/>
        </w:rPr>
      </w:pPr>
      <w:r>
        <w:rPr>
          <w:rFonts w:ascii="Times New Roman" w:hAnsi="Times New Roman"/>
        </w:rPr>
        <w:t xml:space="preserve">Auch Initiativen aus anderen Bereichen können für den Verkehrssektor von Interesse sein, wie etwa der geplante </w:t>
      </w:r>
      <w:r>
        <w:rPr>
          <w:rFonts w:ascii="Times New Roman" w:hAnsi="Times New Roman"/>
          <w:i/>
        </w:rPr>
        <w:t>Vorschlag für eine vertrauenswürdige und sichere europäische eID</w:t>
      </w:r>
      <w:r>
        <w:rPr>
          <w:rFonts w:ascii="Times New Roman" w:hAnsi="Times New Roman"/>
        </w:rPr>
        <w:t xml:space="preserve"> und die Folgemaßnahmen zum </w:t>
      </w:r>
      <w:r>
        <w:rPr>
          <w:rFonts w:ascii="Times New Roman" w:hAnsi="Times New Roman"/>
          <w:i/>
        </w:rPr>
        <w:t>Weißbuch über ausländische Subventionen</w:t>
      </w:r>
      <w:r>
        <w:rPr>
          <w:rFonts w:ascii="Times New Roman" w:hAnsi="Times New Roman"/>
        </w:rPr>
        <w:t>.</w:t>
      </w:r>
    </w:p>
    <w:p w14:paraId="4D17BEDD" w14:textId="77777777" w:rsidR="00022748" w:rsidRPr="006255E2" w:rsidRDefault="00022748">
      <w:pPr>
        <w:spacing w:after="0" w:line="288" w:lineRule="auto"/>
        <w:jc w:val="both"/>
        <w:rPr>
          <w:rFonts w:ascii="Times New Roman" w:eastAsia="Times New Roman" w:hAnsi="Times New Roman"/>
        </w:rPr>
      </w:pPr>
    </w:p>
    <w:p w14:paraId="23020ADD" w14:textId="2A129E88" w:rsidR="00022748" w:rsidRPr="006255E2" w:rsidRDefault="00022748">
      <w:pPr>
        <w:keepNext/>
        <w:spacing w:after="0" w:line="288" w:lineRule="auto"/>
        <w:jc w:val="both"/>
        <w:rPr>
          <w:rFonts w:ascii="Times New Roman" w:eastAsia="Times New Roman" w:hAnsi="Times New Roman"/>
        </w:rPr>
      </w:pPr>
      <w:r>
        <w:rPr>
          <w:rFonts w:ascii="Times New Roman" w:hAnsi="Times New Roman"/>
        </w:rPr>
        <w:t>Vor diesem Hintergrund erscheinen folgende Themen als besonders interessant:</w:t>
      </w:r>
    </w:p>
    <w:p w14:paraId="43B675AB" w14:textId="77777777" w:rsidR="008F78AD" w:rsidRPr="006255E2" w:rsidRDefault="008F78AD" w:rsidP="00A132AE">
      <w:pPr>
        <w:keepNext/>
        <w:spacing w:after="0" w:line="288" w:lineRule="auto"/>
        <w:jc w:val="both"/>
        <w:rPr>
          <w:rFonts w:ascii="Times New Roman" w:hAnsi="Times New Roman"/>
        </w:rPr>
      </w:pPr>
    </w:p>
    <w:p w14:paraId="3FA50569" w14:textId="21BB8B22" w:rsidR="00022748" w:rsidRPr="006255E2" w:rsidRDefault="00022748" w:rsidP="00A132AE">
      <w:pPr>
        <w:numPr>
          <w:ilvl w:val="0"/>
          <w:numId w:val="1"/>
        </w:numPr>
        <w:tabs>
          <w:tab w:val="clear" w:pos="360"/>
        </w:tabs>
        <w:spacing w:after="0" w:line="288" w:lineRule="auto"/>
        <w:jc w:val="both"/>
        <w:rPr>
          <w:rFonts w:ascii="Times New Roman" w:hAnsi="Times New Roman"/>
        </w:rPr>
      </w:pPr>
      <w:r>
        <w:rPr>
          <w:rFonts w:ascii="Times New Roman" w:hAnsi="Times New Roman"/>
        </w:rPr>
        <w:t xml:space="preserve">Ausdehnung des EU-EHS auf den Seeverkehr und Überarbeitung des EU-EHS für die Luftfahrt, einschließlich der Koexistenz mit dem CORSIA in der EU. Hierbei ist dafür zu sorgen, dass jedwede von ihr vorgeschlagene Regelung unter Wahrung eines unverfälschten Wettbewerbs auf dem EU-Luftverkehrsbinnenmarkt und im Schifffahrtssektor der EU effektiv Umweltzielen dient. Es wurde </w:t>
      </w:r>
      <w:r>
        <w:rPr>
          <w:rFonts w:ascii="Times New Roman" w:hAnsi="Times New Roman"/>
        </w:rPr>
        <w:lastRenderedPageBreak/>
        <w:t xml:space="preserve">erörtert, das System auf den Landverkehr auszudehnen, diese Möglichkeit ist jedoch nicht im Arbeitsprogramm der Kommission für 2021 enthalten. </w:t>
      </w:r>
    </w:p>
    <w:p w14:paraId="3D02AB8D" w14:textId="642086A2" w:rsidR="00022748" w:rsidRPr="006255E2" w:rsidRDefault="00022748" w:rsidP="00A132AE">
      <w:pPr>
        <w:numPr>
          <w:ilvl w:val="0"/>
          <w:numId w:val="1"/>
        </w:numPr>
        <w:tabs>
          <w:tab w:val="clear" w:pos="360"/>
        </w:tabs>
        <w:spacing w:after="0" w:line="288" w:lineRule="auto"/>
        <w:jc w:val="both"/>
        <w:rPr>
          <w:rFonts w:ascii="Times New Roman" w:hAnsi="Times New Roman"/>
        </w:rPr>
      </w:pPr>
      <w:r>
        <w:rPr>
          <w:rFonts w:ascii="Times New Roman" w:hAnsi="Times New Roman"/>
        </w:rPr>
        <w:t>Die geplante Überprüfung des intelligenten Verkehrssystems (IVS) und des multimodalen Fahrscheinsystems. Dies könnte ein umfangreiches Thema werden, unter das auch KI-Anwendungen für den Verkehr fallen könnten.</w:t>
      </w:r>
    </w:p>
    <w:p w14:paraId="77E673A0" w14:textId="67E59431" w:rsidR="00022748" w:rsidRPr="006255E2" w:rsidRDefault="00022748" w:rsidP="00A132AE">
      <w:pPr>
        <w:numPr>
          <w:ilvl w:val="0"/>
          <w:numId w:val="1"/>
        </w:numPr>
        <w:tabs>
          <w:tab w:val="clear" w:pos="360"/>
        </w:tabs>
        <w:spacing w:after="0" w:line="288" w:lineRule="auto"/>
        <w:jc w:val="both"/>
        <w:rPr>
          <w:rFonts w:ascii="Times New Roman" w:hAnsi="Times New Roman"/>
        </w:rPr>
      </w:pPr>
      <w:r>
        <w:rPr>
          <w:rFonts w:ascii="Times New Roman" w:hAnsi="Times New Roman"/>
        </w:rPr>
        <w:t xml:space="preserve">Die </w:t>
      </w:r>
      <w:r>
        <w:rPr>
          <w:rFonts w:ascii="Times New Roman" w:hAnsi="Times New Roman"/>
          <w:i/>
        </w:rPr>
        <w:t>Überprüfung der TEN-V-Verordnung</w:t>
      </w:r>
      <w:r>
        <w:rPr>
          <w:rFonts w:ascii="Times New Roman" w:hAnsi="Times New Roman"/>
        </w:rPr>
        <w:t xml:space="preserve">, da der Europäische Rechnungshof die Umsetzung von TEN-V stark kritisiert hat, vornehmlich aufgrund von Problemen mit den grenzüberschreitenden Verbindungen, einer unzureichenden Koordinierung zwischen den Mitgliedstaaten und allgemeinen Steuerungsproblemen. </w:t>
      </w:r>
    </w:p>
    <w:p w14:paraId="07873055" w14:textId="6E85A367" w:rsidR="00022748" w:rsidRPr="006255E2" w:rsidRDefault="00022748" w:rsidP="00A132AE">
      <w:pPr>
        <w:numPr>
          <w:ilvl w:val="0"/>
          <w:numId w:val="1"/>
        </w:numPr>
        <w:tabs>
          <w:tab w:val="clear" w:pos="360"/>
        </w:tabs>
        <w:spacing w:after="0" w:line="288" w:lineRule="auto"/>
        <w:jc w:val="both"/>
        <w:rPr>
          <w:rFonts w:ascii="Times New Roman" w:hAnsi="Times New Roman"/>
        </w:rPr>
      </w:pPr>
      <w:r>
        <w:rPr>
          <w:rFonts w:ascii="Times New Roman" w:hAnsi="Times New Roman"/>
        </w:rPr>
        <w:t xml:space="preserve">Die </w:t>
      </w:r>
      <w:r>
        <w:rPr>
          <w:rFonts w:ascii="Times New Roman" w:hAnsi="Times New Roman"/>
          <w:i/>
        </w:rPr>
        <w:t>Initiative für Korridore im Schienenverkehr</w:t>
      </w:r>
      <w:r>
        <w:rPr>
          <w:rFonts w:ascii="Times New Roman" w:hAnsi="Times New Roman"/>
        </w:rPr>
        <w:t xml:space="preserve"> hängt von der wesentlichen Frage der Effizienz des Schienengüterverkehrs ab, die auch darauf Einfluss hat, ob sich die Multimodalität verwirklichen lässt, angesichts dessen, dass </w:t>
      </w:r>
      <w:r>
        <w:rPr>
          <w:rFonts w:ascii="Times New Roman" w:hAnsi="Times New Roman"/>
          <w:i/>
        </w:rPr>
        <w:t>2021 das Jahr der Schiene</w:t>
      </w:r>
      <w:r>
        <w:rPr>
          <w:rFonts w:ascii="Times New Roman" w:hAnsi="Times New Roman"/>
        </w:rPr>
        <w:t xml:space="preserve"> ist, ein hochaktuelles Thema. </w:t>
      </w:r>
    </w:p>
    <w:p w14:paraId="6855F2DC" w14:textId="77777777" w:rsidR="00022748" w:rsidRPr="006255E2" w:rsidRDefault="00022748">
      <w:pPr>
        <w:spacing w:after="0" w:line="288" w:lineRule="auto"/>
        <w:ind w:left="567" w:hanging="567"/>
        <w:jc w:val="both"/>
        <w:rPr>
          <w:rFonts w:ascii="Times New Roman" w:hAnsi="Times New Roman"/>
        </w:rPr>
      </w:pPr>
    </w:p>
    <w:p w14:paraId="4452D4C9" w14:textId="380F0C57" w:rsidR="00022748" w:rsidRPr="006255E2" w:rsidRDefault="00022748">
      <w:pPr>
        <w:spacing w:after="0" w:line="288" w:lineRule="auto"/>
        <w:jc w:val="both"/>
        <w:rPr>
          <w:rFonts w:ascii="Times New Roman" w:eastAsia="Times New Roman" w:hAnsi="Times New Roman"/>
        </w:rPr>
      </w:pPr>
      <w:r>
        <w:rPr>
          <w:rFonts w:ascii="Times New Roman" w:hAnsi="Times New Roman"/>
        </w:rPr>
        <w:t>Außerdem ist darauf hinzuweisen, dass der Rat die Kommission darum ersucht hat, für den Fall von Pandemien oder anderen großen Krisen einen Vorschlag für einen Krisenplan für den europäischen Güterverkehrssektor vorzulegen.</w:t>
      </w:r>
    </w:p>
    <w:p w14:paraId="38BA0E51" w14:textId="77777777" w:rsidR="00022748" w:rsidRPr="006255E2" w:rsidRDefault="00022748">
      <w:pPr>
        <w:spacing w:after="0" w:line="288" w:lineRule="auto"/>
        <w:jc w:val="both"/>
        <w:rPr>
          <w:rFonts w:ascii="Times New Roman" w:eastAsia="Times New Roman" w:hAnsi="Times New Roman"/>
        </w:rPr>
      </w:pPr>
    </w:p>
    <w:p w14:paraId="54C41776" w14:textId="28EB18DD" w:rsidR="00022748" w:rsidRPr="006255E2" w:rsidRDefault="00022748">
      <w:pPr>
        <w:spacing w:after="0" w:line="288" w:lineRule="auto"/>
        <w:jc w:val="both"/>
        <w:rPr>
          <w:rFonts w:ascii="Times New Roman" w:eastAsia="Times New Roman" w:hAnsi="Times New Roman"/>
        </w:rPr>
      </w:pPr>
      <w:r>
        <w:rPr>
          <w:rFonts w:ascii="Times New Roman" w:hAnsi="Times New Roman"/>
        </w:rPr>
        <w:t>Die TSG-T wird sich darum bemühen, die Zusammenarbeit mit den anderen Organen, insbesondere dem EU-Ratsvorsitz, der Kommission (GD MOVE), dem Europäischen Parlament (Ausschuss für Verkehr und Tourismus) und dem Ausschuss der Regionen, auszubauen.</w:t>
      </w:r>
    </w:p>
    <w:p w14:paraId="76CC4748" w14:textId="77777777" w:rsidR="000B292A" w:rsidRPr="006255E2" w:rsidRDefault="000B292A">
      <w:pPr>
        <w:spacing w:after="0" w:line="288" w:lineRule="auto"/>
        <w:jc w:val="both"/>
        <w:rPr>
          <w:rFonts w:ascii="Times New Roman" w:eastAsia="Times New Roman" w:hAnsi="Times New Roman"/>
          <w:bCs/>
        </w:rPr>
      </w:pPr>
    </w:p>
    <w:p w14:paraId="15D798F5" w14:textId="3D15EB7B" w:rsidR="00022748" w:rsidRPr="006255E2" w:rsidRDefault="00022748">
      <w:pPr>
        <w:keepNext/>
        <w:spacing w:after="0" w:line="288" w:lineRule="auto"/>
        <w:jc w:val="both"/>
        <w:rPr>
          <w:rFonts w:ascii="Times New Roman" w:eastAsia="Times New Roman" w:hAnsi="Times New Roman"/>
          <w:b/>
          <w:bCs/>
        </w:rPr>
      </w:pPr>
      <w:r>
        <w:rPr>
          <w:rFonts w:ascii="Times New Roman" w:hAnsi="Times New Roman"/>
          <w:b/>
          <w:bCs/>
        </w:rPr>
        <w:t>DIENSTLEISTUNGEN VON ALLGEMEINEM INTERESSE</w:t>
      </w:r>
    </w:p>
    <w:p w14:paraId="0B13B5F7" w14:textId="13EE1B9A" w:rsidR="00022748" w:rsidRPr="006255E2" w:rsidRDefault="00022748">
      <w:pPr>
        <w:keepNext/>
        <w:spacing w:after="0" w:line="288" w:lineRule="auto"/>
        <w:jc w:val="both"/>
        <w:rPr>
          <w:rFonts w:ascii="Times New Roman" w:eastAsia="Times New Roman" w:hAnsi="Times New Roman"/>
          <w:bCs/>
        </w:rPr>
      </w:pPr>
    </w:p>
    <w:p w14:paraId="0E3878BC" w14:textId="3E1DF85E" w:rsidR="00B52852" w:rsidRPr="006255E2" w:rsidRDefault="00ED28D5">
      <w:pPr>
        <w:spacing w:after="0" w:line="288" w:lineRule="auto"/>
        <w:jc w:val="both"/>
        <w:rPr>
          <w:rFonts w:ascii="Times New Roman" w:eastAsia="Times New Roman" w:hAnsi="Times New Roman"/>
          <w:bCs/>
        </w:rPr>
      </w:pPr>
      <w:r>
        <w:rPr>
          <w:rFonts w:ascii="Times New Roman" w:hAnsi="Times New Roman"/>
          <w:bCs/>
        </w:rPr>
        <w:t>Die Fachgruppe TEN wird sich in ihrer Tätigkeit weiterhin dafür einsetzen, eine Gesellschaft wiederherzustellen, die auf den Vorteilen der Dienstleistungen von allgemeinem Interesse gründet. Zwar lassen sich Ende 2020 die Auswirkungen der COVID-19-Pandemie noch nicht in allen Lebensbereichen absehen, doch hat die Krise vor Augen geführt, dass effektive Dienstleistungen von allgemeinem Interesse (DAI) und Dienstleistungen von allgemeinem wirtschaftlichem Interesse (DAWI) erforderlich sind.</w:t>
      </w:r>
    </w:p>
    <w:p w14:paraId="6A4466A4" w14:textId="77777777" w:rsidR="00D400AC" w:rsidRPr="006255E2" w:rsidRDefault="00D400AC">
      <w:pPr>
        <w:spacing w:after="0" w:line="288" w:lineRule="auto"/>
        <w:jc w:val="both"/>
        <w:rPr>
          <w:rFonts w:ascii="Times New Roman" w:eastAsia="Times New Roman" w:hAnsi="Times New Roman"/>
          <w:bCs/>
        </w:rPr>
      </w:pPr>
    </w:p>
    <w:p w14:paraId="277C7A06" w14:textId="1ECE0A2A" w:rsidR="00B52852" w:rsidRPr="006255E2" w:rsidRDefault="00B52852">
      <w:pPr>
        <w:spacing w:after="0" w:line="288" w:lineRule="auto"/>
        <w:jc w:val="both"/>
        <w:rPr>
          <w:rFonts w:ascii="Times New Roman" w:eastAsia="Times New Roman" w:hAnsi="Times New Roman"/>
          <w:bCs/>
        </w:rPr>
      </w:pPr>
      <w:r>
        <w:rPr>
          <w:rFonts w:ascii="Times New Roman" w:hAnsi="Times New Roman"/>
          <w:bCs/>
        </w:rPr>
        <w:t>Um einem Marktversagen bei Dienstleistungen von allgemeinem wirtschaftlichem Interesse entgegenzuwirken, werden die Mitgliedstaaten im Protokoll Nr. 26 über DAI im Anhang zum Vertrag über die Arbeitsweise der Europäischen Union (AEUV) aufgefordert, „ein hohes Niveau an Qualität, Sicherheit und Erschwinglichkeit, Gleichbehandlung und Förderung des universellen Zugangs und der Nutzerrechte sicherzustellen“. In einigen Mitgliedstaaten erfüllen jedoch eine Reihe von DAWI die in diesem Protokoll festgelegten Kriterien nicht oder nicht vollständig.</w:t>
      </w:r>
    </w:p>
    <w:p w14:paraId="6D61F4B8" w14:textId="77777777" w:rsidR="00B52852" w:rsidRPr="006255E2" w:rsidRDefault="00B52852">
      <w:pPr>
        <w:spacing w:after="0" w:line="288" w:lineRule="auto"/>
        <w:jc w:val="both"/>
        <w:rPr>
          <w:rFonts w:ascii="Times New Roman" w:eastAsia="Times New Roman" w:hAnsi="Times New Roman"/>
          <w:bCs/>
        </w:rPr>
      </w:pPr>
    </w:p>
    <w:p w14:paraId="61F62E0E" w14:textId="77777777" w:rsidR="00B52852" w:rsidRPr="006255E2" w:rsidRDefault="00B52852" w:rsidP="00A132AE">
      <w:pPr>
        <w:keepNext/>
        <w:spacing w:after="0" w:line="288" w:lineRule="auto"/>
        <w:jc w:val="both"/>
        <w:rPr>
          <w:rFonts w:ascii="Times New Roman" w:eastAsia="Times New Roman" w:hAnsi="Times New Roman"/>
          <w:bCs/>
        </w:rPr>
      </w:pPr>
      <w:r>
        <w:rPr>
          <w:rFonts w:ascii="Times New Roman" w:hAnsi="Times New Roman"/>
          <w:bCs/>
        </w:rPr>
        <w:t>Um für einen hochwertigen und zeitgemäßen Zugang für alle Sorge zu tragen, sind folgende Maßnahmen erforderlich:</w:t>
      </w:r>
    </w:p>
    <w:p w14:paraId="3C51A8A0" w14:textId="77777777" w:rsidR="00B52852" w:rsidRPr="006255E2" w:rsidRDefault="00B52852" w:rsidP="00A132AE">
      <w:pPr>
        <w:keepNext/>
        <w:spacing w:after="0" w:line="288" w:lineRule="auto"/>
        <w:jc w:val="both"/>
        <w:rPr>
          <w:rFonts w:ascii="Times New Roman" w:eastAsia="Times New Roman" w:hAnsi="Times New Roman"/>
          <w:bCs/>
        </w:rPr>
      </w:pPr>
    </w:p>
    <w:p w14:paraId="23BEDE4A" w14:textId="77777777" w:rsidR="00B52852" w:rsidRPr="006255E2" w:rsidRDefault="00B52852" w:rsidP="00A132AE">
      <w:pPr>
        <w:numPr>
          <w:ilvl w:val="0"/>
          <w:numId w:val="1"/>
        </w:numPr>
        <w:tabs>
          <w:tab w:val="clear" w:pos="360"/>
        </w:tabs>
        <w:spacing w:after="0" w:line="288" w:lineRule="auto"/>
        <w:jc w:val="both"/>
        <w:rPr>
          <w:rFonts w:ascii="Times New Roman" w:eastAsia="Times New Roman" w:hAnsi="Times New Roman"/>
          <w:bCs/>
        </w:rPr>
      </w:pPr>
      <w:r>
        <w:rPr>
          <w:rFonts w:ascii="Times New Roman" w:hAnsi="Times New Roman"/>
          <w:bCs/>
        </w:rPr>
        <w:t>Überprüfung der auf europäischer Ebene übernommenen Verpflichtungen zu universellen Dienstleistungen und deren Anpassung an technologische und gesellschaftliche Entwicklungen;</w:t>
      </w:r>
    </w:p>
    <w:p w14:paraId="6C628064" w14:textId="77777777" w:rsidR="00B52852" w:rsidRPr="006255E2" w:rsidRDefault="00B52852" w:rsidP="00A132AE">
      <w:pPr>
        <w:numPr>
          <w:ilvl w:val="0"/>
          <w:numId w:val="1"/>
        </w:numPr>
        <w:tabs>
          <w:tab w:val="clear" w:pos="360"/>
        </w:tabs>
        <w:spacing w:after="0" w:line="288" w:lineRule="auto"/>
        <w:jc w:val="both"/>
        <w:rPr>
          <w:rFonts w:ascii="Times New Roman" w:eastAsia="Times New Roman" w:hAnsi="Times New Roman"/>
          <w:bCs/>
        </w:rPr>
      </w:pPr>
      <w:r>
        <w:rPr>
          <w:rFonts w:ascii="Times New Roman" w:hAnsi="Times New Roman"/>
          <w:bCs/>
        </w:rPr>
        <w:t>Überprüfung der europäischen Qualitätsstandards verschiedener DAWI;</w:t>
      </w:r>
    </w:p>
    <w:p w14:paraId="19E46F6C" w14:textId="77777777" w:rsidR="00B52852" w:rsidRPr="006255E2" w:rsidRDefault="00B52852" w:rsidP="00A132AE">
      <w:pPr>
        <w:numPr>
          <w:ilvl w:val="0"/>
          <w:numId w:val="1"/>
        </w:numPr>
        <w:tabs>
          <w:tab w:val="clear" w:pos="360"/>
        </w:tabs>
        <w:spacing w:after="0" w:line="288" w:lineRule="auto"/>
        <w:jc w:val="both"/>
        <w:rPr>
          <w:rFonts w:ascii="Times New Roman" w:eastAsia="Times New Roman" w:hAnsi="Times New Roman"/>
          <w:bCs/>
        </w:rPr>
      </w:pPr>
      <w:r>
        <w:rPr>
          <w:rFonts w:ascii="Times New Roman" w:hAnsi="Times New Roman"/>
          <w:bCs/>
        </w:rPr>
        <w:lastRenderedPageBreak/>
        <w:t>Verpflichtung der Mitgliedstaaten zur Festlegung von Indikatoren für den universellen Zugang zu den einzelnen DAWI (Dichte der Zugangspunkte und deren maximaler Abstand, Regelmäßigkeit der Dienstleistung usw.);</w:t>
      </w:r>
    </w:p>
    <w:p w14:paraId="6B9335B5" w14:textId="77777777" w:rsidR="00B52852" w:rsidRPr="006255E2" w:rsidRDefault="00B52852" w:rsidP="00A132AE">
      <w:pPr>
        <w:numPr>
          <w:ilvl w:val="0"/>
          <w:numId w:val="1"/>
        </w:numPr>
        <w:tabs>
          <w:tab w:val="clear" w:pos="360"/>
        </w:tabs>
        <w:spacing w:after="0" w:line="288" w:lineRule="auto"/>
        <w:jc w:val="both"/>
        <w:rPr>
          <w:rFonts w:ascii="Times New Roman" w:eastAsia="Times New Roman" w:hAnsi="Times New Roman"/>
          <w:bCs/>
        </w:rPr>
      </w:pPr>
      <w:r>
        <w:rPr>
          <w:rFonts w:ascii="Times New Roman" w:hAnsi="Times New Roman"/>
          <w:bCs/>
        </w:rPr>
        <w:t>Festlegung des Konzepts erschwinglicher Preise zur Sicherstellung der finanziellen Zugänglichkeit der DAWI;</w:t>
      </w:r>
    </w:p>
    <w:p w14:paraId="098058CB" w14:textId="77777777" w:rsidR="00B52852" w:rsidRPr="006255E2" w:rsidRDefault="00B52852" w:rsidP="00A132AE">
      <w:pPr>
        <w:numPr>
          <w:ilvl w:val="0"/>
          <w:numId w:val="1"/>
        </w:numPr>
        <w:tabs>
          <w:tab w:val="clear" w:pos="360"/>
        </w:tabs>
        <w:spacing w:after="0" w:line="288" w:lineRule="auto"/>
        <w:jc w:val="both"/>
        <w:rPr>
          <w:rFonts w:ascii="Times New Roman" w:eastAsia="Times New Roman" w:hAnsi="Times New Roman"/>
          <w:bCs/>
        </w:rPr>
      </w:pPr>
      <w:r>
        <w:rPr>
          <w:rFonts w:ascii="Times New Roman" w:hAnsi="Times New Roman"/>
          <w:bCs/>
        </w:rPr>
        <w:t>Entwicklung einer Gemeinschaftsmethodik für die Bewertung der Leistung von DAWI.</w:t>
      </w:r>
    </w:p>
    <w:p w14:paraId="1BDB16ED" w14:textId="77777777" w:rsidR="00B52852" w:rsidRPr="006255E2" w:rsidRDefault="00B52852">
      <w:pPr>
        <w:spacing w:after="0" w:line="288" w:lineRule="auto"/>
        <w:jc w:val="both"/>
        <w:rPr>
          <w:rFonts w:ascii="Times New Roman" w:eastAsia="Times New Roman" w:hAnsi="Times New Roman"/>
          <w:bCs/>
        </w:rPr>
      </w:pPr>
    </w:p>
    <w:p w14:paraId="3F0B37E6" w14:textId="79947EED" w:rsidR="00022748" w:rsidRPr="006255E2" w:rsidRDefault="00844EC0">
      <w:pPr>
        <w:spacing w:after="0" w:line="288" w:lineRule="auto"/>
        <w:jc w:val="both"/>
        <w:rPr>
          <w:rFonts w:ascii="Times New Roman" w:eastAsia="Times New Roman" w:hAnsi="Times New Roman"/>
          <w:bCs/>
        </w:rPr>
      </w:pPr>
      <w:r>
        <w:rPr>
          <w:rFonts w:ascii="Times New Roman" w:hAnsi="Times New Roman"/>
          <w:bCs/>
        </w:rPr>
        <w:t xml:space="preserve">Durch die COVID-19-Krise hat sich gezeigt, dass Dienstleistungen von allgemeinem Interesse, mit denen die in Protokoll Nr. 26 festgelegten Kriterien erfüllt werden, dringend gebraucht werden, insbesondere diejenigen, die in der europäischen Säule sozialer Rechte festgelegt sind, wie z. B. Gesundheits- und Sozialdienstleistungen, digitale Kommunikation, Verkehr, Energie- und Wasserversorgung, Finanzdienstleistungen, Sanitäreinrichtungen und Abfallsammlung. </w:t>
      </w:r>
      <w:r>
        <w:rPr>
          <w:rFonts w:ascii="Times New Roman" w:hAnsi="Times New Roman"/>
        </w:rPr>
        <w:t>Im Einklang mit dem kommenden portugiesischen Ratsvorsitz, der die Umsetzung der europäischen Säule sozialer Rechte als eine seiner Prioritäten erachtet, wird die Fachgruppe TEN ihre Arbeit an der Säule fortführen, insbesondere im Hinblick auf die Bestimmung zur hochwertigen Unterstützung bei der Wohnraumbeschaffung für Hilfsbedürftige und auf das Recht auf den Zugang zu essenziellen Dienstleistungen guter Qualität. Die Bauvorhaben im Rahmen des Grünen Deals und die europäische Säule sozialer Rechte sollten unter gebührender Berücksichtigung der Politik und Praxis der Mitgliedstaaten als Gelegenheit genutzt werden, der Wohnungspolitik der EU eine konkrete und klare Gestalt zu verleihen.</w:t>
      </w:r>
    </w:p>
    <w:p w14:paraId="2C6C3611" w14:textId="77777777" w:rsidR="00ED28D5" w:rsidRPr="006255E2" w:rsidRDefault="00ED28D5">
      <w:pPr>
        <w:spacing w:after="0" w:line="288" w:lineRule="auto"/>
        <w:jc w:val="both"/>
        <w:rPr>
          <w:rFonts w:ascii="Times New Roman" w:eastAsia="Times New Roman" w:hAnsi="Times New Roman"/>
        </w:rPr>
      </w:pPr>
    </w:p>
    <w:p w14:paraId="4E62F6E7" w14:textId="6BEF9857" w:rsidR="00022748" w:rsidRPr="006255E2" w:rsidRDefault="00022748">
      <w:pPr>
        <w:spacing w:after="0" w:line="288" w:lineRule="auto"/>
        <w:jc w:val="both"/>
        <w:rPr>
          <w:rFonts w:ascii="Times New Roman" w:eastAsia="Times New Roman" w:hAnsi="Times New Roman"/>
          <w:bCs/>
        </w:rPr>
      </w:pPr>
      <w:r>
        <w:rPr>
          <w:rFonts w:ascii="Times New Roman" w:hAnsi="Times New Roman"/>
          <w:bCs/>
        </w:rPr>
        <w:t xml:space="preserve">Im Nachgang zur Verabschiedung der Initiativstellungnahme zum Thema </w:t>
      </w:r>
      <w:r>
        <w:rPr>
          <w:rFonts w:ascii="Times New Roman" w:hAnsi="Times New Roman"/>
          <w:bCs/>
          <w:i/>
        </w:rPr>
        <w:t>Universeller Zugang zu menschenwürdigem, nachhaltigem und langfristig erschwinglichem Wohnraum</w:t>
      </w:r>
      <w:r>
        <w:rPr>
          <w:rFonts w:ascii="Times New Roman" w:hAnsi="Times New Roman"/>
          <w:bCs/>
        </w:rPr>
        <w:t xml:space="preserve"> (TEN/707) und dem erfolgreichen Webinar zu diesem Thema vom September 2020 wird sich die Fachgruppe TEN mit der neuen Strategie der Kommission zur Förderung der Renovierung öffentlicher und privater Gebäude auseinandersetzen. In der Kommissionsmitteilung </w:t>
      </w:r>
      <w:r>
        <w:rPr>
          <w:rFonts w:ascii="Times New Roman" w:hAnsi="Times New Roman"/>
          <w:bCs/>
          <w:i/>
        </w:rPr>
        <w:t>Eine Renovierungswelle für Europa – umweltfreundlichere Gebäude, mehr Arbeitsplätze und bessere Lebensbedingungen</w:t>
      </w:r>
      <w:r>
        <w:rPr>
          <w:rFonts w:ascii="Times New Roman" w:hAnsi="Times New Roman"/>
          <w:bCs/>
        </w:rPr>
        <w:t xml:space="preserve"> (TEN/723) ist auch eine </w:t>
      </w:r>
      <w:r>
        <w:rPr>
          <w:rFonts w:ascii="Times New Roman" w:hAnsi="Times New Roman"/>
          <w:bCs/>
          <w:i/>
        </w:rPr>
        <w:t>Initiative für bezahlbaren Wohnraum</w:t>
      </w:r>
      <w:r>
        <w:rPr>
          <w:rFonts w:ascii="Times New Roman" w:hAnsi="Times New Roman"/>
          <w:bCs/>
        </w:rPr>
        <w:t xml:space="preserve"> vorgesehen – eine sektorübergreifende Partnerschaft auf EU-Ebene für sozialen und erschwinglichen Wohnraum, mit der sichergestellt werden soll, dass für lokale Renovierungsprojekte ein Zugang zu allen erforderlichen technischen Kapazit</w:t>
      </w:r>
      <w:r w:rsidR="00D3088F">
        <w:rPr>
          <w:rFonts w:ascii="Times New Roman" w:hAnsi="Times New Roman"/>
          <w:bCs/>
        </w:rPr>
        <w:t>äten und EU</w:t>
      </w:r>
      <w:r w:rsidR="00D3088F">
        <w:rPr>
          <w:rFonts w:ascii="Times New Roman" w:hAnsi="Times New Roman"/>
          <w:bCs/>
        </w:rPr>
        <w:noBreakHyphen/>
      </w:r>
      <w:r>
        <w:rPr>
          <w:rFonts w:ascii="Times New Roman" w:hAnsi="Times New Roman"/>
          <w:bCs/>
        </w:rPr>
        <w:t xml:space="preserve">Mitteln zur Verfügung steht. </w:t>
      </w:r>
      <w:r>
        <w:rPr>
          <w:rFonts w:ascii="Times New Roman" w:hAnsi="Times New Roman"/>
        </w:rPr>
        <w:t xml:space="preserve">In diesem Zusammenhang wird die Fachgruppe TEN auf ihrer Sitzung im Februar eine hochrangige Podiumsdiskussion veranstalten, um die </w:t>
      </w:r>
      <w:r>
        <w:rPr>
          <w:rFonts w:ascii="Times New Roman" w:hAnsi="Times New Roman"/>
          <w:i/>
        </w:rPr>
        <w:t>Initiative für eine Renovierungswelle</w:t>
      </w:r>
      <w:r>
        <w:rPr>
          <w:rFonts w:ascii="Times New Roman" w:hAnsi="Times New Roman"/>
        </w:rPr>
        <w:t xml:space="preserve"> zu erörtern, die zahlreiche Möglichkeiten eröffnen und weitreichende gesellschaftliche, ökologische und wirtschaftliche Vorteile mit sich bringen wird.</w:t>
      </w:r>
      <w:r>
        <w:rPr>
          <w:rFonts w:ascii="Times New Roman" w:hAnsi="Times New Roman"/>
          <w:bCs/>
        </w:rPr>
        <w:t xml:space="preserve"> Am 18. Januar hat die Kommission die Konzeptionsphase des neuen Europäischen Bauhauses eingeleitet, der 2020 von Präsidentin von der Leyen in ihrer Rede zur Lage der Union angekündigten Initiative. Die Fachgruppe TEN wird dieses Umwelt-, Wirtschafts- und Kulturprojekt, mit dem zur Verwirklichung des europäischen Grünen Deals Konzipierung, Nachhaltigkeit, Zugänglichkeit, Erschwinglichkeit und Investitionen miteinander kombiniert werden sollen, zu einem Gegenstand ihrer Arbeit machen. Außerdem wird die Fachgruppe TEN eine Studie zum Thema </w:t>
      </w:r>
      <w:r>
        <w:rPr>
          <w:rFonts w:ascii="Times New Roman" w:hAnsi="Times New Roman"/>
          <w:bCs/>
          <w:i/>
        </w:rPr>
        <w:t>Mindestnormen für die Energieeffizienz im Wohnungssektor</w:t>
      </w:r>
      <w:r>
        <w:rPr>
          <w:rFonts w:ascii="Times New Roman" w:hAnsi="Times New Roman"/>
          <w:bCs/>
        </w:rPr>
        <w:t xml:space="preserve"> durchführen, um die Einführung dieser Mindestnormen für verschiedene Gebäudearten zu bewerten. Der Schwerpunkt wird dabei auf den Auswirkungen auf Verbraucher liegen, die von Energiearmut betroffen und schutzbedürftig sind. Als Folgemaßnahme zu ihrer </w:t>
      </w:r>
      <w:r>
        <w:rPr>
          <w:rFonts w:ascii="Times New Roman" w:hAnsi="Times New Roman"/>
          <w:bCs/>
          <w:i/>
        </w:rPr>
        <w:t>Initiative für eine Renovierungswelle</w:t>
      </w:r>
      <w:r>
        <w:rPr>
          <w:rFonts w:ascii="Times New Roman" w:hAnsi="Times New Roman"/>
          <w:bCs/>
        </w:rPr>
        <w:t xml:space="preserve"> für den Bausektor wird die Kommission 2021 eine umfassende Überarbeitung der </w:t>
      </w:r>
      <w:r>
        <w:rPr>
          <w:rFonts w:ascii="Times New Roman" w:hAnsi="Times New Roman"/>
          <w:bCs/>
          <w:i/>
        </w:rPr>
        <w:t>Richtlinie über die Energieeffizienz von Gebäuden</w:t>
      </w:r>
      <w:r>
        <w:rPr>
          <w:rFonts w:ascii="Times New Roman" w:hAnsi="Times New Roman"/>
          <w:bCs/>
        </w:rPr>
        <w:t xml:space="preserve"> inklusive Folgenabschätzung vornehmen, ein wichtiges Thema für die Tätigkeit der Fachgruppe TEN im Jahr 2021. </w:t>
      </w:r>
    </w:p>
    <w:p w14:paraId="6F3484DA" w14:textId="77777777" w:rsidR="00722DA3" w:rsidRPr="006255E2" w:rsidRDefault="00722DA3">
      <w:pPr>
        <w:spacing w:after="0" w:line="288" w:lineRule="auto"/>
        <w:jc w:val="both"/>
        <w:rPr>
          <w:rFonts w:ascii="Times New Roman" w:eastAsia="Times New Roman" w:hAnsi="Times New Roman"/>
          <w:bCs/>
          <w:iCs/>
          <w:color w:val="000000"/>
        </w:rPr>
      </w:pPr>
    </w:p>
    <w:p w14:paraId="5E835A87" w14:textId="2D2FB74C" w:rsidR="00D400AC" w:rsidRPr="006255E2" w:rsidRDefault="00D400AC">
      <w:pPr>
        <w:spacing w:after="0" w:line="288" w:lineRule="auto"/>
        <w:jc w:val="both"/>
        <w:rPr>
          <w:rFonts w:ascii="Times New Roman" w:eastAsia="Times New Roman" w:hAnsi="Times New Roman"/>
          <w:bCs/>
        </w:rPr>
      </w:pPr>
      <w:r>
        <w:rPr>
          <w:rFonts w:ascii="Times New Roman" w:hAnsi="Times New Roman"/>
          <w:bCs/>
          <w:iCs/>
          <w:color w:val="000000"/>
        </w:rPr>
        <w:t>Die Fachgruppe TEN erwägt, im Nachgang zu diesen Stellungnahmen und Projekten in Bezug auf erschwinglichen Wohnraum und die Renovierungswelle in Zusammenarbeit mit anderen Fachgruppen (SOC usw.) im zweiten Halbjahr eine Veranstaltung mit Beamten und hochrangigen Akteuren wirtschaftlicher und sozialer Organisationen sowie von Verbraucher- und Bürgerverbänden zu organisieren.</w:t>
      </w:r>
    </w:p>
    <w:p w14:paraId="13438F34" w14:textId="77777777" w:rsidR="008F78AD" w:rsidRPr="006255E2" w:rsidRDefault="008F78AD">
      <w:pPr>
        <w:spacing w:after="0" w:line="288" w:lineRule="auto"/>
        <w:jc w:val="both"/>
        <w:rPr>
          <w:rFonts w:ascii="Times New Roman" w:eastAsia="Times New Roman" w:hAnsi="Times New Roman"/>
          <w:bCs/>
        </w:rPr>
      </w:pPr>
    </w:p>
    <w:p w14:paraId="45A6D5C2" w14:textId="45C610E7" w:rsidR="00022748" w:rsidRPr="006255E2" w:rsidRDefault="00022748">
      <w:pPr>
        <w:spacing w:after="0" w:line="288" w:lineRule="auto"/>
        <w:jc w:val="both"/>
        <w:rPr>
          <w:rFonts w:ascii="Times New Roman" w:eastAsia="Times New Roman" w:hAnsi="Times New Roman"/>
          <w:bCs/>
        </w:rPr>
      </w:pPr>
      <w:r>
        <w:rPr>
          <w:rFonts w:ascii="Times New Roman" w:hAnsi="Times New Roman"/>
          <w:bCs/>
        </w:rPr>
        <w:t xml:space="preserve">Im Rahmen der REFIT-Initiativen beabsichtigt die Kommission, die Beihilfevorschriften für Gesundheits- und Sozialdienstleistungen von allgemeinem wirtschaftlichem Interesse zu bewerten. Die Fachgruppe TEN wird diese Bewertung, bei der überprüft werden soll, inwieweit die im Rahmen des DAWI-Pakets von 2012 angestrebten Ziele mit den Vorschriften über Gesundheits- und Sozialdienstleistungen von allgemeinem wirtschaftlichem Interesse erreicht wurden, aufmerksam mitverfolgen. </w:t>
      </w:r>
    </w:p>
    <w:p w14:paraId="249893A2" w14:textId="77777777" w:rsidR="008F78AD" w:rsidRPr="006255E2" w:rsidRDefault="008F78AD">
      <w:pPr>
        <w:spacing w:after="0" w:line="288" w:lineRule="auto"/>
        <w:jc w:val="both"/>
        <w:rPr>
          <w:rFonts w:ascii="Times New Roman" w:eastAsia="Times New Roman" w:hAnsi="Times New Roman"/>
          <w:bCs/>
        </w:rPr>
      </w:pPr>
    </w:p>
    <w:p w14:paraId="2C634526" w14:textId="595BD98A" w:rsidR="00E22022" w:rsidRPr="006255E2" w:rsidRDefault="00E22022">
      <w:pPr>
        <w:spacing w:after="0" w:line="288" w:lineRule="auto"/>
        <w:jc w:val="both"/>
        <w:rPr>
          <w:rFonts w:ascii="Times New Roman" w:eastAsia="Times New Roman" w:hAnsi="Times New Roman"/>
          <w:bCs/>
        </w:rPr>
      </w:pPr>
      <w:r>
        <w:rPr>
          <w:rFonts w:ascii="Times New Roman" w:hAnsi="Times New Roman"/>
        </w:rPr>
        <w:t xml:space="preserve">Die Fachgruppe TEN wird den kommenden Fahrplan der Kommission in Bezug auf Konnektivität, Qualifikationen und öffentliche digitale Dienstleistungen, mit dem im Rahmen der nicht legislativen Initiative </w:t>
      </w:r>
      <w:r>
        <w:rPr>
          <w:rFonts w:ascii="Times New Roman" w:hAnsi="Times New Roman"/>
          <w:i/>
        </w:rPr>
        <w:t>Europas Digitale Dekade: Ziele im Digitalbereich für 2030</w:t>
      </w:r>
      <w:r>
        <w:rPr>
          <w:rFonts w:ascii="Times New Roman" w:hAnsi="Times New Roman"/>
        </w:rPr>
        <w:t xml:space="preserve"> klare Ziele für 2030 festgelegt werden sollen, genau verfolgen.</w:t>
      </w:r>
    </w:p>
    <w:p w14:paraId="77609C31" w14:textId="77777777" w:rsidR="000877C3" w:rsidRPr="006255E2" w:rsidRDefault="000877C3">
      <w:pPr>
        <w:spacing w:after="0" w:line="288" w:lineRule="auto"/>
        <w:jc w:val="both"/>
        <w:rPr>
          <w:rFonts w:ascii="Times New Roman" w:eastAsia="Times New Roman" w:hAnsi="Times New Roman"/>
          <w:bCs/>
        </w:rPr>
      </w:pPr>
    </w:p>
    <w:p w14:paraId="5054F863" w14:textId="62A502B7" w:rsidR="00022748" w:rsidRPr="006255E2" w:rsidRDefault="00022748">
      <w:pPr>
        <w:spacing w:after="0" w:line="288" w:lineRule="auto"/>
        <w:jc w:val="both"/>
        <w:rPr>
          <w:rFonts w:ascii="Times New Roman" w:eastAsia="Times New Roman" w:hAnsi="Times New Roman"/>
          <w:bCs/>
        </w:rPr>
      </w:pPr>
      <w:r>
        <w:rPr>
          <w:rFonts w:ascii="Times New Roman" w:hAnsi="Times New Roman"/>
          <w:bCs/>
        </w:rPr>
        <w:t xml:space="preserve">Die </w:t>
      </w:r>
      <w:r>
        <w:rPr>
          <w:rFonts w:ascii="Times New Roman" w:hAnsi="Times New Roman"/>
          <w:b/>
          <w:bCs/>
        </w:rPr>
        <w:t>Thematische Studiengruppe Dienstleistungen von allgemeinem Interesse</w:t>
      </w:r>
      <w:r>
        <w:rPr>
          <w:rFonts w:ascii="Times New Roman" w:hAnsi="Times New Roman"/>
          <w:bCs/>
        </w:rPr>
        <w:t xml:space="preserve"> (TSG-SGI) wird die zuständigen europäischen und nationalen Behörden weiterhin darin bestärken, im Sinne der nachhaltigen Entwicklung und des sozialen Zusammenhalts sowie im Einklang mit dem Motto des Arbeitsprogramms der TSG-SGI für 2021 bis 2023 – „Dienste von allgemeinem Interesse für die Menschen“ – die Umsetzung des Rechts auf Zugang zu hochwertigen Dienstleistungen sicherzustellen.</w:t>
      </w:r>
    </w:p>
    <w:p w14:paraId="6F66063C" w14:textId="77777777" w:rsidR="008F78AD" w:rsidRPr="006255E2" w:rsidRDefault="008F78AD">
      <w:pPr>
        <w:spacing w:after="0" w:line="288" w:lineRule="auto"/>
        <w:jc w:val="both"/>
        <w:rPr>
          <w:rFonts w:ascii="Times New Roman" w:eastAsia="Times New Roman" w:hAnsi="Times New Roman"/>
          <w:bCs/>
        </w:rPr>
      </w:pPr>
    </w:p>
    <w:p w14:paraId="66C9E014" w14:textId="6EF11FFB" w:rsidR="00022748" w:rsidRPr="006255E2" w:rsidRDefault="00022748">
      <w:pPr>
        <w:spacing w:after="0" w:line="288" w:lineRule="auto"/>
        <w:jc w:val="both"/>
        <w:rPr>
          <w:rFonts w:ascii="Times New Roman" w:eastAsia="Times New Roman" w:hAnsi="Times New Roman"/>
          <w:bCs/>
        </w:rPr>
      </w:pPr>
      <w:r>
        <w:rPr>
          <w:rFonts w:ascii="Times New Roman" w:hAnsi="Times New Roman"/>
          <w:bCs/>
        </w:rPr>
        <w:t>Die TSG-SGI wird die Umsetzung der europäischen Säule sozialer Rechte wie auch die Konkretisierung des 20. Grundsatzes dieser Säule verfolgen, der sich auf essenzielle Dienstleistungen und deren wirksame Bereitstellung, insbesondere durch zivilgesellschaftliche Organisationen, bezieht. Ferner wird sich die TSG-SGI mit der Digitalisierung der DAI und mit der Rolle von Städten und Gemeinden beim Erreichen der Klimaziele und eines sozial gerechten Übergangs befassen.</w:t>
      </w:r>
    </w:p>
    <w:p w14:paraId="74E832E6" w14:textId="77777777" w:rsidR="008F78AD" w:rsidRPr="006255E2" w:rsidRDefault="008F78AD">
      <w:pPr>
        <w:spacing w:after="0" w:line="288" w:lineRule="auto"/>
        <w:jc w:val="both"/>
        <w:rPr>
          <w:rFonts w:ascii="Times New Roman" w:eastAsia="Times New Roman" w:hAnsi="Times New Roman"/>
          <w:bCs/>
        </w:rPr>
      </w:pPr>
    </w:p>
    <w:p w14:paraId="69A6519B" w14:textId="3364DE5D" w:rsidR="00022748" w:rsidRPr="006255E2" w:rsidRDefault="005C2C3D">
      <w:pPr>
        <w:spacing w:after="0" w:line="288" w:lineRule="auto"/>
        <w:jc w:val="both"/>
        <w:rPr>
          <w:rFonts w:ascii="Times New Roman" w:eastAsia="Times New Roman" w:hAnsi="Times New Roman"/>
          <w:bCs/>
        </w:rPr>
      </w:pPr>
      <w:r>
        <w:rPr>
          <w:rFonts w:ascii="Times New Roman" w:hAnsi="Times New Roman"/>
          <w:bCs/>
        </w:rPr>
        <w:t>Dabei wird die TSG-SGI weiter Vertreter der Zivilgesellschaft in ihre Tätigkeit einbeziehen, indem sie Anhörungen von Sachverständigen, öffentliche Konferenzen und Debatten abhält. So könnte in den Räumlichkeiten des EWSA zum Beispiel eine gemeinsame Veranstaltung ausgerichtet werden, an der Vertreter von Gemeinden und Universitäten teilnehmen, die im Rahmen von Horizont 2020 am Projekt CoSIE zur kooperativen Entwicklung von öffentlichen Dienstleistungen durch Unionsbürgerinnen und -bürger sowie zivilgesellschaftliche Organisationen beteiligt sind (geplant für das Frühjahr 2021).</w:t>
      </w:r>
    </w:p>
    <w:p w14:paraId="0D74C68A" w14:textId="77777777" w:rsidR="008F78AD" w:rsidRPr="006255E2" w:rsidRDefault="008F78AD">
      <w:pPr>
        <w:spacing w:after="0" w:line="288" w:lineRule="auto"/>
        <w:jc w:val="both"/>
        <w:rPr>
          <w:rFonts w:ascii="Times New Roman" w:eastAsia="Times New Roman" w:hAnsi="Times New Roman"/>
          <w:bCs/>
        </w:rPr>
      </w:pPr>
    </w:p>
    <w:p w14:paraId="2C958831" w14:textId="15FFC0A6" w:rsidR="00022748" w:rsidRPr="006255E2" w:rsidRDefault="00022748">
      <w:pPr>
        <w:spacing w:after="0" w:line="288" w:lineRule="auto"/>
        <w:jc w:val="both"/>
        <w:rPr>
          <w:rFonts w:ascii="Times New Roman" w:eastAsia="Times New Roman" w:hAnsi="Times New Roman"/>
          <w:bCs/>
        </w:rPr>
      </w:pPr>
      <w:r>
        <w:rPr>
          <w:rFonts w:ascii="Times New Roman" w:hAnsi="Times New Roman"/>
          <w:bCs/>
        </w:rPr>
        <w:t xml:space="preserve">Die TSG-SGI wird sich mit der Rolle befassen, die den DAI bei der Bekämpfung der Gesundheitskrise und der Sicherstellung des sozialen Zusammenhalts in der Gesellschaft zukommt. Insbesondere wird die TSG-SGI die Schlussfolgerungen der Evaluierung der für Gesundheits- und Sozialdienstleistungen geltenden Vorschriften für Dienstleistungen von allgemeinem wirtschaftlichem Interesse (DAWI) und der De-minimis-Verordnung für DAWI in allen Wirtschaftszweigen bewerten, die die Kommission durchführen wird und die etwa Mitte 2021 in einer Arbeitsunterlage veröffentlicht werden soll. </w:t>
      </w:r>
    </w:p>
    <w:p w14:paraId="4EC4E36E" w14:textId="77777777" w:rsidR="00B60B8A" w:rsidRPr="006255E2" w:rsidRDefault="00B60B8A">
      <w:pPr>
        <w:spacing w:after="0" w:line="288" w:lineRule="auto"/>
        <w:jc w:val="both"/>
        <w:rPr>
          <w:rFonts w:ascii="Times New Roman" w:eastAsia="Times New Roman" w:hAnsi="Times New Roman"/>
          <w:bCs/>
        </w:rPr>
      </w:pPr>
    </w:p>
    <w:p w14:paraId="7255E479" w14:textId="3EA5FFD8" w:rsidR="00022748" w:rsidRPr="006255E2" w:rsidRDefault="00022748">
      <w:pPr>
        <w:keepNext/>
        <w:spacing w:after="0" w:line="288" w:lineRule="auto"/>
        <w:jc w:val="both"/>
        <w:rPr>
          <w:rFonts w:ascii="Times New Roman" w:eastAsia="Times New Roman" w:hAnsi="Times New Roman"/>
          <w:b/>
        </w:rPr>
      </w:pPr>
      <w:r>
        <w:rPr>
          <w:rFonts w:ascii="Times New Roman" w:hAnsi="Times New Roman"/>
          <w:b/>
        </w:rPr>
        <w:lastRenderedPageBreak/>
        <w:t>INFORMATIONSGESELLSCHAFT UND MEDIEN</w:t>
      </w:r>
    </w:p>
    <w:p w14:paraId="150A236C" w14:textId="103E869F" w:rsidR="00B60B8A" w:rsidRPr="006255E2" w:rsidRDefault="00B60B8A">
      <w:pPr>
        <w:keepNext/>
        <w:spacing w:after="0" w:line="288" w:lineRule="auto"/>
        <w:jc w:val="both"/>
        <w:rPr>
          <w:rFonts w:ascii="Times New Roman" w:eastAsia="Times New Roman" w:hAnsi="Times New Roman"/>
          <w:highlight w:val="yellow"/>
        </w:rPr>
      </w:pPr>
    </w:p>
    <w:p w14:paraId="33856CA0" w14:textId="54FF1F56" w:rsidR="009B011F" w:rsidRPr="006255E2" w:rsidRDefault="00E46EE9">
      <w:pPr>
        <w:spacing w:after="0" w:line="288" w:lineRule="auto"/>
        <w:jc w:val="both"/>
        <w:rPr>
          <w:rFonts w:ascii="Times New Roman" w:hAnsi="Times New Roman"/>
        </w:rPr>
      </w:pPr>
      <w:r>
        <w:rPr>
          <w:rFonts w:ascii="Times New Roman" w:hAnsi="Times New Roman"/>
        </w:rPr>
        <w:t xml:space="preserve">In dem die Informationsgesellschaft und Medien betreffenden Arbeitsprogramm der Fachgruppe TEN geht es um die durch die neue Welle von Technologien, einschließlich künstlicher Intelligenz, herbeigeführten Veränderungen, die sich auf die Medien und die Internetumgebung ausgewirkt haben und mit der </w:t>
      </w:r>
      <w:r>
        <w:rPr>
          <w:rFonts w:ascii="Times New Roman" w:hAnsi="Times New Roman"/>
          <w:i/>
        </w:rPr>
        <w:t>Sicherheit von Netz- und Informationssystemen</w:t>
      </w:r>
      <w:r>
        <w:rPr>
          <w:rFonts w:ascii="Times New Roman" w:hAnsi="Times New Roman"/>
        </w:rPr>
        <w:t xml:space="preserve"> (TEN/730) und dem </w:t>
      </w:r>
      <w:r>
        <w:rPr>
          <w:rFonts w:ascii="Times New Roman" w:hAnsi="Times New Roman"/>
          <w:i/>
        </w:rPr>
        <w:t>Aktionsplan für die Medien und den audiovisuellen Sektor</w:t>
      </w:r>
      <w:r>
        <w:rPr>
          <w:rFonts w:ascii="Times New Roman" w:hAnsi="Times New Roman"/>
        </w:rPr>
        <w:t xml:space="preserve"> (TEN/731) zusammenhängen. Mit der COVID-19-Pandemie sind neue Kanäle für Cyberkriminelle entstanden und sie hat die Bürgerinnen und Bürger anfälliger für extremistische Gewaltdiskurse im Internet gemacht. Außerdem hat sie die Notwendigkeit des Schutzes, sowohl im physischen Sinne als auch im digitalen Umfeld, aufgezeigt.</w:t>
      </w:r>
    </w:p>
    <w:p w14:paraId="5148BBA6" w14:textId="77777777" w:rsidR="008F78AD" w:rsidRPr="006255E2" w:rsidRDefault="008F78AD">
      <w:pPr>
        <w:spacing w:after="0" w:line="288" w:lineRule="auto"/>
        <w:jc w:val="both"/>
        <w:rPr>
          <w:rFonts w:ascii="Times New Roman" w:hAnsi="Times New Roman"/>
        </w:rPr>
      </w:pPr>
    </w:p>
    <w:p w14:paraId="20A51643" w14:textId="5A62009B" w:rsidR="009B011F" w:rsidRPr="006255E2" w:rsidRDefault="009B011F">
      <w:pPr>
        <w:spacing w:after="0" w:line="288" w:lineRule="auto"/>
        <w:jc w:val="both"/>
        <w:rPr>
          <w:rFonts w:ascii="Times New Roman" w:eastAsia="Times New Roman" w:hAnsi="Times New Roman"/>
        </w:rPr>
      </w:pPr>
      <w:r>
        <w:rPr>
          <w:rFonts w:ascii="Times New Roman" w:hAnsi="Times New Roman"/>
        </w:rPr>
        <w:t>Der neue Ansatz für die innere Sicherheit als Teil der Strategie für eine Sicherheitsunion tritt an die Stelle der vorherigen Sicherheitsstrategie der Europäischen Sicherheitsagenda. Die Sicherheit ist eine übergreifende Frage, die fast alle Lebensbereiche berührt und sich auf zahlreiche Politikbereiche auswirkt.</w:t>
      </w:r>
    </w:p>
    <w:p w14:paraId="4E11E227" w14:textId="77777777" w:rsidR="008F78AD" w:rsidRPr="006255E2" w:rsidRDefault="008F78AD">
      <w:pPr>
        <w:spacing w:after="0" w:line="288" w:lineRule="auto"/>
        <w:jc w:val="both"/>
        <w:rPr>
          <w:rFonts w:ascii="Times New Roman" w:eastAsia="Times New Roman" w:hAnsi="Times New Roman"/>
        </w:rPr>
      </w:pPr>
    </w:p>
    <w:p w14:paraId="7853BD89" w14:textId="7CBE1664" w:rsidR="009B011F" w:rsidRPr="006255E2" w:rsidRDefault="009B011F" w:rsidP="00A132AE">
      <w:pPr>
        <w:keepNext/>
        <w:spacing w:after="0" w:line="288" w:lineRule="auto"/>
        <w:jc w:val="both"/>
        <w:rPr>
          <w:rFonts w:ascii="Times New Roman" w:eastAsia="Times New Roman" w:hAnsi="Times New Roman"/>
        </w:rPr>
      </w:pPr>
      <w:r>
        <w:rPr>
          <w:rFonts w:ascii="Times New Roman" w:hAnsi="Times New Roman"/>
        </w:rPr>
        <w:t>Aufbauend auf der bisherigen Arbeit von Kommission, Rat und Parlament wird die Fachkommission TEN an der Strategie für eine Sicherheitsunion arbeiten, mit dem Ziel, die Bürgerinnen und Bürger in den Mittelpunkt des Ansatzes zu stellen. Hierbei wird sie sich auf drei vorrangige Bereiche konzentrieren:</w:t>
      </w:r>
    </w:p>
    <w:p w14:paraId="7F777C5A" w14:textId="77777777" w:rsidR="008F78AD" w:rsidRPr="006255E2" w:rsidRDefault="008F78AD" w:rsidP="00A132AE">
      <w:pPr>
        <w:keepNext/>
        <w:spacing w:after="0" w:line="288" w:lineRule="auto"/>
        <w:jc w:val="both"/>
        <w:rPr>
          <w:rFonts w:ascii="Times New Roman" w:eastAsia="Times New Roman" w:hAnsi="Times New Roman"/>
        </w:rPr>
      </w:pPr>
    </w:p>
    <w:p w14:paraId="3F9B2FA0" w14:textId="77777777" w:rsidR="009B011F" w:rsidRPr="006255E2" w:rsidRDefault="009B011F" w:rsidP="00A132AE">
      <w:pPr>
        <w:numPr>
          <w:ilvl w:val="0"/>
          <w:numId w:val="1"/>
        </w:numPr>
        <w:tabs>
          <w:tab w:val="clear" w:pos="360"/>
        </w:tabs>
        <w:spacing w:after="0" w:line="288" w:lineRule="auto"/>
        <w:jc w:val="both"/>
        <w:rPr>
          <w:rFonts w:ascii="Times New Roman" w:hAnsi="Times New Roman"/>
        </w:rPr>
      </w:pPr>
      <w:r>
        <w:rPr>
          <w:rFonts w:ascii="Times New Roman" w:hAnsi="Times New Roman"/>
        </w:rPr>
        <w:t>Bekämpfung von organisierter Kriminalität und Menschenhandel,</w:t>
      </w:r>
    </w:p>
    <w:p w14:paraId="3F7ED488" w14:textId="77777777" w:rsidR="009B011F" w:rsidRPr="006255E2" w:rsidRDefault="009B011F" w:rsidP="00A132AE">
      <w:pPr>
        <w:numPr>
          <w:ilvl w:val="0"/>
          <w:numId w:val="1"/>
        </w:numPr>
        <w:tabs>
          <w:tab w:val="clear" w:pos="360"/>
        </w:tabs>
        <w:spacing w:after="0" w:line="288" w:lineRule="auto"/>
        <w:jc w:val="both"/>
        <w:rPr>
          <w:rFonts w:ascii="Times New Roman" w:hAnsi="Times New Roman"/>
        </w:rPr>
      </w:pPr>
      <w:r>
        <w:rPr>
          <w:rFonts w:ascii="Times New Roman" w:hAnsi="Times New Roman"/>
        </w:rPr>
        <w:t>Bekämpfung von Terrorismus und Radikalisierung,</w:t>
      </w:r>
    </w:p>
    <w:p w14:paraId="0CD8F143" w14:textId="5924E5CB" w:rsidR="009B011F" w:rsidRPr="006255E2" w:rsidRDefault="009B011F" w:rsidP="00A132AE">
      <w:pPr>
        <w:numPr>
          <w:ilvl w:val="0"/>
          <w:numId w:val="1"/>
        </w:numPr>
        <w:tabs>
          <w:tab w:val="clear" w:pos="360"/>
        </w:tabs>
        <w:spacing w:after="0" w:line="288" w:lineRule="auto"/>
        <w:jc w:val="both"/>
        <w:rPr>
          <w:rFonts w:ascii="Times New Roman" w:eastAsia="Times New Roman" w:hAnsi="Times New Roman"/>
        </w:rPr>
      </w:pPr>
      <w:r>
        <w:rPr>
          <w:rFonts w:ascii="Times New Roman" w:hAnsi="Times New Roman"/>
        </w:rPr>
        <w:t>Bekämpfung der Cyberkriminalität.</w:t>
      </w:r>
    </w:p>
    <w:p w14:paraId="5C79CFE7" w14:textId="77777777" w:rsidR="009B011F" w:rsidRPr="006255E2" w:rsidRDefault="009B011F">
      <w:pPr>
        <w:spacing w:after="0" w:line="288" w:lineRule="auto"/>
        <w:jc w:val="both"/>
        <w:rPr>
          <w:rFonts w:ascii="Times New Roman" w:eastAsia="Times New Roman" w:hAnsi="Times New Roman"/>
          <w:highlight w:val="yellow"/>
        </w:rPr>
      </w:pPr>
    </w:p>
    <w:p w14:paraId="40FDA972" w14:textId="77777777" w:rsidR="00B60B8A" w:rsidRPr="006255E2" w:rsidRDefault="00B60B8A">
      <w:pPr>
        <w:spacing w:after="0" w:line="288" w:lineRule="auto"/>
        <w:jc w:val="both"/>
        <w:rPr>
          <w:rFonts w:ascii="Times New Roman" w:eastAsia="Times New Roman" w:hAnsi="Times New Roman"/>
        </w:rPr>
      </w:pPr>
      <w:r>
        <w:rPr>
          <w:rFonts w:ascii="Times New Roman" w:hAnsi="Times New Roman"/>
        </w:rPr>
        <w:t xml:space="preserve">Die Fachgruppe TEN hat die Einführung von 5G-Netzen und die Einführung kommerzieller Dienste in vollem Umfang begrüßt. 5G-Netze umfassen die gesamte relevante Netzinfrastruktur für die Mobilfunk- und Drahtloskommunikation, die für Netzanbindungs- und Mehrwertdienste verwendet wird und fortgeschrittene Leistungsmerkmale wie sehr hohe Datengeschwindigkeit und -kapazität, Kommunikation mit niedriger Latenzzeit, ultra-hohe Zuverlässigkeit und Unterstützung einer großen Zahl verbundener Geräte aufweist. Die Frage der Sicherheit digitaler Netze wird weiterhin im Mittelpunkt stehen, da etwaige Störungen der 5G-Netze besonders schwerwiegende Folgen für viele kritische Dienste hätten. Deshalb ist ein koordinierter und kohärenter EU-Ansatz im Bereich der Cybersicherheit von kritischen Technologien und Netzen von wesentlicher Bedeutung, insbesondere in einer Zeit, in der Cyberangriffe von einem breiten Spektrum von Akteuren ausgehen. </w:t>
      </w:r>
    </w:p>
    <w:p w14:paraId="5E5A51A1" w14:textId="77777777" w:rsidR="00B60B8A" w:rsidRPr="006255E2" w:rsidRDefault="00B60B8A">
      <w:pPr>
        <w:spacing w:after="0" w:line="288" w:lineRule="auto"/>
        <w:jc w:val="both"/>
        <w:rPr>
          <w:rFonts w:ascii="Times New Roman" w:eastAsia="Times New Roman" w:hAnsi="Times New Roman"/>
        </w:rPr>
      </w:pPr>
      <w:bookmarkStart w:id="0" w:name="_GoBack"/>
      <w:bookmarkEnd w:id="0"/>
    </w:p>
    <w:p w14:paraId="49FA77D0" w14:textId="3295D238" w:rsidR="00B60B8A" w:rsidRPr="006255E2" w:rsidRDefault="00B60B8A">
      <w:pPr>
        <w:spacing w:after="0" w:line="288" w:lineRule="auto"/>
        <w:jc w:val="both"/>
        <w:rPr>
          <w:rFonts w:ascii="Times New Roman" w:eastAsia="Times New Roman" w:hAnsi="Times New Roman"/>
        </w:rPr>
      </w:pPr>
      <w:r>
        <w:rPr>
          <w:rFonts w:ascii="Times New Roman" w:hAnsi="Times New Roman"/>
        </w:rPr>
        <w:t xml:space="preserve">Die kommende neue Cybersicherheitsstrategie der Kommission wird eine Überarbeitung der </w:t>
      </w:r>
      <w:r>
        <w:rPr>
          <w:rFonts w:ascii="Times New Roman" w:hAnsi="Times New Roman"/>
          <w:i/>
        </w:rPr>
        <w:t>Richtlinie zur Netz- und Informationssicherheit</w:t>
      </w:r>
      <w:r>
        <w:rPr>
          <w:rFonts w:ascii="Times New Roman" w:hAnsi="Times New Roman"/>
        </w:rPr>
        <w:t xml:space="preserve"> (NIS-Richtlinie) umfassen. Mit dieser Richtlinie wurden die nationalen Cybersicherheitskapazitäten gestärkt und die Mitgliedstaaten verpflichtet, eine nationale Cybersicherheitsstrategie festzulegen, nationale IT-Notfallteams (CERT – Computer Emergency Response Team) einzusetzen und Stellen zu benennen, die für NIS-Fragen zuständig sind. Die Kommission wird im Einklang mit den Bestimmungen der Richtlinie die Anwendung der Richtlinie überprüfen und darüber hinaus weitere Maßnahmen zum Schutz kritischer Infrastrukturen vorschlagen.</w:t>
      </w:r>
    </w:p>
    <w:p w14:paraId="28D336BD" w14:textId="77777777" w:rsidR="00B60B8A" w:rsidRPr="006255E2" w:rsidRDefault="00B60B8A">
      <w:pPr>
        <w:spacing w:after="0" w:line="288" w:lineRule="auto"/>
        <w:jc w:val="both"/>
        <w:rPr>
          <w:rFonts w:ascii="Times New Roman" w:eastAsia="Times New Roman" w:hAnsi="Times New Roman"/>
        </w:rPr>
      </w:pPr>
    </w:p>
    <w:p w14:paraId="49E7B1C6" w14:textId="38AE6E69" w:rsidR="00B60B8A" w:rsidRPr="006255E2" w:rsidRDefault="00B60B8A">
      <w:pPr>
        <w:spacing w:after="0" w:line="288" w:lineRule="auto"/>
        <w:jc w:val="both"/>
        <w:rPr>
          <w:rFonts w:ascii="Times New Roman" w:eastAsia="Times New Roman" w:hAnsi="Times New Roman"/>
        </w:rPr>
      </w:pPr>
      <w:r>
        <w:rPr>
          <w:rFonts w:ascii="Times New Roman" w:hAnsi="Times New Roman"/>
        </w:rPr>
        <w:lastRenderedPageBreak/>
        <w:t>Somit werden die von der Kommission angenommenen Legislativvorschläge die Arbeit der Fachgruppe TEN in Bezug auf digitale Angelegenheiten bestimmen. Dabei wird es besonders wichtig sein, den Beitrag der Zivilgesellschaft gebührend zu berücksichtigen.</w:t>
      </w:r>
    </w:p>
    <w:p w14:paraId="3DB48194" w14:textId="77777777" w:rsidR="00B60B8A" w:rsidRPr="006255E2" w:rsidRDefault="00B60B8A">
      <w:pPr>
        <w:spacing w:after="0" w:line="288" w:lineRule="auto"/>
        <w:jc w:val="both"/>
        <w:rPr>
          <w:rFonts w:ascii="Times New Roman" w:eastAsia="Times New Roman" w:hAnsi="Times New Roman"/>
        </w:rPr>
      </w:pPr>
    </w:p>
    <w:p w14:paraId="50DBEE1F" w14:textId="77777777" w:rsidR="00B60B8A" w:rsidRPr="006255E2" w:rsidRDefault="00B60B8A">
      <w:pPr>
        <w:spacing w:after="0" w:line="288" w:lineRule="auto"/>
        <w:jc w:val="both"/>
        <w:rPr>
          <w:rFonts w:ascii="Times New Roman" w:eastAsia="Times New Roman" w:hAnsi="Times New Roman"/>
        </w:rPr>
      </w:pPr>
      <w:r>
        <w:rPr>
          <w:rFonts w:ascii="Times New Roman" w:hAnsi="Times New Roman"/>
        </w:rPr>
        <w:t>Gegenstand der Richtlinie über audiovisuelle Mediendienste (AVMD-Richtlinie) sind audiovisuelle Mediendienste sowohl für traditionelle Fernsehübertragungsdienste als auch für Abrufdienste. Dem Inhalts- und Mediensektor kommt in Europa eine wichtige wirtschaftliche, gesellschaftliche und kulturelle Rolle zu. In allen Bereichen der Verlagswirtschaft müssen auch digitale bzw. Online-Veröffentlichungen entwickelt werden. Alle Medieninhalte, seien es Bilder, Ton oder Text, können heute auf zahlreiche Arten vertrieben und abgerufen werden. Die EU-Politik muss weiterentwickelt werden, um dieser neuen Situation gerecht zu werden. Im Bereich der audiovisuellen Mediendienste muss die Europäische Union für einen europäischen Binnenmarkt sorgen.</w:t>
      </w:r>
    </w:p>
    <w:p w14:paraId="204AEF8F" w14:textId="77777777" w:rsidR="00B60B8A" w:rsidRPr="006255E2" w:rsidRDefault="00B60B8A">
      <w:pPr>
        <w:spacing w:after="0" w:line="288" w:lineRule="auto"/>
        <w:jc w:val="both"/>
        <w:rPr>
          <w:rFonts w:ascii="Times New Roman" w:eastAsia="Times New Roman" w:hAnsi="Times New Roman"/>
        </w:rPr>
      </w:pPr>
    </w:p>
    <w:p w14:paraId="75D501AF" w14:textId="540D4FB4" w:rsidR="00B60B8A" w:rsidRPr="006255E2" w:rsidRDefault="00B60B8A">
      <w:pPr>
        <w:keepNext/>
        <w:spacing w:after="0" w:line="288" w:lineRule="auto"/>
        <w:jc w:val="both"/>
        <w:rPr>
          <w:rFonts w:ascii="Times New Roman" w:eastAsia="Times New Roman" w:hAnsi="Times New Roman"/>
        </w:rPr>
      </w:pPr>
      <w:r>
        <w:rPr>
          <w:rFonts w:ascii="Times New Roman" w:hAnsi="Times New Roman"/>
        </w:rPr>
        <w:t>Zu den Tätigkeiten der Fachgruppe TEN werden auch Arbeiten zu dem von der Kommission vorgeschlagenen neuen Aktionsplan für die Medien und den audiovisuellen Sektor gehören.</w:t>
      </w:r>
    </w:p>
    <w:p w14:paraId="40BEEA64" w14:textId="77777777" w:rsidR="008F78AD" w:rsidRPr="006255E2" w:rsidRDefault="008F78AD">
      <w:pPr>
        <w:keepNext/>
        <w:spacing w:after="0" w:line="288" w:lineRule="auto"/>
        <w:jc w:val="both"/>
        <w:rPr>
          <w:rFonts w:ascii="Times New Roman" w:eastAsia="Times New Roman" w:hAnsi="Times New Roman"/>
        </w:rPr>
      </w:pPr>
    </w:p>
    <w:p w14:paraId="4F7F262D" w14:textId="2F081FC2" w:rsidR="00022748" w:rsidRPr="006255E2" w:rsidRDefault="008F78AD">
      <w:pPr>
        <w:overflowPunct w:val="0"/>
        <w:autoSpaceDE w:val="0"/>
        <w:autoSpaceDN w:val="0"/>
        <w:adjustRightInd w:val="0"/>
        <w:spacing w:after="0" w:line="288" w:lineRule="auto"/>
        <w:jc w:val="center"/>
        <w:textAlignment w:val="baseline"/>
        <w:rPr>
          <w:rFonts w:ascii="Times New Roman" w:hAnsi="Times New Roman"/>
        </w:rPr>
      </w:pPr>
      <w:r>
        <w:rPr>
          <w:rFonts w:ascii="Times New Roman" w:hAnsi="Times New Roman"/>
        </w:rPr>
        <w:t>_____________</w:t>
      </w:r>
    </w:p>
    <w:sectPr w:rsidR="00022748" w:rsidRPr="006255E2" w:rsidSect="005604CD">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74A46" w14:textId="77777777" w:rsidR="00DF2D45" w:rsidRDefault="00DF2D45" w:rsidP="000B292A">
      <w:pPr>
        <w:spacing w:after="0" w:line="240" w:lineRule="auto"/>
      </w:pPr>
      <w:r>
        <w:separator/>
      </w:r>
    </w:p>
  </w:endnote>
  <w:endnote w:type="continuationSeparator" w:id="0">
    <w:p w14:paraId="2F180642" w14:textId="77777777" w:rsidR="00DF2D45" w:rsidRDefault="00DF2D45" w:rsidP="000B292A">
      <w:pPr>
        <w:spacing w:after="0" w:line="240" w:lineRule="auto"/>
      </w:pPr>
      <w:r>
        <w:continuationSeparator/>
      </w:r>
    </w:p>
  </w:endnote>
  <w:endnote w:type="continuationNotice" w:id="1">
    <w:p w14:paraId="5368B70F" w14:textId="77777777" w:rsidR="00DF2D45" w:rsidRDefault="00DF2D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0C420" w14:textId="77777777" w:rsidR="005604CD" w:rsidRPr="005604CD" w:rsidRDefault="005604CD" w:rsidP="00560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1CDB2" w14:textId="4726A447" w:rsidR="000C2D2F" w:rsidRPr="005604CD" w:rsidRDefault="005604CD" w:rsidP="005604CD">
    <w:pPr>
      <w:pStyle w:val="Footer"/>
    </w:pPr>
    <w:r>
      <w:t xml:space="preserve">EESC-2020-05442-00-02-TCD-TRA (EN) </w:t>
    </w:r>
    <w:r>
      <w:fldChar w:fldCharType="begin"/>
    </w:r>
    <w:r>
      <w:instrText xml:space="preserve"> PAGE  \* Arabic  \* MERGEFORMAT </w:instrText>
    </w:r>
    <w:r>
      <w:fldChar w:fldCharType="separate"/>
    </w:r>
    <w:r w:rsidR="00903033">
      <w:rPr>
        <w:noProof/>
      </w:rPr>
      <w:t>12</w:t>
    </w:r>
    <w:r>
      <w:fldChar w:fldCharType="end"/>
    </w:r>
    <w:r>
      <w:t>/</w:t>
    </w:r>
    <w:r w:rsidR="00903033">
      <w:fldChar w:fldCharType="begin"/>
    </w:r>
    <w:r w:rsidR="00903033">
      <w:instrText xml:space="preserve"> NUMPAGES </w:instrText>
    </w:r>
    <w:r w:rsidR="00903033">
      <w:fldChar w:fldCharType="separate"/>
    </w:r>
    <w:r w:rsidR="00903033">
      <w:rPr>
        <w:noProof/>
      </w:rPr>
      <w:t>12</w:t>
    </w:r>
    <w:r w:rsidR="0090303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E3875" w14:textId="77777777" w:rsidR="005604CD" w:rsidRPr="005604CD" w:rsidRDefault="005604CD" w:rsidP="00560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1B391" w14:textId="77777777" w:rsidR="00DF2D45" w:rsidRDefault="00DF2D45" w:rsidP="000B292A">
      <w:pPr>
        <w:spacing w:after="0" w:line="240" w:lineRule="auto"/>
      </w:pPr>
      <w:r>
        <w:separator/>
      </w:r>
    </w:p>
  </w:footnote>
  <w:footnote w:type="continuationSeparator" w:id="0">
    <w:p w14:paraId="1A7C42F0" w14:textId="77777777" w:rsidR="00DF2D45" w:rsidRDefault="00DF2D45" w:rsidP="000B292A">
      <w:pPr>
        <w:spacing w:after="0" w:line="240" w:lineRule="auto"/>
      </w:pPr>
      <w:r>
        <w:continuationSeparator/>
      </w:r>
    </w:p>
  </w:footnote>
  <w:footnote w:type="continuationNotice" w:id="1">
    <w:p w14:paraId="1E165B45" w14:textId="77777777" w:rsidR="00DF2D45" w:rsidRDefault="00DF2D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2E5F3" w14:textId="77777777" w:rsidR="005604CD" w:rsidRPr="005604CD" w:rsidRDefault="005604CD" w:rsidP="005604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8A8F0" w14:textId="10060B13" w:rsidR="000C2D2F" w:rsidRPr="005604CD" w:rsidRDefault="000C2D2F" w:rsidP="005604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B4A05" w14:textId="77777777" w:rsidR="005604CD" w:rsidRPr="005604CD" w:rsidRDefault="005604CD" w:rsidP="00560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4417E"/>
    <w:multiLevelType w:val="hybridMultilevel"/>
    <w:tmpl w:val="522CB5FA"/>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16044B19"/>
    <w:multiLevelType w:val="hybridMultilevel"/>
    <w:tmpl w:val="18F83C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1A43D00"/>
    <w:multiLevelType w:val="multilevel"/>
    <w:tmpl w:val="EB42E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E55D3"/>
    <w:multiLevelType w:val="multilevel"/>
    <w:tmpl w:val="90D602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3C7CC4"/>
    <w:multiLevelType w:val="multilevel"/>
    <w:tmpl w:val="7580438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5D7937C1"/>
    <w:multiLevelType w:val="hybridMultilevel"/>
    <w:tmpl w:val="48D21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868"/>
    <w:rsid w:val="00007512"/>
    <w:rsid w:val="00010C54"/>
    <w:rsid w:val="00016F27"/>
    <w:rsid w:val="00020173"/>
    <w:rsid w:val="00022748"/>
    <w:rsid w:val="0002746E"/>
    <w:rsid w:val="000877C3"/>
    <w:rsid w:val="00094839"/>
    <w:rsid w:val="000A188A"/>
    <w:rsid w:val="000B292A"/>
    <w:rsid w:val="000C2D2F"/>
    <w:rsid w:val="000C6391"/>
    <w:rsid w:val="000D4DCA"/>
    <w:rsid w:val="000E4709"/>
    <w:rsid w:val="000E55DA"/>
    <w:rsid w:val="00100C19"/>
    <w:rsid w:val="00104BBD"/>
    <w:rsid w:val="00141FBF"/>
    <w:rsid w:val="00143999"/>
    <w:rsid w:val="001527A5"/>
    <w:rsid w:val="00182A05"/>
    <w:rsid w:val="001B29DF"/>
    <w:rsid w:val="001B4D69"/>
    <w:rsid w:val="001F28FF"/>
    <w:rsid w:val="001F51CB"/>
    <w:rsid w:val="001F6EC3"/>
    <w:rsid w:val="0021234F"/>
    <w:rsid w:val="002134F7"/>
    <w:rsid w:val="002250C3"/>
    <w:rsid w:val="0023312A"/>
    <w:rsid w:val="00243572"/>
    <w:rsid w:val="00244C54"/>
    <w:rsid w:val="00275749"/>
    <w:rsid w:val="0027704A"/>
    <w:rsid w:val="00281213"/>
    <w:rsid w:val="00291CAB"/>
    <w:rsid w:val="0029309A"/>
    <w:rsid w:val="002C500D"/>
    <w:rsid w:val="00305538"/>
    <w:rsid w:val="00307C91"/>
    <w:rsid w:val="00320D9E"/>
    <w:rsid w:val="003413E1"/>
    <w:rsid w:val="0035308B"/>
    <w:rsid w:val="0035449C"/>
    <w:rsid w:val="003670D3"/>
    <w:rsid w:val="003760E8"/>
    <w:rsid w:val="003952B1"/>
    <w:rsid w:val="003A5369"/>
    <w:rsid w:val="003B48ED"/>
    <w:rsid w:val="003B69D7"/>
    <w:rsid w:val="003E6825"/>
    <w:rsid w:val="003F6489"/>
    <w:rsid w:val="00401A43"/>
    <w:rsid w:val="00412B21"/>
    <w:rsid w:val="004230F3"/>
    <w:rsid w:val="00431A69"/>
    <w:rsid w:val="00442FD4"/>
    <w:rsid w:val="00455EEC"/>
    <w:rsid w:val="004620C3"/>
    <w:rsid w:val="00472AC5"/>
    <w:rsid w:val="0048520B"/>
    <w:rsid w:val="0049537D"/>
    <w:rsid w:val="004A08AD"/>
    <w:rsid w:val="004A570A"/>
    <w:rsid w:val="004A7194"/>
    <w:rsid w:val="004A7FCC"/>
    <w:rsid w:val="004D73C6"/>
    <w:rsid w:val="004E2FFD"/>
    <w:rsid w:val="00513097"/>
    <w:rsid w:val="005147B0"/>
    <w:rsid w:val="00534C3B"/>
    <w:rsid w:val="00541662"/>
    <w:rsid w:val="005579ED"/>
    <w:rsid w:val="005604CD"/>
    <w:rsid w:val="005A04D5"/>
    <w:rsid w:val="005A5E58"/>
    <w:rsid w:val="005C2C3D"/>
    <w:rsid w:val="005D68D5"/>
    <w:rsid w:val="005E53BB"/>
    <w:rsid w:val="005F534F"/>
    <w:rsid w:val="005F5808"/>
    <w:rsid w:val="005F5EC0"/>
    <w:rsid w:val="00612A51"/>
    <w:rsid w:val="00615C45"/>
    <w:rsid w:val="006255E2"/>
    <w:rsid w:val="006330D6"/>
    <w:rsid w:val="006405C6"/>
    <w:rsid w:val="00643A24"/>
    <w:rsid w:val="0065128B"/>
    <w:rsid w:val="00663269"/>
    <w:rsid w:val="006845C7"/>
    <w:rsid w:val="00686D70"/>
    <w:rsid w:val="006C5AD2"/>
    <w:rsid w:val="006D6BA5"/>
    <w:rsid w:val="006E2FBD"/>
    <w:rsid w:val="006E3BB7"/>
    <w:rsid w:val="006F344D"/>
    <w:rsid w:val="006F7B02"/>
    <w:rsid w:val="007041F6"/>
    <w:rsid w:val="00706A03"/>
    <w:rsid w:val="007117EB"/>
    <w:rsid w:val="00722DA3"/>
    <w:rsid w:val="007624FE"/>
    <w:rsid w:val="00784FD8"/>
    <w:rsid w:val="00785E39"/>
    <w:rsid w:val="007B4176"/>
    <w:rsid w:val="007B58E7"/>
    <w:rsid w:val="007B6261"/>
    <w:rsid w:val="007B746D"/>
    <w:rsid w:val="007C165B"/>
    <w:rsid w:val="007C4BDB"/>
    <w:rsid w:val="007D107C"/>
    <w:rsid w:val="007D1E89"/>
    <w:rsid w:val="007D1FA1"/>
    <w:rsid w:val="007F1665"/>
    <w:rsid w:val="007F4021"/>
    <w:rsid w:val="00801B96"/>
    <w:rsid w:val="00821482"/>
    <w:rsid w:val="00827258"/>
    <w:rsid w:val="00827EAA"/>
    <w:rsid w:val="008431D5"/>
    <w:rsid w:val="00844EC0"/>
    <w:rsid w:val="00847C89"/>
    <w:rsid w:val="00853E27"/>
    <w:rsid w:val="00854786"/>
    <w:rsid w:val="008548C6"/>
    <w:rsid w:val="00856868"/>
    <w:rsid w:val="0085795E"/>
    <w:rsid w:val="00877E2D"/>
    <w:rsid w:val="00897ED1"/>
    <w:rsid w:val="008B59C3"/>
    <w:rsid w:val="008E071B"/>
    <w:rsid w:val="008E2049"/>
    <w:rsid w:val="008F78AD"/>
    <w:rsid w:val="00903033"/>
    <w:rsid w:val="0092128F"/>
    <w:rsid w:val="00922F72"/>
    <w:rsid w:val="0093788F"/>
    <w:rsid w:val="00953B9E"/>
    <w:rsid w:val="00964FC2"/>
    <w:rsid w:val="009669A7"/>
    <w:rsid w:val="00966C44"/>
    <w:rsid w:val="0097325B"/>
    <w:rsid w:val="00980C35"/>
    <w:rsid w:val="009A7F0F"/>
    <w:rsid w:val="009B011F"/>
    <w:rsid w:val="009B20CE"/>
    <w:rsid w:val="009B2708"/>
    <w:rsid w:val="009E1CCA"/>
    <w:rsid w:val="009F1B0A"/>
    <w:rsid w:val="00A04FCB"/>
    <w:rsid w:val="00A132AE"/>
    <w:rsid w:val="00A5697D"/>
    <w:rsid w:val="00A9288E"/>
    <w:rsid w:val="00A961F0"/>
    <w:rsid w:val="00AA0980"/>
    <w:rsid w:val="00AA1A34"/>
    <w:rsid w:val="00AA23EE"/>
    <w:rsid w:val="00AA3CA4"/>
    <w:rsid w:val="00AC4A5F"/>
    <w:rsid w:val="00AD0E69"/>
    <w:rsid w:val="00B02416"/>
    <w:rsid w:val="00B2224A"/>
    <w:rsid w:val="00B23CE8"/>
    <w:rsid w:val="00B4394F"/>
    <w:rsid w:val="00B449CB"/>
    <w:rsid w:val="00B52852"/>
    <w:rsid w:val="00B561E6"/>
    <w:rsid w:val="00B60B8A"/>
    <w:rsid w:val="00B61608"/>
    <w:rsid w:val="00B70AD2"/>
    <w:rsid w:val="00B71466"/>
    <w:rsid w:val="00B85274"/>
    <w:rsid w:val="00B87242"/>
    <w:rsid w:val="00B929DB"/>
    <w:rsid w:val="00B93EDD"/>
    <w:rsid w:val="00BC08B7"/>
    <w:rsid w:val="00BC41A1"/>
    <w:rsid w:val="00BE66E2"/>
    <w:rsid w:val="00BF3408"/>
    <w:rsid w:val="00BF522E"/>
    <w:rsid w:val="00C27C3C"/>
    <w:rsid w:val="00C62B11"/>
    <w:rsid w:val="00C9439B"/>
    <w:rsid w:val="00C943EC"/>
    <w:rsid w:val="00CA6286"/>
    <w:rsid w:val="00CB5F2C"/>
    <w:rsid w:val="00CC18E2"/>
    <w:rsid w:val="00CC3D84"/>
    <w:rsid w:val="00CC6045"/>
    <w:rsid w:val="00CE168D"/>
    <w:rsid w:val="00CE21C7"/>
    <w:rsid w:val="00CE5A08"/>
    <w:rsid w:val="00D001A3"/>
    <w:rsid w:val="00D121B3"/>
    <w:rsid w:val="00D3088F"/>
    <w:rsid w:val="00D33180"/>
    <w:rsid w:val="00D37D8E"/>
    <w:rsid w:val="00D400AC"/>
    <w:rsid w:val="00D51ACA"/>
    <w:rsid w:val="00D6030D"/>
    <w:rsid w:val="00D622CF"/>
    <w:rsid w:val="00D63415"/>
    <w:rsid w:val="00D748DB"/>
    <w:rsid w:val="00D77D2A"/>
    <w:rsid w:val="00D81AA9"/>
    <w:rsid w:val="00D82B71"/>
    <w:rsid w:val="00D874BD"/>
    <w:rsid w:val="00DA1DE7"/>
    <w:rsid w:val="00DA7F61"/>
    <w:rsid w:val="00DB4A3D"/>
    <w:rsid w:val="00DC7368"/>
    <w:rsid w:val="00DD6313"/>
    <w:rsid w:val="00DD6D27"/>
    <w:rsid w:val="00DF2D45"/>
    <w:rsid w:val="00E207E1"/>
    <w:rsid w:val="00E22022"/>
    <w:rsid w:val="00E2312A"/>
    <w:rsid w:val="00E46EE9"/>
    <w:rsid w:val="00E47361"/>
    <w:rsid w:val="00E53DEA"/>
    <w:rsid w:val="00E6161E"/>
    <w:rsid w:val="00E6245C"/>
    <w:rsid w:val="00E93C71"/>
    <w:rsid w:val="00E95DBC"/>
    <w:rsid w:val="00EA4EAD"/>
    <w:rsid w:val="00EB1333"/>
    <w:rsid w:val="00EC178B"/>
    <w:rsid w:val="00ED28D5"/>
    <w:rsid w:val="00EE1D7C"/>
    <w:rsid w:val="00EF601B"/>
    <w:rsid w:val="00EF6BC8"/>
    <w:rsid w:val="00F03F42"/>
    <w:rsid w:val="00F15233"/>
    <w:rsid w:val="00F2044A"/>
    <w:rsid w:val="00F30F4A"/>
    <w:rsid w:val="00F326AC"/>
    <w:rsid w:val="00F32740"/>
    <w:rsid w:val="00F4371D"/>
    <w:rsid w:val="00F44F6B"/>
    <w:rsid w:val="00F459BD"/>
    <w:rsid w:val="00F56B24"/>
    <w:rsid w:val="00F779A7"/>
    <w:rsid w:val="00F92E56"/>
    <w:rsid w:val="00FA1CC1"/>
    <w:rsid w:val="00FC30FD"/>
    <w:rsid w:val="00FD5A00"/>
    <w:rsid w:val="00FE2908"/>
    <w:rsid w:val="00FF47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4614444"/>
  <w15:chartTrackingRefBased/>
  <w15:docId w15:val="{C48BE82A-F5F4-4E0D-B0A7-729D6F95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92A"/>
    <w:pPr>
      <w:spacing w:line="288" w:lineRule="auto"/>
      <w:jc w:val="both"/>
    </w:pPr>
    <w:rPr>
      <w:rFonts w:ascii="Times New Roman" w:hAnsi="Times New Roman"/>
    </w:rPr>
  </w:style>
  <w:style w:type="character" w:customStyle="1" w:styleId="HeaderChar">
    <w:name w:val="Header Char"/>
    <w:link w:val="Header"/>
    <w:uiPriority w:val="99"/>
    <w:rsid w:val="000B292A"/>
    <w:rPr>
      <w:rFonts w:ascii="Times New Roman" w:hAnsi="Times New Roman"/>
      <w:sz w:val="22"/>
      <w:szCs w:val="22"/>
      <w:lang w:val="de-DE" w:eastAsia="en-US"/>
    </w:rPr>
  </w:style>
  <w:style w:type="paragraph" w:styleId="Footer">
    <w:name w:val="footer"/>
    <w:basedOn w:val="Normal"/>
    <w:link w:val="FooterChar"/>
    <w:uiPriority w:val="99"/>
    <w:unhideWhenUsed/>
    <w:rsid w:val="000B292A"/>
    <w:pPr>
      <w:spacing w:line="288" w:lineRule="auto"/>
      <w:jc w:val="both"/>
    </w:pPr>
    <w:rPr>
      <w:rFonts w:ascii="Times New Roman" w:hAnsi="Times New Roman"/>
    </w:rPr>
  </w:style>
  <w:style w:type="character" w:customStyle="1" w:styleId="FooterChar">
    <w:name w:val="Footer Char"/>
    <w:link w:val="Footer"/>
    <w:uiPriority w:val="99"/>
    <w:rsid w:val="000B292A"/>
    <w:rPr>
      <w:rFonts w:ascii="Times New Roman" w:hAnsi="Times New Roman"/>
      <w:sz w:val="22"/>
      <w:szCs w:val="22"/>
      <w:lang w:val="de-DE" w:eastAsia="en-US"/>
    </w:rPr>
  </w:style>
  <w:style w:type="paragraph" w:styleId="Revision">
    <w:name w:val="Revision"/>
    <w:hidden/>
    <w:uiPriority w:val="99"/>
    <w:semiHidden/>
    <w:rsid w:val="00020173"/>
    <w:rPr>
      <w:sz w:val="22"/>
      <w:szCs w:val="22"/>
      <w:lang w:eastAsia="en-US"/>
    </w:rPr>
  </w:style>
  <w:style w:type="paragraph" w:styleId="BalloonText">
    <w:name w:val="Balloon Text"/>
    <w:basedOn w:val="Normal"/>
    <w:link w:val="BalloonTextChar"/>
    <w:uiPriority w:val="99"/>
    <w:semiHidden/>
    <w:unhideWhenUsed/>
    <w:rsid w:val="00B93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EDD"/>
    <w:rPr>
      <w:rFonts w:ascii="Segoe UI" w:hAnsi="Segoe UI" w:cs="Segoe UI"/>
      <w:sz w:val="18"/>
      <w:szCs w:val="18"/>
      <w:lang w:val="de-DE" w:eastAsia="en-US"/>
    </w:rPr>
  </w:style>
  <w:style w:type="character" w:styleId="CommentReference">
    <w:name w:val="annotation reference"/>
    <w:basedOn w:val="DefaultParagraphFont"/>
    <w:uiPriority w:val="99"/>
    <w:semiHidden/>
    <w:unhideWhenUsed/>
    <w:rsid w:val="00B93EDD"/>
    <w:rPr>
      <w:sz w:val="16"/>
      <w:szCs w:val="16"/>
    </w:rPr>
  </w:style>
  <w:style w:type="paragraph" w:styleId="CommentText">
    <w:name w:val="annotation text"/>
    <w:basedOn w:val="Normal"/>
    <w:link w:val="CommentTextChar"/>
    <w:uiPriority w:val="99"/>
    <w:semiHidden/>
    <w:unhideWhenUsed/>
    <w:rsid w:val="00B93EDD"/>
    <w:pPr>
      <w:spacing w:line="240" w:lineRule="auto"/>
    </w:pPr>
    <w:rPr>
      <w:sz w:val="20"/>
      <w:szCs w:val="20"/>
    </w:rPr>
  </w:style>
  <w:style w:type="character" w:customStyle="1" w:styleId="CommentTextChar">
    <w:name w:val="Comment Text Char"/>
    <w:basedOn w:val="DefaultParagraphFont"/>
    <w:link w:val="CommentText"/>
    <w:uiPriority w:val="99"/>
    <w:semiHidden/>
    <w:rsid w:val="00B93EDD"/>
    <w:rPr>
      <w:lang w:val="de-DE" w:eastAsia="en-US"/>
    </w:rPr>
  </w:style>
  <w:style w:type="paragraph" w:styleId="CommentSubject">
    <w:name w:val="annotation subject"/>
    <w:basedOn w:val="CommentText"/>
    <w:next w:val="CommentText"/>
    <w:link w:val="CommentSubjectChar"/>
    <w:uiPriority w:val="99"/>
    <w:semiHidden/>
    <w:unhideWhenUsed/>
    <w:rsid w:val="00B93EDD"/>
    <w:rPr>
      <w:b/>
      <w:bCs/>
    </w:rPr>
  </w:style>
  <w:style w:type="character" w:customStyle="1" w:styleId="CommentSubjectChar">
    <w:name w:val="Comment Subject Char"/>
    <w:basedOn w:val="CommentTextChar"/>
    <w:link w:val="CommentSubject"/>
    <w:uiPriority w:val="99"/>
    <w:semiHidden/>
    <w:rsid w:val="00B93EDD"/>
    <w:rPr>
      <w:b/>
      <w:bCs/>
      <w:lang w:val="de-DE" w:eastAsia="en-US"/>
    </w:rPr>
  </w:style>
  <w:style w:type="table" w:styleId="TableGrid">
    <w:name w:val="Table Grid"/>
    <w:basedOn w:val="TableNormal"/>
    <w:uiPriority w:val="39"/>
    <w:rsid w:val="00CC1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25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VV634QRNENMJ-2141480542-7759</_dlc_DocId>
    <_dlc_DocIdUrl xmlns="cda99570-6012-4083-bfeb-7d32ad1ce1a3">
      <Url>http://dm2016/eesc/2020/_layouts/15/DocIdRedir.aspx?ID=VV634QRNENMJ-2141480542-7759</Url>
      <Description>VV634QRNENMJ-2141480542-7759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2021-02-08T12:00:00+00:00</ProductionDate>
    <FicheYear xmlns="cda99570-6012-4083-bfeb-7d32ad1ce1a3">2020</FicheYear>
    <DocumentNumber xmlns="de9c580c-2aa5-4762-938d-521e4861f44f">5442</DocumentNumber>
    <DocumentVersion xmlns="cda99570-6012-4083-bfeb-7d32ad1ce1a3">2</DocumentVersion>
    <DossierNumber xmlns="cda99570-6012-4083-bfeb-7d32ad1ce1a3"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 xsi:nil="true"/>
    <TaxCatchAll xmlns="cda99570-6012-4083-bfeb-7d32ad1ce1a3">
      <Value>11</Value>
      <Value>10</Value>
      <Value>8</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cda99570-6012-4083-bfeb-7d32ad1ce1a3" xsi:nil="true"/>
    <DocumentYear xmlns="cda99570-6012-4083-bfeb-7d32ad1ce1a3">2020</DocumentYear>
    <FicheNumber xmlns="cda99570-6012-4083-bfeb-7d32ad1ce1a3">897</FicheNumber>
    <DocumentPart xmlns="cda99570-6012-4083-bfeb-7d32ad1ce1a3">0</DocumentPart>
    <AdoptionDate xmlns="cda99570-6012-4083-bfeb-7d32ad1ce1a3" xsi:nil="true"/>
    <RequestingService xmlns="cda99570-6012-4083-bfeb-7d32ad1ce1a3">Transports, énergie, infrastructures, société de l'information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de9c580c-2aa5-4762-938d-521e4861f44f" xsi:nil="true"/>
    <DossierName_0 xmlns="http://schemas.microsoft.com/sharepoint/v3/fields">
      <Terms xmlns="http://schemas.microsoft.com/office/infopath/2007/PartnerControls"/>
    </DossierName_0>
  </documentManagement>
</p:properti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76B3A83997D445469E673E9B07871DA8" ma:contentTypeVersion="4" ma:contentTypeDescription="Defines the documents for Document Manager V2" ma:contentTypeScope="" ma:versionID="36e64be1a7d8d0aefd2d0207eaf7dcb2">
  <xsd:schema xmlns:xsd="http://www.w3.org/2001/XMLSchema" xmlns:xs="http://www.w3.org/2001/XMLSchema" xmlns:p="http://schemas.microsoft.com/office/2006/metadata/properties" xmlns:ns2="cda99570-6012-4083-bfeb-7d32ad1ce1a3" xmlns:ns3="http://schemas.microsoft.com/sharepoint/v3/fields" xmlns:ns4="de9c580c-2aa5-4762-938d-521e4861f44f" targetNamespace="http://schemas.microsoft.com/office/2006/metadata/properties" ma:root="true" ma:fieldsID="ae362fd9a150fca7250a3bc7b443d27b" ns2:_="" ns3:_="" ns4:_="">
    <xsd:import namespace="cda99570-6012-4083-bfeb-7d32ad1ce1a3"/>
    <xsd:import namespace="http://schemas.microsoft.com/sharepoint/v3/fields"/>
    <xsd:import namespace="de9c580c-2aa5-4762-938d-521e4861f44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9c580c-2aa5-4762-938d-521e4861f44f"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9E28290-37F1-47D2-9A32-260257BF0DE4}">
  <ds:schemaRefs>
    <ds:schemaRef ds:uri="http://schemas.microsoft.com/sharepoint/v3/contenttype/forms"/>
  </ds:schemaRefs>
</ds:datastoreItem>
</file>

<file path=customXml/itemProps2.xml><?xml version="1.0" encoding="utf-8"?>
<ds:datastoreItem xmlns:ds="http://schemas.openxmlformats.org/officeDocument/2006/customXml" ds:itemID="{BDABCB8E-15FA-48B6-8FDC-6404D644199B}">
  <ds:schemaRefs>
    <ds:schemaRef ds:uri="cda99570-6012-4083-bfeb-7d32ad1ce1a3"/>
    <ds:schemaRef ds:uri="http://purl.org/dc/terms/"/>
    <ds:schemaRef ds:uri="http://schemas.microsoft.com/office/2006/documentManagement/types"/>
    <ds:schemaRef ds:uri="http://schemas.microsoft.com/office/infopath/2007/PartnerControls"/>
    <ds:schemaRef ds:uri="de9c580c-2aa5-4762-938d-521e4861f44f"/>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F7EF34A2-29A9-45A5-B162-C3FCCCF8A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99570-6012-4083-bfeb-7d32ad1ce1a3"/>
    <ds:schemaRef ds:uri="http://schemas.microsoft.com/sharepoint/v3/fields"/>
    <ds:schemaRef ds:uri="de9c580c-2aa5-4762-938d-521e4861f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34E00A-9756-42AD-BD66-FFA3AB0288D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5769</Words>
  <Characters>31732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Endfassung - Arbeitsprogramm der Fachgruppe TEN für 2021</vt:lpstr>
    </vt:vector>
  </TitlesOfParts>
  <Company/>
  <LinksUpToDate>false</LinksUpToDate>
  <CharactersWithSpaces>37427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Endfassung - Arbeitsprogramm der Fachgruppe TEN für 2021</dc:title>
  <dc:subject>Beratende Arbeiten/Verschiedenes</dc:subject>
  <dc:creator>Maria Bogdi</dc:creator>
  <cp:keywords>EESC-2020-05442-00-02-TCD-TRA-EN</cp:keywords>
  <dc:description>Rapporteur:  - Original language: EN - Date of document: 08/02/2021 - Date of meeting:  - External documents:  - Administrator: Mme FULAR Birgit Susanne Josefine</dc:description>
  <cp:lastModifiedBy>Maria Bogdi</cp:lastModifiedBy>
  <cp:revision>4</cp:revision>
  <cp:lastPrinted>2021-02-10T09:26:00Z</cp:lastPrinted>
  <dcterms:created xsi:type="dcterms:W3CDTF">2021-02-10T09:25:00Z</dcterms:created>
  <dcterms:modified xsi:type="dcterms:W3CDTF">2021-02-19T10:14:00Z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29/01/2021, 29/01/2021, 04/01/2021, 04/01/2021</vt:lpwstr>
  </property>
  <property fmtid="{D5CDD505-2E9C-101B-9397-08002B2CF9AE}" pid="4" name="Pref_Time">
    <vt:lpwstr>17:21:42, 15:27:35, 11:40:55, 11:31:35</vt:lpwstr>
  </property>
  <property fmtid="{D5CDD505-2E9C-101B-9397-08002B2CF9AE}" pid="5" name="Pref_User">
    <vt:lpwstr>hnic, htoo, hnic, ssex</vt:lpwstr>
  </property>
  <property fmtid="{D5CDD505-2E9C-101B-9397-08002B2CF9AE}" pid="6" name="Pref_FileName">
    <vt:lpwstr>EESC-2020-05442-00-02-TCD-TRA-EN-CRR.docx, EESC-2020-05442-00-02-TCD-CRR-EN.docx, EESC-2020-05442-00-01-TCD-TRA-EN-CRR.docx, EESC-2020-05442-00-01-TCD-CRR-EN.docx</vt:lpwstr>
  </property>
  <property fmtid="{D5CDD505-2E9C-101B-9397-08002B2CF9AE}" pid="7" name="ContentTypeId">
    <vt:lpwstr>0x010100EA97B91038054C99906057A708A1480A0076B3A83997D445469E673E9B07871DA8</vt:lpwstr>
  </property>
  <property fmtid="{D5CDD505-2E9C-101B-9397-08002B2CF9AE}" pid="8" name="_dlc_DocIdItemGuid">
    <vt:lpwstr>bcbf37db-4ff1-40e7-bc29-08ebf45a309a</vt:lpwstr>
  </property>
  <property fmtid="{D5CDD505-2E9C-101B-9397-08002B2CF9AE}" pid="9" name="AvailableTranslations">
    <vt:lpwstr>10;#DE|f6b31e5a-26fa-4935-b661-318e46daf27e;#4;#EN|f2175f21-25d7-44a3-96da-d6a61b075e1b;#11;#FR|d2afafd3-4c81-4f60-8f52-ee33f2f54ff3</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5442</vt:i4>
  </property>
  <property fmtid="{D5CDD505-2E9C-101B-9397-08002B2CF9AE}" pid="14" name="FicheYear">
    <vt:i4>2020</vt:i4>
  </property>
  <property fmtid="{D5CDD505-2E9C-101B-9397-08002B2CF9AE}" pid="15" name="DocumentVersion">
    <vt:i4>2</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8;#TCD|cd9d6eb6-3f4f-424a-b2d1-57c9d450eaaf</vt:lpwstr>
  </property>
  <property fmtid="{D5CDD505-2E9C-101B-9397-08002B2CF9AE}" pid="21" name="RequestingService">
    <vt:lpwstr>Transports, énergie, infrastructures, société de l'information</vt:lpwstr>
  </property>
  <property fmtid="{D5CDD505-2E9C-101B-9397-08002B2CF9AE}" pid="22" name="Confidentiality">
    <vt:lpwstr>5;#Unrestricted|826e22d7-d029-4ec0-a450-0c28ff673572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EN|f2175f21-25d7-44a3-96da-d6a61b075e1b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8;#TCD|cd9d6eb6-3f4f-424a-b2d1-57c9d450eaaf;#6;#Final|ea5e6674-7b27-4bac-b091-73adbb394efe;#5;#Unrestricted|826e22d7-d029-4ec0-a450-0c28ff673572;#4;#EN|f2175f21-25d7-44a3-96da-d6a61b075e1b;#2;#TRA|150d2a88-1431-44e6-a8ca-0bb753ab8672;#1;#EESC|422833ec-8d7</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2020</vt:i4>
  </property>
  <property fmtid="{D5CDD505-2E9C-101B-9397-08002B2CF9AE}" pid="34" name="FicheNumber">
    <vt:i4>897</vt:i4>
  </property>
  <property fmtid="{D5CDD505-2E9C-101B-9397-08002B2CF9AE}" pid="35" name="DocumentLanguage">
    <vt:lpwstr>10;#DE|f6b31e5a-26fa-4935-b661-318e46daf27e</vt:lpwstr>
  </property>
  <property fmtid="{D5CDD505-2E9C-101B-9397-08002B2CF9AE}" pid="36" name="_docset_NoMedatataSyncRequired">
    <vt:lpwstr>False</vt:lpwstr>
  </property>
</Properties>
</file>