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3E5D72" w:rsidRDefault="00F17DD6" w:rsidP="007E39D7">
      <w:pPr>
        <w:snapToGrid w:val="0"/>
        <w:jc w:val="center"/>
      </w:pPr>
      <w:r w:rsidRPr="003E5D72">
        <w:rPr>
          <w:noProof/>
          <w:lang w:val="en-US"/>
        </w:rPr>
        <w:drawing>
          <wp:inline distT="0" distB="0" distL="0" distR="0">
            <wp:extent cx="1792605" cy="1239520"/>
            <wp:effectExtent l="0" t="0" r="0" b="0"/>
            <wp:docPr id="2" name="Picture 2" title="EESCLogo_I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3E5D72">
        <w:fldChar w:fldCharType="begin"/>
      </w:r>
      <w:r w:rsidR="006A08D5" w:rsidRPr="003E5D72">
        <w:instrText xml:space="preserve">  </w:instrText>
      </w:r>
      <w:r w:rsidR="006A08D5" w:rsidRPr="003E5D72">
        <w:fldChar w:fldCharType="end"/>
      </w:r>
      <w:r w:rsidR="004569AF" w:rsidRPr="003E5D72">
        <w:rPr>
          <w:noProof/>
          <w:sz w:val="20"/>
          <w:lang w:val="en-US"/>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59" w:rsidRPr="00260E65" w:rsidRDefault="00D07459">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07459" w:rsidRPr="00260E65" w:rsidRDefault="00D07459">
                      <w:pPr>
                        <w:jc w:val="center"/>
                        <w:rPr>
                          <w:rFonts w:ascii="Arial" w:hAnsi="Arial" w:cs="Arial"/>
                          <w:b/>
                          <w:bCs/>
                          <w:sz w:val="48"/>
                        </w:rPr>
                      </w:pPr>
                      <w:r>
                        <w:rPr>
                          <w:rFonts w:ascii="Arial" w:hAnsi="Arial"/>
                          <w:b/>
                          <w:bCs/>
                          <w:sz w:val="48"/>
                        </w:rPr>
                        <w:t>IT</w:t>
                      </w:r>
                    </w:p>
                  </w:txbxContent>
                </v:textbox>
                <w10:wrap anchorx="page" anchory="page"/>
              </v:shape>
            </w:pict>
          </mc:Fallback>
        </mc:AlternateContent>
      </w:r>
    </w:p>
    <w:p w:rsidR="008405A0" w:rsidRPr="003E5D72" w:rsidRDefault="008405A0" w:rsidP="007E39D7">
      <w:pPr>
        <w:snapToGrid w:val="0"/>
      </w:pPr>
    </w:p>
    <w:p w:rsidR="008405A0" w:rsidRPr="003E5D72" w:rsidRDefault="008405A0" w:rsidP="007E39D7">
      <w:pPr>
        <w:snapToGrid w:val="0"/>
      </w:pPr>
    </w:p>
    <w:p w:rsidR="008405A0" w:rsidRPr="003E5D72" w:rsidRDefault="00FC0B2C" w:rsidP="007E39D7">
      <w:pPr>
        <w:snapToGrid w:val="0"/>
        <w:jc w:val="right"/>
        <w:rPr>
          <w:rFonts w:eastAsia="MS Mincho"/>
        </w:rPr>
      </w:pPr>
      <w:r w:rsidRPr="003E5D72">
        <w:t>Bruxelles, 21 dicembre 2020</w:t>
      </w:r>
    </w:p>
    <w:p w:rsidR="008405A0" w:rsidRPr="003E5D72" w:rsidRDefault="008405A0" w:rsidP="007E39D7">
      <w:pPr>
        <w:snapToGrid w:val="0"/>
      </w:pPr>
    </w:p>
    <w:p w:rsidR="008405A0" w:rsidRPr="003E5D72" w:rsidRDefault="008405A0" w:rsidP="007E39D7">
      <w:pPr>
        <w:snapToGrid w:val="0"/>
      </w:pPr>
    </w:p>
    <w:p w:rsidR="00AF6F3E" w:rsidRPr="003E5D72" w:rsidRDefault="00AF6F3E" w:rsidP="007E39D7">
      <w:pPr>
        <w:snapToGrid w:val="0"/>
      </w:pPr>
    </w:p>
    <w:p w:rsidR="006819C8" w:rsidRPr="003E5D72" w:rsidRDefault="006819C8" w:rsidP="007E39D7">
      <w:pPr>
        <w:snapToGrid w:val="0"/>
      </w:pPr>
    </w:p>
    <w:tbl>
      <w:tblPr>
        <w:tblW w:w="0" w:type="auto"/>
        <w:tblLayout w:type="fixed"/>
        <w:tblLook w:val="0000" w:firstRow="0" w:lastRow="0" w:firstColumn="0" w:lastColumn="0" w:noHBand="0" w:noVBand="0"/>
      </w:tblPr>
      <w:tblGrid>
        <w:gridCol w:w="9289"/>
      </w:tblGrid>
      <w:tr w:rsidR="008405A0" w:rsidRPr="003E5D72" w:rsidTr="00A72D7A">
        <w:tc>
          <w:tcPr>
            <w:tcW w:w="9289" w:type="dxa"/>
            <w:tcBorders>
              <w:top w:val="nil"/>
              <w:left w:val="nil"/>
              <w:bottom w:val="double" w:sz="4" w:space="0" w:color="auto"/>
              <w:right w:val="nil"/>
            </w:tcBorders>
          </w:tcPr>
          <w:p w:rsidR="008405A0" w:rsidRPr="003E5D72" w:rsidRDefault="00A86405" w:rsidP="007E39D7">
            <w:pPr>
              <w:snapToGrid w:val="0"/>
              <w:jc w:val="center"/>
              <w:rPr>
                <w:rFonts w:eastAsia="MS Mincho"/>
                <w:b/>
                <w:sz w:val="32"/>
              </w:rPr>
            </w:pPr>
            <w:r w:rsidRPr="003E5D72">
              <w:rPr>
                <w:b/>
                <w:sz w:val="32"/>
              </w:rPr>
              <w:t>556</w:t>
            </w:r>
            <w:r w:rsidRPr="003E5D72">
              <w:rPr>
                <w:b/>
                <w:sz w:val="32"/>
                <w:vertAlign w:val="superscript"/>
              </w:rPr>
              <w:t>a</w:t>
            </w:r>
            <w:r w:rsidRPr="003E5D72">
              <w:rPr>
                <w:b/>
                <w:sz w:val="32"/>
              </w:rPr>
              <w:t xml:space="preserve"> SESSIONE PLENARIA</w:t>
            </w:r>
            <w:r w:rsidRPr="003E5D72">
              <w:rPr>
                <w:b/>
                <w:sz w:val="32"/>
              </w:rPr>
              <w:br/>
            </w:r>
            <w:r w:rsidRPr="003E5D72">
              <w:rPr>
                <w:b/>
                <w:sz w:val="32"/>
              </w:rPr>
              <w:br/>
              <w:t xml:space="preserve">DEL 2 </w:t>
            </w:r>
            <w:r w:rsidR="003E5D72" w:rsidRPr="003E5D72">
              <w:rPr>
                <w:b/>
                <w:sz w:val="32"/>
              </w:rPr>
              <w:t>E</w:t>
            </w:r>
            <w:r w:rsidRPr="003E5D72">
              <w:rPr>
                <w:b/>
                <w:sz w:val="32"/>
              </w:rPr>
              <w:t xml:space="preserve"> 3 DICEMBRE 2020</w:t>
            </w:r>
            <w:r w:rsidRPr="003E5D72">
              <w:rPr>
                <w:b/>
                <w:sz w:val="32"/>
              </w:rPr>
              <w:br/>
            </w:r>
            <w:r w:rsidRPr="003E5D72">
              <w:rPr>
                <w:b/>
                <w:sz w:val="32"/>
              </w:rPr>
              <w:br/>
              <w:t>SINTESI DEI PARERI ADOTTATI</w:t>
            </w:r>
          </w:p>
          <w:p w:rsidR="008405A0" w:rsidRPr="003E5D72" w:rsidRDefault="008405A0" w:rsidP="007E39D7"/>
          <w:p w:rsidR="008405A0" w:rsidRPr="003E5D72" w:rsidRDefault="008405A0" w:rsidP="007E39D7"/>
        </w:tc>
      </w:tr>
      <w:tr w:rsidR="008405A0" w:rsidRPr="003E5D72" w:rsidTr="00A72D7A">
        <w:tc>
          <w:tcPr>
            <w:tcW w:w="9289" w:type="dxa"/>
            <w:tcBorders>
              <w:top w:val="double" w:sz="4" w:space="0" w:color="auto"/>
              <w:left w:val="double" w:sz="4" w:space="0" w:color="auto"/>
              <w:bottom w:val="double" w:sz="4" w:space="0" w:color="auto"/>
              <w:right w:val="double" w:sz="4" w:space="0" w:color="auto"/>
            </w:tcBorders>
          </w:tcPr>
          <w:p w:rsidR="00FF15DA" w:rsidRPr="003E5D72" w:rsidRDefault="00FF15DA" w:rsidP="007E39D7">
            <w:pPr>
              <w:snapToGrid w:val="0"/>
              <w:jc w:val="center"/>
              <w:rPr>
                <w:b/>
              </w:rPr>
            </w:pPr>
          </w:p>
          <w:p w:rsidR="00FC0B2C" w:rsidRPr="003E5D72" w:rsidRDefault="00FC0B2C" w:rsidP="007E39D7">
            <w:pPr>
              <w:snapToGrid w:val="0"/>
              <w:jc w:val="center"/>
              <w:rPr>
                <w:rFonts w:eastAsia="MS Mincho"/>
                <w:b/>
              </w:rPr>
            </w:pPr>
            <w:r w:rsidRPr="003E5D72">
              <w:rPr>
                <w:b/>
              </w:rPr>
              <w:t xml:space="preserve">Il presente documento è accessibile nelle lingue ufficiali sul sito Internet del CESE </w:t>
            </w:r>
            <w:r w:rsidR="00F151CC" w:rsidRPr="003E5D72">
              <w:rPr>
                <w:b/>
              </w:rPr>
              <w:br/>
            </w:r>
            <w:r w:rsidRPr="003E5D72">
              <w:rPr>
                <w:b/>
              </w:rPr>
              <w:t>al seguente indirizzo:</w:t>
            </w:r>
          </w:p>
          <w:p w:rsidR="00FC0B2C" w:rsidRPr="003E5D72" w:rsidRDefault="00FC0B2C" w:rsidP="007E39D7">
            <w:pPr>
              <w:snapToGrid w:val="0"/>
              <w:jc w:val="center"/>
              <w:rPr>
                <w:b/>
              </w:rPr>
            </w:pPr>
          </w:p>
          <w:p w:rsidR="00FC0B2C" w:rsidRPr="003E5D72" w:rsidRDefault="002A6069" w:rsidP="007E39D7">
            <w:pPr>
              <w:jc w:val="center"/>
              <w:rPr>
                <w:rStyle w:val="Hyperlink"/>
                <w:b/>
              </w:rPr>
            </w:pPr>
            <w:hyperlink r:id="rId13" w:history="1">
              <w:r w:rsidR="00A8246C" w:rsidRPr="003E5D72">
                <w:rPr>
                  <w:rStyle w:val="Hyperlink"/>
                </w:rPr>
                <w:t>https://www.eesc.europa.eu/it/our-work/opinions-information-reports/plenary-session-summaries</w:t>
              </w:r>
            </w:hyperlink>
          </w:p>
          <w:p w:rsidR="00FC0B2C" w:rsidRPr="003E5D72" w:rsidRDefault="00FC0B2C" w:rsidP="007E39D7">
            <w:pPr>
              <w:snapToGrid w:val="0"/>
              <w:jc w:val="center"/>
              <w:rPr>
                <w:b/>
              </w:rPr>
            </w:pPr>
          </w:p>
          <w:p w:rsidR="00FC0B2C" w:rsidRPr="003E5D72" w:rsidRDefault="00FC0B2C" w:rsidP="007E39D7">
            <w:pPr>
              <w:snapToGrid w:val="0"/>
              <w:jc w:val="center"/>
              <w:rPr>
                <w:rFonts w:eastAsia="SimSun"/>
                <w:b/>
              </w:rPr>
            </w:pPr>
          </w:p>
          <w:p w:rsidR="00FC0B2C" w:rsidRPr="003E5D72" w:rsidRDefault="00FC0B2C" w:rsidP="007E39D7">
            <w:pPr>
              <w:snapToGrid w:val="0"/>
              <w:jc w:val="center"/>
              <w:rPr>
                <w:rFonts w:eastAsia="MS Mincho"/>
                <w:b/>
              </w:rPr>
            </w:pPr>
            <w:r w:rsidRPr="003E5D72">
              <w:rPr>
                <w:b/>
              </w:rPr>
              <w:t>I pareri menzionati possono essere consultati online tramite il motore di ricerca del CESE:</w:t>
            </w:r>
          </w:p>
          <w:p w:rsidR="00FC0B2C" w:rsidRPr="003E5D72" w:rsidRDefault="00FC0B2C" w:rsidP="007E39D7">
            <w:pPr>
              <w:snapToGrid w:val="0"/>
              <w:jc w:val="center"/>
              <w:rPr>
                <w:b/>
              </w:rPr>
            </w:pPr>
          </w:p>
          <w:p w:rsidR="00FC0B2C" w:rsidRPr="003E5D72" w:rsidRDefault="002A6069" w:rsidP="007E39D7">
            <w:pPr>
              <w:jc w:val="center"/>
              <w:rPr>
                <w:rStyle w:val="Hyperlink"/>
                <w:b/>
              </w:rPr>
            </w:pPr>
            <w:hyperlink r:id="rId14" w:history="1">
              <w:r w:rsidR="00A8246C" w:rsidRPr="003E5D72">
                <w:rPr>
                  <w:rStyle w:val="Hyperlink"/>
                </w:rPr>
                <w:t>https://dmsearch.eesc.europa.eu/search/opinion</w:t>
              </w:r>
            </w:hyperlink>
          </w:p>
          <w:p w:rsidR="008405A0" w:rsidRPr="003E5D72" w:rsidRDefault="008405A0" w:rsidP="007E39D7">
            <w:pPr>
              <w:snapToGrid w:val="0"/>
              <w:jc w:val="center"/>
              <w:rPr>
                <w:b/>
                <w:bCs/>
              </w:rPr>
            </w:pPr>
          </w:p>
        </w:tc>
      </w:tr>
    </w:tbl>
    <w:p w:rsidR="008F7791" w:rsidRPr="003E5D72" w:rsidRDefault="008F7791" w:rsidP="007E39D7">
      <w:pPr>
        <w:rPr>
          <w:rFonts w:eastAsia="SimSun"/>
        </w:rPr>
      </w:pPr>
    </w:p>
    <w:p w:rsidR="00A9340A" w:rsidRPr="003E5D72" w:rsidRDefault="00A9340A" w:rsidP="007E39D7">
      <w:pPr>
        <w:rPr>
          <w:rFonts w:eastAsia="SimSun"/>
        </w:rPr>
        <w:sectPr w:rsidR="00A9340A" w:rsidRPr="003E5D72" w:rsidSect="00757028">
          <w:footerReference w:type="default" r:id="rId15"/>
          <w:type w:val="continuous"/>
          <w:pgSz w:w="11907" w:h="16839"/>
          <w:pgMar w:top="1417" w:right="1417" w:bottom="1417" w:left="1417" w:header="709" w:footer="709" w:gutter="0"/>
          <w:pgNumType w:start="1"/>
          <w:cols w:space="708"/>
          <w:docGrid w:linePitch="299"/>
        </w:sectPr>
      </w:pPr>
    </w:p>
    <w:p w:rsidR="008405A0" w:rsidRPr="003E5D72" w:rsidRDefault="00876D7B" w:rsidP="007E39D7">
      <w:pPr>
        <w:snapToGrid w:val="0"/>
        <w:rPr>
          <w:b/>
        </w:rPr>
      </w:pPr>
      <w:r w:rsidRPr="003E5D72">
        <w:rPr>
          <w:b/>
        </w:rPr>
        <w:lastRenderedPageBreak/>
        <w:t>Indice:</w:t>
      </w:r>
    </w:p>
    <w:p w:rsidR="00D16D76" w:rsidRPr="003E5D72" w:rsidRDefault="00D16D76" w:rsidP="007E39D7"/>
    <w:p w:rsidR="00C8143F" w:rsidRDefault="003353E8">
      <w:pPr>
        <w:pStyle w:val="TOC1"/>
        <w:rPr>
          <w:rFonts w:asciiTheme="minorHAnsi" w:eastAsiaTheme="minorEastAsia" w:hAnsiTheme="minorHAnsi" w:cstheme="minorBidi"/>
          <w:noProof/>
          <w:lang w:val="en-US"/>
        </w:rPr>
      </w:pPr>
      <w:r w:rsidRPr="003E5D72">
        <w:fldChar w:fldCharType="begin"/>
      </w:r>
      <w:r w:rsidRPr="003E5D72">
        <w:instrText xml:space="preserve"> TOC \o "1-1" \h \z \u </w:instrText>
      </w:r>
      <w:r w:rsidRPr="003E5D72">
        <w:fldChar w:fldCharType="separate"/>
      </w:r>
      <w:hyperlink w:anchor="_Toc59378072" w:history="1">
        <w:r w:rsidR="00C8143F" w:rsidRPr="00426C3A">
          <w:rPr>
            <w:rStyle w:val="Hyperlink"/>
            <w:b/>
            <w:noProof/>
          </w:rPr>
          <w:t>1.</w:t>
        </w:r>
        <w:r w:rsidR="00C8143F">
          <w:rPr>
            <w:rFonts w:asciiTheme="minorHAnsi" w:eastAsiaTheme="minorEastAsia" w:hAnsiTheme="minorHAnsi" w:cstheme="minorBidi"/>
            <w:noProof/>
            <w:lang w:val="en-US"/>
          </w:rPr>
          <w:tab/>
        </w:r>
        <w:r w:rsidR="00C8143F" w:rsidRPr="00426C3A">
          <w:rPr>
            <w:rStyle w:val="Hyperlink"/>
            <w:b/>
            <w:noProof/>
          </w:rPr>
          <w:t>MERCATO UNICO, PRODUZIONE E CONSUMO</w:t>
        </w:r>
        <w:r w:rsidR="00C8143F">
          <w:rPr>
            <w:noProof/>
            <w:webHidden/>
          </w:rPr>
          <w:tab/>
        </w:r>
        <w:r w:rsidR="00C8143F">
          <w:rPr>
            <w:noProof/>
            <w:webHidden/>
          </w:rPr>
          <w:fldChar w:fldCharType="begin"/>
        </w:r>
        <w:r w:rsidR="00C8143F">
          <w:rPr>
            <w:noProof/>
            <w:webHidden/>
          </w:rPr>
          <w:instrText xml:space="preserve"> PAGEREF _Toc59378072 \h </w:instrText>
        </w:r>
        <w:r w:rsidR="00C8143F">
          <w:rPr>
            <w:noProof/>
            <w:webHidden/>
          </w:rPr>
        </w:r>
        <w:r w:rsidR="00C8143F">
          <w:rPr>
            <w:noProof/>
            <w:webHidden/>
          </w:rPr>
          <w:fldChar w:fldCharType="separate"/>
        </w:r>
        <w:r w:rsidR="00C8143F">
          <w:rPr>
            <w:noProof/>
            <w:webHidden/>
          </w:rPr>
          <w:t>3</w:t>
        </w:r>
        <w:r w:rsidR="00C8143F">
          <w:rPr>
            <w:noProof/>
            <w:webHidden/>
          </w:rPr>
          <w:fldChar w:fldCharType="end"/>
        </w:r>
      </w:hyperlink>
    </w:p>
    <w:p w:rsidR="00C8143F" w:rsidRDefault="00C8143F">
      <w:pPr>
        <w:pStyle w:val="TOC1"/>
        <w:rPr>
          <w:rFonts w:asciiTheme="minorHAnsi" w:eastAsiaTheme="minorEastAsia" w:hAnsiTheme="minorHAnsi" w:cstheme="minorBidi"/>
          <w:noProof/>
          <w:lang w:val="en-US"/>
        </w:rPr>
      </w:pPr>
      <w:hyperlink w:anchor="_Toc59378073" w:history="1">
        <w:r w:rsidRPr="00426C3A">
          <w:rPr>
            <w:rStyle w:val="Hyperlink"/>
            <w:b/>
            <w:caps/>
            <w:noProof/>
          </w:rPr>
          <w:t>2.</w:t>
        </w:r>
        <w:r>
          <w:rPr>
            <w:rFonts w:asciiTheme="minorHAnsi" w:eastAsiaTheme="minorEastAsia" w:hAnsiTheme="minorHAnsi" w:cstheme="minorBidi"/>
            <w:noProof/>
            <w:lang w:val="en-US"/>
          </w:rPr>
          <w:tab/>
        </w:r>
        <w:r w:rsidRPr="00426C3A">
          <w:rPr>
            <w:rStyle w:val="Hyperlink"/>
            <w:b/>
            <w:caps/>
            <w:noProof/>
          </w:rPr>
          <w:t>Unione economica e monetaria, coesione economica e sociale</w:t>
        </w:r>
        <w:r>
          <w:rPr>
            <w:noProof/>
            <w:webHidden/>
          </w:rPr>
          <w:tab/>
        </w:r>
        <w:r>
          <w:rPr>
            <w:noProof/>
            <w:webHidden/>
          </w:rPr>
          <w:fldChar w:fldCharType="begin"/>
        </w:r>
        <w:r>
          <w:rPr>
            <w:noProof/>
            <w:webHidden/>
          </w:rPr>
          <w:instrText xml:space="preserve"> PAGEREF _Toc59378073 \h </w:instrText>
        </w:r>
        <w:r>
          <w:rPr>
            <w:noProof/>
            <w:webHidden/>
          </w:rPr>
        </w:r>
        <w:r>
          <w:rPr>
            <w:noProof/>
            <w:webHidden/>
          </w:rPr>
          <w:fldChar w:fldCharType="separate"/>
        </w:r>
        <w:r>
          <w:rPr>
            <w:noProof/>
            <w:webHidden/>
          </w:rPr>
          <w:t>5</w:t>
        </w:r>
        <w:r>
          <w:rPr>
            <w:noProof/>
            <w:webHidden/>
          </w:rPr>
          <w:fldChar w:fldCharType="end"/>
        </w:r>
      </w:hyperlink>
    </w:p>
    <w:p w:rsidR="00C8143F" w:rsidRDefault="00C8143F">
      <w:pPr>
        <w:pStyle w:val="TOC1"/>
        <w:rPr>
          <w:rFonts w:asciiTheme="minorHAnsi" w:eastAsiaTheme="minorEastAsia" w:hAnsiTheme="minorHAnsi" w:cstheme="minorBidi"/>
          <w:noProof/>
          <w:lang w:val="en-US"/>
        </w:rPr>
      </w:pPr>
      <w:hyperlink w:anchor="_Toc59378074" w:history="1">
        <w:r w:rsidRPr="00426C3A">
          <w:rPr>
            <w:rStyle w:val="Hyperlink"/>
            <w:b/>
            <w:noProof/>
          </w:rPr>
          <w:t>3.</w:t>
        </w:r>
        <w:r>
          <w:rPr>
            <w:rFonts w:asciiTheme="minorHAnsi" w:eastAsiaTheme="minorEastAsia" w:hAnsiTheme="minorHAnsi" w:cstheme="minorBidi"/>
            <w:noProof/>
            <w:lang w:val="en-US"/>
          </w:rPr>
          <w:tab/>
        </w:r>
        <w:r w:rsidRPr="00426C3A">
          <w:rPr>
            <w:rStyle w:val="Hyperlink"/>
            <w:b/>
            <w:noProof/>
          </w:rPr>
          <w:t>OCCUPAZIONE, AFFARI SOCIALI, CITTADINANZA</w:t>
        </w:r>
        <w:r>
          <w:rPr>
            <w:noProof/>
            <w:webHidden/>
          </w:rPr>
          <w:tab/>
        </w:r>
        <w:r>
          <w:rPr>
            <w:noProof/>
            <w:webHidden/>
          </w:rPr>
          <w:fldChar w:fldCharType="begin"/>
        </w:r>
        <w:r>
          <w:rPr>
            <w:noProof/>
            <w:webHidden/>
          </w:rPr>
          <w:instrText xml:space="preserve"> PAGEREF _Toc59378074 \h </w:instrText>
        </w:r>
        <w:r>
          <w:rPr>
            <w:noProof/>
            <w:webHidden/>
          </w:rPr>
        </w:r>
        <w:r>
          <w:rPr>
            <w:noProof/>
            <w:webHidden/>
          </w:rPr>
          <w:fldChar w:fldCharType="separate"/>
        </w:r>
        <w:r>
          <w:rPr>
            <w:noProof/>
            <w:webHidden/>
          </w:rPr>
          <w:t>6</w:t>
        </w:r>
        <w:r>
          <w:rPr>
            <w:noProof/>
            <w:webHidden/>
          </w:rPr>
          <w:fldChar w:fldCharType="end"/>
        </w:r>
      </w:hyperlink>
    </w:p>
    <w:p w:rsidR="00C8143F" w:rsidRDefault="00C8143F">
      <w:pPr>
        <w:pStyle w:val="TOC1"/>
        <w:rPr>
          <w:rFonts w:asciiTheme="minorHAnsi" w:eastAsiaTheme="minorEastAsia" w:hAnsiTheme="minorHAnsi" w:cstheme="minorBidi"/>
          <w:noProof/>
          <w:lang w:val="en-US"/>
        </w:rPr>
      </w:pPr>
      <w:hyperlink w:anchor="_Toc59378075" w:history="1">
        <w:r w:rsidRPr="00426C3A">
          <w:rPr>
            <w:rStyle w:val="Hyperlink"/>
            <w:b/>
            <w:noProof/>
          </w:rPr>
          <w:t>4.</w:t>
        </w:r>
        <w:r>
          <w:rPr>
            <w:rFonts w:asciiTheme="minorHAnsi" w:eastAsiaTheme="minorEastAsia" w:hAnsiTheme="minorHAnsi" w:cstheme="minorBidi"/>
            <w:noProof/>
            <w:lang w:val="en-US"/>
          </w:rPr>
          <w:tab/>
        </w:r>
        <w:r w:rsidRPr="00426C3A">
          <w:rPr>
            <w:rStyle w:val="Hyperlink"/>
            <w:b/>
            <w:noProof/>
          </w:rPr>
          <w:t>AGRICOLTURA, SVILUPPO RURALE, AMBIENTE</w:t>
        </w:r>
        <w:r>
          <w:rPr>
            <w:noProof/>
            <w:webHidden/>
          </w:rPr>
          <w:tab/>
        </w:r>
        <w:r>
          <w:rPr>
            <w:noProof/>
            <w:webHidden/>
          </w:rPr>
          <w:fldChar w:fldCharType="begin"/>
        </w:r>
        <w:r>
          <w:rPr>
            <w:noProof/>
            <w:webHidden/>
          </w:rPr>
          <w:instrText xml:space="preserve"> PAGEREF _Toc59378075 \h </w:instrText>
        </w:r>
        <w:r>
          <w:rPr>
            <w:noProof/>
            <w:webHidden/>
          </w:rPr>
        </w:r>
        <w:r>
          <w:rPr>
            <w:noProof/>
            <w:webHidden/>
          </w:rPr>
          <w:fldChar w:fldCharType="separate"/>
        </w:r>
        <w:r>
          <w:rPr>
            <w:noProof/>
            <w:webHidden/>
          </w:rPr>
          <w:t>12</w:t>
        </w:r>
        <w:r>
          <w:rPr>
            <w:noProof/>
            <w:webHidden/>
          </w:rPr>
          <w:fldChar w:fldCharType="end"/>
        </w:r>
      </w:hyperlink>
    </w:p>
    <w:p w:rsidR="00C8143F" w:rsidRDefault="00C8143F">
      <w:pPr>
        <w:pStyle w:val="TOC1"/>
        <w:rPr>
          <w:rFonts w:asciiTheme="minorHAnsi" w:eastAsiaTheme="minorEastAsia" w:hAnsiTheme="minorHAnsi" w:cstheme="minorBidi"/>
          <w:noProof/>
          <w:lang w:val="en-US"/>
        </w:rPr>
      </w:pPr>
      <w:hyperlink w:anchor="_Toc59378076" w:history="1">
        <w:r w:rsidRPr="00426C3A">
          <w:rPr>
            <w:rStyle w:val="Hyperlink"/>
            <w:b/>
            <w:noProof/>
          </w:rPr>
          <w:t>5.</w:t>
        </w:r>
        <w:r>
          <w:rPr>
            <w:rFonts w:asciiTheme="minorHAnsi" w:eastAsiaTheme="minorEastAsia" w:hAnsiTheme="minorHAnsi" w:cstheme="minorBidi"/>
            <w:noProof/>
            <w:lang w:val="en-US"/>
          </w:rPr>
          <w:tab/>
        </w:r>
        <w:r w:rsidRPr="00426C3A">
          <w:rPr>
            <w:rStyle w:val="Hyperlink"/>
            <w:b/>
            <w:noProof/>
          </w:rPr>
          <w:t>TRASPORTI, ENERGIA, INFRASTRUTTURE, SOCIETÀ DELL'INFORMAZIONE</w:t>
        </w:r>
        <w:r>
          <w:rPr>
            <w:noProof/>
            <w:webHidden/>
          </w:rPr>
          <w:tab/>
        </w:r>
        <w:r>
          <w:rPr>
            <w:noProof/>
            <w:webHidden/>
          </w:rPr>
          <w:fldChar w:fldCharType="begin"/>
        </w:r>
        <w:r>
          <w:rPr>
            <w:noProof/>
            <w:webHidden/>
          </w:rPr>
          <w:instrText xml:space="preserve"> PAGEREF _Toc59378076 \h </w:instrText>
        </w:r>
        <w:r>
          <w:rPr>
            <w:noProof/>
            <w:webHidden/>
          </w:rPr>
        </w:r>
        <w:r>
          <w:rPr>
            <w:noProof/>
            <w:webHidden/>
          </w:rPr>
          <w:fldChar w:fldCharType="separate"/>
        </w:r>
        <w:r>
          <w:rPr>
            <w:noProof/>
            <w:webHidden/>
          </w:rPr>
          <w:t>13</w:t>
        </w:r>
        <w:r>
          <w:rPr>
            <w:noProof/>
            <w:webHidden/>
          </w:rPr>
          <w:fldChar w:fldCharType="end"/>
        </w:r>
      </w:hyperlink>
    </w:p>
    <w:p w:rsidR="006D23AB" w:rsidRPr="003E5D72" w:rsidRDefault="003353E8" w:rsidP="007E39D7">
      <w:pPr>
        <w:widowControl w:val="0"/>
        <w:rPr>
          <w:b/>
        </w:rPr>
      </w:pPr>
      <w:r w:rsidRPr="003E5D72">
        <w:fldChar w:fldCharType="end"/>
      </w:r>
      <w:r w:rsidRPr="003E5D72">
        <w:br w:type="page"/>
      </w:r>
      <w:r w:rsidRPr="003E5D72">
        <w:lastRenderedPageBreak/>
        <w:t xml:space="preserve">La sessione plenaria del 2 e 3 dicembre 2020 è stata caratterizzata da interventi a distanza di </w:t>
      </w:r>
      <w:r w:rsidRPr="003E5D72">
        <w:rPr>
          <w:b/>
        </w:rPr>
        <w:t>Sinéad Burke</w:t>
      </w:r>
      <w:r w:rsidRPr="003E5D72">
        <w:t xml:space="preserve">, attivista per i diritti delle persone con disabilità e direttrice di Tilting the Lens, e di </w:t>
      </w:r>
      <w:r w:rsidRPr="003E5D72">
        <w:rPr>
          <w:b/>
        </w:rPr>
        <w:t>Margrethe Vestager</w:t>
      </w:r>
      <w:r w:rsidRPr="003E5D72">
        <w:t>, vicepresidente esecutiva della Commissione europea per il portafoglio Un'Europa pronta per l'era digitale.</w:t>
      </w:r>
    </w:p>
    <w:p w:rsidR="006D23AB" w:rsidRPr="003E5D72" w:rsidRDefault="006D23AB" w:rsidP="007E39D7">
      <w:pPr>
        <w:widowControl w:val="0"/>
      </w:pPr>
    </w:p>
    <w:p w:rsidR="00421682" w:rsidRPr="003E5D72" w:rsidRDefault="00AD7EE7" w:rsidP="007E39D7">
      <w:pPr>
        <w:widowControl w:val="0"/>
      </w:pPr>
      <w:r w:rsidRPr="003E5D72">
        <w:t>Nel corso della sessione plenaria il Comitato ha adottato i seguenti pareri:</w:t>
      </w:r>
    </w:p>
    <w:p w:rsidR="004203D2" w:rsidRPr="003E5D72" w:rsidRDefault="004203D2" w:rsidP="007E39D7">
      <w:pPr>
        <w:widowControl w:val="0"/>
      </w:pPr>
    </w:p>
    <w:p w:rsidR="004203D2" w:rsidRPr="003E5D72" w:rsidRDefault="004203D2" w:rsidP="007E39D7">
      <w:pPr>
        <w:pStyle w:val="Heading1"/>
        <w:widowControl w:val="0"/>
        <w:numPr>
          <w:ilvl w:val="0"/>
          <w:numId w:val="5"/>
        </w:numPr>
        <w:ind w:left="426" w:hanging="426"/>
        <w:rPr>
          <w:b/>
        </w:rPr>
      </w:pPr>
      <w:bookmarkStart w:id="0" w:name="_Toc21085068"/>
      <w:bookmarkStart w:id="1" w:name="_Toc59378072"/>
      <w:r w:rsidRPr="003E5D72">
        <w:rPr>
          <w:b/>
        </w:rPr>
        <w:t xml:space="preserve">MERCATO UNICO, PRODUZIONE </w:t>
      </w:r>
      <w:r w:rsidR="003E5D72" w:rsidRPr="003E5D72">
        <w:rPr>
          <w:b/>
        </w:rPr>
        <w:t>E</w:t>
      </w:r>
      <w:r w:rsidRPr="003E5D72">
        <w:rPr>
          <w:b/>
        </w:rPr>
        <w:t xml:space="preserve"> CONSUMO</w:t>
      </w:r>
      <w:bookmarkEnd w:id="0"/>
      <w:bookmarkEnd w:id="1"/>
    </w:p>
    <w:p w:rsidR="002770CE" w:rsidRPr="003E5D72" w:rsidRDefault="002770CE" w:rsidP="007E39D7">
      <w:pPr>
        <w:widowControl w:val="0"/>
        <w:jc w:val="left"/>
      </w:pPr>
    </w:p>
    <w:p w:rsidR="001F4EFF" w:rsidRPr="003E5D72" w:rsidRDefault="001F4EFF" w:rsidP="007E39D7">
      <w:pPr>
        <w:pStyle w:val="ListParagraph"/>
        <w:widowControl w:val="0"/>
        <w:numPr>
          <w:ilvl w:val="0"/>
          <w:numId w:val="41"/>
        </w:numPr>
        <w:overflowPunct w:val="0"/>
        <w:autoSpaceDE w:val="0"/>
        <w:autoSpaceDN w:val="0"/>
        <w:adjustRightInd w:val="0"/>
        <w:ind w:left="567" w:hanging="283"/>
        <w:rPr>
          <w:b/>
          <w:i/>
          <w:sz w:val="28"/>
          <w:szCs w:val="28"/>
        </w:rPr>
      </w:pPr>
      <w:r w:rsidRPr="003E5D72">
        <w:rPr>
          <w:b/>
          <w:i/>
          <w:sz w:val="28"/>
          <w:szCs w:val="28"/>
        </w:rPr>
        <w:t>Transizione industriale verso un'economia europea verde e digitale: requisiti normativi e ruolo delle parti sociali e della società civile</w:t>
      </w:r>
    </w:p>
    <w:p w:rsidR="002770CE" w:rsidRPr="003E5D72" w:rsidRDefault="002770CE" w:rsidP="007E39D7">
      <w:pPr>
        <w:widowControl w:val="0"/>
        <w:tabs>
          <w:tab w:val="center" w:pos="284"/>
        </w:tabs>
        <w:ind w:left="266" w:hanging="266"/>
      </w:pPr>
    </w:p>
    <w:p w:rsidR="00443297" w:rsidRPr="003E5D72" w:rsidRDefault="003E5D72" w:rsidP="007E39D7">
      <w:pPr>
        <w:widowControl w:val="0"/>
        <w:tabs>
          <w:tab w:val="center" w:pos="284"/>
        </w:tabs>
        <w:ind w:left="266" w:hanging="266"/>
      </w:pPr>
      <w:r w:rsidRPr="003E5D72">
        <w:rPr>
          <w:b/>
        </w:rPr>
        <w:t>Relatrice</w:t>
      </w:r>
      <w:r w:rsidR="00443297" w:rsidRPr="003E5D72">
        <w:rPr>
          <w:b/>
        </w:rPr>
        <w:t xml:space="preserve"> generale:</w:t>
      </w:r>
      <w:r w:rsidR="00443297" w:rsidRPr="003E5D72">
        <w:tab/>
        <w:t>Lucie Studničná (gruppo Lavoratori – CZ)</w:t>
      </w:r>
    </w:p>
    <w:p w:rsidR="00443297" w:rsidRPr="003E5D72" w:rsidRDefault="00443297" w:rsidP="007E39D7">
      <w:pPr>
        <w:widowControl w:val="0"/>
        <w:tabs>
          <w:tab w:val="center" w:pos="284"/>
        </w:tabs>
        <w:ind w:left="266" w:hanging="266"/>
      </w:pPr>
    </w:p>
    <w:p w:rsidR="001F445D" w:rsidRPr="003E5D72" w:rsidRDefault="00443297" w:rsidP="007E39D7">
      <w:pPr>
        <w:widowControl w:val="0"/>
        <w:tabs>
          <w:tab w:val="center" w:pos="284"/>
          <w:tab w:val="left" w:pos="1701"/>
        </w:tabs>
        <w:ind w:left="266" w:hanging="266"/>
      </w:pPr>
      <w:r w:rsidRPr="003E5D72">
        <w:rPr>
          <w:b/>
        </w:rPr>
        <w:t>Documento di riferimento:</w:t>
      </w:r>
      <w:r w:rsidRPr="003E5D72">
        <w:tab/>
        <w:t>Parere esplorativo richiesto dal Parlamento europeo</w:t>
      </w:r>
    </w:p>
    <w:p w:rsidR="00443297" w:rsidRPr="003E5D72" w:rsidRDefault="00F151CC" w:rsidP="007E39D7">
      <w:pPr>
        <w:widowControl w:val="0"/>
        <w:tabs>
          <w:tab w:val="center" w:pos="284"/>
          <w:tab w:val="left" w:pos="1701"/>
        </w:tabs>
        <w:ind w:left="2534" w:hanging="266"/>
      </w:pPr>
      <w:r w:rsidRPr="003E5D72">
        <w:tab/>
      </w:r>
      <w:r w:rsidRPr="003E5D72">
        <w:tab/>
      </w:r>
      <w:r w:rsidR="00AB0BCE" w:rsidRPr="003E5D72">
        <w:t>EESC-2020-03642-00-00-AC</w:t>
      </w:r>
    </w:p>
    <w:p w:rsidR="00443297" w:rsidRPr="003E5D72" w:rsidRDefault="00443297" w:rsidP="007E39D7">
      <w:pPr>
        <w:widowControl w:val="0"/>
        <w:tabs>
          <w:tab w:val="center" w:pos="284"/>
        </w:tabs>
        <w:ind w:left="266" w:hanging="266"/>
      </w:pPr>
    </w:p>
    <w:p w:rsidR="00443297" w:rsidRPr="003E5D72" w:rsidRDefault="002770CE" w:rsidP="007E39D7">
      <w:pPr>
        <w:widowControl w:val="0"/>
        <w:tabs>
          <w:tab w:val="center" w:pos="284"/>
        </w:tabs>
        <w:ind w:left="266" w:hanging="266"/>
        <w:rPr>
          <w:b/>
        </w:rPr>
      </w:pPr>
      <w:r w:rsidRPr="003E5D72">
        <w:rPr>
          <w:b/>
        </w:rPr>
        <w:t>Punti salienti:</w:t>
      </w:r>
    </w:p>
    <w:p w:rsidR="00443297" w:rsidRPr="003E5D72" w:rsidRDefault="00443297" w:rsidP="007E39D7">
      <w:pPr>
        <w:widowControl w:val="0"/>
        <w:tabs>
          <w:tab w:val="center" w:pos="284"/>
        </w:tabs>
        <w:ind w:left="266" w:hanging="266"/>
      </w:pPr>
    </w:p>
    <w:p w:rsidR="0011681E" w:rsidRPr="003E5D72" w:rsidRDefault="0011681E" w:rsidP="007E39D7">
      <w:pPr>
        <w:widowControl w:val="0"/>
      </w:pPr>
      <w:r w:rsidRPr="003E5D72">
        <w:t>Il CESE:</w:t>
      </w:r>
    </w:p>
    <w:p w:rsidR="0011681E" w:rsidRPr="003E5D72" w:rsidRDefault="0011681E" w:rsidP="007E39D7">
      <w:pPr>
        <w:widowControl w:val="0"/>
      </w:pPr>
    </w:p>
    <w:p w:rsidR="0011681E" w:rsidRPr="003E5D72" w:rsidRDefault="0011681E" w:rsidP="00F151CC">
      <w:pPr>
        <w:pStyle w:val="Heading2"/>
        <w:widowControl w:val="0"/>
        <w:numPr>
          <w:ilvl w:val="0"/>
          <w:numId w:val="42"/>
        </w:numPr>
        <w:overflowPunct w:val="0"/>
        <w:autoSpaceDE w:val="0"/>
        <w:autoSpaceDN w:val="0"/>
        <w:adjustRightInd w:val="0"/>
        <w:ind w:left="357" w:hanging="357"/>
        <w:textAlignment w:val="baseline"/>
      </w:pPr>
      <w:r w:rsidRPr="003E5D72">
        <w:t xml:space="preserve">ritiene essenziale riconoscere la </w:t>
      </w:r>
      <w:r w:rsidR="003E5D72" w:rsidRPr="003E5D72">
        <w:t>complementarità</w:t>
      </w:r>
      <w:r w:rsidRPr="003E5D72">
        <w:t xml:space="preserve"> tra i cambiamenti climatici, le politiche per un'economia circolare e la responsabilità sociale delle imprese ed evidenziare le caratteristiche circolari dell'energia prodotta da fonti rinnovabili;</w:t>
      </w:r>
    </w:p>
    <w:p w:rsidR="0011681E" w:rsidRPr="003E5D72" w:rsidRDefault="0011681E" w:rsidP="007E39D7"/>
    <w:p w:rsidR="0011681E" w:rsidRPr="003E5D72" w:rsidRDefault="00AC03B4" w:rsidP="00F151CC">
      <w:pPr>
        <w:pStyle w:val="Heading2"/>
        <w:widowControl w:val="0"/>
        <w:numPr>
          <w:ilvl w:val="0"/>
          <w:numId w:val="42"/>
        </w:numPr>
        <w:overflowPunct w:val="0"/>
        <w:autoSpaceDE w:val="0"/>
        <w:autoSpaceDN w:val="0"/>
        <w:adjustRightInd w:val="0"/>
        <w:ind w:left="357" w:hanging="357"/>
        <w:textAlignment w:val="baseline"/>
      </w:pPr>
      <w:r w:rsidRPr="003E5D72">
        <w:t>sottolinea che il ruolo dei datori di lavoro e degli imprenditori e il coinvolgimento del settore privato nella promozione del cambiamento strutturale sono fondamentali per la transizione industriale. Dato che in Europa l'innovazione emerge tipicamente a partire da piccole entità, è necessario concentrarsi sulla creazione di un contesto favorevole alle imprese e sulla promozione del potenziale delle piccole e medie imprese che forniscono servizi di alto livello basati sulla conoscenza. Si dovrebbe inoltre sfruttare l'esperienza delle imprese e delle organizzazioni dell'economia sociale;</w:t>
      </w:r>
    </w:p>
    <w:p w:rsidR="0011681E" w:rsidRPr="003E5D72" w:rsidRDefault="0011681E" w:rsidP="007E39D7"/>
    <w:p w:rsidR="0011681E" w:rsidRPr="003E5D72" w:rsidRDefault="0011681E" w:rsidP="00F151CC">
      <w:pPr>
        <w:pStyle w:val="Heading2"/>
        <w:widowControl w:val="0"/>
        <w:numPr>
          <w:ilvl w:val="0"/>
          <w:numId w:val="42"/>
        </w:numPr>
        <w:overflowPunct w:val="0"/>
        <w:autoSpaceDE w:val="0"/>
        <w:autoSpaceDN w:val="0"/>
        <w:adjustRightInd w:val="0"/>
        <w:ind w:left="357" w:hanging="357"/>
        <w:textAlignment w:val="baseline"/>
      </w:pPr>
      <w:r w:rsidRPr="003E5D72">
        <w:t>raccomanda alle istituzioni europee e nazionali di introdurre nuove strutture di governance che garantiscano la partecipazione attiva dell'economia locale, delle parti sociali e della società civile all'elaborazione e attuazione di misure eque, in modo da assicurarsi che le transizioni siano socialmente giuste;</w:t>
      </w:r>
    </w:p>
    <w:p w:rsidR="0011681E" w:rsidRPr="003E5D72" w:rsidRDefault="0011681E" w:rsidP="007E39D7"/>
    <w:p w:rsidR="0011681E" w:rsidRPr="003E5D72" w:rsidRDefault="0011681E" w:rsidP="00F151CC">
      <w:pPr>
        <w:pStyle w:val="Heading2"/>
        <w:widowControl w:val="0"/>
        <w:numPr>
          <w:ilvl w:val="0"/>
          <w:numId w:val="42"/>
        </w:numPr>
        <w:overflowPunct w:val="0"/>
        <w:autoSpaceDE w:val="0"/>
        <w:autoSpaceDN w:val="0"/>
        <w:adjustRightInd w:val="0"/>
        <w:ind w:left="357" w:hanging="357"/>
        <w:textAlignment w:val="baseline"/>
      </w:pPr>
      <w:r w:rsidRPr="003E5D72">
        <w:t>invita a includere nel semestre europeo indicatori sociali, economici e ambientali nuovi, migliorati, misurabili e complementari per monitorare e seguire l'applicazione dei i principi del pilastro europeo dei diritti sociali.</w:t>
      </w:r>
    </w:p>
    <w:p w:rsidR="00443297" w:rsidRPr="003E5D72" w:rsidRDefault="00443297" w:rsidP="00FE59F9">
      <w:pPr>
        <w:pStyle w:val="Heading2"/>
        <w:widowControl w:val="0"/>
        <w:numPr>
          <w:ilvl w:val="0"/>
          <w:numId w:val="0"/>
        </w:numPr>
        <w:overflowPunct w:val="0"/>
        <w:autoSpaceDE w:val="0"/>
        <w:autoSpaceDN w:val="0"/>
        <w:adjustRightInd w:val="0"/>
        <w:ind w:left="709"/>
        <w:textAlignment w:val="baseline"/>
        <w:rPr>
          <w:szCs w:val="24"/>
        </w:rPr>
      </w:pPr>
    </w:p>
    <w:p w:rsidR="00C609C3" w:rsidRPr="003E5D72" w:rsidRDefault="00C609C3" w:rsidP="007E39D7">
      <w:pPr>
        <w:widowControl w:val="0"/>
        <w:tabs>
          <w:tab w:val="left" w:pos="1701"/>
        </w:tabs>
        <w:rPr>
          <w:i/>
        </w:rPr>
      </w:pPr>
      <w:r w:rsidRPr="003E5D72">
        <w:rPr>
          <w:b/>
          <w:i/>
        </w:rPr>
        <w:t>Persona da contattare:</w:t>
      </w:r>
      <w:r w:rsidRPr="003E5D72">
        <w:tab/>
      </w:r>
      <w:r w:rsidRPr="003E5D72">
        <w:rPr>
          <w:i/>
        </w:rPr>
        <w:t>Silvia Staffa</w:t>
      </w:r>
    </w:p>
    <w:p w:rsidR="00C609C3" w:rsidRPr="003E5D72" w:rsidRDefault="00F151CC" w:rsidP="007E39D7">
      <w:pPr>
        <w:widowControl w:val="0"/>
        <w:tabs>
          <w:tab w:val="left" w:pos="1701"/>
        </w:tabs>
        <w:ind w:left="1701"/>
        <w:jc w:val="left"/>
        <w:rPr>
          <w:i/>
        </w:rPr>
      </w:pPr>
      <w:r w:rsidRPr="003E5D72">
        <w:rPr>
          <w:i/>
        </w:rPr>
        <w:tab/>
      </w:r>
      <w:r w:rsidR="00992E9E" w:rsidRPr="003E5D72">
        <w:rPr>
          <w:i/>
        </w:rPr>
        <w:t xml:space="preserve">(Tel. 0032 25468378 – e-mail: </w:t>
      </w:r>
      <w:hyperlink r:id="rId16" w:history="1">
        <w:r w:rsidR="00992E9E" w:rsidRPr="003E5D72">
          <w:rPr>
            <w:rStyle w:val="Hyperlink"/>
            <w:i/>
          </w:rPr>
          <w:t>Silvia.Staffa@eesc.europa.eu</w:t>
        </w:r>
      </w:hyperlink>
      <w:r w:rsidR="00992E9E" w:rsidRPr="003E5D72">
        <w:rPr>
          <w:i/>
        </w:rPr>
        <w:t>)</w:t>
      </w:r>
    </w:p>
    <w:p w:rsidR="001F445D" w:rsidRPr="003E5D72" w:rsidRDefault="001F445D" w:rsidP="007E39D7">
      <w:pPr>
        <w:widowControl w:val="0"/>
        <w:jc w:val="left"/>
      </w:pPr>
    </w:p>
    <w:p w:rsidR="001F445D" w:rsidRPr="003E5D72" w:rsidRDefault="001F445D" w:rsidP="007E39D7">
      <w:pPr>
        <w:pStyle w:val="ListParagraph"/>
        <w:keepNext/>
        <w:keepLines/>
        <w:widowControl w:val="0"/>
        <w:numPr>
          <w:ilvl w:val="0"/>
          <w:numId w:val="41"/>
        </w:numPr>
        <w:overflowPunct w:val="0"/>
        <w:autoSpaceDE w:val="0"/>
        <w:autoSpaceDN w:val="0"/>
        <w:adjustRightInd w:val="0"/>
        <w:ind w:left="567" w:hanging="283"/>
        <w:rPr>
          <w:b/>
          <w:i/>
          <w:sz w:val="28"/>
          <w:szCs w:val="28"/>
        </w:rPr>
      </w:pPr>
      <w:r w:rsidRPr="003E5D72">
        <w:rPr>
          <w:b/>
          <w:i/>
          <w:sz w:val="28"/>
          <w:szCs w:val="28"/>
        </w:rPr>
        <w:lastRenderedPageBreak/>
        <w:t>Pagamenti transfrontalieri/Codificazione</w:t>
      </w:r>
    </w:p>
    <w:p w:rsidR="001F445D" w:rsidRPr="003E5D72" w:rsidRDefault="001F445D" w:rsidP="007E39D7">
      <w:pPr>
        <w:keepNext/>
        <w:keepLines/>
        <w:widowControl w:val="0"/>
        <w:tabs>
          <w:tab w:val="center" w:pos="284"/>
        </w:tabs>
        <w:ind w:left="266" w:hanging="266"/>
      </w:pPr>
    </w:p>
    <w:p w:rsidR="001F445D" w:rsidRPr="003E5D72" w:rsidRDefault="003E5D72" w:rsidP="007E39D7">
      <w:pPr>
        <w:keepNext/>
        <w:keepLines/>
        <w:widowControl w:val="0"/>
        <w:tabs>
          <w:tab w:val="center" w:pos="284"/>
        </w:tabs>
        <w:ind w:left="266" w:hanging="266"/>
      </w:pPr>
      <w:r w:rsidRPr="003E5D72">
        <w:rPr>
          <w:b/>
        </w:rPr>
        <w:t>Relatore</w:t>
      </w:r>
      <w:r w:rsidR="001F445D" w:rsidRPr="003E5D72">
        <w:rPr>
          <w:b/>
        </w:rPr>
        <w:t>:</w:t>
      </w:r>
      <w:r w:rsidR="001F445D" w:rsidRPr="003E5D72">
        <w:tab/>
        <w:t>Gonçalo Lobo Xavier (gruppo Datori di lavoro – PT)</w:t>
      </w:r>
    </w:p>
    <w:p w:rsidR="001F445D" w:rsidRPr="003E5D72" w:rsidRDefault="001F445D" w:rsidP="007E39D7">
      <w:pPr>
        <w:keepNext/>
        <w:keepLines/>
        <w:widowControl w:val="0"/>
        <w:tabs>
          <w:tab w:val="center" w:pos="284"/>
        </w:tabs>
        <w:ind w:left="266" w:hanging="266"/>
      </w:pPr>
    </w:p>
    <w:p w:rsidR="001F445D" w:rsidRPr="003E5D72" w:rsidRDefault="001F445D" w:rsidP="007E39D7">
      <w:pPr>
        <w:keepNext/>
        <w:keepLines/>
        <w:widowControl w:val="0"/>
        <w:tabs>
          <w:tab w:val="center" w:pos="284"/>
          <w:tab w:val="left" w:pos="1701"/>
        </w:tabs>
        <w:ind w:left="266" w:hanging="266"/>
      </w:pPr>
      <w:r w:rsidRPr="003E5D72">
        <w:rPr>
          <w:b/>
        </w:rPr>
        <w:t>Documenti di riferimento:</w:t>
      </w:r>
      <w:r w:rsidRPr="003E5D72">
        <w:tab/>
        <w:t>COM(2020) 323 final -</w:t>
      </w:r>
      <w:r w:rsidR="00F151CC" w:rsidRPr="003E5D72">
        <w:t xml:space="preserve"> </w:t>
      </w:r>
      <w:r w:rsidRPr="003E5D72">
        <w:t>2020/0145</w:t>
      </w:r>
      <w:r w:rsidR="003E5D72" w:rsidRPr="003E5D72">
        <w:t xml:space="preserve"> COD</w:t>
      </w:r>
    </w:p>
    <w:p w:rsidR="001F445D" w:rsidRPr="003E5D72" w:rsidRDefault="00F151CC" w:rsidP="007E39D7">
      <w:pPr>
        <w:keepNext/>
        <w:keepLines/>
        <w:widowControl w:val="0"/>
        <w:tabs>
          <w:tab w:val="center" w:pos="284"/>
          <w:tab w:val="left" w:pos="1701"/>
        </w:tabs>
        <w:ind w:left="1967" w:hanging="266"/>
      </w:pPr>
      <w:r w:rsidRPr="003E5D72">
        <w:tab/>
      </w:r>
      <w:r w:rsidRPr="003E5D72">
        <w:tab/>
      </w:r>
      <w:r w:rsidRPr="003E5D72">
        <w:tab/>
      </w:r>
      <w:r w:rsidR="0011681E" w:rsidRPr="003E5D72">
        <w:t>EESC-2020-04216-00-00-AC</w:t>
      </w:r>
    </w:p>
    <w:p w:rsidR="001F445D" w:rsidRPr="003E5D72" w:rsidRDefault="001F445D" w:rsidP="007E39D7">
      <w:pPr>
        <w:widowControl w:val="0"/>
        <w:tabs>
          <w:tab w:val="center" w:pos="284"/>
        </w:tabs>
        <w:ind w:left="266" w:hanging="266"/>
      </w:pPr>
    </w:p>
    <w:p w:rsidR="001F445D" w:rsidRPr="003E5D72" w:rsidRDefault="001F445D" w:rsidP="007E39D7">
      <w:pPr>
        <w:widowControl w:val="0"/>
        <w:tabs>
          <w:tab w:val="center" w:pos="284"/>
        </w:tabs>
        <w:ind w:left="266" w:hanging="266"/>
        <w:rPr>
          <w:b/>
        </w:rPr>
      </w:pPr>
      <w:r w:rsidRPr="003E5D72">
        <w:rPr>
          <w:b/>
        </w:rPr>
        <w:t>Punti salienti:</w:t>
      </w:r>
    </w:p>
    <w:p w:rsidR="001F445D" w:rsidRPr="003E5D72" w:rsidRDefault="001F445D" w:rsidP="007E39D7">
      <w:pPr>
        <w:widowControl w:val="0"/>
        <w:tabs>
          <w:tab w:val="center" w:pos="284"/>
        </w:tabs>
        <w:ind w:left="266" w:hanging="266"/>
      </w:pPr>
    </w:p>
    <w:p w:rsidR="001F445D" w:rsidRPr="003E5D72" w:rsidRDefault="001F445D" w:rsidP="007E39D7">
      <w:pPr>
        <w:widowControl w:val="0"/>
      </w:pPr>
      <w:r w:rsidRPr="003E5D72">
        <w:t>Il CESE:</w:t>
      </w:r>
    </w:p>
    <w:p w:rsidR="0011681E" w:rsidRPr="003E5D72" w:rsidRDefault="0011681E" w:rsidP="00FE59F9">
      <w:pPr>
        <w:pStyle w:val="Heading2"/>
        <w:widowControl w:val="0"/>
        <w:numPr>
          <w:ilvl w:val="0"/>
          <w:numId w:val="0"/>
        </w:numPr>
        <w:overflowPunct w:val="0"/>
        <w:autoSpaceDE w:val="0"/>
        <w:autoSpaceDN w:val="0"/>
        <w:adjustRightInd w:val="0"/>
        <w:ind w:left="1080"/>
        <w:textAlignment w:val="baseline"/>
        <w:rPr>
          <w:lang w:val="fr-FR"/>
        </w:rPr>
      </w:pPr>
    </w:p>
    <w:p w:rsidR="0011681E" w:rsidRPr="003E5D72" w:rsidRDefault="0011681E" w:rsidP="00F151CC">
      <w:pPr>
        <w:pStyle w:val="Heading2"/>
        <w:widowControl w:val="0"/>
        <w:numPr>
          <w:ilvl w:val="0"/>
          <w:numId w:val="42"/>
        </w:numPr>
        <w:overflowPunct w:val="0"/>
        <w:autoSpaceDE w:val="0"/>
        <w:autoSpaceDN w:val="0"/>
        <w:adjustRightInd w:val="0"/>
        <w:ind w:left="357" w:hanging="357"/>
        <w:textAlignment w:val="baseline"/>
      </w:pPr>
      <w:r w:rsidRPr="003E5D72">
        <w:t>accoglie con favore la proposta della Commissione sui pagamenti transfrontalieri nell'Unione volta a ridurre i costi di tali pagamenti in euro e ad aumentare la trasparenza per quanto riguarda le commissioni di conversione valutaria;</w:t>
      </w:r>
    </w:p>
    <w:p w:rsidR="0011681E" w:rsidRPr="003E5D72" w:rsidRDefault="0011681E" w:rsidP="007E39D7">
      <w:pPr>
        <w:rPr>
          <w:lang w:val="fr-FR"/>
        </w:rPr>
      </w:pPr>
    </w:p>
    <w:p w:rsidR="001F445D" w:rsidRPr="003E5D72" w:rsidRDefault="0011681E" w:rsidP="00F151CC">
      <w:pPr>
        <w:pStyle w:val="Heading2"/>
        <w:widowControl w:val="0"/>
        <w:numPr>
          <w:ilvl w:val="0"/>
          <w:numId w:val="42"/>
        </w:numPr>
        <w:overflowPunct w:val="0"/>
        <w:autoSpaceDE w:val="0"/>
        <w:autoSpaceDN w:val="0"/>
        <w:adjustRightInd w:val="0"/>
        <w:ind w:left="357" w:hanging="357"/>
        <w:textAlignment w:val="baseline"/>
      </w:pPr>
      <w:r w:rsidRPr="003E5D72">
        <w:t>concorda con la Commissione nel ritenere che essa dovrebbe analizzare ulteriori possibilità – e la fattibilità tecnica di tali possibilità – di estendere la norma sulla parità delle commissioni a tutte le valute dell'Unione e di migliorare ulteriormente la trasparenza e la raffrontabilità delle commissioni di conversione valutaria.</w:t>
      </w:r>
    </w:p>
    <w:p w:rsidR="001F445D" w:rsidRPr="003E5D72" w:rsidRDefault="001F445D" w:rsidP="007E39D7">
      <w:pPr>
        <w:widowControl w:val="0"/>
        <w:rPr>
          <w:szCs w:val="24"/>
        </w:rPr>
      </w:pPr>
    </w:p>
    <w:p w:rsidR="001F445D" w:rsidRPr="003E5D72" w:rsidRDefault="001F445D" w:rsidP="007E39D7">
      <w:pPr>
        <w:widowControl w:val="0"/>
        <w:tabs>
          <w:tab w:val="left" w:pos="1701"/>
        </w:tabs>
        <w:rPr>
          <w:i/>
        </w:rPr>
      </w:pPr>
      <w:r w:rsidRPr="003E5D72">
        <w:rPr>
          <w:b/>
          <w:i/>
        </w:rPr>
        <w:t>Persona da contattare:</w:t>
      </w:r>
      <w:r w:rsidRPr="003E5D72">
        <w:tab/>
      </w:r>
      <w:r w:rsidRPr="003E5D72">
        <w:rPr>
          <w:i/>
        </w:rPr>
        <w:t>Marie-Laurence Drillon</w:t>
      </w:r>
    </w:p>
    <w:p w:rsidR="00992E9E" w:rsidRPr="003E5D72" w:rsidRDefault="00F151CC" w:rsidP="007E39D7">
      <w:pPr>
        <w:widowControl w:val="0"/>
        <w:tabs>
          <w:tab w:val="left" w:pos="1701"/>
        </w:tabs>
        <w:ind w:left="1701"/>
        <w:jc w:val="left"/>
        <w:rPr>
          <w:i/>
        </w:rPr>
      </w:pPr>
      <w:r w:rsidRPr="003E5D72">
        <w:rPr>
          <w:i/>
        </w:rPr>
        <w:tab/>
      </w:r>
      <w:r w:rsidR="00992E9E" w:rsidRPr="003E5D72">
        <w:rPr>
          <w:i/>
        </w:rPr>
        <w:t xml:space="preserve">(Tel. 0032 25468320 – e-mail: </w:t>
      </w:r>
      <w:hyperlink r:id="rId17" w:history="1">
        <w:r w:rsidR="00992E9E" w:rsidRPr="003E5D72">
          <w:rPr>
            <w:rStyle w:val="Hyperlink"/>
            <w:i/>
          </w:rPr>
          <w:t>Marie-Laurence.Drillon@eesc.europa.eu</w:t>
        </w:r>
      </w:hyperlink>
      <w:r w:rsidR="00992E9E" w:rsidRPr="003E5D72">
        <w:rPr>
          <w:i/>
        </w:rPr>
        <w:t>)</w:t>
      </w:r>
    </w:p>
    <w:p w:rsidR="00443297" w:rsidRPr="003E5D72" w:rsidRDefault="00443297" w:rsidP="007E39D7">
      <w:pPr>
        <w:widowControl w:val="0"/>
      </w:pPr>
    </w:p>
    <w:p w:rsidR="004203D2" w:rsidRPr="003E5D72" w:rsidRDefault="004203D2" w:rsidP="007E39D7">
      <w:pPr>
        <w:widowControl w:val="0"/>
        <w:jc w:val="left"/>
        <w:rPr>
          <w:b/>
          <w:caps/>
          <w:kern w:val="28"/>
        </w:rPr>
      </w:pPr>
      <w:bookmarkStart w:id="2" w:name="_Toc2173204"/>
      <w:r w:rsidRPr="003E5D72">
        <w:br w:type="page"/>
      </w:r>
    </w:p>
    <w:p w:rsidR="004203D2" w:rsidRPr="003E5D72" w:rsidRDefault="004203D2" w:rsidP="007E39D7">
      <w:pPr>
        <w:pStyle w:val="Heading1"/>
        <w:widowControl w:val="0"/>
        <w:numPr>
          <w:ilvl w:val="0"/>
          <w:numId w:val="5"/>
        </w:numPr>
        <w:ind w:left="426" w:hanging="426"/>
        <w:rPr>
          <w:b/>
          <w:caps/>
        </w:rPr>
      </w:pPr>
      <w:bookmarkStart w:id="3" w:name="_Toc21085069"/>
      <w:bookmarkStart w:id="4" w:name="_Toc59378073"/>
      <w:r w:rsidRPr="003E5D72">
        <w:rPr>
          <w:b/>
          <w:caps/>
        </w:rPr>
        <w:lastRenderedPageBreak/>
        <w:t>Unione economica e monetaria, coesione economica e sociale</w:t>
      </w:r>
      <w:bookmarkEnd w:id="2"/>
      <w:bookmarkEnd w:id="3"/>
      <w:bookmarkEnd w:id="4"/>
    </w:p>
    <w:p w:rsidR="00DF54F5" w:rsidRPr="003E5D72" w:rsidRDefault="00DF54F5" w:rsidP="007E39D7">
      <w:pPr>
        <w:widowControl w:val="0"/>
        <w:rPr>
          <w:u w:val="single"/>
        </w:rPr>
      </w:pPr>
    </w:p>
    <w:p w:rsidR="00D070F2" w:rsidRPr="003E5D72" w:rsidRDefault="00D070F2" w:rsidP="007E39D7">
      <w:pPr>
        <w:pStyle w:val="ListParagraph"/>
        <w:widowControl w:val="0"/>
        <w:numPr>
          <w:ilvl w:val="0"/>
          <w:numId w:val="41"/>
        </w:numPr>
        <w:overflowPunct w:val="0"/>
        <w:autoSpaceDE w:val="0"/>
        <w:autoSpaceDN w:val="0"/>
        <w:adjustRightInd w:val="0"/>
        <w:ind w:left="567" w:hanging="283"/>
        <w:rPr>
          <w:b/>
          <w:i/>
          <w:sz w:val="28"/>
          <w:szCs w:val="28"/>
        </w:rPr>
      </w:pPr>
      <w:r w:rsidRPr="003E5D72">
        <w:rPr>
          <w:b/>
          <w:i/>
          <w:sz w:val="28"/>
          <w:szCs w:val="28"/>
        </w:rPr>
        <w:t>Disposizioni transitorie sull'IVA per i va</w:t>
      </w:r>
      <w:bookmarkStart w:id="5" w:name="_GoBack"/>
      <w:bookmarkEnd w:id="5"/>
      <w:r w:rsidRPr="003E5D72">
        <w:rPr>
          <w:b/>
          <w:i/>
          <w:sz w:val="28"/>
          <w:szCs w:val="28"/>
        </w:rPr>
        <w:t>ccini contro la COVID-19</w:t>
      </w:r>
    </w:p>
    <w:p w:rsidR="00F31520" w:rsidRPr="003E5D72" w:rsidRDefault="00F31520" w:rsidP="007E39D7">
      <w:pPr>
        <w:widowControl w:val="0"/>
        <w:tabs>
          <w:tab w:val="center" w:pos="284"/>
        </w:tabs>
        <w:ind w:left="266" w:hanging="266"/>
        <w:rPr>
          <w:rFonts w:eastAsiaTheme="minorHAnsi"/>
        </w:rPr>
      </w:pPr>
    </w:p>
    <w:p w:rsidR="00D07459" w:rsidRPr="003E5D72" w:rsidRDefault="00DF54F5" w:rsidP="007E39D7">
      <w:pPr>
        <w:widowControl w:val="0"/>
        <w:tabs>
          <w:tab w:val="center" w:pos="284"/>
        </w:tabs>
        <w:ind w:left="266" w:hanging="266"/>
        <w:jc w:val="left"/>
        <w:rPr>
          <w:b/>
        </w:rPr>
      </w:pPr>
      <w:r w:rsidRPr="003E5D72">
        <w:rPr>
          <w:b/>
        </w:rPr>
        <w:t>Documenti di riferimento:</w:t>
      </w:r>
      <w:r w:rsidRPr="003E5D72">
        <w:tab/>
        <w:t>Parere di categoria C</w:t>
      </w:r>
    </w:p>
    <w:p w:rsidR="00F31520" w:rsidRPr="003E5D72" w:rsidRDefault="00F151CC" w:rsidP="007E39D7">
      <w:pPr>
        <w:widowControl w:val="0"/>
        <w:tabs>
          <w:tab w:val="left" w:pos="1701"/>
        </w:tabs>
        <w:ind w:left="1701"/>
      </w:pPr>
      <w:r w:rsidRPr="003E5D72">
        <w:tab/>
      </w:r>
      <w:r w:rsidRPr="003E5D72">
        <w:tab/>
      </w:r>
      <w:r w:rsidR="00DF2927" w:rsidRPr="003E5D72">
        <w:t>COM(2020) 688 final – 2020/0311</w:t>
      </w:r>
      <w:r w:rsidR="003E5D72" w:rsidRPr="003E5D72">
        <w:t xml:space="preserve"> CNS</w:t>
      </w:r>
    </w:p>
    <w:p w:rsidR="00DF54F5" w:rsidRPr="003E5D72" w:rsidRDefault="00F151CC" w:rsidP="007E39D7">
      <w:pPr>
        <w:widowControl w:val="0"/>
        <w:tabs>
          <w:tab w:val="left" w:pos="1701"/>
        </w:tabs>
        <w:ind w:left="1701"/>
      </w:pPr>
      <w:r w:rsidRPr="003E5D72">
        <w:tab/>
      </w:r>
      <w:r w:rsidRPr="003E5D72">
        <w:tab/>
      </w:r>
      <w:r w:rsidR="0055631F" w:rsidRPr="003E5D72">
        <w:t>EESC-2020-05307-00-00-AC</w:t>
      </w:r>
    </w:p>
    <w:p w:rsidR="00F31520" w:rsidRPr="003E5D72" w:rsidRDefault="00F31520" w:rsidP="007E39D7">
      <w:pPr>
        <w:widowControl w:val="0"/>
        <w:tabs>
          <w:tab w:val="center" w:pos="284"/>
        </w:tabs>
        <w:ind w:left="266" w:hanging="266"/>
        <w:jc w:val="left"/>
        <w:rPr>
          <w:rFonts w:eastAsiaTheme="minorHAnsi"/>
        </w:rPr>
      </w:pPr>
    </w:p>
    <w:p w:rsidR="00DF54F5" w:rsidRPr="003E5D72" w:rsidRDefault="00DF54F5" w:rsidP="007E39D7">
      <w:pPr>
        <w:widowControl w:val="0"/>
        <w:tabs>
          <w:tab w:val="center" w:pos="284"/>
        </w:tabs>
        <w:ind w:left="266" w:hanging="266"/>
        <w:rPr>
          <w:b/>
        </w:rPr>
      </w:pPr>
      <w:r w:rsidRPr="003E5D72">
        <w:rPr>
          <w:b/>
        </w:rPr>
        <w:t>Punti salienti:</w:t>
      </w:r>
    </w:p>
    <w:p w:rsidR="0055631F" w:rsidRPr="003E5D72" w:rsidRDefault="0055631F" w:rsidP="007E39D7">
      <w:pPr>
        <w:widowControl w:val="0"/>
      </w:pPr>
    </w:p>
    <w:p w:rsidR="0055631F" w:rsidRPr="003E5D72" w:rsidRDefault="007B5C57" w:rsidP="007E39D7">
      <w:pPr>
        <w:widowControl w:val="0"/>
      </w:pPr>
      <w:r w:rsidRPr="003E5D72">
        <w:t xml:space="preserve">Il CESE appoggia la proposta della Commissione europea. Per le osservazioni e le raccomandazioni sul contenuto della proposta, il CESE rimanda al proprio parere </w:t>
      </w:r>
      <w:r w:rsidR="003E5D72" w:rsidRPr="003E5D72">
        <w:t>sul tema</w:t>
      </w:r>
      <w:r w:rsidRPr="003E5D72">
        <w:t xml:space="preserve"> </w:t>
      </w:r>
      <w:r w:rsidRPr="003E5D72">
        <w:rPr>
          <w:i/>
        </w:rPr>
        <w:t xml:space="preserve">Rinvio dei termini nel settore fiscale a causa della pandemia di </w:t>
      </w:r>
      <w:r w:rsidR="002A6069" w:rsidRPr="003E5D72">
        <w:rPr>
          <w:i/>
        </w:rPr>
        <w:t>COVID</w:t>
      </w:r>
      <w:r w:rsidRPr="003E5D72">
        <w:rPr>
          <w:i/>
        </w:rPr>
        <w:t>-19</w:t>
      </w:r>
      <w:r w:rsidRPr="003E5D72">
        <w:t>, adottato il 10 giugno 2020</w:t>
      </w:r>
      <w:r w:rsidRPr="003E5D72">
        <w:rPr>
          <w:rStyle w:val="FootnoteReference"/>
        </w:rPr>
        <w:footnoteReference w:id="2"/>
      </w:r>
      <w:r w:rsidRPr="003E5D72">
        <w:t>.</w:t>
      </w:r>
    </w:p>
    <w:p w:rsidR="0055631F" w:rsidRPr="003E5D72" w:rsidRDefault="0055631F" w:rsidP="007E39D7">
      <w:pPr>
        <w:widowControl w:val="0"/>
        <w:rPr>
          <w:lang w:eastAsia="it-IT" w:bidi="it-IT"/>
        </w:rPr>
      </w:pPr>
    </w:p>
    <w:p w:rsidR="00A140D9" w:rsidRPr="003E5D72" w:rsidRDefault="0055631F" w:rsidP="00A140D9">
      <w:pPr>
        <w:tabs>
          <w:tab w:val="left" w:pos="770"/>
        </w:tabs>
        <w:ind w:left="1430" w:hanging="1430"/>
        <w:rPr>
          <w:i/>
          <w:iCs/>
        </w:rPr>
      </w:pPr>
      <w:r w:rsidRPr="003E5D72">
        <w:rPr>
          <w:b/>
          <w:i/>
        </w:rPr>
        <w:t>Persona da contattare:</w:t>
      </w:r>
      <w:r w:rsidR="00F151CC" w:rsidRPr="003E5D72">
        <w:rPr>
          <w:b/>
          <w:i/>
        </w:rPr>
        <w:tab/>
      </w:r>
      <w:r w:rsidRPr="003E5D72">
        <w:rPr>
          <w:bCs/>
          <w:i/>
          <w:iCs/>
        </w:rPr>
        <w:t>Juri Soosaar</w:t>
      </w:r>
    </w:p>
    <w:p w:rsidR="0055631F" w:rsidRPr="003E5D72" w:rsidRDefault="00F151CC" w:rsidP="00FB6FDF">
      <w:pPr>
        <w:widowControl w:val="0"/>
        <w:ind w:left="1430"/>
        <w:rPr>
          <w:i/>
        </w:rPr>
      </w:pPr>
      <w:r w:rsidRPr="003E5D72">
        <w:rPr>
          <w:i/>
          <w:iCs/>
        </w:rPr>
        <w:tab/>
      </w:r>
      <w:r w:rsidRPr="003E5D72">
        <w:rPr>
          <w:i/>
          <w:iCs/>
        </w:rPr>
        <w:tab/>
      </w:r>
      <w:r w:rsidR="00A140D9" w:rsidRPr="003E5D72">
        <w:rPr>
          <w:i/>
          <w:iCs/>
        </w:rPr>
        <w:t>(Tel. 0032 25469628 – e</w:t>
      </w:r>
      <w:r w:rsidRPr="003E5D72">
        <w:rPr>
          <w:i/>
          <w:iCs/>
        </w:rPr>
        <w:t>-</w:t>
      </w:r>
      <w:r w:rsidR="00A140D9" w:rsidRPr="003E5D72">
        <w:rPr>
          <w:i/>
          <w:iCs/>
        </w:rPr>
        <w:t xml:space="preserve">mail: </w:t>
      </w:r>
      <w:hyperlink r:id="rId18" w:history="1">
        <w:r w:rsidR="00A140D9" w:rsidRPr="003E5D72">
          <w:rPr>
            <w:rStyle w:val="Hyperlink"/>
            <w:i/>
            <w:iCs/>
          </w:rPr>
          <w:t>Juri.Soosaar@eesc.europa.eu</w:t>
        </w:r>
      </w:hyperlink>
      <w:r w:rsidR="00A140D9" w:rsidRPr="003E5D72">
        <w:rPr>
          <w:i/>
          <w:iCs/>
        </w:rPr>
        <w:t>)</w:t>
      </w:r>
    </w:p>
    <w:p w:rsidR="00A140D9" w:rsidRPr="003E5D72" w:rsidRDefault="00A140D9" w:rsidP="00A140D9">
      <w:pPr>
        <w:widowControl w:val="0"/>
        <w:rPr>
          <w:u w:val="single"/>
        </w:rPr>
      </w:pPr>
    </w:p>
    <w:p w:rsidR="00A140D9" w:rsidRPr="003E5D72" w:rsidRDefault="00A140D9" w:rsidP="00FB6FDF">
      <w:pPr>
        <w:pStyle w:val="ListParagraph"/>
        <w:widowControl w:val="0"/>
        <w:numPr>
          <w:ilvl w:val="0"/>
          <w:numId w:val="41"/>
        </w:numPr>
        <w:overflowPunct w:val="0"/>
        <w:autoSpaceDE w:val="0"/>
        <w:autoSpaceDN w:val="0"/>
        <w:adjustRightInd w:val="0"/>
        <w:ind w:left="567" w:hanging="283"/>
        <w:rPr>
          <w:b/>
          <w:i/>
          <w:sz w:val="28"/>
          <w:szCs w:val="28"/>
        </w:rPr>
      </w:pPr>
      <w:r w:rsidRPr="003E5D72">
        <w:rPr>
          <w:b/>
          <w:i/>
          <w:sz w:val="28"/>
          <w:szCs w:val="28"/>
        </w:rPr>
        <w:t>Aumento di capitale del Fondo europeo per gli investimenti (2020)</w:t>
      </w:r>
    </w:p>
    <w:p w:rsidR="00A140D9" w:rsidRPr="003E5D72" w:rsidRDefault="00A140D9" w:rsidP="00A140D9">
      <w:pPr>
        <w:widowControl w:val="0"/>
        <w:tabs>
          <w:tab w:val="center" w:pos="284"/>
        </w:tabs>
        <w:ind w:left="266" w:hanging="266"/>
        <w:rPr>
          <w:rFonts w:eastAsiaTheme="minorHAnsi"/>
        </w:rPr>
      </w:pPr>
    </w:p>
    <w:p w:rsidR="00A140D9" w:rsidRPr="003E5D72" w:rsidRDefault="00A140D9" w:rsidP="00A140D9">
      <w:pPr>
        <w:widowControl w:val="0"/>
        <w:tabs>
          <w:tab w:val="center" w:pos="284"/>
        </w:tabs>
        <w:ind w:left="266" w:hanging="266"/>
        <w:jc w:val="left"/>
        <w:rPr>
          <w:b/>
        </w:rPr>
      </w:pPr>
      <w:r w:rsidRPr="003E5D72">
        <w:rPr>
          <w:b/>
        </w:rPr>
        <w:t>Documenti di riferimento:</w:t>
      </w:r>
      <w:r w:rsidRPr="003E5D72">
        <w:tab/>
        <w:t>Parere di categoria C</w:t>
      </w:r>
    </w:p>
    <w:p w:rsidR="00A140D9" w:rsidRPr="003E5D72" w:rsidRDefault="00F151CC" w:rsidP="00A140D9">
      <w:pPr>
        <w:widowControl w:val="0"/>
        <w:tabs>
          <w:tab w:val="left" w:pos="1701"/>
        </w:tabs>
        <w:ind w:left="1701"/>
      </w:pPr>
      <w:r w:rsidRPr="003E5D72">
        <w:tab/>
      </w:r>
      <w:r w:rsidRPr="003E5D72">
        <w:tab/>
      </w:r>
      <w:r w:rsidR="00A140D9" w:rsidRPr="003E5D72">
        <w:t>COM(2020) 774 final – 2020/0343</w:t>
      </w:r>
      <w:r w:rsidR="003E5D72" w:rsidRPr="003E5D72">
        <w:t xml:space="preserve"> COD</w:t>
      </w:r>
    </w:p>
    <w:p w:rsidR="00A140D9" w:rsidRPr="003E5D72" w:rsidRDefault="00F151CC" w:rsidP="00A140D9">
      <w:pPr>
        <w:widowControl w:val="0"/>
        <w:tabs>
          <w:tab w:val="left" w:pos="1701"/>
        </w:tabs>
        <w:ind w:left="1701"/>
      </w:pPr>
      <w:r w:rsidRPr="003E5D72">
        <w:tab/>
      </w:r>
      <w:r w:rsidRPr="003E5D72">
        <w:tab/>
      </w:r>
      <w:r w:rsidR="00A140D9" w:rsidRPr="003E5D72">
        <w:t>EESC-2020-05452-00-01-AC</w:t>
      </w:r>
    </w:p>
    <w:p w:rsidR="00A140D9" w:rsidRPr="003E5D72" w:rsidRDefault="00A140D9" w:rsidP="00A140D9">
      <w:pPr>
        <w:widowControl w:val="0"/>
        <w:tabs>
          <w:tab w:val="center" w:pos="284"/>
        </w:tabs>
        <w:ind w:left="266" w:hanging="266"/>
        <w:jc w:val="left"/>
        <w:rPr>
          <w:rFonts w:eastAsiaTheme="minorHAnsi"/>
        </w:rPr>
      </w:pPr>
    </w:p>
    <w:p w:rsidR="00A140D9" w:rsidRPr="003E5D72" w:rsidRDefault="00A140D9" w:rsidP="00A140D9">
      <w:pPr>
        <w:widowControl w:val="0"/>
        <w:tabs>
          <w:tab w:val="center" w:pos="284"/>
        </w:tabs>
        <w:ind w:left="266" w:hanging="266"/>
        <w:rPr>
          <w:b/>
        </w:rPr>
      </w:pPr>
      <w:r w:rsidRPr="003E5D72">
        <w:rPr>
          <w:b/>
        </w:rPr>
        <w:t>Punti salienti:</w:t>
      </w:r>
    </w:p>
    <w:p w:rsidR="00A140D9" w:rsidRPr="003E5D72" w:rsidRDefault="00A140D9" w:rsidP="00A140D9">
      <w:pPr>
        <w:widowControl w:val="0"/>
      </w:pPr>
    </w:p>
    <w:p w:rsidR="00A140D9" w:rsidRPr="003E5D72" w:rsidRDefault="00A140D9" w:rsidP="00A140D9">
      <w:pPr>
        <w:widowControl w:val="0"/>
      </w:pPr>
      <w:r w:rsidRPr="003E5D72">
        <w:t xml:space="preserve">Avendo concluso che il contenuto della proposta è soddisfacente ed essendosi già pronunciato al riguardo nel proprio parere </w:t>
      </w:r>
      <w:r w:rsidR="003E5D72" w:rsidRPr="003E5D72">
        <w:t>in merito alla</w:t>
      </w:r>
      <w:r w:rsidRPr="003E5D72">
        <w:t xml:space="preserve"> Proposta di regolamento che istituisce il programma InvestEU, il Comitato ha deciso di esprimere parere favorevole al testo proposto dalla Commissione europea.</w:t>
      </w:r>
    </w:p>
    <w:p w:rsidR="00A140D9" w:rsidRPr="003E5D72" w:rsidRDefault="00A140D9" w:rsidP="00A140D9">
      <w:pPr>
        <w:widowControl w:val="0"/>
        <w:rPr>
          <w:lang w:eastAsia="it-IT" w:bidi="it-IT"/>
        </w:rPr>
      </w:pPr>
    </w:p>
    <w:p w:rsidR="00A140D9" w:rsidRPr="003E5D72" w:rsidRDefault="00A140D9" w:rsidP="00A140D9">
      <w:pPr>
        <w:tabs>
          <w:tab w:val="left" w:pos="770"/>
        </w:tabs>
        <w:ind w:left="1430" w:hanging="1430"/>
        <w:rPr>
          <w:bCs/>
          <w:i/>
          <w:iCs/>
        </w:rPr>
      </w:pPr>
      <w:r w:rsidRPr="003E5D72">
        <w:rPr>
          <w:b/>
          <w:i/>
        </w:rPr>
        <w:t>Persona da contattare:</w:t>
      </w:r>
      <w:r w:rsidR="00F151CC" w:rsidRPr="003E5D72">
        <w:rPr>
          <w:b/>
          <w:i/>
        </w:rPr>
        <w:tab/>
      </w:r>
      <w:r w:rsidRPr="003E5D72">
        <w:rPr>
          <w:bCs/>
          <w:i/>
          <w:iCs/>
        </w:rPr>
        <w:t>Krisztina Perlaky-Tóth</w:t>
      </w:r>
    </w:p>
    <w:p w:rsidR="00A140D9" w:rsidRPr="003E5D72" w:rsidRDefault="00F151CC" w:rsidP="00F151CC">
      <w:pPr>
        <w:tabs>
          <w:tab w:val="left" w:pos="770"/>
        </w:tabs>
        <w:rPr>
          <w:i/>
        </w:rPr>
      </w:pPr>
      <w:r w:rsidRPr="003E5D72">
        <w:rPr>
          <w:bCs/>
          <w:i/>
          <w:iCs/>
        </w:rPr>
        <w:tab/>
      </w:r>
      <w:r w:rsidRPr="003E5D72">
        <w:rPr>
          <w:bCs/>
          <w:i/>
          <w:iCs/>
        </w:rPr>
        <w:tab/>
      </w:r>
      <w:r w:rsidRPr="003E5D72">
        <w:rPr>
          <w:bCs/>
          <w:i/>
          <w:iCs/>
        </w:rPr>
        <w:tab/>
      </w:r>
      <w:r w:rsidRPr="003E5D72">
        <w:rPr>
          <w:bCs/>
          <w:i/>
          <w:iCs/>
        </w:rPr>
        <w:tab/>
      </w:r>
      <w:r w:rsidR="00A140D9" w:rsidRPr="003E5D72">
        <w:rPr>
          <w:bCs/>
          <w:i/>
          <w:iCs/>
        </w:rPr>
        <w:t xml:space="preserve">(Tel. 0032 25469740 – e-mail: </w:t>
      </w:r>
      <w:hyperlink r:id="rId19" w:history="1">
        <w:r w:rsidR="00A140D9" w:rsidRPr="003E5D72">
          <w:rPr>
            <w:rStyle w:val="Hyperlink"/>
            <w:bCs/>
            <w:i/>
            <w:iCs/>
          </w:rPr>
          <w:t>Krisztina.PerlakyToth@eesc.europa.eu</w:t>
        </w:r>
      </w:hyperlink>
      <w:r w:rsidR="00A140D9" w:rsidRPr="003E5D72">
        <w:rPr>
          <w:bCs/>
          <w:i/>
          <w:iCs/>
        </w:rPr>
        <w:t>)</w:t>
      </w:r>
    </w:p>
    <w:p w:rsidR="00DF54F5" w:rsidRPr="003E5D72" w:rsidRDefault="00DF54F5" w:rsidP="007E39D7">
      <w:pPr>
        <w:widowControl w:val="0"/>
        <w:jc w:val="left"/>
      </w:pPr>
    </w:p>
    <w:p w:rsidR="00D25AF4" w:rsidRPr="003E5D72" w:rsidRDefault="00742CC7" w:rsidP="007E39D7">
      <w:pPr>
        <w:widowControl w:val="0"/>
        <w:jc w:val="left"/>
        <w:rPr>
          <w:b/>
          <w:u w:val="single"/>
        </w:rPr>
      </w:pPr>
      <w:r w:rsidRPr="003E5D72">
        <w:br w:type="page"/>
      </w:r>
    </w:p>
    <w:p w:rsidR="004203D2" w:rsidRPr="003E5D72" w:rsidRDefault="004203D2" w:rsidP="007E39D7">
      <w:pPr>
        <w:pStyle w:val="Heading1"/>
        <w:widowControl w:val="0"/>
        <w:numPr>
          <w:ilvl w:val="0"/>
          <w:numId w:val="5"/>
        </w:numPr>
        <w:tabs>
          <w:tab w:val="left" w:pos="567"/>
        </w:tabs>
        <w:ind w:left="567" w:hanging="567"/>
        <w:rPr>
          <w:b/>
        </w:rPr>
      </w:pPr>
      <w:bookmarkStart w:id="6" w:name="_Toc21085070"/>
      <w:bookmarkStart w:id="7" w:name="_Toc59378074"/>
      <w:r w:rsidRPr="003E5D72">
        <w:rPr>
          <w:b/>
        </w:rPr>
        <w:lastRenderedPageBreak/>
        <w:t>OCCUPAZIONE, AFFARI SOCIALI, CITTADINANZA</w:t>
      </w:r>
      <w:bookmarkEnd w:id="6"/>
      <w:bookmarkEnd w:id="7"/>
    </w:p>
    <w:p w:rsidR="004203D2" w:rsidRPr="003E5D72" w:rsidRDefault="004203D2" w:rsidP="007E39D7">
      <w:pPr>
        <w:widowControl w:val="0"/>
      </w:pPr>
    </w:p>
    <w:p w:rsidR="007254A8" w:rsidRPr="003E5D72" w:rsidRDefault="007254A8" w:rsidP="007E39D7">
      <w:pPr>
        <w:pStyle w:val="ListParagraph"/>
        <w:widowControl w:val="0"/>
        <w:numPr>
          <w:ilvl w:val="0"/>
          <w:numId w:val="41"/>
        </w:numPr>
        <w:overflowPunct w:val="0"/>
        <w:autoSpaceDE w:val="0"/>
        <w:autoSpaceDN w:val="0"/>
        <w:adjustRightInd w:val="0"/>
        <w:ind w:left="567" w:hanging="283"/>
        <w:rPr>
          <w:b/>
          <w:i/>
          <w:sz w:val="28"/>
          <w:szCs w:val="28"/>
        </w:rPr>
      </w:pPr>
      <w:r w:rsidRPr="003E5D72">
        <w:rPr>
          <w:b/>
          <w:i/>
          <w:sz w:val="28"/>
          <w:szCs w:val="28"/>
        </w:rPr>
        <w:t>Verso una strategia dell'UE per migliorare le abilità e le competenze verdi per tutti</w:t>
      </w:r>
    </w:p>
    <w:p w:rsidR="00F22142" w:rsidRPr="003E5D72" w:rsidRDefault="00F22142" w:rsidP="007E39D7">
      <w:pPr>
        <w:widowControl w:val="0"/>
        <w:ind w:left="-567" w:firstLine="17"/>
      </w:pPr>
    </w:p>
    <w:p w:rsidR="00F22142" w:rsidRPr="003E5D72" w:rsidRDefault="003E5D72" w:rsidP="007E39D7">
      <w:pPr>
        <w:widowControl w:val="0"/>
      </w:pPr>
      <w:r w:rsidRPr="003E5D72">
        <w:rPr>
          <w:b/>
        </w:rPr>
        <w:t>Relatrice</w:t>
      </w:r>
      <w:r w:rsidR="00F22142" w:rsidRPr="003E5D72">
        <w:rPr>
          <w:b/>
        </w:rPr>
        <w:t xml:space="preserve"> generale:</w:t>
      </w:r>
      <w:r w:rsidR="00F22142" w:rsidRPr="003E5D72">
        <w:t xml:space="preserve"> </w:t>
      </w:r>
      <w:r w:rsidR="00F22142" w:rsidRPr="003E5D72">
        <w:tab/>
        <w:t>Tatjana Babrauskienė (</w:t>
      </w:r>
      <w:r w:rsidRPr="003E5D72">
        <w:t xml:space="preserve">gruppo </w:t>
      </w:r>
      <w:r w:rsidR="00F22142" w:rsidRPr="003E5D72">
        <w:t>Lavoratori – LT)</w:t>
      </w:r>
    </w:p>
    <w:p w:rsidR="00F22142" w:rsidRPr="003E5D72" w:rsidRDefault="00F22142" w:rsidP="007E39D7">
      <w:pPr>
        <w:widowControl w:val="0"/>
        <w:rPr>
          <w:b/>
          <w:bCs/>
        </w:rPr>
      </w:pPr>
    </w:p>
    <w:p w:rsidR="002715CC" w:rsidRPr="003E5D72" w:rsidRDefault="00F22142" w:rsidP="007E39D7">
      <w:pPr>
        <w:widowControl w:val="0"/>
        <w:ind w:left="-5"/>
      </w:pPr>
      <w:r w:rsidRPr="003E5D72">
        <w:rPr>
          <w:b/>
          <w:bCs/>
        </w:rPr>
        <w:t>Documento di riferimento:</w:t>
      </w:r>
      <w:r w:rsidRPr="003E5D72">
        <w:tab/>
        <w:t>Parere d'iniziativa</w:t>
      </w:r>
    </w:p>
    <w:p w:rsidR="00AE1723" w:rsidRPr="003E5D72" w:rsidRDefault="00F151CC" w:rsidP="007E39D7">
      <w:pPr>
        <w:widowControl w:val="0"/>
        <w:ind w:left="2268"/>
      </w:pPr>
      <w:r w:rsidRPr="003E5D72">
        <w:tab/>
      </w:r>
      <w:r w:rsidRPr="003E5D72">
        <w:tab/>
      </w:r>
      <w:r w:rsidR="007254A8" w:rsidRPr="003E5D72">
        <w:t>EESC-2020-01255-00-00-AC</w:t>
      </w:r>
    </w:p>
    <w:p w:rsidR="00F22142" w:rsidRPr="003E5D72" w:rsidRDefault="00F22142" w:rsidP="007E39D7">
      <w:pPr>
        <w:widowControl w:val="0"/>
        <w:tabs>
          <w:tab w:val="left" w:pos="0"/>
        </w:tabs>
        <w:ind w:left="364" w:hanging="369"/>
      </w:pPr>
    </w:p>
    <w:p w:rsidR="00F22142" w:rsidRPr="003E5D72" w:rsidRDefault="00F22142" w:rsidP="007E39D7">
      <w:pPr>
        <w:widowControl w:val="0"/>
        <w:rPr>
          <w:b/>
        </w:rPr>
      </w:pPr>
      <w:r w:rsidRPr="003E5D72">
        <w:rPr>
          <w:b/>
        </w:rPr>
        <w:t>Punti salienti:</w:t>
      </w:r>
    </w:p>
    <w:p w:rsidR="00F22142" w:rsidRPr="003E5D72" w:rsidRDefault="00F22142" w:rsidP="007E39D7">
      <w:pPr>
        <w:widowControl w:val="0"/>
      </w:pPr>
    </w:p>
    <w:p w:rsidR="00F22142" w:rsidRPr="003E5D72" w:rsidRDefault="00F22142" w:rsidP="007E39D7">
      <w:pPr>
        <w:widowControl w:val="0"/>
      </w:pPr>
      <w:r w:rsidRPr="003E5D72">
        <w:t>Il CESE:</w:t>
      </w:r>
    </w:p>
    <w:p w:rsidR="00F22142" w:rsidRPr="003E5D72" w:rsidRDefault="00F22142" w:rsidP="007E39D7">
      <w:pPr>
        <w:widowControl w:val="0"/>
      </w:pPr>
    </w:p>
    <w:p w:rsidR="00D86C77" w:rsidRPr="003E5D72" w:rsidRDefault="00D86C77"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sottolinea che la responsabilità ambientale è un obbligo di tutti e che il conseguimento di uno sviluppo ambientale sostenibile richiede un drastico cambiamento sociale;</w:t>
      </w:r>
    </w:p>
    <w:p w:rsidR="00D86C77" w:rsidRPr="003E5D72"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3E5D72" w:rsidRDefault="00D86C77"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ritiene che le competenze verdi, la responsabilità ambientale e lo sviluppo sostenibile debbano essere integrati nei risultati dell'apprendimento formale, informale e non formale dei discenti di ogni età;</w:t>
      </w:r>
    </w:p>
    <w:p w:rsidR="00D86C77" w:rsidRPr="003E5D72"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3E5D72" w:rsidRDefault="00D86C77"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chiede l'attuazione degli obiettivi di sviluppo sostenibile delle Nazioni Unite e del primo pilastro del pilastro europeo dei diritti sociali, con il coinvolgimento delle parti sociali;</w:t>
      </w:r>
    </w:p>
    <w:p w:rsidR="00D86C77" w:rsidRPr="003E5D72"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3E5D72" w:rsidRDefault="00D86C77"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ricorda che le politiche ambientali dovrebbero essere meglio collegate alle politiche in materia di occupazione e istruzione;</w:t>
      </w:r>
    </w:p>
    <w:p w:rsidR="00D86C77" w:rsidRPr="003E5D72" w:rsidRDefault="00D86C77" w:rsidP="00FE59F9">
      <w:pPr>
        <w:pStyle w:val="Heading3"/>
        <w:widowControl w:val="0"/>
        <w:numPr>
          <w:ilvl w:val="0"/>
          <w:numId w:val="0"/>
        </w:numPr>
        <w:overflowPunct w:val="0"/>
        <w:autoSpaceDE w:val="0"/>
        <w:autoSpaceDN w:val="0"/>
        <w:adjustRightInd w:val="0"/>
        <w:ind w:left="720"/>
        <w:rPr>
          <w:sz w:val="16"/>
          <w:szCs w:val="16"/>
          <w:shd w:val="clear" w:color="auto" w:fill="FFFFFF"/>
        </w:rPr>
      </w:pPr>
    </w:p>
    <w:p w:rsidR="00D86C77" w:rsidRPr="003E5D72" w:rsidRDefault="00D86C77"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raccomanda l'istituzione di politiche nazionali incentrate sull'educazione in materia di responsabilità ambientale e competenze verdi, nonché un miglioramento e una riqualificazione proattivi per agevolare una transizione equa verso un'economia verde per tutti;</w:t>
      </w:r>
    </w:p>
    <w:p w:rsidR="00D86C77" w:rsidRPr="003E5D72" w:rsidRDefault="00D86C77" w:rsidP="00FE59F9">
      <w:pPr>
        <w:pStyle w:val="Heading3"/>
        <w:widowControl w:val="0"/>
        <w:numPr>
          <w:ilvl w:val="0"/>
          <w:numId w:val="0"/>
        </w:numPr>
        <w:overflowPunct w:val="0"/>
        <w:autoSpaceDE w:val="0"/>
        <w:autoSpaceDN w:val="0"/>
        <w:adjustRightInd w:val="0"/>
        <w:ind w:left="720"/>
        <w:rPr>
          <w:sz w:val="16"/>
          <w:szCs w:val="16"/>
          <w:shd w:val="clear" w:color="auto" w:fill="FFFFFF"/>
        </w:rPr>
      </w:pPr>
    </w:p>
    <w:p w:rsidR="00D86C77" w:rsidRPr="003E5D72" w:rsidRDefault="00D86C77"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sollecita politiche e finanziamenti globali per sostenere gli insegnanti e i formatori nello sviluppo professionale in materia di protezione ambientale e formazione sulle abilità e competenze verdi;</w:t>
      </w:r>
    </w:p>
    <w:p w:rsidR="00D86C77" w:rsidRPr="003E5D72" w:rsidRDefault="00D86C77" w:rsidP="00FE59F9">
      <w:pPr>
        <w:pStyle w:val="Heading3"/>
        <w:widowControl w:val="0"/>
        <w:numPr>
          <w:ilvl w:val="0"/>
          <w:numId w:val="0"/>
        </w:numPr>
        <w:overflowPunct w:val="0"/>
        <w:autoSpaceDE w:val="0"/>
        <w:autoSpaceDN w:val="0"/>
        <w:adjustRightInd w:val="0"/>
        <w:ind w:left="720"/>
        <w:rPr>
          <w:sz w:val="16"/>
          <w:szCs w:val="16"/>
          <w:shd w:val="clear" w:color="auto" w:fill="FFFFFF"/>
        </w:rPr>
      </w:pPr>
    </w:p>
    <w:p w:rsidR="00D86C77" w:rsidRPr="003E5D72" w:rsidRDefault="00D86C77"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accoglie con favore l'accento posto sulle competenze verdi dall'agenda per le competenze 2020, ma si rammarica che essa non definisca un obiettivo relativo alla percentuale di adulti che partecipano</w:t>
      </w:r>
      <w:r w:rsidR="003E5D72" w:rsidRPr="003E5D72">
        <w:rPr>
          <w:shd w:val="clear" w:color="auto" w:fill="FFFFFF"/>
        </w:rPr>
        <w:t xml:space="preserve"> </w:t>
      </w:r>
      <w:r w:rsidRPr="003E5D72">
        <w:rPr>
          <w:shd w:val="clear" w:color="auto" w:fill="FFFFFF"/>
        </w:rPr>
        <w:t>alla formazione almeno nelle abilità e competenze verdi di base;</w:t>
      </w:r>
    </w:p>
    <w:p w:rsidR="00D86C77" w:rsidRPr="003E5D72" w:rsidRDefault="00D86C77" w:rsidP="00FE59F9">
      <w:pPr>
        <w:pStyle w:val="Heading3"/>
        <w:widowControl w:val="0"/>
        <w:numPr>
          <w:ilvl w:val="0"/>
          <w:numId w:val="0"/>
        </w:numPr>
        <w:overflowPunct w:val="0"/>
        <w:autoSpaceDE w:val="0"/>
        <w:autoSpaceDN w:val="0"/>
        <w:adjustRightInd w:val="0"/>
        <w:ind w:left="720"/>
        <w:rPr>
          <w:sz w:val="16"/>
          <w:szCs w:val="16"/>
          <w:shd w:val="clear" w:color="auto" w:fill="FFFFFF"/>
        </w:rPr>
      </w:pPr>
    </w:p>
    <w:p w:rsidR="00D86C77" w:rsidRPr="003E5D72" w:rsidRDefault="00D86C77"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accoglie con favore il piano della Commissione per un quadro europeo delle competenze, come annunciato nel Green Deal europeo; raccomanda di concepire tale quadro in modo che sia applicabile all'apprendimento formale, informale e non formale nell'ambito del metodo aperto di cooperazione, coinvolgendo i soggetti interessati pertinenti;</w:t>
      </w:r>
    </w:p>
    <w:p w:rsidR="00D86C77" w:rsidRPr="003E5D72" w:rsidRDefault="00D86C77" w:rsidP="00FE59F9">
      <w:pPr>
        <w:pStyle w:val="Heading3"/>
        <w:widowControl w:val="0"/>
        <w:numPr>
          <w:ilvl w:val="0"/>
          <w:numId w:val="0"/>
        </w:numPr>
        <w:overflowPunct w:val="0"/>
        <w:autoSpaceDE w:val="0"/>
        <w:autoSpaceDN w:val="0"/>
        <w:adjustRightInd w:val="0"/>
        <w:ind w:left="720"/>
        <w:rPr>
          <w:sz w:val="16"/>
          <w:szCs w:val="16"/>
          <w:shd w:val="clear" w:color="auto" w:fill="FFFFFF"/>
        </w:rPr>
      </w:pPr>
    </w:p>
    <w:p w:rsidR="00D86C77" w:rsidRPr="003E5D72" w:rsidRDefault="00D86C77"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invita la Commissione europea a condurre uno studio sullo sviluppo delle abilità e delle competenze verdi negli Stati membri e a basare la propria strategia politica sui risultati di tali ricerche;</w:t>
      </w:r>
    </w:p>
    <w:p w:rsidR="00D86C77" w:rsidRPr="003E5D72"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3E5D72" w:rsidRDefault="00D86C77"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lastRenderedPageBreak/>
        <w:t>invita a intensificare la cooperazione tra i Consigli Istruzione, Occupazione e Ambiente, per collegare la lotta ai cambiamenti climatici con l'importanza di fornire abilità e competenze verdi a tutti, a partire dal più alto livello decisionale;</w:t>
      </w:r>
    </w:p>
    <w:p w:rsidR="00D86C77" w:rsidRPr="003E5D72"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3E5D72" w:rsidRDefault="00D86C77"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chiede una strategia globale a livello dell'UE, come ad esempio una raccomandazione del Consiglio, riguardante il miglioramento dell'istruzione e della formazione relative ad abilità e competenze verdi, lo sviluppo di strategie in materia di scuole "verdi" nonché la riqualificazione e il miglioramento delle competenze necessarie per proteggere l'ambiente, per la società e per inverdire l'economia.</w:t>
      </w:r>
    </w:p>
    <w:p w:rsidR="002715CC" w:rsidRPr="003E5D72" w:rsidRDefault="002715CC" w:rsidP="007E39D7">
      <w:pPr>
        <w:widowControl w:val="0"/>
      </w:pPr>
    </w:p>
    <w:p w:rsidR="00BB234D" w:rsidRPr="003E5D72" w:rsidRDefault="00BB234D" w:rsidP="007E39D7">
      <w:pPr>
        <w:tabs>
          <w:tab w:val="left" w:pos="770"/>
        </w:tabs>
        <w:ind w:left="1430" w:hanging="1430"/>
        <w:rPr>
          <w:i/>
          <w:iCs/>
        </w:rPr>
      </w:pPr>
      <w:r w:rsidRPr="003E5D72">
        <w:rPr>
          <w:b/>
          <w:bCs/>
          <w:i/>
          <w:iCs/>
        </w:rPr>
        <w:t>Persona da contattare:</w:t>
      </w:r>
      <w:r w:rsidR="00F151CC" w:rsidRPr="003E5D72">
        <w:rPr>
          <w:b/>
          <w:bCs/>
          <w:i/>
          <w:iCs/>
        </w:rPr>
        <w:tab/>
      </w:r>
      <w:r w:rsidRPr="003E5D72">
        <w:rPr>
          <w:bCs/>
          <w:i/>
          <w:iCs/>
        </w:rPr>
        <w:t>Jean-Marie Rogue</w:t>
      </w:r>
    </w:p>
    <w:p w:rsidR="00BB234D" w:rsidRPr="003E5D72" w:rsidRDefault="00F151CC" w:rsidP="007E39D7">
      <w:pPr>
        <w:ind w:left="1701"/>
        <w:rPr>
          <w:i/>
        </w:rPr>
      </w:pPr>
      <w:r w:rsidRPr="003E5D72">
        <w:rPr>
          <w:i/>
          <w:iCs/>
        </w:rPr>
        <w:tab/>
      </w:r>
      <w:r w:rsidR="00BB234D" w:rsidRPr="003E5D72">
        <w:rPr>
          <w:i/>
          <w:iCs/>
        </w:rPr>
        <w:t xml:space="preserve">(Tel. 0032 25468909 – e-mail: </w:t>
      </w:r>
      <w:hyperlink r:id="rId20" w:history="1">
        <w:r w:rsidR="00BB234D" w:rsidRPr="003E5D72">
          <w:rPr>
            <w:rStyle w:val="Hyperlink"/>
            <w:i/>
            <w:iCs/>
          </w:rPr>
          <w:t>jeanmarie.rogue@eesc.europa.eu</w:t>
        </w:r>
      </w:hyperlink>
      <w:r w:rsidR="00BB234D" w:rsidRPr="003E5D72">
        <w:rPr>
          <w:i/>
          <w:iCs/>
        </w:rPr>
        <w:t>)</w:t>
      </w:r>
    </w:p>
    <w:p w:rsidR="00724EE3" w:rsidRPr="003E5D72" w:rsidRDefault="00724EE3" w:rsidP="007E39D7">
      <w:pPr>
        <w:widowControl w:val="0"/>
        <w:rPr>
          <w:i/>
        </w:rPr>
      </w:pPr>
    </w:p>
    <w:p w:rsidR="007254A8" w:rsidRPr="003E5D72" w:rsidRDefault="007254A8" w:rsidP="007E39D7">
      <w:pPr>
        <w:pStyle w:val="ListParagraph"/>
        <w:widowControl w:val="0"/>
        <w:numPr>
          <w:ilvl w:val="0"/>
          <w:numId w:val="41"/>
        </w:numPr>
        <w:overflowPunct w:val="0"/>
        <w:autoSpaceDE w:val="0"/>
        <w:autoSpaceDN w:val="0"/>
        <w:adjustRightInd w:val="0"/>
        <w:ind w:left="567" w:hanging="283"/>
        <w:rPr>
          <w:b/>
          <w:i/>
          <w:sz w:val="28"/>
          <w:szCs w:val="28"/>
        </w:rPr>
      </w:pPr>
      <w:r w:rsidRPr="003E5D72">
        <w:rPr>
          <w:b/>
          <w:i/>
          <w:sz w:val="28"/>
          <w:szCs w:val="28"/>
        </w:rPr>
        <w:t>La necessità di garantire l'effettivo diritto di voto per le persone con disabilità nelle elezioni del Parlamento europeo</w:t>
      </w:r>
    </w:p>
    <w:p w:rsidR="002715CC" w:rsidRPr="003E5D72" w:rsidRDefault="002715CC" w:rsidP="007E39D7">
      <w:pPr>
        <w:widowControl w:val="0"/>
      </w:pPr>
    </w:p>
    <w:p w:rsidR="002715CC" w:rsidRPr="003E5D72" w:rsidRDefault="003E5D72" w:rsidP="007E39D7">
      <w:pPr>
        <w:widowControl w:val="0"/>
      </w:pPr>
      <w:r w:rsidRPr="003E5D72">
        <w:rPr>
          <w:b/>
        </w:rPr>
        <w:t>Relatore</w:t>
      </w:r>
      <w:r w:rsidR="002715CC" w:rsidRPr="003E5D72">
        <w:rPr>
          <w:b/>
        </w:rPr>
        <w:t>:</w:t>
      </w:r>
      <w:r w:rsidR="002715CC" w:rsidRPr="003E5D72">
        <w:t xml:space="preserve"> </w:t>
      </w:r>
      <w:r w:rsidR="002715CC" w:rsidRPr="003E5D72">
        <w:tab/>
        <w:t>Krzysztof Pater (gruppo Diversità Europa – PL)</w:t>
      </w:r>
    </w:p>
    <w:p w:rsidR="002715CC" w:rsidRPr="003E5D72" w:rsidRDefault="002715CC" w:rsidP="007E39D7">
      <w:pPr>
        <w:widowControl w:val="0"/>
        <w:tabs>
          <w:tab w:val="left" w:pos="0"/>
        </w:tabs>
        <w:ind w:left="364" w:hanging="369"/>
        <w:rPr>
          <w:sz w:val="16"/>
          <w:szCs w:val="16"/>
        </w:rPr>
      </w:pPr>
    </w:p>
    <w:p w:rsidR="007B5C57" w:rsidRPr="003E5D72" w:rsidRDefault="002715CC" w:rsidP="007E39D7">
      <w:pPr>
        <w:widowControl w:val="0"/>
        <w:ind w:left="-5"/>
      </w:pPr>
      <w:r w:rsidRPr="003E5D72">
        <w:rPr>
          <w:b/>
          <w:bCs/>
        </w:rPr>
        <w:t>Documento di riferimento:</w:t>
      </w:r>
      <w:r w:rsidRPr="003E5D72">
        <w:tab/>
        <w:t>Parere d'iniziativa</w:t>
      </w:r>
    </w:p>
    <w:p w:rsidR="002715CC" w:rsidRPr="003E5D72" w:rsidRDefault="00F151CC" w:rsidP="007E39D7">
      <w:pPr>
        <w:widowControl w:val="0"/>
        <w:ind w:left="1701"/>
      </w:pPr>
      <w:r w:rsidRPr="003E5D72">
        <w:tab/>
      </w:r>
      <w:r w:rsidRPr="003E5D72">
        <w:tab/>
      </w:r>
      <w:r w:rsidR="00C97587" w:rsidRPr="003E5D72">
        <w:t>EESC-2020-01950-00-00-AC</w:t>
      </w:r>
    </w:p>
    <w:p w:rsidR="002715CC" w:rsidRPr="003E5D72" w:rsidRDefault="002715CC" w:rsidP="007E39D7">
      <w:pPr>
        <w:widowControl w:val="0"/>
      </w:pPr>
    </w:p>
    <w:p w:rsidR="002715CC" w:rsidRPr="003E5D72" w:rsidRDefault="002715CC" w:rsidP="007E39D7">
      <w:pPr>
        <w:widowControl w:val="0"/>
        <w:rPr>
          <w:b/>
        </w:rPr>
      </w:pPr>
      <w:r w:rsidRPr="003E5D72">
        <w:rPr>
          <w:b/>
        </w:rPr>
        <w:t>Punti salienti:</w:t>
      </w:r>
    </w:p>
    <w:p w:rsidR="002715CC" w:rsidRPr="003E5D72" w:rsidRDefault="002715CC" w:rsidP="007E39D7">
      <w:pPr>
        <w:widowControl w:val="0"/>
      </w:pPr>
    </w:p>
    <w:p w:rsidR="007B5C57" w:rsidRPr="003E5D72" w:rsidRDefault="007B5C57" w:rsidP="007E39D7">
      <w:pPr>
        <w:widowControl w:val="0"/>
      </w:pPr>
      <w:r w:rsidRPr="003E5D72">
        <w:t>In ciascuno dei 27 paesi dell'UE vi sono norme o disposizioni organizzative che privano alcuni elettori con disabilità della possibilità di partecipare alle elezioni del Parlamento europeo.</w:t>
      </w:r>
    </w:p>
    <w:p w:rsidR="007B5C57" w:rsidRPr="003E5D72" w:rsidRDefault="007B5C57" w:rsidP="007E39D7">
      <w:pPr>
        <w:widowControl w:val="0"/>
      </w:pPr>
    </w:p>
    <w:p w:rsidR="007B5C57" w:rsidRPr="003E5D72" w:rsidRDefault="007B5C57" w:rsidP="007E39D7">
      <w:pPr>
        <w:widowControl w:val="0"/>
      </w:pPr>
      <w:r w:rsidRPr="003E5D72">
        <w:t>A causa dell'invecchiamento della popolazione, il numero di persone private del diritto di voto aumenterà costantemente nei prossimi anni. L'impossibilità di esercitare il diritto di voto riguarda le persone che vivono a casa o in istituti di cura a lungo termine, nonché le persone sottoposte a cure ospedaliere di breve durata, le persone in fase di trattamento o di riabilitazione a domicilio e le persone sottoposte a isolamento o quarantena a causa di rischi epidemiologici.</w:t>
      </w:r>
    </w:p>
    <w:p w:rsidR="007B5C57" w:rsidRPr="003E5D72" w:rsidRDefault="007B5C57" w:rsidP="007E39D7">
      <w:pPr>
        <w:widowControl w:val="0"/>
      </w:pPr>
    </w:p>
    <w:p w:rsidR="007B5C57" w:rsidRPr="003E5D72" w:rsidRDefault="007B5C57" w:rsidP="007E39D7">
      <w:pPr>
        <w:widowControl w:val="0"/>
      </w:pPr>
      <w:r w:rsidRPr="003E5D72">
        <w:t>Il CESE ritiene che ciò sia inaccettabile e contrario ai valori fondamentali dell'UE, alle disposizioni del Trattato sull'Unione europea e a numerosi atti giuridici e politici internazionali, tra cui la Convenzione delle Nazioni Unite sui diritti delle persone con disabilità, la Dichiarazione universale dei diritti dell'uomo delle Nazioni Unite, il Patto internazionale relativo ai diritti civili e politici e le raccomandazioni del Comitato dei ministri del Consiglio d'Europa.</w:t>
      </w:r>
    </w:p>
    <w:p w:rsidR="007B5C57" w:rsidRPr="003E5D72" w:rsidRDefault="007B5C57" w:rsidP="007E39D7">
      <w:pPr>
        <w:widowControl w:val="0"/>
      </w:pPr>
    </w:p>
    <w:p w:rsidR="007B5C57" w:rsidRPr="003E5D72" w:rsidRDefault="007B5C57" w:rsidP="007E39D7">
      <w:pPr>
        <w:widowControl w:val="0"/>
      </w:pPr>
      <w:r w:rsidRPr="003E5D72">
        <w:t>Il CESE invita il Parlamento europeo, il Consiglio europeo e gli Stati membri a modificare con urgenza l'Atto relativo all'elezione dei rappresentanti nell'assemblea a suffragio universale diretto, del 1976 (Atto elettorale), chiarendo i principi del suffragio universale e diretto e della segretezza delle elezioni Ciò consentirebbe di attuare in tutta l'UE norme che garantirebbero un effettivo diritto di voto per le persone con disabilità. Tali norme dovrebbero prevedere almeno:</w:t>
      </w:r>
    </w:p>
    <w:p w:rsidR="007B5C57" w:rsidRPr="003E5D72" w:rsidRDefault="007B5C57" w:rsidP="007E39D7">
      <w:pPr>
        <w:widowControl w:val="0"/>
      </w:pPr>
    </w:p>
    <w:p w:rsidR="007B5C57" w:rsidRPr="003E5D72" w:rsidRDefault="007B5C57" w:rsidP="00F151CC">
      <w:pPr>
        <w:pStyle w:val="Heading3"/>
        <w:keepNext/>
        <w:keepLines/>
        <w:numPr>
          <w:ilvl w:val="0"/>
          <w:numId w:val="43"/>
        </w:numPr>
        <w:overflowPunct w:val="0"/>
        <w:autoSpaceDE w:val="0"/>
        <w:autoSpaceDN w:val="0"/>
        <w:adjustRightInd w:val="0"/>
        <w:ind w:left="357" w:hanging="357"/>
        <w:rPr>
          <w:shd w:val="clear" w:color="auto" w:fill="FFFFFF"/>
        </w:rPr>
      </w:pPr>
      <w:r w:rsidRPr="003E5D72">
        <w:rPr>
          <w:shd w:val="clear" w:color="auto" w:fill="FFFFFF"/>
        </w:rPr>
        <w:lastRenderedPageBreak/>
        <w:t>il divieto di privare le persone del diritto di voto alle elezioni del Parlamento europeo a causa della dis</w:t>
      </w:r>
      <w:r w:rsidR="00F151CC" w:rsidRPr="003E5D72">
        <w:rPr>
          <w:shd w:val="clear" w:color="auto" w:fill="FFFFFF"/>
        </w:rPr>
        <w:t>abilità o dello stato di salute;</w:t>
      </w:r>
    </w:p>
    <w:p w:rsidR="007B5C57" w:rsidRPr="003E5D72" w:rsidRDefault="007B5C57" w:rsidP="00F151CC">
      <w:pPr>
        <w:keepNext/>
        <w:keepLines/>
      </w:pPr>
    </w:p>
    <w:p w:rsidR="007B5C57" w:rsidRPr="003E5D72" w:rsidRDefault="007B5C57" w:rsidP="00F151CC">
      <w:pPr>
        <w:pStyle w:val="Heading3"/>
        <w:keepNext/>
        <w:keepLines/>
        <w:numPr>
          <w:ilvl w:val="0"/>
          <w:numId w:val="43"/>
        </w:numPr>
        <w:overflowPunct w:val="0"/>
        <w:autoSpaceDE w:val="0"/>
        <w:autoSpaceDN w:val="0"/>
        <w:adjustRightInd w:val="0"/>
        <w:ind w:left="357" w:hanging="357"/>
        <w:rPr>
          <w:shd w:val="clear" w:color="auto" w:fill="FFFFFF"/>
        </w:rPr>
      </w:pPr>
      <w:r w:rsidRPr="003E5D72">
        <w:rPr>
          <w:shd w:val="clear" w:color="auto" w:fill="FFFFFF"/>
        </w:rPr>
        <w:t>l'obbligo di fornire informazioni accessibili sulle regole di voto;</w:t>
      </w:r>
    </w:p>
    <w:p w:rsidR="007B5C57" w:rsidRPr="003E5D72" w:rsidRDefault="007B5C57" w:rsidP="007E39D7"/>
    <w:p w:rsidR="007B5C57" w:rsidRPr="003E5D72" w:rsidRDefault="007B5C57" w:rsidP="00F151CC">
      <w:pPr>
        <w:pStyle w:val="Heading3"/>
        <w:keepNext/>
        <w:keepLines/>
        <w:numPr>
          <w:ilvl w:val="0"/>
          <w:numId w:val="43"/>
        </w:numPr>
        <w:overflowPunct w:val="0"/>
        <w:autoSpaceDE w:val="0"/>
        <w:autoSpaceDN w:val="0"/>
        <w:adjustRightInd w:val="0"/>
        <w:ind w:left="357" w:hanging="357"/>
        <w:rPr>
          <w:shd w:val="clear" w:color="auto" w:fill="FFFFFF"/>
        </w:rPr>
      </w:pPr>
      <w:r w:rsidRPr="003E5D72">
        <w:rPr>
          <w:shd w:val="clear" w:color="auto" w:fill="FFFFFF"/>
        </w:rPr>
        <w:t xml:space="preserve">la possibilità per le persone che non possono accedere al seggio elettorale a causa della loro disabilità di votare </w:t>
      </w:r>
      <w:r w:rsidR="00F151CC" w:rsidRPr="003E5D72">
        <w:rPr>
          <w:shd w:val="clear" w:color="auto" w:fill="FFFFFF"/>
        </w:rPr>
        <w:t>autonomamente in un altro luogo;</w:t>
      </w:r>
    </w:p>
    <w:p w:rsidR="007B5C57" w:rsidRPr="003E5D72" w:rsidRDefault="007B5C57" w:rsidP="007E39D7"/>
    <w:p w:rsidR="007B5C57" w:rsidRPr="003E5D72" w:rsidRDefault="007B5C57" w:rsidP="00F151CC">
      <w:pPr>
        <w:pStyle w:val="Heading3"/>
        <w:keepNext/>
        <w:keepLines/>
        <w:numPr>
          <w:ilvl w:val="0"/>
          <w:numId w:val="43"/>
        </w:numPr>
        <w:overflowPunct w:val="0"/>
        <w:autoSpaceDE w:val="0"/>
        <w:autoSpaceDN w:val="0"/>
        <w:adjustRightInd w:val="0"/>
        <w:ind w:left="357" w:hanging="357"/>
        <w:rPr>
          <w:shd w:val="clear" w:color="auto" w:fill="FFFFFF"/>
        </w:rPr>
      </w:pPr>
      <w:r w:rsidRPr="003E5D72">
        <w:rPr>
          <w:shd w:val="clear" w:color="auto" w:fill="FFFFFF"/>
        </w:rPr>
        <w:t>l'adozione di soluzioni atte a consentire alle persone con disabilità che necessitano di un sostegno significativo (come le persone sordocieche, non vedenti, con disabilità visive o con limitata destrezza manuale) di votare in modo indipendente, senza ricorrere all'assistenza di altre persone</w:t>
      </w:r>
      <w:r w:rsidR="00F151CC" w:rsidRPr="003E5D72">
        <w:rPr>
          <w:shd w:val="clear" w:color="auto" w:fill="FFFFFF"/>
        </w:rPr>
        <w:t>;</w:t>
      </w:r>
    </w:p>
    <w:p w:rsidR="007B5C57" w:rsidRPr="003E5D72" w:rsidRDefault="007B5C57" w:rsidP="007E39D7"/>
    <w:p w:rsidR="007B5C57" w:rsidRPr="003E5D72" w:rsidRDefault="007B5C57" w:rsidP="00F151CC">
      <w:pPr>
        <w:pStyle w:val="Heading3"/>
        <w:keepNext/>
        <w:keepLines/>
        <w:numPr>
          <w:ilvl w:val="0"/>
          <w:numId w:val="43"/>
        </w:numPr>
        <w:overflowPunct w:val="0"/>
        <w:autoSpaceDE w:val="0"/>
        <w:autoSpaceDN w:val="0"/>
        <w:adjustRightInd w:val="0"/>
        <w:ind w:left="357" w:hanging="357"/>
        <w:rPr>
          <w:shd w:val="clear" w:color="auto" w:fill="FFFFFF"/>
        </w:rPr>
      </w:pPr>
      <w:r w:rsidRPr="003E5D72">
        <w:rPr>
          <w:shd w:val="clear" w:color="auto" w:fill="FFFFFF"/>
        </w:rPr>
        <w:t>la possibilità di sostituire il seggio elettorale designato con un seggio più adatto alle esigenze degli elettori con disabilità</w:t>
      </w:r>
      <w:r w:rsidR="00F151CC" w:rsidRPr="003E5D72">
        <w:rPr>
          <w:shd w:val="clear" w:color="auto" w:fill="FFFFFF"/>
        </w:rPr>
        <w:t>;</w:t>
      </w:r>
    </w:p>
    <w:p w:rsidR="007B5C57" w:rsidRPr="003E5D72" w:rsidRDefault="007B5C57" w:rsidP="007E39D7"/>
    <w:p w:rsidR="007B5C57" w:rsidRPr="003E5D72" w:rsidRDefault="007B5C57" w:rsidP="00F151CC">
      <w:pPr>
        <w:pStyle w:val="Heading3"/>
        <w:keepNext/>
        <w:keepLines/>
        <w:numPr>
          <w:ilvl w:val="0"/>
          <w:numId w:val="43"/>
        </w:numPr>
        <w:overflowPunct w:val="0"/>
        <w:autoSpaceDE w:val="0"/>
        <w:autoSpaceDN w:val="0"/>
        <w:adjustRightInd w:val="0"/>
        <w:ind w:left="357" w:hanging="357"/>
        <w:rPr>
          <w:shd w:val="clear" w:color="auto" w:fill="FFFFFF"/>
        </w:rPr>
      </w:pPr>
      <w:r w:rsidRPr="003E5D72">
        <w:rPr>
          <w:shd w:val="clear" w:color="auto" w:fill="FFFFFF"/>
        </w:rPr>
        <w:t>il diritto di una persona di scegliere liberamente un assistente personale per farsi aiutare nell'esercizio del diritto di voto.</w:t>
      </w:r>
    </w:p>
    <w:p w:rsidR="007B5C57" w:rsidRPr="003E5D72" w:rsidRDefault="007B5C57" w:rsidP="007E39D7">
      <w:pPr>
        <w:widowControl w:val="0"/>
      </w:pPr>
    </w:p>
    <w:p w:rsidR="00523E1D" w:rsidRPr="003E5D72" w:rsidRDefault="007B5C57" w:rsidP="007E39D7">
      <w:pPr>
        <w:widowControl w:val="0"/>
      </w:pPr>
      <w:r w:rsidRPr="003E5D72">
        <w:t>Anche se l'attuazione di tali norme continuerà a conferire agli Stati membri ampi poteri discrezionali, essa garantirà comunque che, a partire dal 2024, ogni cittadino dell'UE avrà il diritto effettivo di eleggere il proprio rappresentante al Parlamento europeo, indipendentemente dalla nazionalità o dal paese di residenza.</w:t>
      </w:r>
    </w:p>
    <w:p w:rsidR="002715CC" w:rsidRPr="003E5D72" w:rsidRDefault="002715CC" w:rsidP="007E39D7">
      <w:pPr>
        <w:widowControl w:val="0"/>
      </w:pPr>
    </w:p>
    <w:p w:rsidR="003F444D" w:rsidRPr="003E5D72" w:rsidRDefault="003F444D" w:rsidP="007E39D7">
      <w:pPr>
        <w:pStyle w:val="ListParagraph"/>
        <w:widowControl w:val="0"/>
        <w:overflowPunct w:val="0"/>
        <w:autoSpaceDE w:val="0"/>
        <w:autoSpaceDN w:val="0"/>
        <w:adjustRightInd w:val="0"/>
        <w:ind w:left="0" w:right="-425"/>
        <w:textAlignment w:val="baseline"/>
        <w:rPr>
          <w:i/>
          <w:szCs w:val="20"/>
        </w:rPr>
      </w:pPr>
      <w:r w:rsidRPr="003E5D72">
        <w:rPr>
          <w:b/>
          <w:i/>
          <w:szCs w:val="20"/>
        </w:rPr>
        <w:t>Persona da contattare:</w:t>
      </w:r>
      <w:r w:rsidRPr="003E5D72">
        <w:rPr>
          <w:i/>
          <w:szCs w:val="20"/>
        </w:rPr>
        <w:t xml:space="preserve"> </w:t>
      </w:r>
      <w:r w:rsidRPr="003E5D72">
        <w:rPr>
          <w:i/>
          <w:szCs w:val="20"/>
        </w:rPr>
        <w:tab/>
        <w:t>Valeria Atzori</w:t>
      </w:r>
    </w:p>
    <w:p w:rsidR="003F444D" w:rsidRPr="003E5D72" w:rsidRDefault="00F151CC" w:rsidP="007E39D7">
      <w:pPr>
        <w:pStyle w:val="ListParagraph"/>
        <w:widowControl w:val="0"/>
        <w:overflowPunct w:val="0"/>
        <w:autoSpaceDE w:val="0"/>
        <w:autoSpaceDN w:val="0"/>
        <w:adjustRightInd w:val="0"/>
        <w:ind w:left="1701" w:right="-425"/>
        <w:textAlignment w:val="baseline"/>
        <w:rPr>
          <w:i/>
          <w:szCs w:val="20"/>
        </w:rPr>
      </w:pPr>
      <w:r w:rsidRPr="003E5D72">
        <w:rPr>
          <w:i/>
          <w:szCs w:val="20"/>
        </w:rPr>
        <w:tab/>
      </w:r>
      <w:r w:rsidR="003F444D" w:rsidRPr="003E5D72">
        <w:rPr>
          <w:i/>
          <w:szCs w:val="20"/>
        </w:rPr>
        <w:t xml:space="preserve">(Tel. 0032 25468774 – e-mail: </w:t>
      </w:r>
      <w:hyperlink r:id="rId21" w:history="1">
        <w:r w:rsidR="003F444D" w:rsidRPr="003E5D72">
          <w:rPr>
            <w:rStyle w:val="Hyperlink"/>
            <w:i/>
            <w:szCs w:val="20"/>
          </w:rPr>
          <w:t>Valeria.Atzori@eesc.europa.eu</w:t>
        </w:r>
      </w:hyperlink>
      <w:r w:rsidR="003F444D" w:rsidRPr="003E5D72">
        <w:rPr>
          <w:i/>
          <w:szCs w:val="20"/>
        </w:rPr>
        <w:t>)</w:t>
      </w:r>
    </w:p>
    <w:p w:rsidR="002715CC" w:rsidRPr="003E5D72" w:rsidRDefault="002715CC" w:rsidP="007E39D7">
      <w:pPr>
        <w:widowControl w:val="0"/>
      </w:pPr>
    </w:p>
    <w:p w:rsidR="00724EE3" w:rsidRPr="003E5D72" w:rsidRDefault="00724EE3" w:rsidP="007E39D7">
      <w:pPr>
        <w:pStyle w:val="ListParagraph"/>
        <w:widowControl w:val="0"/>
        <w:numPr>
          <w:ilvl w:val="0"/>
          <w:numId w:val="41"/>
        </w:numPr>
        <w:overflowPunct w:val="0"/>
        <w:autoSpaceDE w:val="0"/>
        <w:autoSpaceDN w:val="0"/>
        <w:adjustRightInd w:val="0"/>
        <w:ind w:left="567" w:hanging="283"/>
        <w:rPr>
          <w:b/>
          <w:i/>
          <w:sz w:val="28"/>
          <w:szCs w:val="28"/>
        </w:rPr>
      </w:pPr>
      <w:r w:rsidRPr="003E5D72">
        <w:rPr>
          <w:b/>
          <w:i/>
          <w:sz w:val="28"/>
          <w:szCs w:val="28"/>
        </w:rPr>
        <w:t>Principi relativi ai servizi pubblici per la stabilità dell'ordine democratico</w:t>
      </w:r>
    </w:p>
    <w:p w:rsidR="002715CC" w:rsidRPr="003E5D72" w:rsidRDefault="002715CC" w:rsidP="007E39D7">
      <w:pPr>
        <w:widowControl w:val="0"/>
        <w:tabs>
          <w:tab w:val="left" w:pos="0"/>
        </w:tabs>
        <w:ind w:left="364" w:hanging="369"/>
      </w:pPr>
    </w:p>
    <w:p w:rsidR="002715CC" w:rsidRPr="003E5D72" w:rsidRDefault="003E5D72" w:rsidP="007E39D7">
      <w:pPr>
        <w:widowControl w:val="0"/>
      </w:pPr>
      <w:r w:rsidRPr="003E5D72">
        <w:rPr>
          <w:b/>
        </w:rPr>
        <w:t>Relatore</w:t>
      </w:r>
      <w:r w:rsidR="002715CC" w:rsidRPr="003E5D72">
        <w:rPr>
          <w:b/>
        </w:rPr>
        <w:t>:</w:t>
      </w:r>
      <w:r w:rsidR="002715CC" w:rsidRPr="003E5D72">
        <w:t xml:space="preserve"> </w:t>
      </w:r>
      <w:r w:rsidR="002715CC" w:rsidRPr="003E5D72">
        <w:tab/>
      </w:r>
      <w:r w:rsidR="00F151CC" w:rsidRPr="003E5D72">
        <w:tab/>
      </w:r>
      <w:r w:rsidR="002715CC" w:rsidRPr="003E5D72">
        <w:t>Christian Moos (gruppo Diversità Europa – DE)</w:t>
      </w:r>
    </w:p>
    <w:p w:rsidR="002715CC" w:rsidRPr="003E5D72" w:rsidRDefault="003E5D72" w:rsidP="007E39D7">
      <w:pPr>
        <w:widowControl w:val="0"/>
      </w:pPr>
      <w:r w:rsidRPr="003E5D72">
        <w:rPr>
          <w:b/>
        </w:rPr>
        <w:t>Correlatore</w:t>
      </w:r>
      <w:r w:rsidR="00724EE3" w:rsidRPr="003E5D72">
        <w:rPr>
          <w:b/>
        </w:rPr>
        <w:t>:</w:t>
      </w:r>
      <w:r w:rsidR="00724EE3" w:rsidRPr="003E5D72">
        <w:tab/>
        <w:t>Philip Von Brockdorff (</w:t>
      </w:r>
      <w:r w:rsidR="00F151CC" w:rsidRPr="003E5D72">
        <w:t xml:space="preserve">gruppo </w:t>
      </w:r>
      <w:r w:rsidR="00724EE3" w:rsidRPr="003E5D72">
        <w:t>Lavoratori - MT)</w:t>
      </w:r>
    </w:p>
    <w:p w:rsidR="002715CC" w:rsidRPr="003E5D72" w:rsidRDefault="002715CC" w:rsidP="007E39D7">
      <w:pPr>
        <w:widowControl w:val="0"/>
        <w:rPr>
          <w:bCs/>
        </w:rPr>
      </w:pPr>
    </w:p>
    <w:p w:rsidR="002715CC" w:rsidRPr="003E5D72" w:rsidRDefault="002715CC" w:rsidP="007E39D7">
      <w:pPr>
        <w:widowControl w:val="0"/>
        <w:ind w:left="-5"/>
      </w:pPr>
      <w:r w:rsidRPr="003E5D72">
        <w:rPr>
          <w:b/>
          <w:bCs/>
        </w:rPr>
        <w:t>Documento di riferimento:</w:t>
      </w:r>
      <w:r w:rsidRPr="003E5D72">
        <w:tab/>
        <w:t>Parere esplorativo richiesto dalla presidenza tedesca</w:t>
      </w:r>
    </w:p>
    <w:p w:rsidR="002715CC" w:rsidRPr="003E5D72" w:rsidRDefault="00F151CC" w:rsidP="007E39D7">
      <w:pPr>
        <w:widowControl w:val="0"/>
        <w:ind w:left="1701"/>
      </w:pPr>
      <w:r w:rsidRPr="003E5D72">
        <w:tab/>
      </w:r>
      <w:r w:rsidRPr="003E5D72">
        <w:tab/>
      </w:r>
      <w:r w:rsidR="00206949" w:rsidRPr="003E5D72">
        <w:t>EESC-2020-02236-00-00-AC</w:t>
      </w:r>
    </w:p>
    <w:p w:rsidR="002715CC" w:rsidRPr="003E5D72" w:rsidRDefault="002715CC" w:rsidP="007E39D7">
      <w:pPr>
        <w:widowControl w:val="0"/>
        <w:tabs>
          <w:tab w:val="left" w:pos="0"/>
        </w:tabs>
        <w:ind w:left="364" w:hanging="369"/>
      </w:pPr>
    </w:p>
    <w:p w:rsidR="002715CC" w:rsidRPr="003E5D72" w:rsidRDefault="002715CC" w:rsidP="007E39D7">
      <w:pPr>
        <w:widowControl w:val="0"/>
        <w:rPr>
          <w:b/>
        </w:rPr>
      </w:pPr>
      <w:r w:rsidRPr="003E5D72">
        <w:rPr>
          <w:b/>
        </w:rPr>
        <w:t>Punti salienti</w:t>
      </w:r>
    </w:p>
    <w:p w:rsidR="002715CC" w:rsidRPr="003E5D72" w:rsidRDefault="002715CC" w:rsidP="007E39D7">
      <w:pPr>
        <w:widowControl w:val="0"/>
        <w:rPr>
          <w:sz w:val="16"/>
          <w:szCs w:val="16"/>
        </w:rPr>
      </w:pPr>
    </w:p>
    <w:p w:rsidR="00BB234D" w:rsidRPr="003E5D72" w:rsidRDefault="00BB234D" w:rsidP="007E39D7">
      <w:pPr>
        <w:widowControl w:val="0"/>
        <w:rPr>
          <w:szCs w:val="20"/>
        </w:rPr>
      </w:pPr>
      <w:r w:rsidRPr="003E5D72">
        <w:t>Con il presente parere, il CESE intende definire dei criteri e formulare una serie di raccomandazioni a livello europeo che consentano ai servizi pubblici dei diversi Stati membri di fungere da elemento stabilizzatore della democrazia e dello Stato di diritto.</w:t>
      </w:r>
    </w:p>
    <w:p w:rsidR="00BB234D" w:rsidRPr="003E5D72" w:rsidRDefault="00BB234D" w:rsidP="007E39D7">
      <w:pPr>
        <w:widowControl w:val="0"/>
        <w:rPr>
          <w:sz w:val="16"/>
          <w:szCs w:val="16"/>
        </w:rPr>
      </w:pPr>
    </w:p>
    <w:p w:rsidR="00BB234D" w:rsidRPr="003E5D72" w:rsidRDefault="00BB234D" w:rsidP="007E39D7">
      <w:pPr>
        <w:widowControl w:val="0"/>
        <w:rPr>
          <w:szCs w:val="20"/>
        </w:rPr>
      </w:pPr>
      <w:r w:rsidRPr="003E5D72">
        <w:t>Il CESE riconosce il ruolo essenziale del buon funzionamento dei servizi pubblici nella difesa dei valori fondamentali dell'UE. Garantendo a tutti un accesso equo e universale ai servizi, compresi i gruppi vulnerabili e svantaggiati, essi contribuiscono al progresso sociale e a una società dinamica. Servizi pubblici efficaci possono svolgere un ruolo cruciale di "stabilizzatore automatico" in tempi di crisi, moltiplicatesi negli ultimi anni in settori quali la sicurezza, l'economia, l'asilo, l'ambiente, il clima e la salute.</w:t>
      </w:r>
    </w:p>
    <w:p w:rsidR="00BB234D" w:rsidRPr="003E5D72" w:rsidRDefault="00BB234D" w:rsidP="007E39D7">
      <w:pPr>
        <w:widowControl w:val="0"/>
        <w:rPr>
          <w:szCs w:val="20"/>
        </w:rPr>
      </w:pPr>
    </w:p>
    <w:p w:rsidR="00BB234D" w:rsidRPr="003E5D72" w:rsidRDefault="00BB234D" w:rsidP="007E39D7">
      <w:pPr>
        <w:widowControl w:val="0"/>
        <w:rPr>
          <w:szCs w:val="20"/>
        </w:rPr>
      </w:pPr>
      <w:r w:rsidRPr="003E5D72">
        <w:t xml:space="preserve">La crisi della </w:t>
      </w:r>
      <w:r w:rsidR="002A6069" w:rsidRPr="003E5D72">
        <w:t>COVID</w:t>
      </w:r>
      <w:r w:rsidRPr="003E5D72">
        <w:t>-19 ha dimostrato come un sistema sanitario sovraccarico possa mettere a dura prova la dignità umana. Anni di austerità hanno colpito i servizi pubblici, indebolendone l'impatto. "Efficienza" non è sinonimo di "riduzione del ruolo dello Stato", dato che un funzionamento carente dei servizi pubblici si traduce in un aumento globale dei costi sociali ed economici. La pandemia ha dimostrato che i servizi pubblici devono poter disporre di personale adeguatamente formato e competente, oltre che di risorse e riserve in quantità sufficiente. Il riconoscimento del carattere essenziale dei compiti svolti dal servizio pubblico giustifica il pagamento di una remunerazione adeguata ai funzionari pubblici e l'applicazione di standard sociali minimi nei loro confronti in tutta Europa.</w:t>
      </w:r>
    </w:p>
    <w:p w:rsidR="00BB234D" w:rsidRPr="003E5D72" w:rsidRDefault="00BB234D" w:rsidP="007E39D7">
      <w:pPr>
        <w:widowControl w:val="0"/>
        <w:rPr>
          <w:szCs w:val="20"/>
        </w:rPr>
      </w:pPr>
    </w:p>
    <w:p w:rsidR="00BB234D" w:rsidRPr="003E5D72" w:rsidRDefault="00BB234D" w:rsidP="007E39D7">
      <w:pPr>
        <w:widowControl w:val="0"/>
        <w:rPr>
          <w:szCs w:val="20"/>
        </w:rPr>
      </w:pPr>
      <w:r w:rsidRPr="003E5D72">
        <w:t>Mentre l'organizzazione dei servizi pubblici nazionali è di competenza esclusiva degli Stati membri, il CESE propone alcuni principi comuni europei, ad esempio:</w:t>
      </w:r>
    </w:p>
    <w:p w:rsidR="00BB234D" w:rsidRPr="003E5D72" w:rsidRDefault="00BB234D" w:rsidP="007E39D7">
      <w:pPr>
        <w:widowControl w:val="0"/>
        <w:rPr>
          <w:szCs w:val="20"/>
        </w:rPr>
      </w:pPr>
    </w:p>
    <w:p w:rsidR="00BB234D" w:rsidRPr="003E5D72" w:rsidRDefault="00BB234D"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 xml:space="preserve">i valori europei sanciti dai </w:t>
      </w:r>
      <w:r w:rsidR="003E5D72" w:rsidRPr="003E5D72">
        <w:rPr>
          <w:shd w:val="clear" w:color="auto" w:fill="FFFFFF"/>
        </w:rPr>
        <w:t>Trattati</w:t>
      </w:r>
      <w:r w:rsidRPr="003E5D72">
        <w:rPr>
          <w:shd w:val="clear" w:color="auto" w:fill="FFFFFF"/>
        </w:rPr>
        <w:t xml:space="preserve"> e dal diritto dell'UE e i "criteri di Copenaghen" costituiscono</w:t>
      </w:r>
      <w:r w:rsidR="003E5D72" w:rsidRPr="003E5D72">
        <w:rPr>
          <w:shd w:val="clear" w:color="auto" w:fill="FFFFFF"/>
        </w:rPr>
        <w:t xml:space="preserve"> </w:t>
      </w:r>
      <w:r w:rsidRPr="003E5D72">
        <w:rPr>
          <w:shd w:val="clear" w:color="auto" w:fill="FFFFFF"/>
        </w:rPr>
        <w:t>una base necessaria per una buona condotta amministrativa da parte dell'amministrazione dell'UE e di quelle dei suoi Stati membri;</w:t>
      </w:r>
    </w:p>
    <w:p w:rsidR="00FE0106" w:rsidRPr="003E5D72" w:rsidRDefault="00FE0106" w:rsidP="007E39D7"/>
    <w:p w:rsidR="00BB234D" w:rsidRPr="003E5D72" w:rsidRDefault="00FE0106"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tutti i servizi pubblici dovrebbero rispettare sistematicamente i principi di obiettività, integrità, neutralità, conformità all'ordine pubblico, trasparenza, rispetto per gli altri e impegno nei confronti dell'Unione europea e dei suoi cittadini;</w:t>
      </w:r>
    </w:p>
    <w:p w:rsidR="00FE0106" w:rsidRPr="003E5D72" w:rsidRDefault="00FE0106" w:rsidP="007E39D7"/>
    <w:p w:rsidR="00BB234D" w:rsidRPr="003E5D72" w:rsidRDefault="00FE0106"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il diritto a una buona amministrazione rafforza la fiducia della società. La trasparenza dei servizi pubblici garantisce un controllo indipendente e contribuisce alla lotta contro la corruzione;</w:t>
      </w:r>
    </w:p>
    <w:p w:rsidR="00FE0106" w:rsidRPr="003E5D72" w:rsidRDefault="00FE0106" w:rsidP="007E39D7"/>
    <w:p w:rsidR="00BB234D" w:rsidRPr="003E5D72" w:rsidRDefault="00FE0106"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i servizi pubblici svolgono una funzione protettiva rispetto allo Stato di diritto. Il personale che lavora nei servizi pubblici deve essere protetto per poter rifiutare di obbedire a istruzioni di servizio illegittime;</w:t>
      </w:r>
    </w:p>
    <w:p w:rsidR="00FE0106" w:rsidRPr="003E5D72" w:rsidRDefault="00FE0106" w:rsidP="007E39D7"/>
    <w:p w:rsidR="00FE0106" w:rsidRPr="003E5D72" w:rsidRDefault="00FE0106"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i servizi pubblici devono garantire il libero accesso alle informazioni e rimanere di persona a disposizione di tutti, nonostante la digitalizzazione;</w:t>
      </w:r>
    </w:p>
    <w:p w:rsidR="00A15385" w:rsidRPr="003E5D72" w:rsidRDefault="00A15385" w:rsidP="007E39D7"/>
    <w:p w:rsidR="002715CC" w:rsidRPr="003E5D72" w:rsidRDefault="00FE0106" w:rsidP="00F151CC">
      <w:pPr>
        <w:pStyle w:val="Heading3"/>
        <w:widowControl w:val="0"/>
        <w:numPr>
          <w:ilvl w:val="0"/>
          <w:numId w:val="43"/>
        </w:numPr>
        <w:overflowPunct w:val="0"/>
        <w:autoSpaceDE w:val="0"/>
        <w:autoSpaceDN w:val="0"/>
        <w:adjustRightInd w:val="0"/>
        <w:ind w:left="357" w:hanging="357"/>
        <w:rPr>
          <w:shd w:val="clear" w:color="auto" w:fill="FFFFFF"/>
        </w:rPr>
      </w:pPr>
      <w:r w:rsidRPr="003E5D72">
        <w:rPr>
          <w:shd w:val="clear" w:color="auto" w:fill="FFFFFF"/>
        </w:rPr>
        <w:t>i servizi pubblici dovrebbero essere interoperabili a livello europeo. Gli scambi e la mobilità professionale tra i servizi pubblici degli Stati membri dovrebbero essere resi possibili. Tutti i servizi pubblici coinvolti nell'assegnazione di fondi europei devono rispettare e applicare i principi che governano il servizio pubblico.</w:t>
      </w:r>
    </w:p>
    <w:p w:rsidR="002715CC" w:rsidRPr="003E5D72" w:rsidRDefault="002715CC" w:rsidP="007E39D7">
      <w:pPr>
        <w:widowControl w:val="0"/>
      </w:pPr>
    </w:p>
    <w:p w:rsidR="005332AC" w:rsidRPr="003E5D72" w:rsidRDefault="003F444D" w:rsidP="005332AC">
      <w:pPr>
        <w:tabs>
          <w:tab w:val="left" w:pos="770"/>
        </w:tabs>
        <w:spacing w:line="240" w:lineRule="auto"/>
        <w:ind w:left="1430" w:hanging="1430"/>
        <w:rPr>
          <w:rStyle w:val="normal--char"/>
          <w:i/>
          <w:iCs/>
        </w:rPr>
      </w:pPr>
      <w:r w:rsidRPr="003E5D72">
        <w:rPr>
          <w:b/>
          <w:bCs/>
          <w:i/>
          <w:iCs/>
        </w:rPr>
        <w:t>Persona da contattare:</w:t>
      </w:r>
      <w:r w:rsidR="00F151CC" w:rsidRPr="003E5D72">
        <w:rPr>
          <w:b/>
          <w:bCs/>
          <w:i/>
          <w:iCs/>
        </w:rPr>
        <w:tab/>
      </w:r>
      <w:r w:rsidRPr="003E5D72">
        <w:rPr>
          <w:rStyle w:val="normal--char"/>
          <w:bCs/>
          <w:i/>
          <w:iCs/>
        </w:rPr>
        <w:t>Jean-Marie Rogue</w:t>
      </w:r>
    </w:p>
    <w:p w:rsidR="005332AC" w:rsidRPr="003E5D72" w:rsidRDefault="00F151CC" w:rsidP="00FB6FDF">
      <w:pPr>
        <w:spacing w:line="240" w:lineRule="auto"/>
        <w:ind w:left="1430"/>
        <w:rPr>
          <w:i/>
        </w:rPr>
      </w:pPr>
      <w:r w:rsidRPr="003E5D72">
        <w:rPr>
          <w:i/>
          <w:iCs/>
        </w:rPr>
        <w:tab/>
      </w:r>
      <w:r w:rsidRPr="003E5D72">
        <w:rPr>
          <w:i/>
          <w:iCs/>
        </w:rPr>
        <w:tab/>
      </w:r>
      <w:r w:rsidR="005332AC" w:rsidRPr="003E5D72">
        <w:rPr>
          <w:i/>
          <w:iCs/>
        </w:rPr>
        <w:t xml:space="preserve">(Tel. 0032 2 546 8909 – e-mail: </w:t>
      </w:r>
      <w:hyperlink r:id="rId22" w:history="1">
        <w:r w:rsidR="005332AC" w:rsidRPr="003E5D72">
          <w:rPr>
            <w:rStyle w:val="Hyperlink"/>
            <w:i/>
          </w:rPr>
          <w:t>jeanmarie.rogue@eesc.europa.eu</w:t>
        </w:r>
      </w:hyperlink>
      <w:r w:rsidR="005332AC" w:rsidRPr="003E5D72">
        <w:rPr>
          <w:i/>
          <w:iCs/>
        </w:rPr>
        <w:t>)</w:t>
      </w:r>
    </w:p>
    <w:p w:rsidR="003F444D" w:rsidRPr="003E5D72" w:rsidRDefault="003F444D" w:rsidP="007E39D7">
      <w:pPr>
        <w:widowControl w:val="0"/>
      </w:pPr>
    </w:p>
    <w:p w:rsidR="00724EE3" w:rsidRPr="003E5D72" w:rsidRDefault="003E5D72" w:rsidP="00F151CC">
      <w:pPr>
        <w:pStyle w:val="ListParagraph"/>
        <w:keepNext/>
        <w:keepLines/>
        <w:numPr>
          <w:ilvl w:val="0"/>
          <w:numId w:val="41"/>
        </w:numPr>
        <w:overflowPunct w:val="0"/>
        <w:autoSpaceDE w:val="0"/>
        <w:autoSpaceDN w:val="0"/>
        <w:adjustRightInd w:val="0"/>
        <w:ind w:left="567" w:hanging="283"/>
        <w:rPr>
          <w:b/>
          <w:i/>
          <w:sz w:val="28"/>
          <w:szCs w:val="28"/>
        </w:rPr>
      </w:pPr>
      <w:r w:rsidRPr="003E5D72">
        <w:rPr>
          <w:b/>
          <w:i/>
          <w:sz w:val="28"/>
          <w:szCs w:val="28"/>
        </w:rPr>
        <w:lastRenderedPageBreak/>
        <w:t>Agenda</w:t>
      </w:r>
      <w:r w:rsidR="00724EE3" w:rsidRPr="003E5D72">
        <w:rPr>
          <w:b/>
          <w:i/>
          <w:sz w:val="28"/>
          <w:szCs w:val="28"/>
        </w:rPr>
        <w:t xml:space="preserve"> e piano d'azione dell'UE in materia di droga 2021-2025</w:t>
      </w:r>
    </w:p>
    <w:p w:rsidR="00724EE3" w:rsidRPr="003E5D72" w:rsidRDefault="00724EE3" w:rsidP="00F151CC">
      <w:pPr>
        <w:keepNext/>
        <w:keepLines/>
        <w:tabs>
          <w:tab w:val="left" w:pos="0"/>
        </w:tabs>
        <w:ind w:left="364" w:hanging="369"/>
      </w:pPr>
    </w:p>
    <w:p w:rsidR="00724EE3" w:rsidRPr="003E5D72" w:rsidRDefault="003E5D72" w:rsidP="00F151CC">
      <w:pPr>
        <w:keepNext/>
        <w:keepLines/>
      </w:pPr>
      <w:r w:rsidRPr="003E5D72">
        <w:rPr>
          <w:b/>
        </w:rPr>
        <w:t>Relatore</w:t>
      </w:r>
      <w:r w:rsidR="00724EE3" w:rsidRPr="003E5D72">
        <w:rPr>
          <w:b/>
        </w:rPr>
        <w:t xml:space="preserve"> generale</w:t>
      </w:r>
      <w:r w:rsidR="00F151CC" w:rsidRPr="003E5D72">
        <w:rPr>
          <w:b/>
        </w:rPr>
        <w:t>:</w:t>
      </w:r>
      <w:r w:rsidR="00724EE3" w:rsidRPr="003E5D72">
        <w:t xml:space="preserve"> </w:t>
      </w:r>
      <w:r w:rsidR="00724EE3" w:rsidRPr="003E5D72">
        <w:tab/>
        <w:t>Ákos Topolánszky (gruppo Diversità Europa - HU)</w:t>
      </w:r>
    </w:p>
    <w:p w:rsidR="00724EE3" w:rsidRPr="003E5D72" w:rsidRDefault="00724EE3" w:rsidP="00F151CC">
      <w:pPr>
        <w:keepNext/>
        <w:keepLines/>
        <w:rPr>
          <w:bCs/>
        </w:rPr>
      </w:pPr>
    </w:p>
    <w:p w:rsidR="00724EE3" w:rsidRPr="003E5D72" w:rsidRDefault="00724EE3" w:rsidP="00F151CC">
      <w:pPr>
        <w:keepNext/>
        <w:keepLines/>
        <w:ind w:left="-5"/>
      </w:pPr>
      <w:r w:rsidRPr="003E5D72">
        <w:rPr>
          <w:b/>
          <w:bCs/>
        </w:rPr>
        <w:t>Documenti di riferimento:</w:t>
      </w:r>
      <w:r w:rsidRPr="003E5D72">
        <w:tab/>
        <w:t>COM(2020) 606 final</w:t>
      </w:r>
    </w:p>
    <w:p w:rsidR="00724EE3" w:rsidRPr="003E5D72" w:rsidRDefault="00F151CC" w:rsidP="00F151CC">
      <w:pPr>
        <w:keepNext/>
        <w:keepLines/>
        <w:ind w:left="2268"/>
      </w:pPr>
      <w:r w:rsidRPr="003E5D72">
        <w:tab/>
      </w:r>
      <w:r w:rsidRPr="003E5D72">
        <w:tab/>
      </w:r>
      <w:r w:rsidR="00724EE3" w:rsidRPr="003E5D72">
        <w:t>EESC-2020-04256-00-00-AC</w:t>
      </w:r>
    </w:p>
    <w:p w:rsidR="00724EE3" w:rsidRPr="003E5D72" w:rsidRDefault="00724EE3" w:rsidP="00F151CC">
      <w:pPr>
        <w:keepNext/>
        <w:keepLines/>
        <w:tabs>
          <w:tab w:val="left" w:pos="0"/>
        </w:tabs>
        <w:ind w:left="364" w:hanging="369"/>
      </w:pPr>
    </w:p>
    <w:p w:rsidR="00724EE3" w:rsidRPr="003E5D72" w:rsidRDefault="00724EE3" w:rsidP="00F151CC">
      <w:pPr>
        <w:keepNext/>
        <w:keepLines/>
        <w:rPr>
          <w:b/>
        </w:rPr>
      </w:pPr>
      <w:r w:rsidRPr="003E5D72">
        <w:rPr>
          <w:b/>
        </w:rPr>
        <w:t>Punti salienti:</w:t>
      </w:r>
    </w:p>
    <w:p w:rsidR="00724EE3" w:rsidRPr="003E5D72" w:rsidRDefault="00724EE3" w:rsidP="00F151CC">
      <w:pPr>
        <w:keepNext/>
        <w:keepLines/>
      </w:pPr>
    </w:p>
    <w:p w:rsidR="008768E1" w:rsidRPr="003E5D72" w:rsidRDefault="008768E1" w:rsidP="00F151CC">
      <w:pPr>
        <w:keepNext/>
        <w:keepLines/>
        <w:rPr>
          <w:szCs w:val="20"/>
        </w:rPr>
      </w:pPr>
      <w:r w:rsidRPr="003E5D72">
        <w:t>Il CESE ritiene che, nella sua forma attuale, la nuova agenda e il nuovo piano d'azione dell'UE in materia di lotta contro la droga segnino un chiaro passo indietro e abbandonino l'approccio consensuale, equilibrato e basato su dati concreti precedentemente adottato per la lotta contro la droga, che era stato valutato positivamente.</w:t>
      </w:r>
    </w:p>
    <w:p w:rsidR="008768E1" w:rsidRPr="003E5D72" w:rsidRDefault="008768E1" w:rsidP="007E39D7">
      <w:pPr>
        <w:widowControl w:val="0"/>
        <w:rPr>
          <w:szCs w:val="20"/>
        </w:rPr>
      </w:pPr>
    </w:p>
    <w:p w:rsidR="008768E1" w:rsidRPr="003E5D72" w:rsidRDefault="008768E1" w:rsidP="007E39D7">
      <w:pPr>
        <w:widowControl w:val="0"/>
        <w:rPr>
          <w:szCs w:val="20"/>
        </w:rPr>
      </w:pPr>
      <w:r w:rsidRPr="003E5D72">
        <w:t>Il CESE accoglie con favore la decisione adottata dal gruppo di lavoro orizzontale "Droga" del Consiglio europeo, nella riunione del 28 settembre, di chiedere alla presidenza tedesca del Consiglio di rifondere, entro dicembre, il documento elaborato dalla Commissione europea. Il CESE è fermamente convinto che l'approccio tecnico e le politiche pubbliche che hanno costituito la base consensuale della precedente strategia dell'UE in materia di droga debbano essere mantenuti e ulteriormente rafforzati nella decima strategia dell'UE in materia di droga.</w:t>
      </w:r>
    </w:p>
    <w:p w:rsidR="008768E1" w:rsidRPr="003E5D72" w:rsidRDefault="008768E1" w:rsidP="007E39D7">
      <w:pPr>
        <w:widowControl w:val="0"/>
        <w:rPr>
          <w:szCs w:val="20"/>
        </w:rPr>
      </w:pPr>
    </w:p>
    <w:p w:rsidR="008768E1" w:rsidRPr="003E5D72" w:rsidRDefault="008768E1" w:rsidP="007E39D7">
      <w:pPr>
        <w:widowControl w:val="0"/>
        <w:rPr>
          <w:szCs w:val="20"/>
        </w:rPr>
      </w:pPr>
      <w:r w:rsidRPr="003E5D72">
        <w:t>Il CESE raccomanda che la nuova strategia in materia di droga e il nuovo o i nuovi piani d'azione dell'UE in questo campo migliorino significativamente l'equilibrio tra riduzione della domanda e interventi di riduzione dei danni, sia in termini di numero di interventi strategici che di assegnazione delle risorse.</w:t>
      </w:r>
    </w:p>
    <w:p w:rsidR="008768E1" w:rsidRPr="003E5D72" w:rsidRDefault="008768E1" w:rsidP="007E39D7">
      <w:pPr>
        <w:widowControl w:val="0"/>
        <w:rPr>
          <w:szCs w:val="20"/>
        </w:rPr>
      </w:pPr>
    </w:p>
    <w:p w:rsidR="008768E1" w:rsidRPr="003E5D72" w:rsidRDefault="008768E1" w:rsidP="007E39D7">
      <w:pPr>
        <w:widowControl w:val="0"/>
        <w:rPr>
          <w:szCs w:val="20"/>
        </w:rPr>
      </w:pPr>
      <w:r w:rsidRPr="003E5D72">
        <w:t>È importante che l'agenda affronti i fenomeni della droga in modo realmente equilibrato, utilizzando un approccio integrato e multidisciplinare nell'ambito di un quadro basato sui diritti umani e sulla cooperazione internazionale, che tenga conto degli aspetti della sanità pubblica e dell'evoluzione delle conoscenze scientifiche e preveda una valutazione continua. La strategia dell'UE in materia di droga dovrebbe riconoscere i diritti fondamentali dei consumatori di droga per quanto riguarda la cura e l'assistenza, come avviene per tutte le altre categorie di malattie.</w:t>
      </w:r>
    </w:p>
    <w:p w:rsidR="008768E1" w:rsidRPr="003E5D72" w:rsidRDefault="008768E1" w:rsidP="007E39D7">
      <w:pPr>
        <w:widowControl w:val="0"/>
        <w:rPr>
          <w:sz w:val="16"/>
          <w:szCs w:val="16"/>
        </w:rPr>
      </w:pPr>
    </w:p>
    <w:p w:rsidR="008768E1" w:rsidRPr="003E5D72" w:rsidRDefault="008768E1" w:rsidP="007E39D7">
      <w:pPr>
        <w:widowControl w:val="0"/>
        <w:rPr>
          <w:szCs w:val="20"/>
        </w:rPr>
      </w:pPr>
      <w:r w:rsidRPr="003E5D72">
        <w:t>Il CESE ritiene che, a più lungo termine, sia necessario migliorare la coerenza delle prassi di contrasto degli Stati membri ai fini dell'armonizzazione, dato che le differenze esistenti tra le pratiche degli Stati membri pregiudicano incontestabilmente i diritti umani.</w:t>
      </w:r>
    </w:p>
    <w:p w:rsidR="008768E1" w:rsidRPr="003E5D72" w:rsidRDefault="008768E1" w:rsidP="007E39D7">
      <w:pPr>
        <w:widowControl w:val="0"/>
        <w:rPr>
          <w:sz w:val="16"/>
          <w:szCs w:val="16"/>
        </w:rPr>
      </w:pPr>
    </w:p>
    <w:p w:rsidR="008768E1" w:rsidRPr="003E5D72" w:rsidRDefault="008768E1" w:rsidP="007E39D7">
      <w:pPr>
        <w:widowControl w:val="0"/>
        <w:rPr>
          <w:szCs w:val="20"/>
        </w:rPr>
      </w:pPr>
      <w:r w:rsidRPr="003E5D72">
        <w:t xml:space="preserve">La pandemia di </w:t>
      </w:r>
      <w:r w:rsidR="002A6069" w:rsidRPr="003E5D72">
        <w:t>COVID</w:t>
      </w:r>
      <w:r w:rsidRPr="003E5D72">
        <w:t>-19 ha dimostrato che i gruppi vulnerabili di consumatori di droga sono particolarmente esposti all'impatto negativo della situazione epidemiologica, che potrebbe comportare un netto aumento dei rischi associati al consumo di droga.</w:t>
      </w:r>
    </w:p>
    <w:p w:rsidR="008768E1" w:rsidRPr="003E5D72" w:rsidRDefault="008768E1" w:rsidP="007E39D7">
      <w:pPr>
        <w:widowControl w:val="0"/>
        <w:rPr>
          <w:sz w:val="16"/>
          <w:szCs w:val="16"/>
        </w:rPr>
      </w:pPr>
    </w:p>
    <w:p w:rsidR="00724EE3" w:rsidRPr="003E5D72" w:rsidRDefault="008768E1" w:rsidP="007E39D7">
      <w:pPr>
        <w:widowControl w:val="0"/>
        <w:rPr>
          <w:szCs w:val="20"/>
        </w:rPr>
      </w:pPr>
      <w:r w:rsidRPr="003E5D72">
        <w:t>Indicatori per valutare gli effetti degli interventi di riduzione dell'offerta e norme di qualità dovrebbero essere definiti quanto prima sulla base del modello già utilizzato per ridurre la domanda.</w:t>
      </w:r>
    </w:p>
    <w:p w:rsidR="009548A5" w:rsidRPr="003E5D72" w:rsidRDefault="009548A5" w:rsidP="007E39D7">
      <w:pPr>
        <w:widowControl w:val="0"/>
        <w:rPr>
          <w:sz w:val="16"/>
          <w:szCs w:val="16"/>
        </w:rPr>
      </w:pPr>
    </w:p>
    <w:p w:rsidR="003F444D" w:rsidRPr="003E5D72" w:rsidRDefault="003F444D" w:rsidP="007E39D7">
      <w:pPr>
        <w:pStyle w:val="ListParagraph"/>
        <w:widowControl w:val="0"/>
        <w:overflowPunct w:val="0"/>
        <w:autoSpaceDE w:val="0"/>
        <w:autoSpaceDN w:val="0"/>
        <w:adjustRightInd w:val="0"/>
        <w:ind w:left="0" w:right="-425"/>
        <w:textAlignment w:val="baseline"/>
        <w:rPr>
          <w:i/>
          <w:szCs w:val="20"/>
        </w:rPr>
      </w:pPr>
      <w:r w:rsidRPr="003E5D72">
        <w:rPr>
          <w:b/>
          <w:i/>
          <w:szCs w:val="20"/>
        </w:rPr>
        <w:t>Persona da contattare:</w:t>
      </w:r>
      <w:r w:rsidRPr="003E5D72">
        <w:rPr>
          <w:i/>
          <w:szCs w:val="20"/>
        </w:rPr>
        <w:t xml:space="preserve"> </w:t>
      </w:r>
      <w:r w:rsidRPr="003E5D72">
        <w:rPr>
          <w:i/>
          <w:szCs w:val="20"/>
        </w:rPr>
        <w:tab/>
        <w:t>Valeria Atzori</w:t>
      </w:r>
    </w:p>
    <w:p w:rsidR="003F444D" w:rsidRPr="003E5D72" w:rsidRDefault="00F151CC" w:rsidP="007E39D7">
      <w:pPr>
        <w:pStyle w:val="ListParagraph"/>
        <w:widowControl w:val="0"/>
        <w:overflowPunct w:val="0"/>
        <w:autoSpaceDE w:val="0"/>
        <w:autoSpaceDN w:val="0"/>
        <w:adjustRightInd w:val="0"/>
        <w:ind w:left="1701" w:right="-425"/>
        <w:textAlignment w:val="baseline"/>
        <w:rPr>
          <w:i/>
          <w:szCs w:val="20"/>
        </w:rPr>
      </w:pPr>
      <w:r w:rsidRPr="003E5D72">
        <w:rPr>
          <w:i/>
          <w:szCs w:val="20"/>
        </w:rPr>
        <w:tab/>
      </w:r>
      <w:r w:rsidR="003F444D" w:rsidRPr="003E5D72">
        <w:rPr>
          <w:i/>
          <w:szCs w:val="20"/>
        </w:rPr>
        <w:t xml:space="preserve">(Tel. 0032 25468774 – e-mail: </w:t>
      </w:r>
      <w:hyperlink r:id="rId23" w:history="1">
        <w:r w:rsidR="003F444D" w:rsidRPr="003E5D72">
          <w:rPr>
            <w:rStyle w:val="Hyperlink"/>
            <w:i/>
            <w:szCs w:val="20"/>
          </w:rPr>
          <w:t>Valeria.Atzori@eesc.europa.eu</w:t>
        </w:r>
      </w:hyperlink>
      <w:r w:rsidR="003F444D" w:rsidRPr="003E5D72">
        <w:rPr>
          <w:i/>
          <w:szCs w:val="20"/>
        </w:rPr>
        <w:t>)</w:t>
      </w:r>
    </w:p>
    <w:p w:rsidR="003F444D" w:rsidRPr="003E5D72" w:rsidRDefault="003F444D" w:rsidP="007E39D7">
      <w:pPr>
        <w:widowControl w:val="0"/>
        <w:ind w:right="-283"/>
      </w:pPr>
    </w:p>
    <w:p w:rsidR="0026753C" w:rsidRPr="003E5D72" w:rsidRDefault="0026753C" w:rsidP="007E39D7">
      <w:pPr>
        <w:pStyle w:val="ListParagraph"/>
        <w:widowControl w:val="0"/>
        <w:numPr>
          <w:ilvl w:val="0"/>
          <w:numId w:val="41"/>
        </w:numPr>
        <w:overflowPunct w:val="0"/>
        <w:autoSpaceDE w:val="0"/>
        <w:autoSpaceDN w:val="0"/>
        <w:adjustRightInd w:val="0"/>
        <w:ind w:left="567" w:hanging="283"/>
        <w:rPr>
          <w:b/>
          <w:i/>
          <w:sz w:val="28"/>
          <w:szCs w:val="28"/>
        </w:rPr>
      </w:pPr>
      <w:r w:rsidRPr="003E5D72">
        <w:rPr>
          <w:b/>
          <w:i/>
          <w:sz w:val="28"/>
          <w:szCs w:val="28"/>
        </w:rPr>
        <w:lastRenderedPageBreak/>
        <w:t>Protezione dei lavoratori contro gli agenti cancerogeni o mutageni durante il lavoro</w:t>
      </w:r>
    </w:p>
    <w:p w:rsidR="0026753C" w:rsidRPr="003E5D72" w:rsidRDefault="0026753C" w:rsidP="007E39D7">
      <w:pPr>
        <w:widowControl w:val="0"/>
        <w:ind w:right="-283"/>
      </w:pPr>
    </w:p>
    <w:p w:rsidR="0026753C" w:rsidRPr="003E5D72" w:rsidRDefault="0026753C" w:rsidP="007E39D7">
      <w:pPr>
        <w:widowControl w:val="0"/>
        <w:overflowPunct w:val="0"/>
        <w:autoSpaceDE w:val="0"/>
        <w:autoSpaceDN w:val="0"/>
        <w:adjustRightInd w:val="0"/>
        <w:ind w:right="-283"/>
        <w:textAlignment w:val="baseline"/>
      </w:pPr>
      <w:r w:rsidRPr="003E5D72">
        <w:rPr>
          <w:b/>
          <w:szCs w:val="20"/>
        </w:rPr>
        <w:t>Documenti di riferimento:</w:t>
      </w:r>
      <w:r w:rsidRPr="003E5D72">
        <w:tab/>
        <w:t>Parere di categoria C</w:t>
      </w:r>
    </w:p>
    <w:p w:rsidR="0026753C" w:rsidRPr="003E5D72" w:rsidRDefault="00F151CC" w:rsidP="007E39D7">
      <w:pPr>
        <w:widowControl w:val="0"/>
        <w:overflowPunct w:val="0"/>
        <w:autoSpaceDE w:val="0"/>
        <w:autoSpaceDN w:val="0"/>
        <w:adjustRightInd w:val="0"/>
        <w:ind w:left="2268" w:right="-283"/>
        <w:textAlignment w:val="baseline"/>
      </w:pPr>
      <w:r w:rsidRPr="003E5D72">
        <w:tab/>
      </w:r>
      <w:r w:rsidRPr="003E5D72">
        <w:tab/>
      </w:r>
      <w:r w:rsidR="0026753C" w:rsidRPr="003E5D72">
        <w:t>COM(2020) 571 final - 2020/0262</w:t>
      </w:r>
      <w:r w:rsidR="003E5D72" w:rsidRPr="003E5D72">
        <w:t xml:space="preserve"> COD</w:t>
      </w:r>
    </w:p>
    <w:p w:rsidR="0026753C" w:rsidRPr="003E5D72" w:rsidRDefault="00F151CC" w:rsidP="007E39D7">
      <w:pPr>
        <w:widowControl w:val="0"/>
        <w:overflowPunct w:val="0"/>
        <w:autoSpaceDE w:val="0"/>
        <w:autoSpaceDN w:val="0"/>
        <w:adjustRightInd w:val="0"/>
        <w:ind w:left="2268" w:right="-283"/>
        <w:textAlignment w:val="baseline"/>
      </w:pPr>
      <w:r w:rsidRPr="003E5D72">
        <w:tab/>
      </w:r>
      <w:r w:rsidRPr="003E5D72">
        <w:tab/>
      </w:r>
      <w:r w:rsidR="0026753C" w:rsidRPr="003E5D72">
        <w:t>EESC-2020-05142-00-00-AC</w:t>
      </w:r>
    </w:p>
    <w:p w:rsidR="0026753C" w:rsidRPr="003E5D72" w:rsidRDefault="0026753C" w:rsidP="007E39D7">
      <w:pPr>
        <w:widowControl w:val="0"/>
        <w:overflowPunct w:val="0"/>
        <w:autoSpaceDE w:val="0"/>
        <w:autoSpaceDN w:val="0"/>
        <w:adjustRightInd w:val="0"/>
        <w:ind w:right="-283"/>
        <w:textAlignment w:val="baseline"/>
      </w:pPr>
    </w:p>
    <w:p w:rsidR="0026753C" w:rsidRPr="003E5D72" w:rsidRDefault="0026753C" w:rsidP="007E39D7">
      <w:pPr>
        <w:widowControl w:val="0"/>
        <w:overflowPunct w:val="0"/>
        <w:autoSpaceDE w:val="0"/>
        <w:autoSpaceDN w:val="0"/>
        <w:adjustRightInd w:val="0"/>
        <w:ind w:right="-283"/>
        <w:textAlignment w:val="baseline"/>
        <w:rPr>
          <w:b/>
          <w:szCs w:val="20"/>
        </w:rPr>
      </w:pPr>
      <w:r w:rsidRPr="003E5D72">
        <w:rPr>
          <w:b/>
          <w:szCs w:val="20"/>
        </w:rPr>
        <w:t>Punti salienti:</w:t>
      </w:r>
    </w:p>
    <w:p w:rsidR="0026753C" w:rsidRPr="003E5D72" w:rsidRDefault="0026753C" w:rsidP="007E39D7">
      <w:pPr>
        <w:widowControl w:val="0"/>
      </w:pPr>
    </w:p>
    <w:p w:rsidR="0026753C" w:rsidRPr="003E5D72" w:rsidRDefault="007B5C57" w:rsidP="007E39D7">
      <w:pPr>
        <w:widowControl w:val="0"/>
      </w:pPr>
      <w:r w:rsidRPr="003E5D72">
        <w:t>Il Comitato decide di approvare la proposta e di fare riferimento ai suoi precedenti pareri</w:t>
      </w:r>
      <w:r w:rsidRPr="003E5D72">
        <w:rPr>
          <w:rStyle w:val="FootnoteReference"/>
          <w:szCs w:val="24"/>
        </w:rPr>
        <w:footnoteReference w:id="3"/>
      </w:r>
      <w:r w:rsidRPr="003E5D72">
        <w:t>.</w:t>
      </w:r>
    </w:p>
    <w:p w:rsidR="0026753C" w:rsidRPr="003E5D72" w:rsidRDefault="0026753C" w:rsidP="007E39D7">
      <w:pPr>
        <w:widowControl w:val="0"/>
      </w:pPr>
    </w:p>
    <w:p w:rsidR="003F444D" w:rsidRPr="003E5D72" w:rsidRDefault="003F444D" w:rsidP="007E39D7">
      <w:pPr>
        <w:widowControl w:val="0"/>
        <w:tabs>
          <w:tab w:val="left" w:pos="770"/>
        </w:tabs>
        <w:ind w:left="1430" w:hanging="1430"/>
        <w:rPr>
          <w:bCs/>
          <w:i/>
          <w:iCs/>
        </w:rPr>
      </w:pPr>
      <w:r w:rsidRPr="003E5D72">
        <w:rPr>
          <w:b/>
          <w:bCs/>
          <w:i/>
          <w:iCs/>
        </w:rPr>
        <w:t>Persona da contattare:</w:t>
      </w:r>
      <w:r w:rsidR="00F151CC" w:rsidRPr="003E5D72">
        <w:rPr>
          <w:b/>
          <w:bCs/>
          <w:i/>
          <w:iCs/>
        </w:rPr>
        <w:tab/>
      </w:r>
      <w:r w:rsidRPr="003E5D72">
        <w:rPr>
          <w:bCs/>
          <w:i/>
          <w:iCs/>
        </w:rPr>
        <w:t>Sophie Zimmer</w:t>
      </w:r>
    </w:p>
    <w:p w:rsidR="003F444D" w:rsidRPr="003E5D72" w:rsidRDefault="00F151CC" w:rsidP="007E39D7">
      <w:pPr>
        <w:pStyle w:val="ListParagraph"/>
        <w:widowControl w:val="0"/>
        <w:overflowPunct w:val="0"/>
        <w:autoSpaceDE w:val="0"/>
        <w:autoSpaceDN w:val="0"/>
        <w:adjustRightInd w:val="0"/>
        <w:ind w:left="1430" w:right="-425"/>
        <w:textAlignment w:val="baseline"/>
        <w:rPr>
          <w:i/>
          <w:szCs w:val="20"/>
        </w:rPr>
      </w:pPr>
      <w:r w:rsidRPr="003E5D72">
        <w:rPr>
          <w:i/>
          <w:szCs w:val="20"/>
        </w:rPr>
        <w:tab/>
      </w:r>
      <w:r w:rsidRPr="003E5D72">
        <w:rPr>
          <w:i/>
          <w:szCs w:val="20"/>
        </w:rPr>
        <w:tab/>
      </w:r>
      <w:r w:rsidR="003F444D" w:rsidRPr="003E5D72">
        <w:rPr>
          <w:i/>
          <w:szCs w:val="20"/>
        </w:rPr>
        <w:t xml:space="preserve">(Tel. 0032 25469564 – e-mail: </w:t>
      </w:r>
      <w:hyperlink r:id="rId24" w:history="1">
        <w:r w:rsidR="003F444D" w:rsidRPr="003E5D72">
          <w:rPr>
            <w:rStyle w:val="Hyperlink"/>
            <w:i/>
          </w:rPr>
          <w:t>Sophie.Zimmer@eesc.europa.eu</w:t>
        </w:r>
      </w:hyperlink>
      <w:r w:rsidR="003F444D" w:rsidRPr="003E5D72">
        <w:rPr>
          <w:i/>
          <w:szCs w:val="20"/>
        </w:rPr>
        <w:t>)</w:t>
      </w:r>
    </w:p>
    <w:p w:rsidR="004203D2" w:rsidRPr="003E5D72" w:rsidRDefault="00086391" w:rsidP="007E39D7">
      <w:pPr>
        <w:widowControl w:val="0"/>
        <w:ind w:left="1701"/>
        <w:rPr>
          <w:b/>
          <w:kern w:val="28"/>
        </w:rPr>
      </w:pPr>
      <w:bookmarkStart w:id="8" w:name="_Toc15398233"/>
      <w:r w:rsidRPr="003E5D72">
        <w:br w:type="page"/>
      </w:r>
    </w:p>
    <w:p w:rsidR="004203D2" w:rsidRPr="003E5D72" w:rsidRDefault="004203D2" w:rsidP="007E39D7">
      <w:pPr>
        <w:pStyle w:val="Heading1"/>
        <w:widowControl w:val="0"/>
        <w:numPr>
          <w:ilvl w:val="0"/>
          <w:numId w:val="5"/>
        </w:numPr>
        <w:ind w:left="567" w:hanging="567"/>
        <w:rPr>
          <w:b/>
        </w:rPr>
      </w:pPr>
      <w:bookmarkStart w:id="9" w:name="_Toc21085072"/>
      <w:bookmarkStart w:id="10" w:name="_Toc59378075"/>
      <w:bookmarkEnd w:id="8"/>
      <w:r w:rsidRPr="003E5D72">
        <w:rPr>
          <w:b/>
        </w:rPr>
        <w:lastRenderedPageBreak/>
        <w:t>AGRICOLTURA, SVILUPPO RURALE, AMBIENTE</w:t>
      </w:r>
      <w:bookmarkEnd w:id="9"/>
      <w:bookmarkEnd w:id="10"/>
    </w:p>
    <w:p w:rsidR="0033797E" w:rsidRPr="003E5D72" w:rsidRDefault="0033797E" w:rsidP="007E39D7">
      <w:pPr>
        <w:widowControl w:val="0"/>
        <w:jc w:val="left"/>
        <w:rPr>
          <w:iCs/>
        </w:rPr>
      </w:pPr>
    </w:p>
    <w:p w:rsidR="00D86C77" w:rsidRPr="003E5D72" w:rsidRDefault="00D86C77" w:rsidP="007E39D7">
      <w:pPr>
        <w:pStyle w:val="ListParagraph"/>
        <w:widowControl w:val="0"/>
        <w:numPr>
          <w:ilvl w:val="0"/>
          <w:numId w:val="41"/>
        </w:numPr>
        <w:overflowPunct w:val="0"/>
        <w:autoSpaceDE w:val="0"/>
        <w:autoSpaceDN w:val="0"/>
        <w:adjustRightInd w:val="0"/>
        <w:ind w:left="567" w:hanging="283"/>
        <w:rPr>
          <w:b/>
          <w:i/>
          <w:sz w:val="28"/>
          <w:szCs w:val="28"/>
        </w:rPr>
      </w:pPr>
      <w:r w:rsidRPr="003E5D72">
        <w:rPr>
          <w:b/>
          <w:i/>
          <w:sz w:val="28"/>
          <w:szCs w:val="28"/>
        </w:rPr>
        <w:t>Pesca - Recepimento delle misure IATTC</w:t>
      </w:r>
    </w:p>
    <w:p w:rsidR="00117CAA" w:rsidRPr="003E5D72" w:rsidRDefault="00117CAA" w:rsidP="007E39D7">
      <w:pPr>
        <w:widowControl w:val="0"/>
        <w:tabs>
          <w:tab w:val="left" w:pos="1985"/>
        </w:tabs>
        <w:jc w:val="left"/>
      </w:pPr>
    </w:p>
    <w:p w:rsidR="00D86C77" w:rsidRPr="003E5D72" w:rsidRDefault="003E5D72" w:rsidP="00F151CC">
      <w:pPr>
        <w:widowControl w:val="0"/>
        <w:jc w:val="left"/>
      </w:pPr>
      <w:r w:rsidRPr="003E5D72">
        <w:rPr>
          <w:b/>
        </w:rPr>
        <w:t>Relatore</w:t>
      </w:r>
      <w:r w:rsidR="00D86C77" w:rsidRPr="003E5D72">
        <w:rPr>
          <w:b/>
        </w:rPr>
        <w:t>:</w:t>
      </w:r>
      <w:r w:rsidR="00D86C77" w:rsidRPr="003E5D72">
        <w:t xml:space="preserve"> </w:t>
      </w:r>
      <w:r w:rsidR="00F151CC" w:rsidRPr="003E5D72">
        <w:tab/>
      </w:r>
      <w:r w:rsidR="00D86C77" w:rsidRPr="003E5D72">
        <w:t>Francisco Javier Garat Perez (gruppo Diversità Europa – ES)</w:t>
      </w:r>
    </w:p>
    <w:p w:rsidR="00D86C77" w:rsidRPr="003E5D72" w:rsidRDefault="00D86C77" w:rsidP="007E39D7">
      <w:pPr>
        <w:widowControl w:val="0"/>
        <w:tabs>
          <w:tab w:val="left" w:pos="1985"/>
        </w:tabs>
        <w:jc w:val="left"/>
      </w:pPr>
    </w:p>
    <w:p w:rsidR="00D86C77" w:rsidRPr="003E5D72" w:rsidRDefault="00117CAA" w:rsidP="007E39D7">
      <w:pPr>
        <w:widowControl w:val="0"/>
        <w:tabs>
          <w:tab w:val="left" w:pos="1985"/>
        </w:tabs>
        <w:jc w:val="left"/>
      </w:pPr>
      <w:r w:rsidRPr="003E5D72">
        <w:rPr>
          <w:b/>
        </w:rPr>
        <w:t>Documenti di riferimento:</w:t>
      </w:r>
      <w:r w:rsidRPr="003E5D72">
        <w:tab/>
        <w:t>COM(2020) 308 final - 2020/0139</w:t>
      </w:r>
      <w:r w:rsidR="003E5D72" w:rsidRPr="003E5D72">
        <w:t xml:space="preserve"> COD</w:t>
      </w:r>
    </w:p>
    <w:p w:rsidR="00117CAA" w:rsidRPr="003E5D72" w:rsidRDefault="00F151CC" w:rsidP="007E39D7">
      <w:pPr>
        <w:widowControl w:val="0"/>
        <w:tabs>
          <w:tab w:val="left" w:pos="1985"/>
        </w:tabs>
        <w:ind w:left="1985"/>
        <w:jc w:val="left"/>
      </w:pPr>
      <w:r w:rsidRPr="003E5D72">
        <w:tab/>
      </w:r>
      <w:r w:rsidRPr="003E5D72">
        <w:tab/>
      </w:r>
      <w:r w:rsidR="00D86C77" w:rsidRPr="003E5D72">
        <w:t>EESC-2020-04492-00-00-AC</w:t>
      </w:r>
    </w:p>
    <w:p w:rsidR="00117CAA" w:rsidRPr="003E5D72" w:rsidRDefault="00117CAA" w:rsidP="007E39D7">
      <w:pPr>
        <w:widowControl w:val="0"/>
        <w:tabs>
          <w:tab w:val="left" w:pos="6975"/>
        </w:tabs>
        <w:jc w:val="left"/>
      </w:pPr>
    </w:p>
    <w:p w:rsidR="00117CAA" w:rsidRPr="003E5D72" w:rsidRDefault="00117CAA" w:rsidP="007E39D7">
      <w:pPr>
        <w:widowControl w:val="0"/>
        <w:jc w:val="left"/>
      </w:pPr>
      <w:r w:rsidRPr="003E5D72">
        <w:rPr>
          <w:b/>
        </w:rPr>
        <w:t>Punti salienti:</w:t>
      </w:r>
    </w:p>
    <w:p w:rsidR="00EC6FCC" w:rsidRPr="003E5D72" w:rsidRDefault="00EC6FCC" w:rsidP="007E39D7">
      <w:pPr>
        <w:widowControl w:val="0"/>
        <w:jc w:val="left"/>
      </w:pPr>
    </w:p>
    <w:p w:rsidR="004069A1" w:rsidRPr="003E5D72" w:rsidRDefault="004069A1" w:rsidP="007E39D7">
      <w:pPr>
        <w:widowControl w:val="0"/>
      </w:pPr>
      <w:r w:rsidRPr="003E5D72">
        <w:t>Il CESE ritiene necessario il recepimento nel diritto dell'UE delle misure di controllo, di conservazione e di gestione adottate dalla Commissione interamericana per i tonnidi tropicali (IATTC) al fine di conseguire un'applicazione uniforme ed efficace di tali misure all'interno dell'UE. Tale recepimento dovrà essere fedele a quanto concordato nella IATTC, senza creare nuovi obblighi per le navi europee. Il Comitato appoggia pertanto la proposta di regolamento in esame.</w:t>
      </w:r>
    </w:p>
    <w:p w:rsidR="004069A1" w:rsidRPr="003E5D72" w:rsidRDefault="004069A1" w:rsidP="007E39D7">
      <w:pPr>
        <w:widowControl w:val="0"/>
      </w:pPr>
    </w:p>
    <w:p w:rsidR="004069A1" w:rsidRPr="003E5D72" w:rsidRDefault="004069A1" w:rsidP="007E39D7">
      <w:pPr>
        <w:widowControl w:val="0"/>
      </w:pPr>
      <w:r w:rsidRPr="003E5D72">
        <w:t xml:space="preserve">Il CESE raccomanda tuttavia di tenere conto delle considerazioni esposte nel suo parere sulle misure di conservazione e di controllo nella zona di regolamentazione dell'Organizzazione della pesca nell'Atlantico </w:t>
      </w:r>
      <w:r w:rsidR="003E5D72" w:rsidRPr="003E5D72">
        <w:t>nord</w:t>
      </w:r>
      <w:r w:rsidRPr="003E5D72">
        <w:t>-occidentale.</w:t>
      </w:r>
    </w:p>
    <w:p w:rsidR="004069A1" w:rsidRPr="003E5D72" w:rsidRDefault="004069A1" w:rsidP="007E39D7">
      <w:pPr>
        <w:widowControl w:val="0"/>
      </w:pPr>
    </w:p>
    <w:p w:rsidR="004069A1" w:rsidRPr="003E5D72" w:rsidRDefault="004069A1" w:rsidP="007E39D7">
      <w:pPr>
        <w:widowControl w:val="0"/>
      </w:pPr>
      <w:r w:rsidRPr="003E5D72">
        <w:t>Così, secondo il CESE, la proposta in esame non istituisce un meccanismo agevole per il recepimento delle norme adottate dalla IATTC, né pone rimedio alla necessità di aggiornarle con cadenza annuale.</w:t>
      </w:r>
    </w:p>
    <w:p w:rsidR="004069A1" w:rsidRPr="003E5D72" w:rsidRDefault="004069A1" w:rsidP="007E39D7">
      <w:pPr>
        <w:widowControl w:val="0"/>
      </w:pPr>
    </w:p>
    <w:p w:rsidR="004069A1" w:rsidRPr="003E5D72" w:rsidRDefault="004069A1" w:rsidP="007E39D7">
      <w:pPr>
        <w:widowControl w:val="0"/>
      </w:pPr>
      <w:r w:rsidRPr="003E5D72">
        <w:t>Il CESE è favorevole a un meccanismo più agevole e semplice e, per tale motivo, propone l'adozione di un regolamento, composto da un unico articolo, in cui si stabilisca che l'Unione europea deve imperativamente applicare alla sua flotta le norme approvate dalla IATTC.</w:t>
      </w:r>
    </w:p>
    <w:p w:rsidR="004069A1" w:rsidRPr="003E5D72" w:rsidRDefault="004069A1" w:rsidP="007E39D7">
      <w:pPr>
        <w:widowControl w:val="0"/>
      </w:pPr>
    </w:p>
    <w:p w:rsidR="00EC6FCC" w:rsidRPr="003E5D72" w:rsidRDefault="004069A1" w:rsidP="007E39D7">
      <w:pPr>
        <w:widowControl w:val="0"/>
      </w:pPr>
      <w:r w:rsidRPr="003E5D72">
        <w:t>Il CESE sottolinea il rischio insito nel ricorso al sistema degli atti delegati, mediante il quale viene conferito alla Commissione il potere di legiferare senza dovere attenersi alle procedure ordinarie.</w:t>
      </w:r>
    </w:p>
    <w:p w:rsidR="00EC6FCC" w:rsidRPr="003E5D72" w:rsidRDefault="00EC6FCC" w:rsidP="007E39D7">
      <w:pPr>
        <w:widowControl w:val="0"/>
        <w:jc w:val="left"/>
      </w:pPr>
    </w:p>
    <w:p w:rsidR="00D86C77" w:rsidRPr="003E5D72" w:rsidRDefault="00D86C77" w:rsidP="007E39D7">
      <w:pPr>
        <w:tabs>
          <w:tab w:val="left" w:pos="1701"/>
        </w:tabs>
        <w:rPr>
          <w:i/>
        </w:rPr>
      </w:pPr>
      <w:r w:rsidRPr="003E5D72">
        <w:rPr>
          <w:b/>
          <w:i/>
        </w:rPr>
        <w:t>Persona da contattare:</w:t>
      </w:r>
      <w:r w:rsidRPr="003E5D72">
        <w:rPr>
          <w:i/>
        </w:rPr>
        <w:tab/>
        <w:t xml:space="preserve">Monica </w:t>
      </w:r>
      <w:r w:rsidR="00F151CC" w:rsidRPr="003E5D72">
        <w:rPr>
          <w:i/>
        </w:rPr>
        <w:t>Guarinoni</w:t>
      </w:r>
    </w:p>
    <w:p w:rsidR="005E7386" w:rsidRPr="003E5D72" w:rsidRDefault="00F151CC" w:rsidP="007E39D7">
      <w:pPr>
        <w:widowControl w:val="0"/>
        <w:ind w:left="1701"/>
        <w:jc w:val="left"/>
      </w:pPr>
      <w:r w:rsidRPr="003E5D72">
        <w:rPr>
          <w:i/>
        </w:rPr>
        <w:tab/>
      </w:r>
      <w:r w:rsidR="00D86C77" w:rsidRPr="003E5D72">
        <w:rPr>
          <w:i/>
        </w:rPr>
        <w:t xml:space="preserve">(Tel. 0032 25468127 – e-mail: </w:t>
      </w:r>
      <w:hyperlink r:id="rId25" w:history="1">
        <w:r w:rsidR="00D86C77" w:rsidRPr="003E5D72">
          <w:rPr>
            <w:rStyle w:val="Hyperlink"/>
            <w:i/>
          </w:rPr>
          <w:t>Monica.Guarinoni@eesc.europa.eu</w:t>
        </w:r>
      </w:hyperlink>
      <w:r w:rsidR="00D86C77" w:rsidRPr="003E5D72">
        <w:rPr>
          <w:i/>
        </w:rPr>
        <w:t>)</w:t>
      </w:r>
    </w:p>
    <w:p w:rsidR="00BD3955" w:rsidRPr="003E5D72" w:rsidRDefault="00A75573" w:rsidP="007E39D7">
      <w:pPr>
        <w:widowControl w:val="0"/>
        <w:jc w:val="left"/>
      </w:pPr>
      <w:r w:rsidRPr="003E5D72">
        <w:br w:type="page"/>
      </w:r>
    </w:p>
    <w:p w:rsidR="00BD3955" w:rsidRPr="003E5D72" w:rsidRDefault="00BD3955" w:rsidP="007E39D7">
      <w:pPr>
        <w:pStyle w:val="Heading1"/>
        <w:widowControl w:val="0"/>
        <w:numPr>
          <w:ilvl w:val="0"/>
          <w:numId w:val="5"/>
        </w:numPr>
        <w:ind w:left="567" w:hanging="567"/>
        <w:rPr>
          <w:b/>
        </w:rPr>
      </w:pPr>
      <w:bookmarkStart w:id="11" w:name="_Toc24617160"/>
      <w:bookmarkStart w:id="12" w:name="_Toc59378076"/>
      <w:r w:rsidRPr="003E5D72">
        <w:rPr>
          <w:b/>
        </w:rPr>
        <w:lastRenderedPageBreak/>
        <w:t>TRASPORTI, ENERGIA, INFRASTRUTTURE, SOCIETÀ DELL'INFORMAZIONE</w:t>
      </w:r>
      <w:bookmarkEnd w:id="11"/>
      <w:bookmarkEnd w:id="12"/>
    </w:p>
    <w:p w:rsidR="00086391" w:rsidRPr="003E5D72" w:rsidRDefault="00086391" w:rsidP="007E39D7">
      <w:pPr>
        <w:widowControl w:val="0"/>
        <w:rPr>
          <w:sz w:val="16"/>
          <w:szCs w:val="16"/>
        </w:rPr>
      </w:pPr>
    </w:p>
    <w:p w:rsidR="00690F0E" w:rsidRPr="003E5D72" w:rsidRDefault="00DE0979" w:rsidP="007E39D7">
      <w:pPr>
        <w:pStyle w:val="ListParagraph"/>
        <w:widowControl w:val="0"/>
        <w:numPr>
          <w:ilvl w:val="0"/>
          <w:numId w:val="41"/>
        </w:numPr>
        <w:overflowPunct w:val="0"/>
        <w:autoSpaceDE w:val="0"/>
        <w:autoSpaceDN w:val="0"/>
        <w:adjustRightInd w:val="0"/>
        <w:rPr>
          <w:b/>
          <w:i/>
          <w:sz w:val="28"/>
          <w:szCs w:val="28"/>
        </w:rPr>
      </w:pPr>
      <w:r w:rsidRPr="003E5D72">
        <w:rPr>
          <w:b/>
          <w:i/>
          <w:sz w:val="28"/>
          <w:szCs w:val="28"/>
        </w:rPr>
        <w:t>Cielo unico europeo 2020 2+</w:t>
      </w:r>
    </w:p>
    <w:p w:rsidR="00086391" w:rsidRPr="003E5D72" w:rsidRDefault="00086391" w:rsidP="007E39D7">
      <w:pPr>
        <w:widowControl w:val="0"/>
        <w:rPr>
          <w:bCs/>
          <w:sz w:val="16"/>
          <w:szCs w:val="16"/>
        </w:rPr>
      </w:pPr>
    </w:p>
    <w:p w:rsidR="00086391" w:rsidRPr="003E5D72" w:rsidRDefault="003E5D72" w:rsidP="007E39D7">
      <w:pPr>
        <w:widowControl w:val="0"/>
      </w:pPr>
      <w:r w:rsidRPr="003E5D72">
        <w:rPr>
          <w:b/>
        </w:rPr>
        <w:t>Relatore</w:t>
      </w:r>
      <w:r w:rsidR="00086391" w:rsidRPr="003E5D72">
        <w:rPr>
          <w:b/>
        </w:rPr>
        <w:t xml:space="preserve"> generale:</w:t>
      </w:r>
      <w:r w:rsidR="00F151CC" w:rsidRPr="003E5D72">
        <w:rPr>
          <w:b/>
        </w:rPr>
        <w:tab/>
      </w:r>
      <w:r w:rsidR="00086391" w:rsidRPr="003E5D72">
        <w:t>Dumitru Fornea (</w:t>
      </w:r>
      <w:r w:rsidR="00F151CC" w:rsidRPr="003E5D72">
        <w:t xml:space="preserve">gruppo </w:t>
      </w:r>
      <w:r w:rsidR="00086391" w:rsidRPr="003E5D72">
        <w:t>Lavoratori - RO)</w:t>
      </w:r>
    </w:p>
    <w:p w:rsidR="00876FE6" w:rsidRPr="003E5D72" w:rsidRDefault="00876FE6" w:rsidP="007E39D7">
      <w:pPr>
        <w:widowControl w:val="0"/>
        <w:rPr>
          <w:sz w:val="16"/>
          <w:szCs w:val="16"/>
        </w:rPr>
      </w:pPr>
    </w:p>
    <w:p w:rsidR="000B570C" w:rsidRPr="003E5D72" w:rsidRDefault="00086391" w:rsidP="007E39D7">
      <w:pPr>
        <w:widowControl w:val="0"/>
      </w:pPr>
      <w:r w:rsidRPr="003E5D72">
        <w:rPr>
          <w:b/>
        </w:rPr>
        <w:t>Documenti di riferimento:</w:t>
      </w:r>
      <w:r w:rsidRPr="003E5D72">
        <w:t xml:space="preserve"> </w:t>
      </w:r>
      <w:r w:rsidRPr="003E5D72">
        <w:tab/>
        <w:t>COM(2020) 577 final</w:t>
      </w:r>
    </w:p>
    <w:p w:rsidR="00690F0E" w:rsidRPr="003E5D72" w:rsidRDefault="00F151CC" w:rsidP="009A56D2">
      <w:pPr>
        <w:widowControl w:val="0"/>
        <w:ind w:left="2268"/>
      </w:pPr>
      <w:r w:rsidRPr="003E5D72">
        <w:tab/>
      </w:r>
      <w:r w:rsidRPr="003E5D72">
        <w:tab/>
      </w:r>
      <w:r w:rsidR="00DE0979" w:rsidRPr="003E5D72">
        <w:t>COM(2020) 579 final</w:t>
      </w:r>
    </w:p>
    <w:p w:rsidR="00876FE6" w:rsidRPr="003E5D72" w:rsidRDefault="00F151CC" w:rsidP="007E39D7">
      <w:pPr>
        <w:widowControl w:val="0"/>
        <w:ind w:left="2268"/>
      </w:pPr>
      <w:r w:rsidRPr="003E5D72">
        <w:tab/>
      </w:r>
      <w:r w:rsidRPr="003E5D72">
        <w:tab/>
      </w:r>
      <w:r w:rsidR="001F436F" w:rsidRPr="003E5D72">
        <w:t>EESC-2020-05081-00-00-AC</w:t>
      </w:r>
    </w:p>
    <w:p w:rsidR="00086391" w:rsidRPr="003E5D72" w:rsidRDefault="00086391" w:rsidP="007E39D7">
      <w:pPr>
        <w:widowControl w:val="0"/>
        <w:tabs>
          <w:tab w:val="num" w:pos="550"/>
        </w:tabs>
        <w:rPr>
          <w:sz w:val="16"/>
          <w:szCs w:val="16"/>
        </w:rPr>
      </w:pPr>
    </w:p>
    <w:p w:rsidR="00086391" w:rsidRPr="003E5D72" w:rsidRDefault="00086391" w:rsidP="007E39D7">
      <w:pPr>
        <w:widowControl w:val="0"/>
      </w:pPr>
      <w:r w:rsidRPr="003E5D72">
        <w:rPr>
          <w:b/>
        </w:rPr>
        <w:t>Punti salienti:</w:t>
      </w:r>
    </w:p>
    <w:p w:rsidR="00086391" w:rsidRPr="003E5D72" w:rsidRDefault="00086391" w:rsidP="007E39D7">
      <w:pPr>
        <w:widowControl w:val="0"/>
        <w:rPr>
          <w:bCs/>
          <w:sz w:val="16"/>
          <w:szCs w:val="16"/>
        </w:rPr>
      </w:pPr>
    </w:p>
    <w:p w:rsidR="00DE0979" w:rsidRPr="003E5D72" w:rsidRDefault="00DE0979" w:rsidP="007E39D7">
      <w:pPr>
        <w:widowControl w:val="0"/>
      </w:pPr>
      <w:r w:rsidRPr="003E5D72">
        <w:t>Il Comitato economico e sociale europeo apprezza gli sforzi compiuti dalla Commissione europea, dal Parlamento europeo e dalle istituzioni specializzate dell'UE per trovare nuove soluzioni giuridiche e amministrative in grado di garantire lo sviluppo sostenibile del sistema di trasporto aereo a beneficio di tutti i cittadini, degli utenti dello spazio aereo e dell'ambiente. Vi è un consenso generale sulla necessità di garantire la sicurezza del traffico aereo, di migliorare le prestazioni globali, la scalabilità e la resilienza della gestione del traffico aereo e dei servizi di navigazione aerea, nonché di sostenere l'obiettivo del cielo unico europeo (CUE) di creare una rete paneuropea coerente e di rendere la gestione del traffico aereo (ATM) e i servizi di navigazione aerea (ANS) progressivamente più integrati e modernizzati sul piano tecnologico.</w:t>
      </w:r>
    </w:p>
    <w:p w:rsidR="00DE0979" w:rsidRPr="003E5D72" w:rsidRDefault="00DE0979" w:rsidP="007E39D7">
      <w:pPr>
        <w:widowControl w:val="0"/>
        <w:rPr>
          <w:sz w:val="16"/>
          <w:szCs w:val="16"/>
        </w:rPr>
      </w:pPr>
    </w:p>
    <w:p w:rsidR="00086391" w:rsidRPr="003E5D72" w:rsidRDefault="00DE0979" w:rsidP="007E39D7">
      <w:pPr>
        <w:widowControl w:val="0"/>
        <w:rPr>
          <w:bCs/>
        </w:rPr>
      </w:pPr>
      <w:r w:rsidRPr="003E5D72">
        <w:t xml:space="preserve">La proposta modificata di rifusione in esame costituisce un quadro normativo aggiornato teso a conseguire gli obiettivi iniziali del CUE in materia di riduzione delle emissioni di </w:t>
      </w:r>
      <w:r w:rsidR="003E5D72" w:rsidRPr="003E5D72">
        <w:t>CO</w:t>
      </w:r>
      <w:r w:rsidR="003E5D72" w:rsidRPr="003E5D72">
        <w:rPr>
          <w:vertAlign w:val="subscript"/>
        </w:rPr>
        <w:t>2</w:t>
      </w:r>
      <w:r w:rsidRPr="003E5D72">
        <w:t>, riduzione dei ritardi e miglioramento dell'efficienza in termini di costi nella fornitura dei servizi ATM. Tuttavia, anche se la proposta della Commissione rappresenta un miglioramento rispetto al regolamento vigente, non è chiaro se il progetto sia sufficiente per conseguire gli obiettivi originari del CUE. Il CESE propone pertanto di avviare una discussione per chiarire l'ambizione del nuovo regolamento sul cielo unico europeo.</w:t>
      </w:r>
    </w:p>
    <w:p w:rsidR="00086391" w:rsidRPr="003E5D72" w:rsidRDefault="00086391" w:rsidP="007E39D7">
      <w:pPr>
        <w:widowControl w:val="0"/>
        <w:rPr>
          <w:i/>
        </w:rPr>
      </w:pPr>
    </w:p>
    <w:p w:rsidR="00876FE6" w:rsidRPr="003E5D72" w:rsidRDefault="00086391" w:rsidP="007E39D7">
      <w:pPr>
        <w:widowControl w:val="0"/>
        <w:tabs>
          <w:tab w:val="left" w:pos="1701"/>
        </w:tabs>
        <w:rPr>
          <w:i/>
        </w:rPr>
      </w:pPr>
      <w:r w:rsidRPr="003E5D72">
        <w:rPr>
          <w:b/>
          <w:i/>
        </w:rPr>
        <w:t>Persona da contattare:</w:t>
      </w:r>
      <w:r w:rsidRPr="003E5D72">
        <w:rPr>
          <w:i/>
        </w:rPr>
        <w:tab/>
        <w:t>Agota Bazsik</w:t>
      </w:r>
    </w:p>
    <w:p w:rsidR="00876FE6" w:rsidRPr="003E5D72" w:rsidRDefault="00F151CC" w:rsidP="007E39D7">
      <w:pPr>
        <w:widowControl w:val="0"/>
        <w:ind w:left="1701"/>
        <w:rPr>
          <w:i/>
        </w:rPr>
      </w:pPr>
      <w:r w:rsidRPr="003E5D72">
        <w:rPr>
          <w:i/>
        </w:rPr>
        <w:tab/>
      </w:r>
      <w:r w:rsidR="00086391" w:rsidRPr="003E5D72">
        <w:rPr>
          <w:i/>
        </w:rPr>
        <w:t xml:space="preserve">(Tel. 0032 25468658 - e-mail: </w:t>
      </w:r>
      <w:hyperlink r:id="rId26" w:history="1">
        <w:r w:rsidR="00086391" w:rsidRPr="003E5D72">
          <w:rPr>
            <w:rStyle w:val="Hyperlink"/>
            <w:i/>
          </w:rPr>
          <w:t>Agota.Bazsik@eesc.europa.eu</w:t>
        </w:r>
      </w:hyperlink>
      <w:r w:rsidR="00086391" w:rsidRPr="003E5D72">
        <w:rPr>
          <w:i/>
        </w:rPr>
        <w:t xml:space="preserve">) </w:t>
      </w:r>
    </w:p>
    <w:p w:rsidR="00C8461F" w:rsidRPr="003E5D72" w:rsidRDefault="00C8461F" w:rsidP="00C8461F">
      <w:pPr>
        <w:widowControl w:val="0"/>
        <w:rPr>
          <w:i/>
          <w:sz w:val="16"/>
          <w:szCs w:val="16"/>
        </w:rPr>
      </w:pPr>
    </w:p>
    <w:p w:rsidR="00C8461F" w:rsidRPr="003E5D72" w:rsidRDefault="00C8461F" w:rsidP="00C8461F">
      <w:pPr>
        <w:pStyle w:val="ListParagraph"/>
        <w:widowControl w:val="0"/>
        <w:numPr>
          <w:ilvl w:val="0"/>
          <w:numId w:val="41"/>
        </w:numPr>
        <w:overflowPunct w:val="0"/>
        <w:autoSpaceDE w:val="0"/>
        <w:autoSpaceDN w:val="0"/>
        <w:adjustRightInd w:val="0"/>
        <w:rPr>
          <w:b/>
          <w:i/>
          <w:sz w:val="28"/>
          <w:szCs w:val="28"/>
        </w:rPr>
      </w:pPr>
      <w:r w:rsidRPr="003E5D72">
        <w:rPr>
          <w:b/>
          <w:i/>
          <w:sz w:val="28"/>
          <w:szCs w:val="28"/>
        </w:rPr>
        <w:t>Sicurezza e connettività delle ferrovie in relazione alle infrastrutture transfrontaliere attraverso il collegamento fisso sotto la Manica</w:t>
      </w:r>
    </w:p>
    <w:p w:rsidR="00C8461F" w:rsidRPr="003E5D72" w:rsidRDefault="00C8461F" w:rsidP="00C8461F">
      <w:pPr>
        <w:widowControl w:val="0"/>
        <w:rPr>
          <w:sz w:val="16"/>
          <w:szCs w:val="16"/>
        </w:rPr>
      </w:pPr>
    </w:p>
    <w:p w:rsidR="00C8461F" w:rsidRPr="003E5D72" w:rsidRDefault="00C8461F" w:rsidP="00C8461F">
      <w:pPr>
        <w:widowControl w:val="0"/>
      </w:pPr>
      <w:r w:rsidRPr="003E5D72">
        <w:rPr>
          <w:b/>
        </w:rPr>
        <w:t>Documenti di riferimento:</w:t>
      </w:r>
      <w:r w:rsidRPr="003E5D72">
        <w:t xml:space="preserve"> </w:t>
      </w:r>
      <w:r w:rsidRPr="003E5D72">
        <w:tab/>
        <w:t>Parere di categoria C</w:t>
      </w:r>
    </w:p>
    <w:p w:rsidR="00C8461F" w:rsidRPr="003E5D72" w:rsidRDefault="00F151CC" w:rsidP="00C8461F">
      <w:pPr>
        <w:widowControl w:val="0"/>
        <w:ind w:left="2268"/>
      </w:pPr>
      <w:r w:rsidRPr="003E5D72">
        <w:tab/>
      </w:r>
      <w:r w:rsidRPr="003E5D72">
        <w:tab/>
      </w:r>
      <w:r w:rsidR="00C8461F" w:rsidRPr="003E5D72">
        <w:t>COM(2020) 782 final – 2020/0347</w:t>
      </w:r>
      <w:r w:rsidR="003E5D72" w:rsidRPr="003E5D72">
        <w:t xml:space="preserve"> COD</w:t>
      </w:r>
    </w:p>
    <w:p w:rsidR="00C8461F" w:rsidRPr="003E5D72" w:rsidRDefault="00F151CC" w:rsidP="00C8461F">
      <w:pPr>
        <w:widowControl w:val="0"/>
        <w:ind w:left="2268"/>
      </w:pPr>
      <w:r w:rsidRPr="003E5D72">
        <w:tab/>
      </w:r>
      <w:r w:rsidRPr="003E5D72">
        <w:tab/>
      </w:r>
      <w:r w:rsidR="00C8461F" w:rsidRPr="003E5D72">
        <w:t>EESC-2020-05483-00-00-AC</w:t>
      </w:r>
    </w:p>
    <w:p w:rsidR="00C8461F" w:rsidRPr="003E5D72" w:rsidRDefault="00C8461F" w:rsidP="00C8461F">
      <w:pPr>
        <w:widowControl w:val="0"/>
        <w:tabs>
          <w:tab w:val="num" w:pos="550"/>
        </w:tabs>
        <w:rPr>
          <w:sz w:val="16"/>
          <w:szCs w:val="16"/>
        </w:rPr>
      </w:pPr>
    </w:p>
    <w:p w:rsidR="00C8461F" w:rsidRPr="003E5D72" w:rsidRDefault="00C8461F" w:rsidP="00C8461F">
      <w:pPr>
        <w:widowControl w:val="0"/>
      </w:pPr>
      <w:r w:rsidRPr="003E5D72">
        <w:rPr>
          <w:b/>
        </w:rPr>
        <w:t>Punti salienti:</w:t>
      </w:r>
    </w:p>
    <w:p w:rsidR="00C8461F" w:rsidRPr="003E5D72" w:rsidRDefault="00C8461F" w:rsidP="00C8461F">
      <w:pPr>
        <w:widowControl w:val="0"/>
        <w:rPr>
          <w:bCs/>
          <w:sz w:val="16"/>
          <w:szCs w:val="16"/>
        </w:rPr>
      </w:pPr>
    </w:p>
    <w:p w:rsidR="00C8461F" w:rsidRPr="003E5D72" w:rsidRDefault="00C8461F" w:rsidP="00C8461F">
      <w:pPr>
        <w:widowControl w:val="0"/>
        <w:rPr>
          <w:szCs w:val="24"/>
        </w:rPr>
      </w:pPr>
      <w:r w:rsidRPr="003E5D72">
        <w:t>Il Comitato ha deciso ha deciso di esprimere parere favorevole al testo proposto.</w:t>
      </w:r>
    </w:p>
    <w:p w:rsidR="00C8461F" w:rsidRPr="003E5D72" w:rsidRDefault="00C8461F" w:rsidP="00C8461F">
      <w:pPr>
        <w:widowControl w:val="0"/>
        <w:rPr>
          <w:i/>
          <w:sz w:val="16"/>
          <w:szCs w:val="16"/>
        </w:rPr>
      </w:pPr>
    </w:p>
    <w:p w:rsidR="00C8461F" w:rsidRPr="003E5D72" w:rsidRDefault="00C8461F" w:rsidP="00C8461F">
      <w:pPr>
        <w:widowControl w:val="0"/>
        <w:tabs>
          <w:tab w:val="left" w:pos="1701"/>
        </w:tabs>
        <w:rPr>
          <w:i/>
        </w:rPr>
      </w:pPr>
      <w:r w:rsidRPr="003E5D72">
        <w:rPr>
          <w:b/>
          <w:i/>
        </w:rPr>
        <w:t>Persona da contattare:</w:t>
      </w:r>
      <w:r w:rsidRPr="003E5D72">
        <w:rPr>
          <w:i/>
        </w:rPr>
        <w:tab/>
        <w:t>Agota Bazsik</w:t>
      </w:r>
    </w:p>
    <w:p w:rsidR="00C8461F" w:rsidRPr="003E5D72" w:rsidRDefault="00F151CC" w:rsidP="00C8461F">
      <w:pPr>
        <w:widowControl w:val="0"/>
        <w:ind w:left="1701"/>
        <w:rPr>
          <w:i/>
        </w:rPr>
      </w:pPr>
      <w:r w:rsidRPr="003E5D72">
        <w:rPr>
          <w:i/>
        </w:rPr>
        <w:tab/>
      </w:r>
      <w:r w:rsidR="00C8461F" w:rsidRPr="003E5D72">
        <w:rPr>
          <w:i/>
        </w:rPr>
        <w:t xml:space="preserve">(Tel. 0032 25468658 - e-mail: </w:t>
      </w:r>
      <w:hyperlink r:id="rId27" w:history="1">
        <w:r w:rsidR="00C8461F" w:rsidRPr="003E5D72">
          <w:rPr>
            <w:rStyle w:val="Hyperlink"/>
            <w:i/>
          </w:rPr>
          <w:t>Agota.Bazsik@eesc.europa.eu</w:t>
        </w:r>
      </w:hyperlink>
      <w:r w:rsidR="00C8461F" w:rsidRPr="003E5D72">
        <w:rPr>
          <w:i/>
        </w:rPr>
        <w:t xml:space="preserve">) </w:t>
      </w:r>
    </w:p>
    <w:p w:rsidR="00411F08" w:rsidRPr="003E5D72" w:rsidRDefault="004203D2" w:rsidP="00C8461F">
      <w:pPr>
        <w:widowControl w:val="0"/>
        <w:jc w:val="center"/>
        <w:rPr>
          <w:bCs/>
        </w:rPr>
      </w:pPr>
      <w:r w:rsidRPr="003E5D72">
        <w:t>____________</w:t>
      </w:r>
    </w:p>
    <w:sectPr w:rsidR="00411F08" w:rsidRPr="003E5D72" w:rsidSect="00757028">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59" w:rsidRDefault="00D07459" w:rsidP="003B283B">
      <w:pPr>
        <w:spacing w:line="240" w:lineRule="auto"/>
      </w:pPr>
      <w:r>
        <w:separator/>
      </w:r>
    </w:p>
  </w:endnote>
  <w:endnote w:type="continuationSeparator" w:id="0">
    <w:p w:rsidR="00D07459" w:rsidRDefault="00D07459" w:rsidP="003B283B">
      <w:pPr>
        <w:spacing w:line="240" w:lineRule="auto"/>
      </w:pPr>
      <w:r>
        <w:continuationSeparator/>
      </w:r>
    </w:p>
  </w:endnote>
  <w:endnote w:type="continuationNotice" w:id="1">
    <w:p w:rsidR="00D07459" w:rsidRDefault="00D07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2A6069">
      <w:rPr>
        <w:noProof/>
      </w:rPr>
      <w:t>1</w:t>
    </w:r>
    <w:r>
      <w:fldChar w:fldCharType="end"/>
    </w:r>
    <w:r>
      <w:t>/</w:t>
    </w:r>
    <w:fldSimple w:instr=" NUMPAGES ">
      <w:r w:rsidR="002A6069">
        <w:rPr>
          <w:noProof/>
        </w:rPr>
        <w:t>13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2A6069">
      <w:rPr>
        <w:noProof/>
      </w:rPr>
      <w:t>5</w:t>
    </w:r>
    <w:r>
      <w:fldChar w:fldCharType="end"/>
    </w:r>
    <w:r>
      <w:t>/</w:t>
    </w:r>
    <w:fldSimple w:instr=" NUMPAGES ">
      <w:r w:rsidR="002A6069">
        <w:rPr>
          <w:noProof/>
        </w:rPr>
        <w:t>13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59" w:rsidRDefault="00D07459" w:rsidP="003B283B">
      <w:pPr>
        <w:spacing w:line="240" w:lineRule="auto"/>
      </w:pPr>
      <w:r>
        <w:separator/>
      </w:r>
    </w:p>
  </w:footnote>
  <w:footnote w:type="continuationSeparator" w:id="0">
    <w:p w:rsidR="00D07459" w:rsidRDefault="00D07459" w:rsidP="003B283B">
      <w:pPr>
        <w:spacing w:line="240" w:lineRule="auto"/>
      </w:pPr>
      <w:r>
        <w:continuationSeparator/>
      </w:r>
    </w:p>
  </w:footnote>
  <w:footnote w:type="continuationNotice" w:id="1">
    <w:p w:rsidR="00D07459" w:rsidRPr="00377A77" w:rsidRDefault="00D07459">
      <w:pPr>
        <w:spacing w:line="240" w:lineRule="auto"/>
        <w:rPr>
          <w:sz w:val="2"/>
          <w:szCs w:val="2"/>
        </w:rPr>
      </w:pPr>
    </w:p>
  </w:footnote>
  <w:footnote w:id="2">
    <w:p w:rsidR="007B5C57" w:rsidRPr="00615B5E" w:rsidRDefault="007B5C57" w:rsidP="007B5C57">
      <w:pPr>
        <w:pStyle w:val="FootnoteText"/>
      </w:pPr>
      <w:r>
        <w:rPr>
          <w:rStyle w:val="FootnoteReference"/>
        </w:rPr>
        <w:footnoteRef/>
      </w:r>
      <w:r>
        <w:t xml:space="preserve"> </w:t>
      </w:r>
      <w:r>
        <w:tab/>
      </w:r>
      <w:hyperlink r:id="rId1" w:history="1">
        <w:r>
          <w:rPr>
            <w:rStyle w:val="Hyperlink"/>
          </w:rPr>
          <w:t>GU C 311 dell'18.</w:t>
        </w:r>
        <w:r w:rsidR="003E5D72" w:rsidRPr="003E5D72">
          <w:rPr>
            <w:rStyle w:val="Hyperlink"/>
          </w:rPr>
          <w:t>9.2020</w:t>
        </w:r>
        <w:r>
          <w:rPr>
            <w:rStyle w:val="Hyperlink"/>
          </w:rPr>
          <w:t>, pag. 76</w:t>
        </w:r>
      </w:hyperlink>
      <w:r>
        <w:t>.</w:t>
      </w:r>
    </w:p>
  </w:footnote>
  <w:footnote w:id="3">
    <w:p w:rsidR="007B5C57" w:rsidRPr="00DB24F4" w:rsidRDefault="007B5C57" w:rsidP="007B5C57">
      <w:pPr>
        <w:pStyle w:val="FootnoteText"/>
      </w:pPr>
      <w:r>
        <w:rPr>
          <w:rStyle w:val="FootnoteReference"/>
        </w:rPr>
        <w:footnoteRef/>
      </w:r>
      <w:r>
        <w:t xml:space="preserve"> </w:t>
      </w:r>
      <w:r>
        <w:tab/>
      </w:r>
      <w:hyperlink r:id="rId2" w:history="1">
        <w:r>
          <w:rPr>
            <w:rStyle w:val="Hyperlink"/>
          </w:rPr>
          <w:t>GU C 487 del 28.1</w:t>
        </w:r>
        <w:r w:rsidR="003E5D72" w:rsidRPr="003E5D72">
          <w:rPr>
            <w:rStyle w:val="Hyperlink"/>
          </w:rPr>
          <w:t>2.2016</w:t>
        </w:r>
        <w:r>
          <w:rPr>
            <w:rStyle w:val="Hyperlink"/>
          </w:rPr>
          <w:t>, pag. 113</w:t>
        </w:r>
      </w:hyperlink>
      <w:r>
        <w:t xml:space="preserve">; </w:t>
      </w:r>
      <w:hyperlink r:id="rId3" w:history="1">
        <w:r>
          <w:rPr>
            <w:rStyle w:val="Hyperlink"/>
          </w:rPr>
          <w:t>GU C 288 del 31.</w:t>
        </w:r>
        <w:r w:rsidR="003E5D72" w:rsidRPr="003E5D72">
          <w:rPr>
            <w:rStyle w:val="Hyperlink"/>
          </w:rPr>
          <w:t>8.2017</w:t>
        </w:r>
        <w:r>
          <w:rPr>
            <w:rStyle w:val="Hyperlink"/>
          </w:rPr>
          <w:t>, pag. 56</w:t>
        </w:r>
      </w:hyperlink>
      <w:r>
        <w:t xml:space="preserve">; </w:t>
      </w:r>
      <w:hyperlink r:id="rId4" w:history="1">
        <w:r w:rsidR="007C3F1C" w:rsidRPr="007C3F1C">
          <w:rPr>
            <w:rStyle w:val="Hyperlink"/>
          </w:rPr>
          <w:t>GU</w:t>
        </w:r>
        <w:r w:rsidRPr="007C3F1C">
          <w:rPr>
            <w:rStyle w:val="Hyperlink"/>
          </w:rPr>
          <w:t xml:space="preserve"> C 440 del 6.1</w:t>
        </w:r>
        <w:r w:rsidR="003E5D72" w:rsidRPr="007C3F1C">
          <w:rPr>
            <w:rStyle w:val="Hyperlink"/>
          </w:rPr>
          <w:t>2.2018</w:t>
        </w:r>
        <w:r w:rsidRPr="007C3F1C">
          <w:rPr>
            <w:rStyle w:val="Hyperlink"/>
          </w:rPr>
          <w:t>, pag. 145</w:t>
        </w:r>
      </w:hyperlink>
      <w:r>
        <w:t xml:space="preserve">; </w:t>
      </w:r>
      <w:hyperlink r:id="rId5" w:history="1">
        <w:r>
          <w:rPr>
            <w:rStyle w:val="Hyperlink"/>
          </w:rPr>
          <w:t>CC</w:t>
        </w:r>
        <w:r>
          <w:rPr>
            <w:rStyle w:val="Hyperlink"/>
          </w:rPr>
          <w:t>M</w:t>
        </w:r>
        <w:r>
          <w:rPr>
            <w:rStyle w:val="Hyperlink"/>
          </w:rPr>
          <w:t>I/130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D52472"/>
    <w:multiLevelType w:val="hybridMultilevel"/>
    <w:tmpl w:val="DB34FD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150804E8"/>
    <w:multiLevelType w:val="hybridMultilevel"/>
    <w:tmpl w:val="D068D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20"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9683B"/>
    <w:multiLevelType w:val="hybridMultilevel"/>
    <w:tmpl w:val="FB2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5"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7" w15:restartNumberingAfterBreak="0">
    <w:nsid w:val="30990A90"/>
    <w:multiLevelType w:val="hybridMultilevel"/>
    <w:tmpl w:val="E98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0BF19A7"/>
    <w:multiLevelType w:val="hybridMultilevel"/>
    <w:tmpl w:val="E946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335B1C"/>
    <w:multiLevelType w:val="hybridMultilevel"/>
    <w:tmpl w:val="34F8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1724A94"/>
    <w:multiLevelType w:val="hybridMultilevel"/>
    <w:tmpl w:val="B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4"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6"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6B992CAB"/>
    <w:multiLevelType w:val="hybridMultilevel"/>
    <w:tmpl w:val="B7B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5"/>
  </w:num>
  <w:num w:numId="2">
    <w:abstractNumId w:val="42"/>
  </w:num>
  <w:num w:numId="3">
    <w:abstractNumId w:val="52"/>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30"/>
  </w:num>
  <w:num w:numId="7">
    <w:abstractNumId w:val="11"/>
  </w:num>
  <w:num w:numId="8">
    <w:abstractNumId w:val="47"/>
  </w:num>
  <w:num w:numId="9">
    <w:abstractNumId w:val="1"/>
    <w:lvlOverride w:ilvl="0">
      <w:lvl w:ilvl="0">
        <w:start w:val="1"/>
        <w:numFmt w:val="bullet"/>
        <w:lvlText w:val=""/>
        <w:lvlJc w:val="left"/>
        <w:pPr>
          <w:ind w:left="720" w:hanging="360"/>
        </w:pPr>
        <w:rPr>
          <w:rFonts w:ascii="Symbol" w:hAnsi="Symbol" w:hint="default"/>
        </w:rPr>
      </w:lvl>
    </w:lvlOverride>
  </w:num>
  <w:num w:numId="10">
    <w:abstractNumId w:val="34"/>
  </w:num>
  <w:num w:numId="11">
    <w:abstractNumId w:val="12"/>
  </w:num>
  <w:num w:numId="12">
    <w:abstractNumId w:val="41"/>
  </w:num>
  <w:num w:numId="13">
    <w:abstractNumId w:val="18"/>
  </w:num>
  <w:num w:numId="14">
    <w:abstractNumId w:val="44"/>
  </w:num>
  <w:num w:numId="15">
    <w:abstractNumId w:val="16"/>
  </w:num>
  <w:num w:numId="16">
    <w:abstractNumId w:val="29"/>
  </w:num>
  <w:num w:numId="17">
    <w:abstractNumId w:val="15"/>
  </w:num>
  <w:num w:numId="18">
    <w:abstractNumId w:val="20"/>
  </w:num>
  <w:num w:numId="19">
    <w:abstractNumId w:val="8"/>
  </w:num>
  <w:num w:numId="20">
    <w:abstractNumId w:val="7"/>
  </w:num>
  <w:num w:numId="21">
    <w:abstractNumId w:val="35"/>
  </w:num>
  <w:num w:numId="22">
    <w:abstractNumId w:val="48"/>
  </w:num>
  <w:num w:numId="23">
    <w:abstractNumId w:val="21"/>
  </w:num>
  <w:num w:numId="24">
    <w:abstractNumId w:val="25"/>
  </w:num>
  <w:num w:numId="25">
    <w:abstractNumId w:val="38"/>
  </w:num>
  <w:num w:numId="26">
    <w:abstractNumId w:val="31"/>
  </w:num>
  <w:num w:numId="27">
    <w:abstractNumId w:val="5"/>
  </w:num>
  <w:num w:numId="28">
    <w:abstractNumId w:val="26"/>
  </w:num>
  <w:num w:numId="29">
    <w:abstractNumId w:val="53"/>
  </w:num>
  <w:num w:numId="30">
    <w:abstractNumId w:val="55"/>
  </w:num>
  <w:num w:numId="31">
    <w:abstractNumId w:val="6"/>
  </w:num>
  <w:num w:numId="32">
    <w:abstractNumId w:val="32"/>
  </w:num>
  <w:num w:numId="33">
    <w:abstractNumId w:val="50"/>
  </w:num>
  <w:num w:numId="34">
    <w:abstractNumId w:val="23"/>
  </w:num>
  <w:num w:numId="35">
    <w:abstractNumId w:val="14"/>
  </w:num>
  <w:num w:numId="36">
    <w:abstractNumId w:val="37"/>
  </w:num>
  <w:num w:numId="37">
    <w:abstractNumId w:val="19"/>
  </w:num>
  <w:num w:numId="38">
    <w:abstractNumId w:val="4"/>
  </w:num>
  <w:num w:numId="39">
    <w:abstractNumId w:val="24"/>
  </w:num>
  <w:num w:numId="40">
    <w:abstractNumId w:val="17"/>
  </w:num>
  <w:num w:numId="41">
    <w:abstractNumId w:val="54"/>
  </w:num>
  <w:num w:numId="42">
    <w:abstractNumId w:val="46"/>
  </w:num>
  <w:num w:numId="43">
    <w:abstractNumId w:val="33"/>
  </w:num>
  <w:num w:numId="44">
    <w:abstractNumId w:val="3"/>
  </w:num>
  <w:num w:numId="45">
    <w:abstractNumId w:val="28"/>
  </w:num>
  <w:num w:numId="46">
    <w:abstractNumId w:val="49"/>
  </w:num>
  <w:num w:numId="47">
    <w:abstractNumId w:val="2"/>
  </w:num>
  <w:num w:numId="48">
    <w:abstractNumId w:val="51"/>
  </w:num>
  <w:num w:numId="49">
    <w:abstractNumId w:val="40"/>
  </w:num>
  <w:num w:numId="50">
    <w:abstractNumId w:val="13"/>
  </w:num>
  <w:num w:numId="51">
    <w:abstractNumId w:val="36"/>
  </w:num>
  <w:num w:numId="52">
    <w:abstractNumId w:val="39"/>
  </w:num>
  <w:num w:numId="53">
    <w:abstractNumId w:val="27"/>
  </w:num>
  <w:num w:numId="54">
    <w:abstractNumId w:val="10"/>
  </w:num>
  <w:num w:numId="55">
    <w:abstractNumId w:val="22"/>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5E4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069"/>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1D9C"/>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5D72"/>
    <w:rsid w:val="003E6010"/>
    <w:rsid w:val="003E64A6"/>
    <w:rsid w:val="003E693F"/>
    <w:rsid w:val="003E6E9E"/>
    <w:rsid w:val="003E75FE"/>
    <w:rsid w:val="003E7C25"/>
    <w:rsid w:val="003E7D0F"/>
    <w:rsid w:val="003F0686"/>
    <w:rsid w:val="003F09BC"/>
    <w:rsid w:val="003F10F3"/>
    <w:rsid w:val="003F1815"/>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C7F93"/>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3F1C"/>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56D2"/>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246C"/>
    <w:rsid w:val="00A82A64"/>
    <w:rsid w:val="00A8341A"/>
    <w:rsid w:val="00A83B69"/>
    <w:rsid w:val="00A84237"/>
    <w:rsid w:val="00A84BEB"/>
    <w:rsid w:val="00A8626B"/>
    <w:rsid w:val="00A86405"/>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83A"/>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143F"/>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1CC"/>
    <w:rsid w:val="00F153E0"/>
    <w:rsid w:val="00F15BB9"/>
    <w:rsid w:val="00F16262"/>
    <w:rsid w:val="00F1658B"/>
    <w:rsid w:val="00F17107"/>
    <w:rsid w:val="00F17DD6"/>
    <w:rsid w:val="00F2049E"/>
    <w:rsid w:val="00F215A9"/>
    <w:rsid w:val="00F21A6E"/>
    <w:rsid w:val="00F22142"/>
    <w:rsid w:val="00F2226F"/>
    <w:rsid w:val="00F2269F"/>
    <w:rsid w:val="00F226CE"/>
    <w:rsid w:val="00F2381C"/>
    <w:rsid w:val="00F23BB1"/>
    <w:rsid w:val="00F24CCC"/>
    <w:rsid w:val="00F25C93"/>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3D686C41"/>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9"/>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56"/>
      </w:numPr>
      <w:ind w:left="567" w:hanging="567"/>
      <w:outlineLvl w:val="0"/>
    </w:pPr>
    <w:rPr>
      <w:kern w:val="28"/>
    </w:rPr>
  </w:style>
  <w:style w:type="paragraph" w:styleId="Heading2">
    <w:name w:val="heading 2"/>
    <w:aliases w:val=" Char"/>
    <w:basedOn w:val="Normal"/>
    <w:next w:val="Normal"/>
    <w:link w:val="Heading2Char"/>
    <w:qFormat/>
    <w:rsid w:val="00FE59F9"/>
    <w:pPr>
      <w:numPr>
        <w:ilvl w:val="1"/>
        <w:numId w:val="56"/>
      </w:numPr>
      <w:ind w:left="567" w:hanging="567"/>
      <w:outlineLvl w:val="1"/>
    </w:pPr>
  </w:style>
  <w:style w:type="paragraph" w:styleId="Heading3">
    <w:name w:val="heading 3"/>
    <w:basedOn w:val="Normal"/>
    <w:next w:val="Normal"/>
    <w:link w:val="Heading3Char"/>
    <w:qFormat/>
    <w:rsid w:val="00FE59F9"/>
    <w:pPr>
      <w:numPr>
        <w:ilvl w:val="2"/>
        <w:numId w:val="56"/>
      </w:numPr>
      <w:ind w:left="567" w:hanging="567"/>
      <w:outlineLvl w:val="2"/>
    </w:pPr>
  </w:style>
  <w:style w:type="paragraph" w:styleId="Heading4">
    <w:name w:val="heading 4"/>
    <w:basedOn w:val="Normal"/>
    <w:next w:val="Normal"/>
    <w:link w:val="Heading4Char"/>
    <w:qFormat/>
    <w:rsid w:val="00FE59F9"/>
    <w:pPr>
      <w:numPr>
        <w:ilvl w:val="3"/>
        <w:numId w:val="56"/>
      </w:numPr>
      <w:ind w:left="567" w:hanging="567"/>
      <w:outlineLvl w:val="3"/>
    </w:pPr>
  </w:style>
  <w:style w:type="paragraph" w:styleId="Heading5">
    <w:name w:val="heading 5"/>
    <w:basedOn w:val="Normal"/>
    <w:next w:val="Normal"/>
    <w:link w:val="Heading5Char"/>
    <w:qFormat/>
    <w:rsid w:val="00FE59F9"/>
    <w:pPr>
      <w:numPr>
        <w:ilvl w:val="4"/>
        <w:numId w:val="56"/>
      </w:numPr>
      <w:ind w:left="567" w:hanging="567"/>
      <w:outlineLvl w:val="4"/>
    </w:pPr>
  </w:style>
  <w:style w:type="paragraph" w:styleId="Heading6">
    <w:name w:val="heading 6"/>
    <w:basedOn w:val="Normal"/>
    <w:next w:val="Normal"/>
    <w:link w:val="Heading6Char"/>
    <w:qFormat/>
    <w:rsid w:val="00FE59F9"/>
    <w:pPr>
      <w:numPr>
        <w:ilvl w:val="5"/>
        <w:numId w:val="56"/>
      </w:numPr>
      <w:ind w:left="567" w:hanging="567"/>
      <w:outlineLvl w:val="5"/>
    </w:pPr>
  </w:style>
  <w:style w:type="paragraph" w:styleId="Heading7">
    <w:name w:val="heading 7"/>
    <w:basedOn w:val="Normal"/>
    <w:next w:val="Normal"/>
    <w:link w:val="Heading7Char"/>
    <w:qFormat/>
    <w:rsid w:val="00FE59F9"/>
    <w:pPr>
      <w:numPr>
        <w:ilvl w:val="6"/>
        <w:numId w:val="56"/>
      </w:numPr>
      <w:ind w:left="567" w:hanging="567"/>
      <w:outlineLvl w:val="6"/>
    </w:pPr>
  </w:style>
  <w:style w:type="paragraph" w:styleId="Heading8">
    <w:name w:val="heading 8"/>
    <w:basedOn w:val="Normal"/>
    <w:next w:val="Normal"/>
    <w:link w:val="Heading8Char"/>
    <w:qFormat/>
    <w:rsid w:val="00FE59F9"/>
    <w:pPr>
      <w:numPr>
        <w:ilvl w:val="7"/>
        <w:numId w:val="56"/>
      </w:numPr>
      <w:ind w:left="567" w:hanging="567"/>
      <w:outlineLvl w:val="7"/>
    </w:pPr>
  </w:style>
  <w:style w:type="paragraph" w:styleId="Heading9">
    <w:name w:val="heading 9"/>
    <w:basedOn w:val="Normal"/>
    <w:next w:val="Normal"/>
    <w:link w:val="Heading9Char"/>
    <w:qFormat/>
    <w:rsid w:val="00FE59F9"/>
    <w:pPr>
      <w:numPr>
        <w:ilvl w:val="8"/>
        <w:numId w:val="56"/>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it-I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it-I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it-I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it-I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it-I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it-I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it-I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it-I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it-IT"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it-IT"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it-I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it-IT"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it-IT"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it-I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it-I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it-I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it-IT"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it-IT"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it/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Agota.Bazsik@eesc.europa.eu" TargetMode="External"/><Relationship Id="rId39" Type="http://schemas.openxmlformats.org/officeDocument/2006/relationships/customXml" Target="../customXml/item4.xml"/><Relationship Id="rId21" Type="http://schemas.openxmlformats.org/officeDocument/2006/relationships/hyperlink" Target="mailto:Valeria.Atzori@eesc.europa.e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Marie-Laurence.Drillon@eesc.europa.eu" TargetMode="External"/><Relationship Id="rId25" Type="http://schemas.openxmlformats.org/officeDocument/2006/relationships/hyperlink" Target="mailto:Monica.Guarinoni@eesc.europa.eu" TargetMode="External"/><Relationship Id="rId33" Type="http://schemas.openxmlformats.org/officeDocument/2006/relationships/footer" Target="footer4.xml"/><Relationship Id="rId38" Type="http://schemas.openxmlformats.org/officeDocument/2006/relationships/customXml" Target="../customXml/item3.xml"/><Relationship Id="rId16" Type="http://schemas.openxmlformats.org/officeDocument/2006/relationships/hyperlink" Target="mailto:Silvia.Staffa@eesc.europa.eu" TargetMode="External"/><Relationship Id="rId20" Type="http://schemas.openxmlformats.org/officeDocument/2006/relationships/hyperlink" Target="mailto:jeanmarie.rogue@eesc.europa.eu" TargetMode="External"/><Relationship Id="rId29"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header" Target="header3.xml"/><Relationship Id="rId37" Type="http://schemas.openxmlformats.org/officeDocument/2006/relationships/customXml" Target="../customXml/item2.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eader" Target="header1.xml"/><Relationship Id="rId36"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yperlink" Target="mailto:Krisztina.PerlakyToth@eesc.europa.eu" TargetMode="External"/><Relationship Id="rId31"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eanmarie.rogue@eesc.europa.eu" TargetMode="External"/><Relationship Id="rId27" Type="http://schemas.openxmlformats.org/officeDocument/2006/relationships/hyperlink" Target="mailto:Agota.Bazsik@eesc.europa.eu"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IT/TXT/?uri=uriserv:OJ.C_.2017.288.01.0056.01.ITA&amp;toc=OJ:C:2017:288:TOC" TargetMode="External"/><Relationship Id="rId2" Type="http://schemas.openxmlformats.org/officeDocument/2006/relationships/hyperlink" Target="https://eur-lex.europa.eu/legal-content/IT/TXT/?uri=uriserv:OJ.C_.2016.487.01.0113.01.ITA&amp;toc=OJ:C:2016:487:TOC" TargetMode="External"/><Relationship Id="rId1" Type="http://schemas.openxmlformats.org/officeDocument/2006/relationships/hyperlink" Target="https://eur-lex.europa.eu/LexUriServ/LexUriServ.do?uri=OJ:C:2020:311:SOM:ITA:HTML" TargetMode="External"/><Relationship Id="rId5" Type="http://schemas.openxmlformats.org/officeDocument/2006/relationships/hyperlink" Target="https://www.eesc.europa.eu/it/our-work/opinions-information-reports/opinions/freeing-eu-asbestos" TargetMode="External"/><Relationship Id="rId4" Type="http://schemas.openxmlformats.org/officeDocument/2006/relationships/hyperlink" Target="https://eur-lex.europa.eu/LexUriServ/LexUriServ.do?uri=OJ:C:2018:440:SOM:IT: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VV634QRNENMJ-592872750-5807</_dlc_DocId>
    <_dlc_DocIdUrl xmlns="cda99570-6012-4083-bfeb-7d32ad1ce1a3">
      <Url>http://dm2016/eesc/2020/_layouts/15/DocIdRedir.aspx?ID=VV634QRNENMJ-592872750-5807</Url>
      <Description>VV634QRNENMJ-592872750-5807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2020-12-20T12:00:00+00:00</ProductionDate>
    <FicheYear xmlns="cda99570-6012-4083-bfeb-7d32ad1ce1a3">2020</FicheYear>
    <DocumentNumber xmlns="fe314fe7-af03-4a89-9224-0704990312b2">4882</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2021-01-27T12:00:00+00:00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13286</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70E3E78-43DC-4CAA-94DC-BE478F0D1337}"/>
</file>

<file path=customXml/itemProps2.xml><?xml version="1.0" encoding="utf-8"?>
<ds:datastoreItem xmlns:ds="http://schemas.openxmlformats.org/officeDocument/2006/customXml" ds:itemID="{E80F21E0-F1C0-4BD0-B679-1F76775FA799}"/>
</file>

<file path=customXml/itemProps3.xml><?xml version="1.0" encoding="utf-8"?>
<ds:datastoreItem xmlns:ds="http://schemas.openxmlformats.org/officeDocument/2006/customXml" ds:itemID="{78ABD5E6-50A1-4CA9-98DD-11970EC36DEF}"/>
</file>

<file path=customXml/itemProps4.xml><?xml version="1.0" encoding="utf-8"?>
<ds:datastoreItem xmlns:ds="http://schemas.openxmlformats.org/officeDocument/2006/customXml" ds:itemID="{6D02FE65-C746-4B12-BFD6-4A8B2C6E3F8E}"/>
</file>

<file path=docProps/app.xml><?xml version="1.0" encoding="utf-8"?>
<Properties xmlns="http://schemas.openxmlformats.org/officeDocument/2006/extended-properties" xmlns:vt="http://schemas.openxmlformats.org/officeDocument/2006/docPropsVTypes">
  <Template>Styles</Template>
  <TotalTime>16</TotalTime>
  <Pages>13</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 dicembre 2020</dc:title>
  <dc:subject>Lavori consultivi, varie</dc:subject>
  <dc:creator>Marcos Jaime Tornin</dc:creator>
  <cp:keywords>EESC-2020-04882-00-01-TCD-TRA-EN</cp:keywords>
  <dc:description>Rapporteur:  - Original language: EN, FR - Date of document: 20/12/2020 - Date of meeting: 27/01/2021 - External documents:  - Administrator:  DEGIORGIO Reuben</dc:description>
  <cp:lastModifiedBy>Baglieri Francesco</cp:lastModifiedBy>
  <cp:revision>12</cp:revision>
  <cp:lastPrinted>2020-01-07T12:46:00Z</cp:lastPrinted>
  <dcterms:created xsi:type="dcterms:W3CDTF">2020-12-17T08:32:00Z</dcterms:created>
  <dcterms:modified xsi:type="dcterms:W3CDTF">2020-12-20T16:38:00Z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17/12/2020, 27/11/2020, 04/11/2020, 02/10/2020, 31/07/2020, 10/07/2020, 05/06/2020, 17/12/2019, 23/07/2019, 19/07/2019, 27/06/2019, 05/06/2019, 03/05/2019, 13/12/2018, 09/11/2018, 12/07/2018, 23/05/2018, 13/03/2018, 26/02/2018, 14/02/2018, 24/01/2018, 16/</vt:lpwstr>
  </property>
  <property fmtid="{D5CDD505-2E9C-101B-9397-08002B2CF9AE}" pid="4" name="Pref_Time">
    <vt:lpwstr>09:27:11, 16:11:50, 14:44:22, 08:37:38, 09:41:41, 09:57:56, 16:00:49, 12:32:46, 14:11:10, 11:32:00, 12:00:39, 16:39:54, 14:43:22, 11:27:48, 09:10:15, 14:45:38, 09:50:08, 13:54:15, 10:33:11, 11:57:02, 15:31:00, 09:45:52, 11:53:01, 15:00:14, 15:49:39, 15:47</vt:lpwstr>
  </property>
  <property fmtid="{D5CDD505-2E9C-101B-9397-08002B2CF9AE}" pid="5" name="Pref_User">
    <vt:lpwstr>enied, amett, enied, hnic, hnic, hnic, hnic, amett, enied, enied, amett, amett, enied, enied, amett, enied, hnic, mreg, jhvi, mkop, hnic, mkop, amett, jhvi, amett, tvoc, tvoc, tvoc, amett, hnic, mreg, mreg, enied, mreg, jhvi, tvoc, htoo, mreg, tvoc, hnic,</vt:lpwstr>
  </property>
  <property fmtid="{D5CDD505-2E9C-101B-9397-08002B2CF9AE}" pid="6" name="Pref_FileName">
    <vt:lpwstr>EESC-2020-04882-00-01-TCD-ORI.docx, EESC-2020-04882-00-00-TCD-ORI.docx, EESC-2020-04079-00-00-TCD-ORI.docx, EESC-2020-03595-00-00-TCD-ORI.docx, EESC-2020-02810-00-01-TCD-ORI.docx, EESC-2020-02810-00-00-TCD-ORI.docx, EESC-2020-02305-00-00-TCD-ORI.docx,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bcbf29ef-f3cb-4a63-b3e8-c1aeaa6564f2</vt:lpwstr>
  </property>
  <property fmtid="{D5CDD505-2E9C-101B-9397-08002B2CF9AE}" pid="9" name="AvailableTranslations">
    <vt:lpwstr>32;#DA|5d49c027-8956-412b-aa16-e85a0f96ad0e;#24;#LV|46f7e311-5d9f-4663-b433-18aeccb7ace7;#30;#LT|a7ff5ce7-6123-4f68-865a-a57c31810414;#38;#EL|6d4f4d51-af9b-4650-94b4-4276bee85c91;#45;#FI|87606a43-d45f-42d6-b8c9-e1a3457db5b7;#41;#NL|55c6556c-b4f4-441d-9acf-c498d4f838bd;#34;#SL|98a412ae-eb01-49e9-ae3d-585a81724cfc;#29;#PT|50ccc04a-eadd-42ae-a0cb-acaf45f812ba;#48;#RO|feb747a2-64cd-4299-af12-4833ddc30497;#39;#HU|6b229040-c589-4408-b4c1-4285663d20a8;#11;#FR|d2afafd3-4c81-4f60-8f52-ee33f2f54ff3;#31;#CS|72f9705b-0217-4fd3-bea2-cbc7ed80e26e;#13;#IT|0774613c-01ed-4e5d-a25d-11d2388de825;#4;#EN|f2175f21-25d7-44a3-96da-d6a61b075e1b;#46;#SK|46d9fce0-ef79-4f71-b89b-cd6aa82426b8;#44;#BG|1a1b3951-7821-4e6a-85f5-5673fc08bd2c;#47;#ET|ff6c3f4c-b02c-4c3c-ab07-2c37995a7a0a;#9;#PL|1e03da61-4678-4e07-b136-b5024ca9197b;#43;#HR|2f555653-ed1a-4fe6-8362-9082d95989e5;#10;#DE|f6b31e5a-26fa-4935-b661-318e46daf27e;#16;#ES|e7a6b05b-ae16-40c8-add9-68b64b03aeba;#40;#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4882</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2021-01-27T12:00:00Z</vt:filetime>
  </property>
  <property fmtid="{D5CDD505-2E9C-101B-9397-08002B2CF9AE}" pid="29" name="AvailableTranslations_0">
    <vt:lpwstr>DA|5d49c027-8956-412b-aa16-e85a0f96ad0e;LV|46f7e311-5d9f-4663-b433-18aeccb7ace7;EL|6d4f4d51-af9b-4650-94b4-4276bee85c91;FI|87606a43-d45f-42d6-b8c9-e1a3457db5b7;NL|55c6556c-b4f4-441d-9acf-c498d4f838bd;SL|98a412ae-eb01-49e9-ae3d-585a81724cfc;PT|50ccc04a-eadd-42ae-a0cb-acaf45f812ba;FR|d2afafd3-4c81-4f60-8f52-ee33f2f54ff3;CS|72f9705b-0217-4fd3-bea2-cbc7ed80e26e;BG|1a1b3951-7821-4e6a-85f5-5673fc08bd2c;DE|f6b31e5a-26fa-4935-b661-318e46daf27e;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34;#SL|98a412ae-eb01-49e9-ae3d-585a81724cfc;#32;#DA|5d49c027-8956-412b-aa16-e85a0f96ad0e;#31;#CS|72f9705b-0217-4fd3-bea2-cbc7ed80e26e;#29;#PT|50ccc04a-eadd-42ae-a0cb-acaf45f812ba;#24;#LV|46f7e311-5d9f-4663-b433-18aeccb7ace7;#45;#FI|87606a43-d45f-42d6-b8c9-e1a3457db5b7;#16;#ES|e7a6b05b-ae16-40c8-add9-68b64b03aeba;#51;#SPL-CES|32d8cb1f-c9ec-4365-95c7-8385a18618ac;#10;#DE|f6b31e5a-26fa-4935-b661-318e46daf27e;#41;#NL|55c6556c-b4f4-441d-9acf-c498d4f838bd;#11;#FR|d2afafd3-4c81-4f60-8f52-ee33f2f54ff3;#38;#EL|6d4f4d51-af9b-4650-94b4-4276bee85c91;#8;#TCD|cd9d6eb6-3f4f-424a-b2d1-57c9d450eaaf;#44;#BG|1a1b3951-7821-4e6a-85f5-5673fc08bd2c;#6;#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13286</vt:i4>
  </property>
  <property fmtid="{D5CDD505-2E9C-101B-9397-08002B2CF9AE}" pid="37" name="DocumentLanguage">
    <vt:lpwstr>13;#IT|0774613c-01ed-4e5d-a25d-11d2388de825</vt:lpwstr>
  </property>
</Properties>
</file>