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3947529C" w:rsidR="00EA484E" w:rsidRPr="00AC7274" w:rsidRDefault="008D4140" w:rsidP="00EA484E">
      <w:pPr>
        <w:spacing w:line="288" w:lineRule="auto"/>
        <w:jc w:val="center"/>
        <w:rPr>
          <w:rFonts w:ascii="Times New Roman" w:hAnsi="Times New Roman"/>
        </w:rPr>
      </w:pPr>
      <w:r>
        <w:rPr>
          <w:noProof/>
          <w:lang w:val="en-US" w:eastAsia="en-US"/>
        </w:rPr>
        <w:drawing>
          <wp:inline distT="0" distB="0" distL="0" distR="0" wp14:anchorId="14AAC165" wp14:editId="70C53EC3">
            <wp:extent cx="1792605" cy="1239520"/>
            <wp:effectExtent l="0" t="0" r="0" b="0"/>
            <wp:docPr id="1" name="Picture 1" title="EESCLogo_S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0038EBA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SAMMANFATTNING AV RESOLUTIONEN</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Europeiska ekonomiska och sociala kommitténs bidrag</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till Europeiska kommissionens arbetsprogram för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på grundval av arbetet i den</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tillfälliga arbetsgruppen ”EESK:s bidrag till Europeiska kommissionens arbetsprogram för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 xml:space="preserve">Föredragande: </w:t>
      </w:r>
      <w:r>
        <w:rPr>
          <w:rFonts w:ascii="Times New Roman" w:hAnsi="Times New Roman"/>
          <w:b/>
          <w:sz w:val="22"/>
          <w:szCs w:val="22"/>
        </w:rPr>
        <w:t>Petr Zahradník (Gr. I)</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Stefano Palmieri (Gr. II)</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50C3985"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antagen av Europeiska ekonomiska och sociala kommittén</w:t>
      </w:r>
      <w:r>
        <w:rPr>
          <w:rFonts w:ascii="Times New Roman" w:hAnsi="Times New Roman"/>
          <w:sz w:val="22"/>
          <w:szCs w:val="22"/>
        </w:rPr>
        <w:br/>
        <w:t>den 16</w:t>
      </w:r>
      <w:r w:rsidR="00E62A0D">
        <w:rPr>
          <w:rFonts w:ascii="Times New Roman" w:hAnsi="Times New Roman"/>
          <w:sz w:val="22"/>
          <w:szCs w:val="22"/>
        </w:rPr>
        <w:t> </w:t>
      </w:r>
      <w:r>
        <w:rPr>
          <w:rFonts w:ascii="Times New Roman" w:hAnsi="Times New Roman"/>
          <w:sz w:val="22"/>
          <w:szCs w:val="22"/>
        </w:rPr>
        <w:t>juli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0E17192D"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rPr>
        <w:lastRenderedPageBreak/>
        <w:t>Som EESK påpekade i sin resolution ”EESK:s förslag till återuppbyggnad och återhämtning efter covid-19-krisen”</w:t>
      </w:r>
      <w:r w:rsidRPr="00AC7274">
        <w:rPr>
          <w:rFonts w:ascii="Times New Roman" w:hAnsi="Times New Roman"/>
          <w:vertAlign w:val="superscript"/>
          <w:lang w:val="en-GB" w:eastAsia="en-US"/>
        </w:rPr>
        <w:footnoteReference w:id="1"/>
      </w:r>
      <w:r>
        <w:rPr>
          <w:rFonts w:ascii="Times New Roman" w:hAnsi="Times New Roman"/>
        </w:rPr>
        <w:t xml:space="preserve"> välkomnar EESK varmt och stöder fullt ut Europeiska kommissionens förslag: Next Generation EU-planen och den övergripande EU-budgeten för 2021–2027.</w:t>
      </w:r>
      <w:r>
        <w:rPr>
          <w:rFonts w:ascii="Times New Roman" w:hAnsi="Times New Roman"/>
          <w:sz w:val="22"/>
          <w:szCs w:val="22"/>
        </w:rPr>
        <w:t xml:space="preserve"> Kommittén hoppas och förväntar sig att de huvuddrag som kommissionen fastställer i dessa planer fullt ut oc</w:t>
      </w:r>
      <w:r w:rsidR="00E62A0D">
        <w:rPr>
          <w:rFonts w:ascii="Times New Roman" w:hAnsi="Times New Roman"/>
          <w:sz w:val="22"/>
          <w:szCs w:val="22"/>
        </w:rPr>
        <w:t>h konkret kommer att utvidgas i </w:t>
      </w:r>
      <w:r>
        <w:rPr>
          <w:rFonts w:ascii="Times New Roman" w:hAnsi="Times New Roman"/>
          <w:sz w:val="22"/>
          <w:szCs w:val="22"/>
        </w:rPr>
        <w:t>kommissionens arbetsprogram för 2021 på grund av behovet av återhämtning och återuppbyggnad efter coronakrisen.</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För EESK bör arbetsprogrammet vara inriktat på att återuppbygga och förbättra vår ekonomi och vårt samhälle, och baseras på följande principer: skydda de mänskliga och sociala rättigheterna, de demokratiska värdena och rättsstatsprincipen, utnyttja den inre marknadens fulla potential, uppnå målen för hållbar utveckling, skapa en cirkulär ekonomi och uppnå klimatneutralitet i EU senast 2050 samt säkerställa god samhällsstyrning och demokratisk ansvarsskyldighet.</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EESK understryker att de sex övergripande ambitioner som kommissionen valt (en europeisk grön giv, ett Europa rustat för den digitala tidsåldern, en ekonomi för människor, ett starkare Europa i världen, främjande av vår europeiska livsstil och en ny satsning på demokrati i Europa) erbjuder en kraftfull ram för utarbetandet av arbetsprogrammet för 2021. Kanske borde ett mer uttryckligt fokus läggas på investeringar och behovet att påskynda dem, även tack vare de åtgärder som för närvarande vidtas.</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Särskilt nu när vi märker vikten av samarbete mellan länderna i denna tid av kris hoppas EESK att den kommande konferensen om Europas framtid leder till att man stärker och fördjupar EU:s institutionella struktur och till en verklig nystart för EU-projektet, så att unionen kan möta de kommande årtiondenas utmaningar. Kommissionen kan därför räkna med kommitténs fulla stöd.</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Kommittén är övertygad om att processen för återhämtning i och återuppbyggnad av ekonomin och samhället endast kommer att vara möjlig om det civila samhällets organisationer och arbetsmarknadens parter deltar aktivt.</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EU:s gröna giv kan också ses som ett ändamålsenligt verktyg för att på ett hållbart sätt omstarta ekonomin genom massiva investeringar som stöder de nödvändiga strukturändringar som Europa står inför. Ur detta perspektiv kan den anses utgöra en möjlighet att stödja en ekonomisk återhämtning på längre sikt. Det behövs ett nytt samförstånd i Europa för att för detta syfte samla tillräckligt med offentliga och privata finansieringskällor och anta en ny styrning för att framgångsrikt genomföra den gröna given i praktiken.</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Offentliga medel som investeras i återhämtningsplaner bör inte bara bidra till att återställa Europas ekonomi och samhälle utan också till att drastiskt minska följderna av ytterligare chocker genom investeringar i en motståndskraftig, inkluderande och klimatvänlig ekonomi (en s.k. välfärdsekonomi). </w:t>
      </w:r>
    </w:p>
    <w:p w14:paraId="654FCC30" w14:textId="77777777" w:rsidR="00797347" w:rsidRPr="00395CE4" w:rsidRDefault="00797347" w:rsidP="00E62A0D">
      <w:pPr>
        <w:pStyle w:val="ListParagraph"/>
        <w:ind w:left="567" w:hanging="567"/>
        <w:jc w:val="both"/>
        <w:outlineLvl w:val="1"/>
        <w:rPr>
          <w:rFonts w:ascii="Times New Roman" w:eastAsia="Times New Roman" w:hAnsi="Times New Roman"/>
          <w:sz w:val="22"/>
          <w:szCs w:val="22"/>
          <w:lang w:val="en-GB" w:eastAsia="en-US"/>
        </w:rPr>
      </w:pPr>
    </w:p>
    <w:p w14:paraId="4CF873A2" w14:textId="77777777" w:rsidR="00797347" w:rsidRPr="00395CE4" w:rsidRDefault="00797347"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EU:s klassificering av hållbar finansiering bör styra offentliga och privata investeringar genom hela återhämtningen för att påskynda omställningen från förorenande sektorer till gröna sektorer.</w:t>
      </w:r>
    </w:p>
    <w:p w14:paraId="67C0400C" w14:textId="1779E3BE" w:rsidR="00EA484E" w:rsidRPr="00395CE4" w:rsidRDefault="00797347"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Coronakrisen visar att den digitala revolutionen är en viktig faktor för att öka våra samhällens motståndskraft mot kriser. Det är av yttersta vikt att det investeras i digitalisering av väsentliga tjänster och att regeringarnas, lagstiftarnas och de offentliga institutionernas förmåga att tillhandahålla sina tjänster under en kris förbättras.</w:t>
      </w:r>
    </w:p>
    <w:p w14:paraId="3A22B508" w14:textId="77777777" w:rsidR="00797347" w:rsidRPr="00395CE4" w:rsidRDefault="00797347" w:rsidP="00E62A0D">
      <w:pPr>
        <w:pStyle w:val="ListParagraph"/>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Kommissionen uppmanas att fortsätta använda planeringsterminen som en drivkraft för återhämtning på grundval av de investerings- och reformprioriteringar som fastställts som en del av den europeiska planeringsterminen. Den tonvikt som på senare tid lagts på en bättre inkludering av sociala frågor och den europeiska gröna given välkomnas av kommittén, liksom genomförandet av faciliteten för återhämtning och resiliens via planeringsterminen. </w:t>
      </w:r>
    </w:p>
    <w:p w14:paraId="3C3DB9C8" w14:textId="77777777" w:rsidR="00695B6E" w:rsidRPr="00395CE4" w:rsidRDefault="00695B6E" w:rsidP="00E62A0D">
      <w:pPr>
        <w:pStyle w:val="ListParagraph"/>
        <w:ind w:left="0"/>
        <w:jc w:val="both"/>
        <w:rPr>
          <w:rFonts w:ascii="Times New Roman" w:eastAsia="Times New Roman" w:hAnsi="Times New Roman"/>
          <w:sz w:val="22"/>
          <w:szCs w:val="22"/>
          <w:lang w:val="en-GB" w:eastAsia="en-US"/>
        </w:rPr>
      </w:pPr>
    </w:p>
    <w:p w14:paraId="4A80875C" w14:textId="4AFB6E72" w:rsidR="00797347" w:rsidRPr="00395CE4" w:rsidRDefault="00797347"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Det finns en möjlighet i att främja social innovation som en modell för återhämtning genom gemensamt skapande, gemensam utformning och samproduktion. Det organiserade civila samhället är en katalysator för social innovation, en rörelse som har bidragit till att utforma välfärdssystem som lett till nya strategier, strukturer, produkter, tjänster och arbetsmetoder.  Det civila samhällets deltagande behövs nu mer än någonsin – men äkta social innovation sker bara när det organiserade civila samhället är delaktigt.</w:t>
      </w:r>
    </w:p>
    <w:p w14:paraId="1385EF6C" w14:textId="77777777" w:rsidR="00A1546D" w:rsidRPr="00395CE4" w:rsidRDefault="00A1546D" w:rsidP="00E62A0D">
      <w:pPr>
        <w:pStyle w:val="ListParagraph"/>
        <w:ind w:left="0"/>
        <w:jc w:val="both"/>
        <w:rPr>
          <w:rFonts w:ascii="Times New Roman" w:eastAsia="Times New Roman" w:hAnsi="Times New Roman"/>
          <w:sz w:val="22"/>
          <w:szCs w:val="22"/>
          <w:lang w:val="en-GB" w:eastAsia="en-US"/>
        </w:rPr>
      </w:pPr>
    </w:p>
    <w:p w14:paraId="4B3A6FD5" w14:textId="2AC8F4EA" w:rsidR="00A1546D" w:rsidRPr="00395CE4" w:rsidRDefault="00A1546D"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Framför allt är en av de viktigaste lärdomarna av coronakrisen att hälso- och sjukvårdssystemen i nästan alla europeiska länder måste stärkas, först och främst genom att man fokuserar på förebyggande åtgärder. Även om ansvaret för hälso- och sjukvården är en nationell befogenhet, är spridningen av viruset inte bunden av gränser. Den påverkar hela Europa både inom och utanför våra gränser med sanitära, sociala och ekonomiska konsekvenser som kräver gemensamma insatser på europeisk nivå.</w:t>
      </w:r>
    </w:p>
    <w:p w14:paraId="2D20D300" w14:textId="77777777" w:rsidR="00A1546D" w:rsidRPr="00395CE4" w:rsidRDefault="00A1546D" w:rsidP="00E62A0D">
      <w:pPr>
        <w:pStyle w:val="ListParagraph"/>
        <w:ind w:left="567" w:hanging="567"/>
        <w:jc w:val="both"/>
        <w:outlineLvl w:val="1"/>
        <w:rPr>
          <w:rFonts w:ascii="Times New Roman" w:eastAsia="Times New Roman" w:hAnsi="Times New Roman"/>
          <w:sz w:val="22"/>
          <w:szCs w:val="22"/>
          <w:lang w:val="en-GB" w:eastAsia="en-US"/>
        </w:rPr>
      </w:pPr>
    </w:p>
    <w:p w14:paraId="108C4A04" w14:textId="48D5C8C7" w:rsidR="00A1546D" w:rsidRPr="00395CE4" w:rsidRDefault="00A1546D" w:rsidP="00E62A0D">
      <w:pPr>
        <w:pStyle w:val="ListParagraph"/>
        <w:numPr>
          <w:ilvl w:val="0"/>
          <w:numId w:val="2"/>
        </w:numPr>
        <w:ind w:left="567" w:hanging="567"/>
        <w:jc w:val="both"/>
        <w:outlineLvl w:val="1"/>
        <w:rPr>
          <w:rFonts w:ascii="Times New Roman" w:eastAsia="Times New Roman" w:hAnsi="Times New Roman"/>
          <w:sz w:val="22"/>
          <w:szCs w:val="22"/>
        </w:rPr>
      </w:pPr>
      <w:r>
        <w:rPr>
          <w:rFonts w:ascii="Times New Roman" w:hAnsi="Times New Roman"/>
          <w:sz w:val="22"/>
          <w:szCs w:val="22"/>
        </w:rPr>
        <w:t>EU behöver stärka och stödja sin globala ställning när det gäller att spela en viktigare och mer strategisk roll i världsekonomin såväl som inom politiken. EU:s ekonomi har potential att bättre utnyttja sina komparativa fördelar på den globala handel</w:t>
      </w:r>
      <w:r w:rsidR="00E62A0D">
        <w:rPr>
          <w:rFonts w:ascii="Times New Roman" w:hAnsi="Times New Roman"/>
          <w:sz w:val="22"/>
          <w:szCs w:val="22"/>
        </w:rPr>
        <w:t>s- och investeringsmarknaden, i </w:t>
      </w:r>
      <w:r>
        <w:rPr>
          <w:rFonts w:ascii="Times New Roman" w:hAnsi="Times New Roman"/>
          <w:sz w:val="22"/>
          <w:szCs w:val="22"/>
        </w:rPr>
        <w:t>synnerhet inom avancerad tillverkning och innovativa tjänster, åtföljt av en ambition att bli världsledande. Denna ansträngning bör åtföljas av en bättre och mer ändamålsenlig representation av EU i centrala globala organisationer och av samstämmighet där. EESK uppmanar kommissionen att göra en relevant ansträngning för att mer specifikt återspegla behovet att stärka EU:s globala ställning i sitt arbetsprogram för 2021.</w:t>
      </w:r>
    </w:p>
    <w:p w14:paraId="5114F866" w14:textId="77777777" w:rsidR="00695B6E" w:rsidRPr="00395CE4" w:rsidRDefault="00695B6E" w:rsidP="00E62A0D">
      <w:pPr>
        <w:pStyle w:val="ListParagraph"/>
        <w:ind w:left="567" w:hanging="567"/>
        <w:jc w:val="both"/>
        <w:outlineLvl w:val="1"/>
        <w:rPr>
          <w:rFonts w:ascii="Times New Roman" w:eastAsia="Times New Roman" w:hAnsi="Times New Roman"/>
          <w:sz w:val="22"/>
          <w:szCs w:val="22"/>
          <w:lang w:val="en-GB" w:eastAsia="en-US"/>
        </w:rPr>
      </w:pPr>
    </w:p>
    <w:p w14:paraId="6903AF7B" w14:textId="2EF24674" w:rsidR="00695B6E" w:rsidRPr="00395CE4" w:rsidRDefault="00A1546D" w:rsidP="00E62A0D">
      <w:pPr>
        <w:pStyle w:val="ListParagraph"/>
        <w:numPr>
          <w:ilvl w:val="0"/>
          <w:numId w:val="2"/>
        </w:numPr>
        <w:ind w:left="567" w:hanging="567"/>
        <w:jc w:val="both"/>
        <w:outlineLvl w:val="1"/>
        <w:rPr>
          <w:rFonts w:ascii="Times New Roman" w:hAnsi="Times New Roman"/>
          <w:sz w:val="22"/>
          <w:szCs w:val="22"/>
        </w:rPr>
      </w:pPr>
      <w:r>
        <w:rPr>
          <w:rFonts w:ascii="Times New Roman" w:hAnsi="Times New Roman"/>
          <w:sz w:val="22"/>
          <w:szCs w:val="22"/>
        </w:rPr>
        <w:t>Utöver ekonomiska frågor och miljöfrågor måste EU:s arbetsprogram för 2021 drivas av den sociala dimensionen. Det här innebär att åtagandet om ett socialt och hållbart Europa ska prioriteras. Här spelar även det civila samhällets organisationer en viktig roll.</w:t>
      </w:r>
    </w:p>
    <w:p w14:paraId="1F858B09" w14:textId="77777777" w:rsidR="00695B6E" w:rsidRPr="00395CE4" w:rsidRDefault="00695B6E" w:rsidP="00E62A0D">
      <w:pPr>
        <w:pStyle w:val="ListParagraph"/>
        <w:ind w:left="0"/>
        <w:jc w:val="both"/>
        <w:outlineLvl w:val="1"/>
        <w:rPr>
          <w:rFonts w:ascii="Times New Roman" w:hAnsi="Times New Roman"/>
          <w:sz w:val="22"/>
          <w:szCs w:val="22"/>
          <w:lang w:val="en-GB"/>
        </w:rPr>
      </w:pPr>
    </w:p>
    <w:p w14:paraId="73255230" w14:textId="500D09E0" w:rsidR="00695B6E" w:rsidRPr="00395CE4" w:rsidRDefault="00A1546D" w:rsidP="00E62A0D">
      <w:pPr>
        <w:pStyle w:val="ListParagraph"/>
        <w:numPr>
          <w:ilvl w:val="0"/>
          <w:numId w:val="2"/>
        </w:numPr>
        <w:ind w:left="567" w:hanging="567"/>
        <w:jc w:val="both"/>
        <w:outlineLvl w:val="1"/>
        <w:rPr>
          <w:rFonts w:ascii="Times New Roman" w:hAnsi="Times New Roman"/>
          <w:sz w:val="22"/>
          <w:szCs w:val="22"/>
        </w:rPr>
      </w:pPr>
      <w:r>
        <w:rPr>
          <w:rFonts w:ascii="Times New Roman" w:hAnsi="Times New Roman"/>
          <w:sz w:val="22"/>
          <w:szCs w:val="22"/>
        </w:rPr>
        <w:t>EESK ger sitt fulla stöd till kommissionens förslag om att utarbeta en ”europeisk handlingsplan för demokrati” som bör vara omfattande och kontinuerlig, med förmåga att åstadkomma förändring, och underbyggd av ekonomiskt stöd och interinstitutionell samordning.</w:t>
      </w:r>
    </w:p>
    <w:p w14:paraId="1F40C220" w14:textId="475B4AEC" w:rsidR="00395CE4" w:rsidRPr="00395CE4" w:rsidRDefault="00395CE4" w:rsidP="00E62A0D">
      <w:pPr>
        <w:jc w:val="both"/>
        <w:outlineLvl w:val="1"/>
        <w:rPr>
          <w:rFonts w:ascii="Times New Roman" w:hAnsi="Times New Roman"/>
          <w:sz w:val="22"/>
          <w:szCs w:val="22"/>
          <w:lang w:val="en-GB"/>
        </w:rPr>
      </w:pPr>
    </w:p>
    <w:p w14:paraId="620BA47D" w14:textId="77777777" w:rsidR="00395CE4" w:rsidRPr="00AC7274" w:rsidRDefault="00395CE4" w:rsidP="00E62A0D">
      <w:pPr>
        <w:overflowPunct w:val="0"/>
        <w:autoSpaceDE w:val="0"/>
        <w:autoSpaceDN w:val="0"/>
        <w:adjustRightInd w:val="0"/>
        <w:jc w:val="center"/>
        <w:textAlignment w:val="baseline"/>
      </w:pPr>
      <w:r>
        <w:t>_____________</w:t>
      </w:r>
    </w:p>
    <w:p w14:paraId="5514C873" w14:textId="698C671E" w:rsidR="00395CE4" w:rsidRPr="00395CE4" w:rsidRDefault="00395CE4" w:rsidP="00E62A0D">
      <w:pPr>
        <w:tabs>
          <w:tab w:val="left" w:pos="1647"/>
        </w:tabs>
        <w:rPr>
          <w:rFonts w:ascii="Times New Roman" w:hAnsi="Times New Roman"/>
          <w:sz w:val="22"/>
          <w:szCs w:val="22"/>
          <w:lang w:val="en-GB"/>
        </w:rPr>
      </w:pPr>
      <w:bookmarkStart w:id="0" w:name="_GoBack"/>
      <w:bookmarkEnd w:id="0"/>
    </w:p>
    <w:sectPr w:rsidR="00395CE4" w:rsidRPr="00395CE4"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4B057139"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E62A0D">
      <w:rPr>
        <w:noProof/>
      </w:rPr>
      <w:t>3</w:t>
    </w:r>
    <w:r>
      <w:fldChar w:fldCharType="end"/>
    </w:r>
    <w:r>
      <w:t>/</w:t>
    </w:r>
    <w:r w:rsidR="00E62A0D">
      <w:fldChar w:fldCharType="begin"/>
    </w:r>
    <w:r w:rsidR="00E62A0D">
      <w:instrText xml:space="preserve"> NUMPAGES </w:instrText>
    </w:r>
    <w:r w:rsidR="00E62A0D">
      <w:fldChar w:fldCharType="separate"/>
    </w:r>
    <w:r w:rsidR="00E62A0D">
      <w:rPr>
        <w:noProof/>
      </w:rPr>
      <w:t>3</w:t>
    </w:r>
    <w:r w:rsidR="00E62A0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Resolution om tiden efter covid-19-krisen</w:t>
        </w:r>
      </w:hyperlink>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747CA5"/>
    <w:rsid w:val="00765063"/>
    <w:rsid w:val="00797347"/>
    <w:rsid w:val="008D4140"/>
    <w:rsid w:val="00A1546D"/>
    <w:rsid w:val="00AC7274"/>
    <w:rsid w:val="00C12343"/>
    <w:rsid w:val="00D41E97"/>
    <w:rsid w:val="00E62A0D"/>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sv-SE"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sv-SE"/>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sv-SE"/>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sv-SE"/>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sv-SE"/>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sv-SE"/>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sv-SE"/>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sv-SE"/>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sv-SE"/>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sv-SE"/>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sv-SE"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sv-SE"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sv-SE"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sv-SE"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sv/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VV634QRNENMJ-762678085-1623</_dlc_DocId>
    <_dlc_DocIdUrl xmlns="cda99570-6012-4083-bfeb-7d32ad1ce1a3">
      <Url>http://dm2016/eesc/2020/_layouts/15/DocIdRedir.aspx?ID=VV634QRNENMJ-762678085-1623</Url>
      <Description>VV634QRNENMJ-762678085-1623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2EB932-1164-4F4A-AC83-6CA5FCF44CEC}"/>
</file>

<file path=customXml/itemProps2.xml><?xml version="1.0" encoding="utf-8"?>
<ds:datastoreItem xmlns:ds="http://schemas.openxmlformats.org/officeDocument/2006/customXml" ds:itemID="{383EB42B-7E96-4213-A6FA-D631A1F2A13F}"/>
</file>

<file path=customXml/itemProps3.xml><?xml version="1.0" encoding="utf-8"?>
<ds:datastoreItem xmlns:ds="http://schemas.openxmlformats.org/officeDocument/2006/customXml" ds:itemID="{3A3487EE-09B5-476E-B15A-899F05EE5BFC}"/>
</file>

<file path=customXml/itemProps4.xml><?xml version="1.0" encoding="utf-8"?>
<ds:datastoreItem xmlns:ds="http://schemas.openxmlformats.org/officeDocument/2006/customXml" ds:itemID="{78411A9A-B735-4BD3-8E72-2834E77C4880}"/>
</file>

<file path=docProps/app.xml><?xml version="1.0" encoding="utf-8"?>
<Properties xmlns="http://schemas.openxmlformats.org/officeDocument/2006/extended-properties" xmlns:vt="http://schemas.openxmlformats.org/officeDocument/2006/docPropsVTypes">
  <Template>Styles</Template>
  <TotalTime>2</TotalTime>
  <Pages>3</Pages>
  <Words>990</Words>
  <Characters>5645</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Sammanfattning - EESK:s förslag till Europeiska kommissionens arbetsprogram för 2021</dc:title>
  <dc:subject>Övriga dokument</dc:subject>
  <dc:creator>Jan Dirx</dc:creator>
  <cp:keywords>EESC-2020-03155-00-00-TCD-TRA-EN</cp:keywords>
  <dc:description>Rapporteur:  - Original language: EN - Date of document: 20/07/2020 - Date of meeting: 15/07/2020 - External documents:  - Administrator: M. COSMAI Domenico</dc:description>
  <cp:lastModifiedBy>Nakou Kadi</cp:lastModifiedBy>
  <cp:revision>7</cp:revision>
  <dcterms:created xsi:type="dcterms:W3CDTF">2020-07-17T14:51:00Z</dcterms:created>
  <dcterms:modified xsi:type="dcterms:W3CDTF">2020-07-20T07:20:00Z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faed4af1-ec81-443a-9c2e-8aaba58d7dca</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S|e7a6b05b-ae16-40c8-add9-68b64b03aeba;IT|0774613c-01ed-4e5d-a25d-11d2388de825;PT|50ccc04a-eadd-42ae-a0cb-acaf45f812ba;EN|f2175f21-25d7-44a3-96da-d6a61b075e1b;SK|46d9fce0-ef79-4f71-b89b-cd6aa82426b8;EL|6d4f4d51-af9b-4650-94b4-4276bee85c91;HR|2f555653-ed1a-4fe6-8362-9082d95989e5;CS|72f9705b-0217-4fd3-bea2-cbc7ed80e26e;RO|feb747a2-64cd-4299-af12-4833ddc30497;DE|f6b31e5a-26fa-4935-b661-318e46daf27e;ET|ff6c3f4c-b02c-4c3c-ab07-2c37995a7a0a;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43;#HR|2f555653-ed1a-4fe6-8362-9082d95989e5;#29;#PT|50ccc04a-eadd-42ae-a0cb-acaf45f812ba;#38;#EL|6d4f4d51-af9b-4650-94b4-4276bee85c91;#39;#HU|6b229040-c589-4408-b4c1-4285663d20a8;#16;#ES|e7a6b05b-ae16-40c8-add9-68b64b03aeba;#51;#SPL-CES|32d8cb1f-c9ec-4365-95c7-8385a18618ac;#13;#IT|0774613c-01ed-4e5d-a25d-11d2388de825;#48;#RO|feb747a2-64cd-4299-af12-4833ddc30497;#10;#DE|f6b31e5a-26fa-4935-b661-318e46daf27e;#46;#SK|46d9fce0-ef79-4f71-b89b-cd6aa82426b8;#8;#TCD|cd9d6eb6-3f4f-424a-b2d1-57c9d450eaaf;#44;#BG|1a1b3951-7821-4e6a-85f5-5673fc08bd2c;#6;#Final|ea5e6674-7b27-4bac-b091-73adbb394efe;#5;#Unrestricted|826e22d7-d029-4ec0-a450-0c28ff673572;#4;#EN|f2175f21-25d7-44a3-96da-d6a61b075e1b;#2;#TRA|150d2a88-1431-44e6-a8ca-0bb753ab8672;#1;#EESC|422833ec-8d7e-4e65-8e4e-8bed07ffb729;#47;#ET|ff6c3f4c-b02c-4c3c-ab07-2c37995a7a0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40;#SV|c2ed69e7-a339-43d7-8f22-d93680a92aa0</vt:lpwstr>
  </property>
</Properties>
</file>