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B964C" w14:textId="0F306977" w:rsidR="00EA484E" w:rsidRPr="00703453" w:rsidRDefault="00D4109E" w:rsidP="00703453">
      <w:pPr>
        <w:jc w:val="center"/>
      </w:pPr>
      <w:bookmarkStart w:id="0" w:name="_GoBack"/>
      <w:bookmarkEnd w:id="0"/>
      <w:r w:rsidRPr="00703453">
        <w:rPr>
          <w:noProof/>
          <w:lang w:val="en-GB" w:eastAsia="en-GB"/>
        </w:rPr>
        <w:drawing>
          <wp:inline distT="0" distB="0" distL="0" distR="0" wp14:anchorId="68FC8F5A" wp14:editId="48A8E129">
            <wp:extent cx="1792605" cy="1239520"/>
            <wp:effectExtent l="0" t="0" r="0" b="0"/>
            <wp:docPr id="1" name="Picture 1" title="EESCLogo_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84E" w:rsidRPr="00703453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BDDC625" wp14:editId="4F4AC2AF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5B874" w14:textId="77777777" w:rsidR="00EA484E" w:rsidRPr="00703453" w:rsidRDefault="00EA484E" w:rsidP="00EA48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703453"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DC62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14:paraId="7A25B874" w14:textId="77777777" w:rsidR="00EA484E" w:rsidRPr="00703453" w:rsidRDefault="00EA484E" w:rsidP="00EA484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 w:rsidRPr="00703453">
                        <w:rPr>
                          <w:rFonts w:ascii="Arial" w:hAnsi="Arial"/>
                          <w:b/>
                          <w:bCs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F1EE07" w14:textId="77777777" w:rsidR="00EA484E" w:rsidRPr="00703453" w:rsidRDefault="00EA484E" w:rsidP="00703453"/>
    <w:p w14:paraId="5B45454E" w14:textId="77777777" w:rsidR="00EA484E" w:rsidRPr="00703453" w:rsidRDefault="00EA484E" w:rsidP="00703453"/>
    <w:p w14:paraId="0B80951C" w14:textId="77777777" w:rsidR="00EA484E" w:rsidRPr="00703453" w:rsidRDefault="00EA484E" w:rsidP="00703453"/>
    <w:p w14:paraId="5EE5097E" w14:textId="77777777" w:rsidR="00EA484E" w:rsidRPr="00703453" w:rsidRDefault="00EA484E" w:rsidP="00703453"/>
    <w:p w14:paraId="13AA1B11" w14:textId="77777777" w:rsidR="00EA484E" w:rsidRPr="00703453" w:rsidRDefault="00EA484E" w:rsidP="00703453"/>
    <w:p w14:paraId="7FDD0B0D" w14:textId="77777777" w:rsidR="00EA484E" w:rsidRPr="00703453" w:rsidRDefault="00EA484E" w:rsidP="00703453"/>
    <w:p w14:paraId="5DFDF48C" w14:textId="77777777" w:rsidR="00EA484E" w:rsidRPr="00703453" w:rsidRDefault="00EA484E" w:rsidP="00703453"/>
    <w:p w14:paraId="729B7E64" w14:textId="77777777" w:rsidR="00EA484E" w:rsidRPr="00703453" w:rsidRDefault="00EA484E" w:rsidP="00703453">
      <w:pPr>
        <w:rPr>
          <w:b/>
        </w:rPr>
      </w:pPr>
    </w:p>
    <w:p w14:paraId="524CB2DF" w14:textId="70941331" w:rsidR="00EA484E" w:rsidRPr="00703453" w:rsidRDefault="00EA484E" w:rsidP="00703453">
      <w:pPr>
        <w:jc w:val="center"/>
        <w:rPr>
          <w:b/>
          <w:sz w:val="28"/>
          <w:szCs w:val="28"/>
        </w:rPr>
      </w:pPr>
      <w:r w:rsidRPr="00703453">
        <w:rPr>
          <w:b/>
          <w:sz w:val="28"/>
          <w:szCs w:val="28"/>
        </w:rPr>
        <w:t>ZHRNUTIE UZNESENIA</w:t>
      </w:r>
    </w:p>
    <w:p w14:paraId="6376E841" w14:textId="77777777" w:rsidR="00EA484E" w:rsidRPr="00703453" w:rsidRDefault="00EA484E" w:rsidP="00703453">
      <w:pPr>
        <w:jc w:val="center"/>
        <w:rPr>
          <w:b/>
        </w:rPr>
      </w:pPr>
    </w:p>
    <w:p w14:paraId="4AFEA1A9" w14:textId="113CF049" w:rsidR="00EA484E" w:rsidRPr="00703453" w:rsidRDefault="00564EA0" w:rsidP="00703453">
      <w:pPr>
        <w:jc w:val="center"/>
        <w:rPr>
          <w:b/>
          <w:i/>
        </w:rPr>
      </w:pPr>
      <w:r w:rsidRPr="00703453">
        <w:rPr>
          <w:b/>
          <w:bCs/>
          <w:iCs/>
        </w:rPr>
        <w:t>Príspevok Európskeho hospodárskeho</w:t>
      </w:r>
      <w:r w:rsidR="00703453">
        <w:rPr>
          <w:b/>
          <w:bCs/>
          <w:iCs/>
        </w:rPr>
        <w:t xml:space="preserve"> a </w:t>
      </w:r>
      <w:r w:rsidRPr="00703453">
        <w:rPr>
          <w:b/>
          <w:bCs/>
          <w:iCs/>
        </w:rPr>
        <w:t>sociálneho výboru</w:t>
      </w:r>
      <w:r w:rsidR="00703453">
        <w:rPr>
          <w:b/>
          <w:bCs/>
          <w:iCs/>
        </w:rPr>
        <w:t xml:space="preserve"> </w:t>
      </w:r>
      <w:r w:rsidR="00007258">
        <w:rPr>
          <w:b/>
          <w:bCs/>
          <w:iCs/>
        </w:rPr>
        <w:br/>
      </w:r>
      <w:r w:rsidR="00703453">
        <w:rPr>
          <w:b/>
          <w:bCs/>
          <w:iCs/>
        </w:rPr>
        <w:t>k </w:t>
      </w:r>
      <w:r w:rsidRPr="00703453">
        <w:rPr>
          <w:b/>
          <w:bCs/>
          <w:iCs/>
        </w:rPr>
        <w:t>pracovnému programu Európskej komisie na rok 2021</w:t>
      </w:r>
    </w:p>
    <w:p w14:paraId="258CA404" w14:textId="77777777" w:rsidR="00EA484E" w:rsidRPr="00703453" w:rsidRDefault="00EA484E" w:rsidP="00703453">
      <w:pPr>
        <w:jc w:val="center"/>
        <w:rPr>
          <w:b/>
          <w:i/>
        </w:rPr>
      </w:pPr>
    </w:p>
    <w:p w14:paraId="1F7CFC34" w14:textId="77777777" w:rsidR="00EA484E" w:rsidRPr="00703453" w:rsidRDefault="00EA484E" w:rsidP="00703453">
      <w:pPr>
        <w:jc w:val="center"/>
        <w:rPr>
          <w:b/>
        </w:rPr>
      </w:pPr>
    </w:p>
    <w:p w14:paraId="18E42D10" w14:textId="77777777" w:rsidR="00EA484E" w:rsidRPr="00703453" w:rsidRDefault="00EA484E" w:rsidP="00703453">
      <w:pPr>
        <w:jc w:val="center"/>
        <w:rPr>
          <w:b/>
        </w:rPr>
      </w:pPr>
    </w:p>
    <w:p w14:paraId="04A16DF2" w14:textId="77777777" w:rsidR="00EA484E" w:rsidRPr="00703453" w:rsidRDefault="00EA484E" w:rsidP="00703453">
      <w:pPr>
        <w:jc w:val="center"/>
        <w:rPr>
          <w:b/>
        </w:rPr>
      </w:pPr>
    </w:p>
    <w:p w14:paraId="3AED97B6" w14:textId="0B5292F0" w:rsidR="00EA484E" w:rsidRPr="00703453" w:rsidRDefault="00EA484E" w:rsidP="00703453">
      <w:pPr>
        <w:jc w:val="center"/>
        <w:rPr>
          <w:b/>
        </w:rPr>
      </w:pPr>
      <w:r w:rsidRPr="00703453">
        <w:rPr>
          <w:b/>
        </w:rPr>
        <w:t>na základe práce</w:t>
      </w:r>
      <w:r w:rsidRPr="00703453">
        <w:rPr>
          <w:b/>
        </w:rPr>
        <w:br/>
      </w:r>
      <w:r w:rsidRPr="00703453">
        <w:rPr>
          <w:b/>
        </w:rPr>
        <w:br/>
        <w:t xml:space="preserve">skupiny </w:t>
      </w:r>
      <w:r w:rsidRPr="00703453">
        <w:rPr>
          <w:b/>
          <w:i/>
          <w:iCs/>
        </w:rPr>
        <w:t>ad hoc</w:t>
      </w:r>
      <w:r w:rsidRPr="00703453">
        <w:rPr>
          <w:b/>
        </w:rPr>
        <w:t xml:space="preserve"> Príspevok EHSV</w:t>
      </w:r>
      <w:r w:rsidR="00703453">
        <w:rPr>
          <w:b/>
        </w:rPr>
        <w:t xml:space="preserve"> k </w:t>
      </w:r>
      <w:r w:rsidRPr="00703453">
        <w:rPr>
          <w:b/>
        </w:rPr>
        <w:t>pracovnému programu Európskej komisie na rok 2021</w:t>
      </w:r>
      <w:r w:rsidRPr="00703453">
        <w:rPr>
          <w:b/>
        </w:rPr>
        <w:cr/>
      </w:r>
    </w:p>
    <w:p w14:paraId="47E1F303" w14:textId="77777777" w:rsidR="00EA484E" w:rsidRPr="00703453" w:rsidRDefault="00EA484E" w:rsidP="00703453">
      <w:pPr>
        <w:overflowPunct w:val="0"/>
        <w:autoSpaceDE w:val="0"/>
        <w:autoSpaceDN w:val="0"/>
        <w:adjustRightInd w:val="0"/>
        <w:jc w:val="center"/>
        <w:textAlignment w:val="baseline"/>
      </w:pPr>
      <w:r w:rsidRPr="00703453">
        <w:t>_____________</w:t>
      </w:r>
    </w:p>
    <w:p w14:paraId="4234A862" w14:textId="77777777" w:rsidR="00EA484E" w:rsidRPr="00703453" w:rsidRDefault="00EA484E" w:rsidP="00703453">
      <w:pPr>
        <w:overflowPunct w:val="0"/>
        <w:autoSpaceDE w:val="0"/>
        <w:autoSpaceDN w:val="0"/>
        <w:adjustRightInd w:val="0"/>
        <w:jc w:val="center"/>
        <w:textAlignment w:val="baseline"/>
      </w:pPr>
    </w:p>
    <w:p w14:paraId="792C9FD3" w14:textId="77777777" w:rsidR="00EA484E" w:rsidRPr="00703453" w:rsidRDefault="00EA484E" w:rsidP="00703453">
      <w:pPr>
        <w:overflowPunct w:val="0"/>
        <w:autoSpaceDE w:val="0"/>
        <w:autoSpaceDN w:val="0"/>
        <w:adjustRightInd w:val="0"/>
        <w:jc w:val="center"/>
        <w:textAlignment w:val="baseline"/>
      </w:pPr>
    </w:p>
    <w:p w14:paraId="3FFC54E4" w14:textId="77777777" w:rsidR="00EA484E" w:rsidRPr="00703453" w:rsidRDefault="00EA484E" w:rsidP="00703453">
      <w:pPr>
        <w:overflowPunct w:val="0"/>
        <w:autoSpaceDE w:val="0"/>
        <w:autoSpaceDN w:val="0"/>
        <w:adjustRightInd w:val="0"/>
        <w:jc w:val="center"/>
        <w:textAlignment w:val="baseline"/>
      </w:pPr>
    </w:p>
    <w:p w14:paraId="4E5196C1" w14:textId="1A979DF7" w:rsidR="00EA484E" w:rsidRPr="00703453" w:rsidRDefault="00EA484E" w:rsidP="00703453">
      <w:pPr>
        <w:ind w:left="709" w:hanging="709"/>
        <w:jc w:val="center"/>
      </w:pPr>
      <w:r w:rsidRPr="00703453">
        <w:t>Spravodajcovia:</w:t>
      </w:r>
      <w:r w:rsidRPr="00703453">
        <w:tab/>
      </w:r>
      <w:r w:rsidRPr="00703453">
        <w:rPr>
          <w:b/>
        </w:rPr>
        <w:t xml:space="preserve">Petr </w:t>
      </w:r>
      <w:r w:rsidR="006B30F6" w:rsidRPr="00703453">
        <w:rPr>
          <w:b/>
        </w:rPr>
        <w:t xml:space="preserve">ZAHRADNÍK </w:t>
      </w:r>
      <w:r w:rsidRPr="00703453">
        <w:rPr>
          <w:b/>
        </w:rPr>
        <w:t>(sk. I)</w:t>
      </w:r>
    </w:p>
    <w:p w14:paraId="2B11417B" w14:textId="43D861BB" w:rsidR="00EA484E" w:rsidRPr="00703453" w:rsidRDefault="00D14EC9" w:rsidP="006B30F6">
      <w:pPr>
        <w:ind w:left="4394"/>
        <w:rPr>
          <w:b/>
        </w:rPr>
      </w:pPr>
      <w:r w:rsidRPr="00703453">
        <w:rPr>
          <w:b/>
        </w:rPr>
        <w:t xml:space="preserve">Stefano </w:t>
      </w:r>
      <w:r w:rsidR="006B30F6" w:rsidRPr="00703453">
        <w:rPr>
          <w:b/>
        </w:rPr>
        <w:t xml:space="preserve">PALMIERI </w:t>
      </w:r>
      <w:r w:rsidRPr="00703453">
        <w:rPr>
          <w:b/>
        </w:rPr>
        <w:t>(sk. II)</w:t>
      </w:r>
    </w:p>
    <w:p w14:paraId="5009DD94" w14:textId="06B0AC50" w:rsidR="00EA484E" w:rsidRPr="00703453" w:rsidRDefault="00D14EC9" w:rsidP="006B30F6">
      <w:pPr>
        <w:ind w:left="4394"/>
        <w:rPr>
          <w:b/>
        </w:rPr>
      </w:pPr>
      <w:r w:rsidRPr="00703453">
        <w:rPr>
          <w:b/>
        </w:rPr>
        <w:t xml:space="preserve">Jan </w:t>
      </w:r>
      <w:r w:rsidR="006B30F6" w:rsidRPr="00703453">
        <w:rPr>
          <w:b/>
        </w:rPr>
        <w:t xml:space="preserve">DIRX </w:t>
      </w:r>
      <w:r w:rsidRPr="00703453">
        <w:rPr>
          <w:b/>
        </w:rPr>
        <w:t>(sk. III)</w:t>
      </w:r>
    </w:p>
    <w:p w14:paraId="25866510" w14:textId="77777777" w:rsidR="00EA484E" w:rsidRPr="00703453" w:rsidRDefault="00EA484E" w:rsidP="00703453">
      <w:pPr>
        <w:overflowPunct w:val="0"/>
        <w:autoSpaceDE w:val="0"/>
        <w:autoSpaceDN w:val="0"/>
        <w:adjustRightInd w:val="0"/>
        <w:jc w:val="left"/>
        <w:textAlignment w:val="baseline"/>
      </w:pPr>
    </w:p>
    <w:p w14:paraId="2FDFD8AD" w14:textId="77777777" w:rsidR="00EA484E" w:rsidRPr="00703453" w:rsidRDefault="00EA484E" w:rsidP="00703453">
      <w:pPr>
        <w:overflowPunct w:val="0"/>
        <w:autoSpaceDE w:val="0"/>
        <w:autoSpaceDN w:val="0"/>
        <w:adjustRightInd w:val="0"/>
        <w:jc w:val="center"/>
        <w:textAlignment w:val="baseline"/>
      </w:pPr>
      <w:r w:rsidRPr="00703453">
        <w:t>_____________</w:t>
      </w:r>
    </w:p>
    <w:p w14:paraId="398831BA" w14:textId="77777777" w:rsidR="00EA484E" w:rsidRPr="00703453" w:rsidRDefault="00EA484E" w:rsidP="00703453"/>
    <w:p w14:paraId="38E86DFC" w14:textId="7B9602D9" w:rsidR="00EA484E" w:rsidRPr="00703453" w:rsidRDefault="00EA484E" w:rsidP="00703453">
      <w:pPr>
        <w:jc w:val="center"/>
      </w:pPr>
      <w:r w:rsidRPr="00703453">
        <w:t>prijaté Európskym hospodárskym</w:t>
      </w:r>
      <w:r w:rsidR="00703453">
        <w:t xml:space="preserve"> a </w:t>
      </w:r>
      <w:r w:rsidRPr="00703453">
        <w:t>sociálnym výborom</w:t>
      </w:r>
      <w:r w:rsidRPr="00703453">
        <w:br/>
      </w:r>
      <w:r w:rsidR="00007258">
        <w:t>16. júla</w:t>
      </w:r>
      <w:r w:rsidRPr="00703453">
        <w:t xml:space="preserve"> 2020</w:t>
      </w:r>
    </w:p>
    <w:p w14:paraId="47D025FA" w14:textId="77777777" w:rsidR="00EA484E" w:rsidRPr="00703453" w:rsidRDefault="00EA484E" w:rsidP="00703453">
      <w:pPr>
        <w:jc w:val="center"/>
      </w:pPr>
    </w:p>
    <w:p w14:paraId="174DC1F6" w14:textId="77777777" w:rsidR="00EA484E" w:rsidRPr="00703453" w:rsidRDefault="00EA484E" w:rsidP="00703453">
      <w:pPr>
        <w:overflowPunct w:val="0"/>
        <w:autoSpaceDE w:val="0"/>
        <w:autoSpaceDN w:val="0"/>
        <w:adjustRightInd w:val="0"/>
        <w:jc w:val="center"/>
        <w:textAlignment w:val="baseline"/>
      </w:pPr>
      <w:r w:rsidRPr="00703453">
        <w:t>_____________</w:t>
      </w:r>
    </w:p>
    <w:p w14:paraId="1D16C18D" w14:textId="77777777" w:rsidR="00EA484E" w:rsidRPr="00703453" w:rsidRDefault="00EA484E" w:rsidP="00703453"/>
    <w:p w14:paraId="64453DC3" w14:textId="4F5F47D1" w:rsidR="00EA484E" w:rsidRPr="00703453" w:rsidRDefault="00EA484E" w:rsidP="00703453">
      <w:pPr>
        <w:ind w:left="357" w:hanging="357"/>
      </w:pPr>
      <w:r w:rsidRPr="00703453">
        <w:br w:type="page"/>
      </w:r>
    </w:p>
    <w:p w14:paraId="660072A1" w14:textId="1AC55EF0" w:rsidR="00EA484E" w:rsidRPr="00703453" w:rsidRDefault="00EA484E" w:rsidP="00703453">
      <w:pPr>
        <w:pStyle w:val="Heading1"/>
      </w:pPr>
      <w:r w:rsidRPr="00703453">
        <w:lastRenderedPageBreak/>
        <w:t>Ako Európsky hospodársky</w:t>
      </w:r>
      <w:r w:rsidR="00703453">
        <w:t xml:space="preserve"> a </w:t>
      </w:r>
      <w:r w:rsidRPr="00703453">
        <w:t>sociálny výbor (EHSV) zdôraznil vo svojom uznesení</w:t>
      </w:r>
      <w:r w:rsidR="00703453">
        <w:t xml:space="preserve"> s </w:t>
      </w:r>
      <w:r w:rsidRPr="00703453">
        <w:t>názvom „Návrhy EHSV na rekonštrukciu</w:t>
      </w:r>
      <w:r w:rsidR="00703453">
        <w:t xml:space="preserve"> a </w:t>
      </w:r>
      <w:r w:rsidRPr="00703453">
        <w:t>obnovu hospodárstva po skončení krízy spôsobenej pandémiou COVID-19“</w:t>
      </w:r>
      <w:r w:rsidRPr="00703453">
        <w:rPr>
          <w:sz w:val="24"/>
          <w:vertAlign w:val="superscript"/>
        </w:rPr>
        <w:footnoteReference w:id="1"/>
      </w:r>
      <w:r w:rsidRPr="00703453">
        <w:t>, ESHV</w:t>
      </w:r>
      <w:r w:rsidR="00703453">
        <w:t xml:space="preserve"> s </w:t>
      </w:r>
      <w:r w:rsidRPr="00703453">
        <w:t>potešením víta</w:t>
      </w:r>
      <w:r w:rsidR="00703453">
        <w:t xml:space="preserve"> a </w:t>
      </w:r>
      <w:r w:rsidRPr="00703453">
        <w:t>podporuje návrhy Európskej komisie: Európsky nástroj obnovy (</w:t>
      </w:r>
      <w:r w:rsidRPr="00703453">
        <w:rPr>
          <w:i/>
          <w:iCs/>
        </w:rPr>
        <w:t>Next Generation EU</w:t>
      </w:r>
      <w:r w:rsidRPr="00703453">
        <w:t>)</w:t>
      </w:r>
      <w:r w:rsidR="00703453">
        <w:t xml:space="preserve"> a </w:t>
      </w:r>
      <w:r w:rsidRPr="00703453">
        <w:t>celkový rozpočet EÚ na roky 2021</w:t>
      </w:r>
      <w:r w:rsidR="00703453">
        <w:t> </w:t>
      </w:r>
      <w:r w:rsidRPr="00703453">
        <w:t>–</w:t>
      </w:r>
      <w:r w:rsidR="00703453">
        <w:t> </w:t>
      </w:r>
      <w:r w:rsidRPr="00703453">
        <w:t>2027. Výbor dúfa</w:t>
      </w:r>
      <w:r w:rsidR="00703453">
        <w:t xml:space="preserve"> a </w:t>
      </w:r>
      <w:r w:rsidRPr="00703453">
        <w:t>očakáva, že orientácie, ktoré Komisia stanovila</w:t>
      </w:r>
      <w:r w:rsidR="00703453">
        <w:t xml:space="preserve"> v </w:t>
      </w:r>
      <w:r w:rsidRPr="00703453">
        <w:t>týchto plánoch, sa</w:t>
      </w:r>
      <w:r w:rsidR="00703453">
        <w:t xml:space="preserve"> z </w:t>
      </w:r>
      <w:r w:rsidRPr="00703453">
        <w:t>dôvodu potreby obnovy</w:t>
      </w:r>
      <w:r w:rsidR="00703453">
        <w:t xml:space="preserve"> a </w:t>
      </w:r>
      <w:r w:rsidRPr="00703453">
        <w:t>rekonštrukcie po koronavírusovej kríze plne</w:t>
      </w:r>
      <w:r w:rsidR="00703453">
        <w:t xml:space="preserve"> a </w:t>
      </w:r>
      <w:r w:rsidRPr="00703453">
        <w:t>konkrétne pretavia do pracovného programu Komisie na rok 2021.</w:t>
      </w:r>
    </w:p>
    <w:p w14:paraId="0DC5F400" w14:textId="77777777" w:rsidR="00EA484E" w:rsidRPr="00703453" w:rsidRDefault="00EA484E" w:rsidP="00AC4BB0">
      <w:pPr>
        <w:spacing w:line="240" w:lineRule="auto"/>
      </w:pPr>
    </w:p>
    <w:p w14:paraId="70FAD9E5" w14:textId="2AA135E0" w:rsidR="00EA484E" w:rsidRPr="00703453" w:rsidRDefault="00EA484E" w:rsidP="00703453">
      <w:pPr>
        <w:pStyle w:val="Heading1"/>
      </w:pPr>
      <w:r w:rsidRPr="00703453">
        <w:t>Podľa EHSV by sa mal pracovný program zamerať na reštrukturalizáciu</w:t>
      </w:r>
      <w:r w:rsidR="00703453">
        <w:t xml:space="preserve"> a </w:t>
      </w:r>
      <w:r w:rsidRPr="00703453">
        <w:t>zlepšenie nášho hospodárstva</w:t>
      </w:r>
      <w:r w:rsidR="00703453">
        <w:t xml:space="preserve"> a </w:t>
      </w:r>
      <w:r w:rsidRPr="00703453">
        <w:t>spoločnosti, pričom jeho základom by mali byť nasledujúce zásady: ochrana ľudských</w:t>
      </w:r>
      <w:r w:rsidR="00703453">
        <w:t xml:space="preserve"> a </w:t>
      </w:r>
      <w:r w:rsidRPr="00703453">
        <w:t>sociálnych práv, demokratických hodnôt</w:t>
      </w:r>
      <w:r w:rsidR="00703453">
        <w:t xml:space="preserve"> a </w:t>
      </w:r>
      <w:r w:rsidRPr="00703453">
        <w:t>zásad právneho štátu; využitie plného potenciálu jednotného trhu; dosiahnutie cieľov udržateľného rozvoja; vytvorenie obehového hospodárstva</w:t>
      </w:r>
      <w:r w:rsidR="00703453">
        <w:t xml:space="preserve"> a </w:t>
      </w:r>
      <w:r w:rsidRPr="00703453">
        <w:t>dosiahnutie klimatickej neutrality</w:t>
      </w:r>
      <w:r w:rsidR="00703453">
        <w:t xml:space="preserve"> v </w:t>
      </w:r>
      <w:r w:rsidRPr="00703453">
        <w:t>EÚ najneskôr do roku 2050</w:t>
      </w:r>
      <w:r w:rsidR="00703453">
        <w:t xml:space="preserve"> a </w:t>
      </w:r>
      <w:r w:rsidRPr="00703453">
        <w:t>zabezpečenie dobrej správy vecí verejných</w:t>
      </w:r>
      <w:r w:rsidR="00703453">
        <w:t xml:space="preserve"> a </w:t>
      </w:r>
      <w:r w:rsidRPr="00703453">
        <w:t>demokratickej zodpovednosti.</w:t>
      </w:r>
    </w:p>
    <w:p w14:paraId="62862964" w14:textId="77777777" w:rsidR="00EA484E" w:rsidRPr="00703453" w:rsidRDefault="00EA484E" w:rsidP="00AC4BB0">
      <w:pPr>
        <w:spacing w:line="240" w:lineRule="auto"/>
      </w:pPr>
    </w:p>
    <w:p w14:paraId="1DAC4335" w14:textId="0A2F5460" w:rsidR="00EA484E" w:rsidRPr="00703453" w:rsidRDefault="00EA484E" w:rsidP="00703453">
      <w:pPr>
        <w:pStyle w:val="Heading1"/>
      </w:pPr>
      <w:r w:rsidRPr="00703453">
        <w:t>EHSV zdôrazňuje, že šesť hlavných ambícií, ktoré si vybrala Komisia (európska zelená dohoda, Európa pripravená na digitálny vek, hospodárstvo, ktoré pracuje</w:t>
      </w:r>
      <w:r w:rsidR="00703453">
        <w:t xml:space="preserve"> v </w:t>
      </w:r>
      <w:r w:rsidRPr="00703453">
        <w:t>prospech ľudí, silnejšia Európa vo svete, podpora nášho európskeho spôsobu života</w:t>
      </w:r>
      <w:r w:rsidR="00703453">
        <w:t xml:space="preserve"> a </w:t>
      </w:r>
      <w:r w:rsidRPr="00703453">
        <w:t>nový impulz pre európsku demokraciu) poskytujú silný rámec na vypracovanie pracovného programu na rok 2021. Výslovnejší dôraz by sa mohol klásť na investície</w:t>
      </w:r>
      <w:r w:rsidR="00703453">
        <w:t xml:space="preserve"> a </w:t>
      </w:r>
      <w:r w:rsidRPr="00703453">
        <w:t>potrebu ich urýchlenia, aj vďaka</w:t>
      </w:r>
      <w:r w:rsidR="00703453">
        <w:t xml:space="preserve"> v </w:t>
      </w:r>
      <w:r w:rsidRPr="00703453">
        <w:t>súčasnosti prijímaným opatreniam.</w:t>
      </w:r>
    </w:p>
    <w:p w14:paraId="76FF9B78" w14:textId="77777777" w:rsidR="00EA484E" w:rsidRPr="00703453" w:rsidRDefault="00EA484E" w:rsidP="00AC4BB0">
      <w:pPr>
        <w:spacing w:line="240" w:lineRule="auto"/>
      </w:pPr>
    </w:p>
    <w:p w14:paraId="161F4282" w14:textId="6B259DEB" w:rsidR="00EA484E" w:rsidRPr="00703453" w:rsidRDefault="00EA484E" w:rsidP="00703453">
      <w:pPr>
        <w:pStyle w:val="Heading1"/>
      </w:pPr>
      <w:r w:rsidRPr="00703453">
        <w:t>Najmä teraz, keď vnímame význam spolupráce medzi krajinami</w:t>
      </w:r>
      <w:r w:rsidR="00703453">
        <w:t xml:space="preserve"> v </w:t>
      </w:r>
      <w:r w:rsidRPr="00703453">
        <w:t>čase tejto krízy, EHSV dúfa, že nadchádzajúca Konferencia</w:t>
      </w:r>
      <w:r w:rsidR="00703453">
        <w:t xml:space="preserve"> o </w:t>
      </w:r>
      <w:r w:rsidRPr="00703453">
        <w:t>budúcnosti Európy povedie</w:t>
      </w:r>
      <w:r w:rsidR="00703453">
        <w:t xml:space="preserve"> k </w:t>
      </w:r>
      <w:r w:rsidRPr="00703453">
        <w:t>posilneniu</w:t>
      </w:r>
      <w:r w:rsidR="00703453">
        <w:t xml:space="preserve"> a </w:t>
      </w:r>
      <w:r w:rsidRPr="00703453">
        <w:t>prehĺbeniu inštitucionálnej štruktúry EÚ</w:t>
      </w:r>
      <w:r w:rsidR="00703453">
        <w:t xml:space="preserve"> a k </w:t>
      </w:r>
      <w:r w:rsidRPr="00703453">
        <w:t>skutočnej obnove európskeho projektu, ktorý bude schopný reagovať na výzvy nasledujúcich desaťročí. Komisia preto môže počítať</w:t>
      </w:r>
      <w:r w:rsidR="00703453">
        <w:t xml:space="preserve"> s </w:t>
      </w:r>
      <w:r w:rsidRPr="00703453">
        <w:t>plnou podporou výboru.</w:t>
      </w:r>
    </w:p>
    <w:p w14:paraId="48473CC8" w14:textId="77777777" w:rsidR="00EA484E" w:rsidRPr="00703453" w:rsidRDefault="00EA484E" w:rsidP="00AC4BB0">
      <w:pPr>
        <w:spacing w:line="240" w:lineRule="auto"/>
      </w:pPr>
    </w:p>
    <w:p w14:paraId="6FF3B067" w14:textId="37EB491B" w:rsidR="00EA484E" w:rsidRPr="00703453" w:rsidRDefault="00EA484E" w:rsidP="00703453">
      <w:pPr>
        <w:pStyle w:val="Heading1"/>
      </w:pPr>
      <w:r w:rsidRPr="00703453">
        <w:t>EHSV je presvedčený, že proces obnovy</w:t>
      </w:r>
      <w:r w:rsidR="00703453">
        <w:t xml:space="preserve"> a </w:t>
      </w:r>
      <w:r w:rsidRPr="00703453">
        <w:t>rekonštrukcie hospodárstva</w:t>
      </w:r>
      <w:r w:rsidR="00703453">
        <w:t xml:space="preserve"> a </w:t>
      </w:r>
      <w:r w:rsidRPr="00703453">
        <w:t>spoločnosti bude možný iba za aktívnej účasti organizácií občianskej spoločnosti</w:t>
      </w:r>
      <w:r w:rsidR="00703453">
        <w:t xml:space="preserve"> a </w:t>
      </w:r>
      <w:r w:rsidRPr="00703453">
        <w:t>sociálnych partnerov.</w:t>
      </w:r>
    </w:p>
    <w:p w14:paraId="7206EF37" w14:textId="77777777" w:rsidR="00797347" w:rsidRPr="00703453" w:rsidRDefault="00797347" w:rsidP="00AC4BB0">
      <w:pPr>
        <w:spacing w:line="240" w:lineRule="auto"/>
      </w:pPr>
    </w:p>
    <w:p w14:paraId="659DAE92" w14:textId="31B4BBA3" w:rsidR="00797347" w:rsidRPr="00703453" w:rsidRDefault="00797347" w:rsidP="00703453">
      <w:pPr>
        <w:pStyle w:val="Heading1"/>
      </w:pPr>
      <w:r w:rsidRPr="00703453">
        <w:t>Zelenú dohodu EÚ možno tiež považovať za účinný nástroj na udržateľné opätovné naštartovanie hospodárstva prostredníctvom rozsiahlych investícií podporujúcich potrebné štrukturálne zmeny, ktorým Európa čelí.</w:t>
      </w:r>
      <w:r w:rsidR="00703453">
        <w:t xml:space="preserve"> Z </w:t>
      </w:r>
      <w:r w:rsidRPr="00703453">
        <w:t>tohto hľadiska by sa to mohlo považovať za príležitosť na podporu dlhodobejšej obnovy hospodárstva. Vyžaduje si to nový konsenzus</w:t>
      </w:r>
      <w:r w:rsidR="00703453">
        <w:t xml:space="preserve"> v </w:t>
      </w:r>
      <w:r w:rsidRPr="00703453">
        <w:t>Európe, aby sa na tento účel sústredili dostatočné verejné</w:t>
      </w:r>
      <w:r w:rsidR="00703453">
        <w:t xml:space="preserve"> a </w:t>
      </w:r>
      <w:r w:rsidRPr="00703453">
        <w:t>súkromné finančné zdroje</w:t>
      </w:r>
      <w:r w:rsidR="00703453">
        <w:t xml:space="preserve"> a </w:t>
      </w:r>
      <w:r w:rsidRPr="00703453">
        <w:t>aby sa prijala nová správa, ktorá by ho úspešne uplatňovala</w:t>
      </w:r>
      <w:r w:rsidR="00703453">
        <w:t xml:space="preserve"> v </w:t>
      </w:r>
      <w:r w:rsidRPr="00703453">
        <w:t>praxi.</w:t>
      </w:r>
    </w:p>
    <w:p w14:paraId="4E7D4AA2" w14:textId="77777777" w:rsidR="00797347" w:rsidRPr="00703453" w:rsidRDefault="00797347" w:rsidP="00AC4BB0">
      <w:pPr>
        <w:spacing w:line="240" w:lineRule="auto"/>
      </w:pPr>
    </w:p>
    <w:p w14:paraId="4F04EEF7" w14:textId="67F6B35D" w:rsidR="00797347" w:rsidRPr="00703453" w:rsidRDefault="00797347" w:rsidP="00703453">
      <w:pPr>
        <w:pStyle w:val="Heading1"/>
      </w:pPr>
      <w:r w:rsidRPr="00703453">
        <w:t>Verejné finančné prostriedky investované do plánov obnovy by mali nielen pomôcť obnoviť európske hospodárstvo</w:t>
      </w:r>
      <w:r w:rsidR="00703453">
        <w:t xml:space="preserve"> a </w:t>
      </w:r>
      <w:r w:rsidRPr="00703453">
        <w:t>spoločnosť, ale mali by tiež pomôcť výrazne znížiť vplyv ďalších otrasov,</w:t>
      </w:r>
      <w:r w:rsidR="00703453">
        <w:t xml:space="preserve"> a </w:t>
      </w:r>
      <w:r w:rsidRPr="00703453">
        <w:t>to investovaním do odolného</w:t>
      </w:r>
      <w:r w:rsidR="00703453">
        <w:t xml:space="preserve"> a </w:t>
      </w:r>
      <w:r w:rsidRPr="00703453">
        <w:t>inkluzívneho hospo</w:t>
      </w:r>
      <w:r w:rsidR="00B854D6">
        <w:t>dárstva šetrného ku klíme (tzv. </w:t>
      </w:r>
      <w:r w:rsidRPr="00703453">
        <w:t>„hospodárstvo zamerané na dobré životné podmienky“).</w:t>
      </w:r>
    </w:p>
    <w:p w14:paraId="654FCC30" w14:textId="77777777" w:rsidR="00797347" w:rsidRPr="00703453" w:rsidRDefault="00797347" w:rsidP="00AC4BB0">
      <w:pPr>
        <w:spacing w:line="240" w:lineRule="auto"/>
      </w:pPr>
    </w:p>
    <w:p w14:paraId="4CF873A2" w14:textId="3CCAE6CF" w:rsidR="00797347" w:rsidRPr="00703453" w:rsidRDefault="00797347" w:rsidP="00703453">
      <w:pPr>
        <w:pStyle w:val="Heading1"/>
      </w:pPr>
      <w:r w:rsidRPr="00703453">
        <w:t>Udržateľná finančná taxonómia EÚ by mala usmerňovať verejné</w:t>
      </w:r>
      <w:r w:rsidR="00703453">
        <w:t xml:space="preserve"> a </w:t>
      </w:r>
      <w:r w:rsidRPr="00703453">
        <w:t>súkromné investície počas obnovy, aby sa urýchlil prechod zo znečisťujúcich sektorov na ekologické sektory.</w:t>
      </w:r>
    </w:p>
    <w:p w14:paraId="513F6392" w14:textId="77777777" w:rsidR="00AF5448" w:rsidRPr="00703453" w:rsidRDefault="00AF5448" w:rsidP="00AC4BB0">
      <w:pPr>
        <w:spacing w:line="240" w:lineRule="auto"/>
      </w:pPr>
    </w:p>
    <w:p w14:paraId="67C0400C" w14:textId="42FD09F0" w:rsidR="00EA484E" w:rsidRPr="00703453" w:rsidRDefault="00797347" w:rsidP="00703453">
      <w:pPr>
        <w:pStyle w:val="Heading1"/>
      </w:pPr>
      <w:r w:rsidRPr="00703453">
        <w:t>Koronavírusová kríza ukazuje, že digitálna revolúcia je dôležitou súčasťou zvyšovania odolnosti našej spoločnosti voči kríze. Prvoradý význam majú investície do digitalizácie základných služieb</w:t>
      </w:r>
      <w:r w:rsidR="00703453">
        <w:t xml:space="preserve"> a </w:t>
      </w:r>
      <w:r w:rsidRPr="00703453">
        <w:t>zvýšenie schopnosti vlád, zákonodarcov</w:t>
      </w:r>
      <w:r w:rsidR="00703453">
        <w:t xml:space="preserve"> a </w:t>
      </w:r>
      <w:r w:rsidRPr="00703453">
        <w:t>verejných inštitúcií poskytovať svoje služby počas krízy.</w:t>
      </w:r>
    </w:p>
    <w:p w14:paraId="3A22B508" w14:textId="77777777" w:rsidR="00797347" w:rsidRPr="00703453" w:rsidRDefault="00797347" w:rsidP="00AC4BB0">
      <w:pPr>
        <w:spacing w:line="240" w:lineRule="auto"/>
      </w:pPr>
    </w:p>
    <w:p w14:paraId="58772FC0" w14:textId="0EAC839F" w:rsidR="00797347" w:rsidRPr="00703453" w:rsidRDefault="00797347" w:rsidP="00703453">
      <w:pPr>
        <w:pStyle w:val="Heading1"/>
      </w:pPr>
      <w:r w:rsidRPr="00703453">
        <w:t>Komisia sa vyzýva, aby naďalej využívala semester ako hnaciu silu obnovy na základe investičných</w:t>
      </w:r>
      <w:r w:rsidR="00703453">
        <w:t xml:space="preserve"> a </w:t>
      </w:r>
      <w:r w:rsidRPr="00703453">
        <w:t>reformných priorít identifikovaných ako súčasť európskeho semestra. Výbor víta nedávny dôraz na lepšie začlenenie sociálnych záležitostí</w:t>
      </w:r>
      <w:r w:rsidR="00703453">
        <w:t xml:space="preserve"> a </w:t>
      </w:r>
      <w:r w:rsidRPr="00703453">
        <w:t>európskej zelenej dohody, ako aj vykonávanie Mechanizmu na podporu obnovy</w:t>
      </w:r>
      <w:r w:rsidR="00703453">
        <w:t xml:space="preserve"> a </w:t>
      </w:r>
      <w:r w:rsidRPr="00703453">
        <w:t>odolnosti prostredníctvom semestra.</w:t>
      </w:r>
    </w:p>
    <w:p w14:paraId="3C3DB9C8" w14:textId="77777777" w:rsidR="00695B6E" w:rsidRPr="00703453" w:rsidRDefault="00695B6E" w:rsidP="00AC4BB0">
      <w:pPr>
        <w:spacing w:line="240" w:lineRule="auto"/>
      </w:pPr>
    </w:p>
    <w:p w14:paraId="4A80875C" w14:textId="07A33380" w:rsidR="00797347" w:rsidRPr="00703453" w:rsidRDefault="00797347" w:rsidP="00703453">
      <w:pPr>
        <w:pStyle w:val="Heading1"/>
      </w:pPr>
      <w:r w:rsidRPr="00703453">
        <w:t>Existuje príležitosť podporovať sociálnu inováciu ako model obnovy prostredníctvom spoluvytvárania, spoločného dizajnu</w:t>
      </w:r>
      <w:r w:rsidR="00703453">
        <w:t xml:space="preserve"> a </w:t>
      </w:r>
      <w:r w:rsidRPr="00703453">
        <w:t>spoločnej produkcie. Organizovaná občianska spoločnosť je katalyzátorom sociálnej inovácie, hnutia, ktoré prispelo</w:t>
      </w:r>
      <w:r w:rsidR="00703453">
        <w:t xml:space="preserve"> k </w:t>
      </w:r>
      <w:r w:rsidRPr="00703453">
        <w:t>navrhnutiu systémov sociálneho zabezpečenia vyúsťujúcich do nových politík, štruktúr, produktov, služieb</w:t>
      </w:r>
      <w:r w:rsidR="00703453">
        <w:t xml:space="preserve"> a </w:t>
      </w:r>
      <w:r w:rsidRPr="00703453">
        <w:t>pracovných metód. Účasť občianskej spoločnosti je</w:t>
      </w:r>
      <w:r w:rsidR="00703453">
        <w:t xml:space="preserve"> v </w:t>
      </w:r>
      <w:r w:rsidRPr="00703453">
        <w:t>súčasnosti potrebná viac ako kedykoľvek predtým, ale</w:t>
      </w:r>
      <w:r w:rsidR="00703453">
        <w:t xml:space="preserve"> k </w:t>
      </w:r>
      <w:r w:rsidRPr="00703453">
        <w:t>skutočnej sociálnej inovácii dôjde až vtedy, keď sa zapojí organizovaná občianska spoločnosť.</w:t>
      </w:r>
    </w:p>
    <w:p w14:paraId="1385EF6C" w14:textId="77777777" w:rsidR="00A1546D" w:rsidRPr="00703453" w:rsidRDefault="00A1546D" w:rsidP="00AC4BB0">
      <w:pPr>
        <w:spacing w:line="240" w:lineRule="auto"/>
      </w:pPr>
    </w:p>
    <w:p w14:paraId="4B3A6FD5" w14:textId="7781586D" w:rsidR="00A1546D" w:rsidRPr="00703453" w:rsidRDefault="00A1546D" w:rsidP="00703453">
      <w:pPr>
        <w:pStyle w:val="Heading1"/>
      </w:pPr>
      <w:r w:rsidRPr="00703453">
        <w:t>Jedným</w:t>
      </w:r>
      <w:r w:rsidR="00703453">
        <w:t xml:space="preserve"> z </w:t>
      </w:r>
      <w:r w:rsidRPr="00703453">
        <w:t>hlavných ponaučení</w:t>
      </w:r>
      <w:r w:rsidR="00703453">
        <w:t xml:space="preserve"> z </w:t>
      </w:r>
      <w:r w:rsidRPr="00703453">
        <w:t>koronavírusovej krízy je predovšetkým nutnosť posilniť systémy zdravotnej starostlivosti takmer</w:t>
      </w:r>
      <w:r w:rsidR="00703453">
        <w:t xml:space="preserve"> v </w:t>
      </w:r>
      <w:r w:rsidRPr="00703453">
        <w:t>každej európskej krajine,</w:t>
      </w:r>
      <w:r w:rsidR="00703453">
        <w:t xml:space="preserve"> a </w:t>
      </w:r>
      <w:r w:rsidRPr="00703453">
        <w:t>to predovšetkým zameraním sa na prevenciu. Hoci zodpovednosť za zdravotnú starostlivosť nesú jednotlivé štáty, šírenie vírusu nie je ohraničené hranicami. Ovplyvňuje celú Európu tak</w:t>
      </w:r>
      <w:r w:rsidR="00703453">
        <w:t xml:space="preserve"> v </w:t>
      </w:r>
      <w:r w:rsidRPr="00703453">
        <w:t>rámci našich hraníc, ako aj mimo nich,</w:t>
      </w:r>
      <w:r w:rsidR="00703453">
        <w:t xml:space="preserve"> s </w:t>
      </w:r>
      <w:r w:rsidRPr="00703453">
        <w:t>hygienickými, sociálnymi</w:t>
      </w:r>
      <w:r w:rsidR="00703453">
        <w:t xml:space="preserve"> a </w:t>
      </w:r>
      <w:r w:rsidRPr="00703453">
        <w:t>hospodárskymi dôsledkami, ktoré si vyžadujú spoločné odpovede na európskej úrovni.</w:t>
      </w:r>
    </w:p>
    <w:p w14:paraId="2D20D300" w14:textId="77777777" w:rsidR="00A1546D" w:rsidRPr="00703453" w:rsidRDefault="00A1546D" w:rsidP="00AC4BB0">
      <w:pPr>
        <w:spacing w:line="240" w:lineRule="auto"/>
      </w:pPr>
    </w:p>
    <w:p w14:paraId="108C4A04" w14:textId="3BEFB1A8" w:rsidR="00A1546D" w:rsidRPr="00703453" w:rsidRDefault="00A1546D" w:rsidP="00703453">
      <w:pPr>
        <w:pStyle w:val="Heading1"/>
      </w:pPr>
      <w:r w:rsidRPr="00703453">
        <w:t>EÚ musí posilniť</w:t>
      </w:r>
      <w:r w:rsidR="00703453">
        <w:t xml:space="preserve"> a </w:t>
      </w:r>
      <w:r w:rsidRPr="00703453">
        <w:t>podporovať svoje postavenie vo svete, pokiaľ ide</w:t>
      </w:r>
      <w:r w:rsidR="00703453">
        <w:t xml:space="preserve"> o </w:t>
      </w:r>
      <w:r w:rsidRPr="00703453">
        <w:t>prevzatie dôležitejšej</w:t>
      </w:r>
      <w:r w:rsidR="00703453">
        <w:t xml:space="preserve"> a </w:t>
      </w:r>
      <w:r w:rsidRPr="00703453">
        <w:t>strategickejšej úlohy</w:t>
      </w:r>
      <w:r w:rsidR="00703453">
        <w:t xml:space="preserve"> v </w:t>
      </w:r>
      <w:r w:rsidRPr="00703453">
        <w:t>globálnom hospodárstve</w:t>
      </w:r>
      <w:r w:rsidR="00703453">
        <w:t xml:space="preserve"> a </w:t>
      </w:r>
      <w:r w:rsidRPr="00703453">
        <w:t>politike. Hospodárstvo EÚ má potenciál lepšie využívať svoje komparatívne výhody na svetovom obchodnom</w:t>
      </w:r>
      <w:r w:rsidR="00703453">
        <w:t xml:space="preserve"> a </w:t>
      </w:r>
      <w:r w:rsidRPr="00703453">
        <w:t>investičnom trhu, najmä</w:t>
      </w:r>
      <w:r w:rsidR="00703453">
        <w:t xml:space="preserve"> v </w:t>
      </w:r>
      <w:r w:rsidRPr="00703453">
        <w:t>oblasti vyspelej výroby</w:t>
      </w:r>
      <w:r w:rsidR="00703453">
        <w:t xml:space="preserve"> a </w:t>
      </w:r>
      <w:r w:rsidRPr="00703453">
        <w:t>inovatívnych služieb,</w:t>
      </w:r>
      <w:r w:rsidR="00703453">
        <w:t xml:space="preserve"> a </w:t>
      </w:r>
      <w:r w:rsidRPr="00703453">
        <w:t>usilovať sa</w:t>
      </w:r>
      <w:r w:rsidR="00703453">
        <w:t xml:space="preserve"> o </w:t>
      </w:r>
      <w:r w:rsidRPr="00703453">
        <w:t>to, aby bola svetovým lídrom. Toto úsilie by malo sprevádzať lepšie</w:t>
      </w:r>
      <w:r w:rsidR="00703453">
        <w:t xml:space="preserve"> a </w:t>
      </w:r>
      <w:r w:rsidRPr="00703453">
        <w:t>účinnejšie zastúpenie EÚ</w:t>
      </w:r>
      <w:r w:rsidR="00703453">
        <w:t xml:space="preserve"> v </w:t>
      </w:r>
      <w:r w:rsidRPr="00703453">
        <w:t>hlavných svetových organizáciách</w:t>
      </w:r>
      <w:r w:rsidR="00703453">
        <w:t xml:space="preserve"> a </w:t>
      </w:r>
      <w:r w:rsidRPr="00703453">
        <w:t>prezentovanie jednotného názoru. EHSV vyzýva Európsku komisiu, aby vyvinula náležité úsilie</w:t>
      </w:r>
      <w:r w:rsidR="00703453">
        <w:t xml:space="preserve"> v </w:t>
      </w:r>
      <w:r w:rsidRPr="00703453">
        <w:t>snahe posilniť postavenie EÚ vo svete, čo by sa malo konkrétnejšie odrážať aj</w:t>
      </w:r>
      <w:r w:rsidR="00703453">
        <w:t xml:space="preserve"> v </w:t>
      </w:r>
      <w:r w:rsidRPr="00703453">
        <w:t>jej pracovnom programe na rok 2021.</w:t>
      </w:r>
    </w:p>
    <w:p w14:paraId="5114F866" w14:textId="77777777" w:rsidR="00695B6E" w:rsidRPr="00703453" w:rsidRDefault="00695B6E" w:rsidP="00AC4BB0">
      <w:pPr>
        <w:spacing w:line="240" w:lineRule="auto"/>
      </w:pPr>
    </w:p>
    <w:p w14:paraId="6903AF7B" w14:textId="5CBDD150" w:rsidR="00695B6E" w:rsidRPr="00703453" w:rsidRDefault="00A1546D" w:rsidP="00703453">
      <w:pPr>
        <w:pStyle w:val="Heading1"/>
      </w:pPr>
      <w:r w:rsidRPr="00703453">
        <w:t>Okrem ekonomických</w:t>
      </w:r>
      <w:r w:rsidR="00703453">
        <w:t xml:space="preserve"> a </w:t>
      </w:r>
      <w:r w:rsidRPr="00703453">
        <w:t>environmentálnych otázok musí byť pracovný program EÚ</w:t>
      </w:r>
      <w:r w:rsidR="00703453">
        <w:t xml:space="preserve"> v </w:t>
      </w:r>
      <w:r w:rsidRPr="00703453">
        <w:t>roku 2021 motivovaný sociálnym rozmerom. To znamená, že jeho záväzok voči sociálnej</w:t>
      </w:r>
      <w:r w:rsidR="00703453">
        <w:t xml:space="preserve"> a </w:t>
      </w:r>
      <w:r w:rsidRPr="00703453">
        <w:t>udržateľnej Európe bude prioritou.</w:t>
      </w:r>
      <w:r w:rsidR="00703453">
        <w:t xml:space="preserve"> V </w:t>
      </w:r>
      <w:r w:rsidRPr="00703453">
        <w:t>tejto súvislosti zohrávajú dôležitú úlohu aj organizácie občianskej spoločnosti.</w:t>
      </w:r>
    </w:p>
    <w:p w14:paraId="1F858B09" w14:textId="77777777" w:rsidR="00695B6E" w:rsidRPr="00703453" w:rsidRDefault="00695B6E" w:rsidP="00AC4BB0">
      <w:pPr>
        <w:spacing w:line="240" w:lineRule="auto"/>
      </w:pPr>
    </w:p>
    <w:p w14:paraId="73255230" w14:textId="0589865F" w:rsidR="00695B6E" w:rsidRPr="00703453" w:rsidRDefault="00A1546D" w:rsidP="00703453">
      <w:pPr>
        <w:pStyle w:val="Heading1"/>
      </w:pPr>
      <w:r w:rsidRPr="00703453">
        <w:t>EHSV dôrazne podporuje návrh Európskej komisie vypracovať „akčný plán pre európsku demokraciu“, ktorý by mal byť komplexný</w:t>
      </w:r>
      <w:r w:rsidR="00703453">
        <w:t xml:space="preserve"> a </w:t>
      </w:r>
      <w:r w:rsidRPr="00703453">
        <w:t>nepretržitý, schopný priniesť zmenu,</w:t>
      </w:r>
      <w:r w:rsidR="00703453">
        <w:t xml:space="preserve"> a </w:t>
      </w:r>
      <w:r w:rsidRPr="00703453">
        <w:t>to prostredníctvom finančnej podpory</w:t>
      </w:r>
      <w:r w:rsidR="00703453">
        <w:t xml:space="preserve"> a </w:t>
      </w:r>
      <w:r w:rsidRPr="00703453">
        <w:t>medziinštitucionálnej koordinácie.</w:t>
      </w:r>
    </w:p>
    <w:p w14:paraId="1F40C220" w14:textId="36D6CCFE" w:rsidR="00695B6E" w:rsidRPr="00703453" w:rsidRDefault="00695B6E" w:rsidP="00AC4BB0">
      <w:pPr>
        <w:spacing w:line="240" w:lineRule="auto"/>
      </w:pPr>
    </w:p>
    <w:p w14:paraId="698308CF" w14:textId="51121ABA" w:rsidR="00AF5448" w:rsidRPr="00703453" w:rsidRDefault="00AF5448" w:rsidP="00AC4BB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</w:pPr>
      <w:r w:rsidRPr="00703453">
        <w:t>_____________</w:t>
      </w:r>
    </w:p>
    <w:sectPr w:rsidR="00AF5448" w:rsidRPr="00703453" w:rsidSect="00281808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37331" w14:textId="77777777" w:rsidR="00FC6434" w:rsidRDefault="00FC6434" w:rsidP="00EA484E">
      <w:r>
        <w:separator/>
      </w:r>
    </w:p>
  </w:endnote>
  <w:endnote w:type="continuationSeparator" w:id="0">
    <w:p w14:paraId="7D924EA2" w14:textId="77777777" w:rsidR="00FC6434" w:rsidRDefault="00FC6434" w:rsidP="00EA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BC824" w14:textId="334167E6" w:rsidR="00AF5448" w:rsidRPr="00281808" w:rsidRDefault="00281808" w:rsidP="00281808">
    <w:pPr>
      <w:pStyle w:val="Footer"/>
    </w:pPr>
    <w:r>
      <w:t xml:space="preserve">EESC-2020-03155-00-00-TCD-TRA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>
        <w:rPr>
          <w:noProof/>
        </w:rPr>
        <w:instrText>3</w:instrText>
      </w:r>
    </w:fldSimple>
    <w:r>
      <w:instrText xml:space="preserve"> -0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2C85F" w14:textId="77777777" w:rsidR="00FC6434" w:rsidRDefault="00FC6434" w:rsidP="00EA484E">
      <w:r>
        <w:separator/>
      </w:r>
    </w:p>
  </w:footnote>
  <w:footnote w:type="continuationSeparator" w:id="0">
    <w:p w14:paraId="2CDFA011" w14:textId="77777777" w:rsidR="00FC6434" w:rsidRDefault="00FC6434" w:rsidP="00EA484E">
      <w:r>
        <w:continuationSeparator/>
      </w:r>
    </w:p>
  </w:footnote>
  <w:footnote w:id="1">
    <w:p w14:paraId="3A3A82D3" w14:textId="4895E6CF" w:rsidR="00EA484E" w:rsidRPr="009F42F1" w:rsidRDefault="00EA484E" w:rsidP="00EA484E">
      <w:pPr>
        <w:pStyle w:val="FootnoteText"/>
        <w:rPr>
          <w:szCs w:val="16"/>
        </w:rPr>
      </w:pPr>
      <w:r w:rsidRPr="009F42F1">
        <w:rPr>
          <w:rStyle w:val="FootnoteReference"/>
          <w:szCs w:val="16"/>
        </w:rPr>
        <w:footnoteRef/>
      </w:r>
      <w:r w:rsidRPr="009F42F1">
        <w:rPr>
          <w:sz w:val="24"/>
          <w:szCs w:val="16"/>
          <w:vertAlign w:val="superscript"/>
        </w:rPr>
        <w:t xml:space="preserve"> </w:t>
      </w:r>
      <w:r w:rsidRPr="009F42F1">
        <w:tab/>
      </w:r>
      <w:hyperlink r:id="rId1" w:history="1">
        <w:r w:rsidRPr="009F42F1">
          <w:rPr>
            <w:rStyle w:val="Hyperlink"/>
          </w:rPr>
          <w:t>Uznesenie</w:t>
        </w:r>
        <w:r w:rsidR="009F42F1">
          <w:rPr>
            <w:rStyle w:val="Hyperlink"/>
          </w:rPr>
          <w:t xml:space="preserve"> o </w:t>
        </w:r>
        <w:r w:rsidRPr="009F42F1">
          <w:rPr>
            <w:rStyle w:val="Hyperlink"/>
          </w:rPr>
          <w:t>kríze po skončení pandémie COVID-19</w:t>
        </w:r>
      </w:hyperlink>
      <w:r w:rsidRPr="009F42F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DF036DF"/>
    <w:multiLevelType w:val="hybridMultilevel"/>
    <w:tmpl w:val="6E341E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4E"/>
    <w:rsid w:val="00007258"/>
    <w:rsid w:val="00090369"/>
    <w:rsid w:val="0010597D"/>
    <w:rsid w:val="0019028B"/>
    <w:rsid w:val="00191EA8"/>
    <w:rsid w:val="0020417D"/>
    <w:rsid w:val="00281808"/>
    <w:rsid w:val="00431D08"/>
    <w:rsid w:val="00564EA0"/>
    <w:rsid w:val="00633CB4"/>
    <w:rsid w:val="00695B6E"/>
    <w:rsid w:val="006B30F6"/>
    <w:rsid w:val="00703453"/>
    <w:rsid w:val="00765063"/>
    <w:rsid w:val="007669EF"/>
    <w:rsid w:val="00797347"/>
    <w:rsid w:val="009F42F1"/>
    <w:rsid w:val="00A1546D"/>
    <w:rsid w:val="00A405A7"/>
    <w:rsid w:val="00A91079"/>
    <w:rsid w:val="00AA4644"/>
    <w:rsid w:val="00AC4BB0"/>
    <w:rsid w:val="00AF5448"/>
    <w:rsid w:val="00B2052E"/>
    <w:rsid w:val="00B854D6"/>
    <w:rsid w:val="00C04AEE"/>
    <w:rsid w:val="00CC291F"/>
    <w:rsid w:val="00D14EC9"/>
    <w:rsid w:val="00D4109E"/>
    <w:rsid w:val="00EA3B3D"/>
    <w:rsid w:val="00EA484E"/>
    <w:rsid w:val="00FC011E"/>
    <w:rsid w:val="00F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74449C"/>
  <w15:docId w15:val="{F501080F-6FDE-4CF3-82C1-60DD9154A305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18"/>
        <w:szCs w:val="22"/>
        <w:lang w:val="sk-SK" w:eastAsia="en-US" w:bidi="ar-SA"/>
      </w:rPr>
    </w:rPrDefault>
    <w:pPrDefault>
      <w:pPr>
        <w:spacing w:line="280" w:lineRule="exact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53"/>
    <w:pPr>
      <w:spacing w:line="288" w:lineRule="auto"/>
      <w:ind w:left="0" w:firstLine="0"/>
      <w:jc w:val="both"/>
    </w:pPr>
    <w:rPr>
      <w:rFonts w:ascii="Times New Roman" w:eastAsia="Times New Roman" w:hAnsi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703453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703453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703453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03453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703453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03453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703453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03453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703453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484E"/>
    <w:rPr>
      <w:rFonts w:ascii="Times New Roman" w:eastAsia="Times New Roman" w:hAnsi="Times New Roman" w:cs="Times New Roman"/>
      <w:kern w:val="28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EA484E"/>
    <w:rPr>
      <w:rFonts w:ascii="Times New Roman" w:eastAsia="Times New Roman" w:hAnsi="Times New Roman" w:cs="Times New Roman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rsid w:val="00EA484E"/>
    <w:rPr>
      <w:rFonts w:ascii="Times New Roman" w:eastAsia="Times New Roman" w:hAnsi="Times New Roman" w:cs="Times New Roman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rsid w:val="00EA484E"/>
    <w:rPr>
      <w:rFonts w:ascii="Times New Roman" w:eastAsia="Times New Roman" w:hAnsi="Times New Roman" w:cs="Times New Roman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rsid w:val="00EA484E"/>
    <w:rPr>
      <w:rFonts w:ascii="Times New Roman" w:eastAsia="Times New Roman" w:hAnsi="Times New Roman" w:cs="Times New Roman"/>
      <w:sz w:val="22"/>
      <w:lang w:val="en-US"/>
    </w:rPr>
  </w:style>
  <w:style w:type="character" w:customStyle="1" w:styleId="Heading6Char">
    <w:name w:val="Heading 6 Char"/>
    <w:basedOn w:val="DefaultParagraphFont"/>
    <w:link w:val="Heading6"/>
    <w:rsid w:val="00EA484E"/>
    <w:rPr>
      <w:rFonts w:ascii="Times New Roman" w:eastAsia="Times New Roman" w:hAnsi="Times New Roman" w:cs="Times New Roman"/>
      <w:sz w:val="22"/>
      <w:lang w:val="en-US"/>
    </w:rPr>
  </w:style>
  <w:style w:type="character" w:customStyle="1" w:styleId="Heading7Char">
    <w:name w:val="Heading 7 Char"/>
    <w:basedOn w:val="DefaultParagraphFont"/>
    <w:link w:val="Heading7"/>
    <w:rsid w:val="00EA484E"/>
    <w:rPr>
      <w:rFonts w:ascii="Times New Roman" w:eastAsia="Times New Roman" w:hAnsi="Times New Roman" w:cs="Times New Roman"/>
      <w:sz w:val="22"/>
      <w:lang w:val="en-US"/>
    </w:rPr>
  </w:style>
  <w:style w:type="character" w:customStyle="1" w:styleId="Heading8Char">
    <w:name w:val="Heading 8 Char"/>
    <w:basedOn w:val="DefaultParagraphFont"/>
    <w:link w:val="Heading8"/>
    <w:rsid w:val="00EA484E"/>
    <w:rPr>
      <w:rFonts w:ascii="Times New Roman" w:eastAsia="Times New Roman" w:hAnsi="Times New Roman" w:cs="Times New Roman"/>
      <w:sz w:val="22"/>
      <w:lang w:val="en-US"/>
    </w:rPr>
  </w:style>
  <w:style w:type="character" w:customStyle="1" w:styleId="Heading9Char">
    <w:name w:val="Heading 9 Char"/>
    <w:basedOn w:val="DefaultParagraphFont"/>
    <w:link w:val="Heading9"/>
    <w:rsid w:val="00EA484E"/>
    <w:rPr>
      <w:rFonts w:ascii="Times New Roman" w:eastAsia="Times New Roman" w:hAnsi="Times New Roman" w:cs="Times New Roman"/>
      <w:sz w:val="22"/>
      <w:lang w:val="en-US"/>
    </w:rPr>
  </w:style>
  <w:style w:type="paragraph" w:styleId="FootnoteText">
    <w:name w:val="footnote text"/>
    <w:basedOn w:val="Normal"/>
    <w:link w:val="FootnoteTextChar"/>
    <w:qFormat/>
    <w:rsid w:val="00703453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A484E"/>
    <w:rPr>
      <w:rFonts w:ascii="Times New Roman" w:eastAsia="Times New Roman" w:hAnsi="Times New Roman" w:cs="Times New Roman"/>
      <w:sz w:val="16"/>
      <w:lang w:val="en-US"/>
    </w:rPr>
  </w:style>
  <w:style w:type="character" w:styleId="FootnoteReference">
    <w:name w:val="footnote reference"/>
    <w:basedOn w:val="DefaultParagraphFont"/>
    <w:unhideWhenUsed/>
    <w:qFormat/>
    <w:rsid w:val="00703453"/>
    <w:rPr>
      <w:sz w:val="24"/>
      <w:vertAlign w:val="superscript"/>
    </w:rPr>
  </w:style>
  <w:style w:type="character" w:styleId="Hyperlink">
    <w:name w:val="Hyperlink"/>
    <w:uiPriority w:val="99"/>
    <w:unhideWhenUsed/>
    <w:rsid w:val="00EA484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EA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qFormat/>
    <w:rsid w:val="00703453"/>
  </w:style>
  <w:style w:type="character" w:customStyle="1" w:styleId="FooterChar">
    <w:name w:val="Footer Char"/>
    <w:basedOn w:val="DefaultParagraphFont"/>
    <w:link w:val="Footer"/>
    <w:rsid w:val="00AF5448"/>
    <w:rPr>
      <w:rFonts w:ascii="Times New Roman" w:eastAsia="Times New Roman" w:hAnsi="Times New Roman" w:cs="Times New Roman"/>
      <w:sz w:val="22"/>
      <w:lang w:val="en-US"/>
    </w:rPr>
  </w:style>
  <w:style w:type="paragraph" w:styleId="Header">
    <w:name w:val="header"/>
    <w:basedOn w:val="Normal"/>
    <w:link w:val="HeaderChar"/>
    <w:qFormat/>
    <w:rsid w:val="00703453"/>
  </w:style>
  <w:style w:type="character" w:customStyle="1" w:styleId="HeaderChar">
    <w:name w:val="Header Char"/>
    <w:basedOn w:val="DefaultParagraphFont"/>
    <w:link w:val="Header"/>
    <w:rsid w:val="00AF5448"/>
    <w:rPr>
      <w:rFonts w:ascii="Times New Roman" w:eastAsia="Times New Roman" w:hAnsi="Times New Roman" w:cs="Times New Roman"/>
      <w:sz w:val="22"/>
      <w:lang w:val="en-US"/>
    </w:rPr>
  </w:style>
  <w:style w:type="paragraph" w:customStyle="1" w:styleId="quotes">
    <w:name w:val="quotes"/>
    <w:basedOn w:val="Normal"/>
    <w:next w:val="Normal"/>
    <w:rsid w:val="00703453"/>
    <w:pPr>
      <w:ind w:left="7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sc.europa.eu/sk/news-media/press-releases/eesc-proposals-post-covid-19-recovery-and-reconstruction-towards-new-societal-model" TargetMode="Externa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VV634QRNENMJ-762678085-1618</_dlc_DocId>
    <_dlc_DocIdUrl xmlns="cda99570-6012-4083-bfeb-7d32ad1ce1a3">
      <Url>http://dm2016/eesc/2020/_layouts/15/DocIdRedir.aspx?ID=VV634QRNENMJ-762678085-1618</Url>
      <Description>VV634QRNENMJ-762678085-1618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cda99570-6012-4083-bfeb-7d32ad1ce1a3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2020-07-20T12:00:00+00:00</ProductionDate>
    <FicheYear xmlns="cda99570-6012-4083-bfeb-7d32ad1ce1a3">2020</FicheYear>
    <DocumentNumber xmlns="98af4b3d-0f8e-4839-87de-ec8dfffabf66">3155</DocumentNumber>
    <DocumentVersion xmlns="cda99570-6012-4083-bfeb-7d32ad1ce1a3">0</DocumentVersion>
    <DossierNumber xmlns="cda99570-6012-4083-bfeb-7d32ad1ce1a3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>2020-07-15T12:00:00+00:00</MeetingDate>
    <TaxCatchAll xmlns="cda99570-6012-4083-bfeb-7d32ad1ce1a3">
      <Value>51</Value>
      <Value>48</Value>
      <Value>47</Value>
      <Value>46</Value>
      <Value>45</Value>
      <Value>44</Value>
      <Value>43</Value>
      <Value>40</Value>
      <Value>39</Value>
      <Value>38</Value>
      <Value>36</Value>
      <Value>34</Value>
      <Value>32</Value>
      <Value>31</Value>
      <Value>29</Value>
      <Value>24</Value>
      <Value>16</Value>
      <Value>13</Value>
      <Value>11</Value>
      <Value>10</Value>
      <Value>9</Value>
      <Value>8</Value>
      <Value>6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cda99570-6012-4083-bfeb-7d32ad1ce1a3" xsi:nil="true"/>
    <DocumentYear xmlns="cda99570-6012-4083-bfeb-7d32ad1ce1a3">2020</DocumentYear>
    <FicheNumber xmlns="cda99570-6012-4083-bfeb-7d32ad1ce1a3">7916</FicheNumber>
    <DocumentPart xmlns="cda99570-6012-4083-bfeb-7d32ad1ce1a3">0</DocumentPart>
    <AdoptionDate xmlns="cda99570-6012-4083-bfeb-7d32ad1ce1a3" xsi:nil="true"/>
    <RequestingService xmlns="cda99570-6012-4083-bfeb-7d32ad1ce1a3">Coordination législative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8af4b3d-0f8e-4839-87de-ec8dfffabf66">553</MeetingNumber>
    <DossierName_0 xmlns="http://schemas.microsoft.com/sharepoint/v3/fields">
      <Terms xmlns="http://schemas.microsoft.com/office/infopath/2007/PartnerControls"/>
    </DossierName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292A099219C5BF43911B0000CE8DBCC8" ma:contentTypeVersion="4" ma:contentTypeDescription="Defines the documents for Document Manager V2" ma:contentTypeScope="" ma:versionID="d945b5853b9a409bd93986b015db2ee4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98af4b3d-0f8e-4839-87de-ec8dfffabf66" targetNamespace="http://schemas.microsoft.com/office/2006/metadata/properties" ma:root="true" ma:fieldsID="012abeaec5591cf3df1cee32d300b2f6" ns2:_="" ns3:_="" ns4:_="">
    <xsd:import namespace="cda99570-6012-4083-bfeb-7d32ad1ce1a3"/>
    <xsd:import namespace="http://schemas.microsoft.com/sharepoint/v3/fields"/>
    <xsd:import namespace="98af4b3d-0f8e-4839-87de-ec8dfffab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f4b3d-0f8e-4839-87de-ec8dfffabf66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0E578-92AB-41AE-B6B3-A2D0CA3431EE}"/>
</file>

<file path=customXml/itemProps2.xml><?xml version="1.0" encoding="utf-8"?>
<ds:datastoreItem xmlns:ds="http://schemas.openxmlformats.org/officeDocument/2006/customXml" ds:itemID="{86E76DEF-2B04-4D5B-AD86-CFBA057ABF20}"/>
</file>

<file path=customXml/itemProps3.xml><?xml version="1.0" encoding="utf-8"?>
<ds:datastoreItem xmlns:ds="http://schemas.openxmlformats.org/officeDocument/2006/customXml" ds:itemID="{CCC9C8BD-53E4-4DC4-8D98-E000D3F984E9}"/>
</file>

<file path=customXml/itemProps4.xml><?xml version="1.0" encoding="utf-8"?>
<ds:datastoreItem xmlns:ds="http://schemas.openxmlformats.org/officeDocument/2006/customXml" ds:itemID="{BA5A373A-8B6D-496F-B147-088157C2254E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32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Zhrnutie  Návrhy EHSV k pracovnému programu EK na rok 2021</dc:title>
  <dc:creator>Jan Dirx</dc:creator>
  <cp:keywords>EESC-2020-03155-00-00-TCD-TRA-EN</cp:keywords>
  <dc:description>Rapporteur:  - Original language: EN - Date of document: 20/07/2020 - Date of meeting: 15/07/2020 - External documents:  - Administrator: M. COSMAI Domenico</dc:description>
  <cp:lastModifiedBy>Darina Hrabovská</cp:lastModifiedBy>
  <cp:revision>15</cp:revision>
  <dcterms:created xsi:type="dcterms:W3CDTF">2020-07-07T14:37:00Z</dcterms:created>
  <dcterms:modified xsi:type="dcterms:W3CDTF">2020-07-20T06:34:00Z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07/07/2020, 07/07/2020</vt:lpwstr>
  </property>
  <property fmtid="{D5CDD505-2E9C-101B-9397-08002B2CF9AE}" pid="4" name="Pref_Time">
    <vt:lpwstr>16:37:09, 16:21:06</vt:lpwstr>
  </property>
  <property fmtid="{D5CDD505-2E9C-101B-9397-08002B2CF9AE}" pid="5" name="Pref_User">
    <vt:lpwstr>hnic, SSEX</vt:lpwstr>
  </property>
  <property fmtid="{D5CDD505-2E9C-101B-9397-08002B2CF9AE}" pid="6" name="Pref_FileName">
    <vt:lpwstr>EESC-2020-03155-01-00-PRES-TRA-EN-CRR.docx, EESC-2020-03155-01-00-PRES-CRR-EN.docx</vt:lpwstr>
  </property>
  <property fmtid="{D5CDD505-2E9C-101B-9397-08002B2CF9AE}" pid="7" name="ContentTypeId">
    <vt:lpwstr>0x010100EA97B91038054C99906057A708A1480A00292A099219C5BF43911B0000CE8DBCC8</vt:lpwstr>
  </property>
  <property fmtid="{D5CDD505-2E9C-101B-9397-08002B2CF9AE}" pid="8" name="_dlc_DocIdItemGuid">
    <vt:lpwstr>f4944426-73f1-4cc5-889c-9217bff91143</vt:lpwstr>
  </property>
  <property fmtid="{D5CDD505-2E9C-101B-9397-08002B2CF9AE}" pid="9" name="AvailableTranslations">
    <vt:lpwstr>39;#HU|6b229040-c589-4408-b4c1-4285663d20a8;#9;#PL|1e03da61-4678-4e07-b136-b5024ca9197b;#45;#FI|87606a43-d45f-42d6-b8c9-e1a3457db5b7;#24;#LV|46f7e311-5d9f-4663-b433-18aeccb7ace7;#16;#ES|e7a6b05b-ae16-40c8-add9-68b64b03aeba;#13;#IT|0774613c-01ed-4e5d-a25d-11d2388de825;#29;#PT|50ccc04a-eadd-42ae-a0cb-acaf45f812ba;#4;#EN|f2175f21-25d7-44a3-96da-d6a61b075e1b;#32;#DA|5d49c027-8956-412b-aa16-e85a0f96ad0e;#40;#SV|c2ed69e7-a339-43d7-8f22-d93680a92aa0;#46;#SK|46d9fce0-ef79-4f71-b89b-cd6aa82426b8;#38;#EL|6d4f4d51-af9b-4650-94b4-4276bee85c91;#43;#HR|2f555653-ed1a-4fe6-8362-9082d95989e5;#36;#MT|7df99101-6854-4a26-b53a-b88c0da02c26;#31;#CS|72f9705b-0217-4fd3-bea2-cbc7ed80e26e;#48;#RO|feb747a2-64cd-4299-af12-4833ddc30497;#10;#DE|f6b31e5a-26fa-4935-b661-318e46daf27e;#34;#SL|98a412ae-eb01-49e9-ae3d-585a81724cfc;#47;#ET|ff6c3f4c-b02c-4c3c-ab07-2c37995a7a0a;#11;#FR|d2afafd3-4c81-4f60-8f52-ee33f2f54ff3;#44;#BG|1a1b3951-7821-4e6a-85f5-5673fc08bd2c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553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3155</vt:i4>
  </property>
  <property fmtid="{D5CDD505-2E9C-101B-9397-08002B2CF9AE}" pid="15" name="FicheYear">
    <vt:i4>2020</vt:i4>
  </property>
  <property fmtid="{D5CDD505-2E9C-101B-9397-08002B2CF9AE}" pid="16" name="DocumentVersion">
    <vt:i4>0</vt:i4>
  </property>
  <property fmtid="{D5CDD505-2E9C-101B-9397-08002B2CF9AE}" pid="17" name="DocumentStatus">
    <vt:lpwstr>2;#TRA|150d2a88-1431-44e6-a8ca-0bb753ab8672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2" name="DocumentType">
    <vt:lpwstr>8;#TCD|cd9d6eb6-3f4f-424a-b2d1-57c9d450eaaf</vt:lpwstr>
  </property>
  <property fmtid="{D5CDD505-2E9C-101B-9397-08002B2CF9AE}" pid="23" name="RequestingService">
    <vt:lpwstr>Coordination législative</vt:lpwstr>
  </property>
  <property fmtid="{D5CDD505-2E9C-101B-9397-08002B2CF9AE}" pid="24" name="Confidentiality">
    <vt:lpwstr>5;#Unrestricted|826e22d7-d029-4ec0-a450-0c28ff673572</vt:lpwstr>
  </property>
  <property fmtid="{D5CDD505-2E9C-101B-9397-08002B2CF9AE}" pid="25" name="MeetingName_0">
    <vt:lpwstr>SPL-CES|32d8cb1f-c9ec-4365-95c7-8385a18618ac</vt:lpwstr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4;#EN|f2175f21-25d7-44a3-96da-d6a61b075e1b</vt:lpwstr>
  </property>
  <property fmtid="{D5CDD505-2E9C-101B-9397-08002B2CF9AE}" pid="28" name="MeetingName">
    <vt:lpwstr>51;#SPL-CES|32d8cb1f-c9ec-4365-95c7-8385a18618ac</vt:lpwstr>
  </property>
  <property fmtid="{D5CDD505-2E9C-101B-9397-08002B2CF9AE}" pid="29" name="MeetingDate">
    <vt:filetime>2020-07-15T12:00:00Z</vt:filetime>
  </property>
  <property fmtid="{D5CDD505-2E9C-101B-9397-08002B2CF9AE}" pid="30" name="AvailableTranslations_0">
    <vt:lpwstr>HU|6b229040-c589-4408-b4c1-4285663d20a8;ES|e7a6b05b-ae16-40c8-add9-68b64b03aeba;IT|0774613c-01ed-4e5d-a25d-11d2388de825;PT|50ccc04a-eadd-42ae-a0cb-acaf45f812ba;EN|f2175f21-25d7-44a3-96da-d6a61b075e1b;HR|2f555653-ed1a-4fe6-8362-9082d95989e5;CS|72f9705b-0217-4fd3-bea2-cbc7ed80e26e;RO|feb747a2-64cd-4299-af12-4833ddc30497;DE|f6b31e5a-26fa-4935-b661-318e46daf27e;BG|1a1b3951-7821-4e6a-85f5-5673fc08bd2c</vt:lpwstr>
  </property>
  <property fmtid="{D5CDD505-2E9C-101B-9397-08002B2CF9AE}" pid="31" name="DocumentStatus_0">
    <vt:lpwstr>TRA|150d2a88-1431-44e6-a8ca-0bb753ab8672</vt:lpwstr>
  </property>
  <property fmtid="{D5CDD505-2E9C-101B-9397-08002B2CF9AE}" pid="32" name="OriginalLanguage_0">
    <vt:lpwstr>EN|f2175f21-25d7-44a3-96da-d6a61b075e1b</vt:lpwstr>
  </property>
  <property fmtid="{D5CDD505-2E9C-101B-9397-08002B2CF9AE}" pid="33" name="TaxCatchAll">
    <vt:lpwstr>31;#CS|72f9705b-0217-4fd3-bea2-cbc7ed80e26e;#43;#HR|2f555653-ed1a-4fe6-8362-9082d95989e5;#29;#PT|50ccc04a-eadd-42ae-a0cb-acaf45f812ba;#39;#HU|6b229040-c589-4408-b4c1-4285663d20a8;#16;#ES|e7a6b05b-ae16-40c8-add9-68b64b03aeba;#51;#SPL-CES|32d8cb1f-c9ec-4365-95c7-8385a18618ac;#13;#IT|0774613c-01ed-4e5d-a25d-11d2388de825;#48;#RO|feb747a2-64cd-4299-af12-4833ddc30497;#10;#DE|f6b31e5a-26fa-4935-b661-318e46daf27e;#8;#TCD|cd9d6eb6-3f4f-424a-b2d1-57c9d450eaaf;#44;#BG|1a1b3951-7821-4e6a-85f5-5673fc08bd2c;#6;#Final|ea5e6674-7b27-4bac-b091-73adbb394efe;#5;#Unrestricted|826e22d7-d029-4ec0-a450-0c28ff673572;#4;#EN|f2175f21-25d7-44a3-96da-d6a61b075e1b;#2;#TRA|150d2a88-1431-44e6-a8ca-0bb753ab8672;#1;#EESC|422833ec-8d7e-4e65-8e4e-8bed07ffb729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6;#Final|ea5e6674-7b27-4bac-b091-73adbb394efe</vt:lpwstr>
  </property>
  <property fmtid="{D5CDD505-2E9C-101B-9397-08002B2CF9AE}" pid="36" name="DocumentYear">
    <vt:i4>2020</vt:i4>
  </property>
  <property fmtid="{D5CDD505-2E9C-101B-9397-08002B2CF9AE}" pid="37" name="FicheNumber">
    <vt:i4>7916</vt:i4>
  </property>
  <property fmtid="{D5CDD505-2E9C-101B-9397-08002B2CF9AE}" pid="38" name="DocumentLanguage">
    <vt:lpwstr>46;#SK|46d9fce0-ef79-4f71-b89b-cd6aa82426b8</vt:lpwstr>
  </property>
</Properties>
</file>