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B964C" w14:textId="65699942" w:rsidR="00EA484E" w:rsidRPr="00627878" w:rsidRDefault="009A6C4F" w:rsidP="00EA484E">
      <w:pPr>
        <w:spacing w:line="288" w:lineRule="auto"/>
        <w:jc w:val="center"/>
        <w:rPr>
          <w:rFonts w:ascii="Times New Roman" w:hAnsi="Times New Roman"/>
        </w:rPr>
      </w:pPr>
      <w:r w:rsidRPr="00627878">
        <w:rPr>
          <w:lang w:eastAsia="pt-PT"/>
        </w:rPr>
        <w:drawing>
          <wp:inline distT="0" distB="0" distL="0" distR="0" wp14:anchorId="222C2ECB" wp14:editId="419EE84A">
            <wp:extent cx="1792605" cy="1239520"/>
            <wp:effectExtent l="0" t="0" r="0" b="0"/>
            <wp:docPr id="1" name="Picture 1" title="EESCLogo_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484E" w:rsidRPr="00627878">
        <w:rPr>
          <w:rFonts w:ascii="Times New Roman" w:hAnsi="Times New Roman"/>
          <w:sz w:val="20"/>
          <w:lang w:eastAsia="pt-PT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BDDC625" wp14:editId="1F296CE5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pic="http://schemas.openxmlformats.org/drawingml/2006/picture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pic="http://schemas.openxmlformats.org/drawingml/2006/picture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5B874" w14:textId="77777777" w:rsidR="00EA484E" w:rsidRPr="00627878" w:rsidRDefault="00EA484E" w:rsidP="00EA484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 w:rsidRPr="00627878"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DDC625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ZFRQIAAEYEAAAOAAAAZHJzL2Uyb0RvYy54bWysU8tu2zAQvBfoPxC8y5IcWbKEyEFix0WB&#10;9AEk/QCaoiyhEpcl6Uhp0H/vkrJdt70VvRDkPmZ3Z7jXN2PfkWehTQuypPEsokRIDlUr9yX98rQN&#10;lpQYy2TFOpCipC/C0JvV2zfXgyrEHBroKqEJgkhTDKqkjbWqCEPDG9EzMwMlJDpr0D2z+NT7sNJs&#10;QPS+C+dRlIYD6Epp4MIYtG4mJ115/LoW3H6qayMs6UqKvVl/an/u3Bmurlmx10w1LT+2wf6hi561&#10;EoueoTbMMnLQ7V9Qfcs1GKjtjEMfQl23XPgZcJo4+mOax4Yp4WdBcow602T+Hyz/+PxZk7Yq6Rzp&#10;kaxHjZ7EaMkdjCTOHD+DMgWGPSoMtCPaUWc/q1EPwL8aImHdMLkXt1rD0AhWYX+xywwvUicc40B2&#10;wweosA47WPBAY617Rx7SQRAdG3k5a+N64WhMkyyL0MPRdZWn88RrF7LilKy0se8E9MRdSqpReg/O&#10;nh+Mdc2w4hTiaknYtl3n5e/kbwYMnCxYGlOdzzXh1XzNo/x+eb9MgmSe3gdJVFXB7XadBOk2zhab&#10;q816vYl/TL/qIinGdu/mebBNl1mQ1MkiyLNoGURxfpenUZInm61PwtKnop47R9dEnB1341GLHVQv&#10;yKKG6TPj8uGlAf2dkgE/cknNtwPTgpLuvUQl8jhBroj1j2SROZ31pWd36WGSI1RJLSXTdW2nbTko&#10;3e4brDRpL+EW1atbz6yTeerqqDl+Vk/4cbHcNly+fdSv9V/9BAAA//8DAFBLAwQUAAYACAAAACEA&#10;61QxWt4AAAAPAQAADwAAAGRycy9kb3ducmV2LnhtbExPQU7DMBC8I/EHa5G4UbuImBDiVAjEFUSB&#10;Sr258TaJiNdR7Dbh92xP9DazM5qdKVez78URx9gFMrBcKBBIdXAdNQa+Pl9vchAxWXK2D4QGfjHC&#10;qrq8KG3hwkQfeFynRnAIxcIaaFMaCilj3aK3cREGJNb2YfQ2MR0b6UY7cbjv5a1SWnrbEX9o7YDP&#10;LdY/64M38P22327u1Hvz4rNhCrOS5B+kMddX89MjiIRz+jfDqT5Xh4o77cKBXBQ9c6U1j0mMsvxe&#10;gzh5ljrn246RzpQCWZXyfEf1BwAA//8DAFBLAQItABQABgAIAAAAIQC2gziS/gAAAOEBAAATAAAA&#10;AAAAAAAAAAAAAAAAAABbQ29udGVudF9UeXBlc10ueG1sUEsBAi0AFAAGAAgAAAAhADj9If/WAAAA&#10;lAEAAAsAAAAAAAAAAAAAAAAALwEAAF9yZWxzLy5yZWxzUEsBAi0AFAAGAAgAAAAhANwFRkVFAgAA&#10;RgQAAA4AAAAAAAAAAAAAAAAALgIAAGRycy9lMm9Eb2MueG1sUEsBAi0AFAAGAAgAAAAhAOtUMVre&#10;AAAADwEAAA8AAAAAAAAAAAAAAAAAnwQAAGRycy9kb3ducmV2LnhtbFBLBQYAAAAABAAEAPMAAACq&#10;BQAAAAA=&#10;" o:allowincell="f" filled="f" stroked="f">
                <v:textbox>
                  <w:txbxContent>
                    <w:p w14:paraId="7A25B874" w14:textId="77777777" w:rsidR="00EA484E" w:rsidRPr="00627878" w:rsidRDefault="00EA484E" w:rsidP="00EA484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 w:rsidRPr="00627878">
                        <w:rPr>
                          <w:rFonts w:ascii="Arial" w:hAnsi="Arial"/>
                          <w:b/>
                          <w:bCs/>
                          <w:sz w:val="48"/>
                        </w:rPr>
                        <w:t>PT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BF1EE07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5B45454E" w14:textId="77777777" w:rsidR="00EA484E" w:rsidRPr="00627878" w:rsidRDefault="00EA484E" w:rsidP="00EA484E">
      <w:pPr>
        <w:spacing w:line="288" w:lineRule="auto"/>
        <w:jc w:val="right"/>
        <w:rPr>
          <w:rFonts w:ascii="Times New Roman" w:hAnsi="Times New Roman"/>
          <w:sz w:val="22"/>
          <w:szCs w:val="22"/>
        </w:rPr>
      </w:pPr>
    </w:p>
    <w:p w14:paraId="0B80951C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5EE5097E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13AA1B11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7FDD0B0D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5DFDF48C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729B7E64" w14:textId="77777777" w:rsidR="00EA484E" w:rsidRPr="00627878" w:rsidRDefault="00EA484E" w:rsidP="00EA484E">
      <w:pPr>
        <w:spacing w:line="288" w:lineRule="auto"/>
        <w:rPr>
          <w:rFonts w:ascii="Times New Roman" w:hAnsi="Times New Roman"/>
          <w:b/>
          <w:sz w:val="22"/>
          <w:szCs w:val="22"/>
        </w:rPr>
      </w:pPr>
    </w:p>
    <w:p w14:paraId="524CB2DF" w14:textId="70941331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627878">
        <w:rPr>
          <w:rFonts w:ascii="Times New Roman" w:hAnsi="Times New Roman"/>
          <w:b/>
          <w:sz w:val="28"/>
          <w:szCs w:val="28"/>
        </w:rPr>
        <w:t>SÍNTESE DA RESOLUÇÃO</w:t>
      </w:r>
    </w:p>
    <w:p w14:paraId="6376E841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</w:rPr>
      </w:pPr>
    </w:p>
    <w:p w14:paraId="63B8FE3F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bCs/>
          <w:iCs/>
          <w:sz w:val="22"/>
          <w:szCs w:val="22"/>
        </w:rPr>
      </w:pPr>
      <w:r w:rsidRPr="00627878">
        <w:rPr>
          <w:rFonts w:ascii="Times New Roman" w:hAnsi="Times New Roman"/>
          <w:b/>
          <w:bCs/>
          <w:iCs/>
          <w:sz w:val="22"/>
          <w:szCs w:val="22"/>
        </w:rPr>
        <w:t>Contributo do Comité Económico e Social Europeu</w:t>
      </w:r>
    </w:p>
    <w:p w14:paraId="4AFEA1A9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i/>
          <w:sz w:val="22"/>
          <w:szCs w:val="22"/>
        </w:rPr>
      </w:pPr>
      <w:r w:rsidRPr="00627878">
        <w:rPr>
          <w:rFonts w:ascii="Times New Roman" w:hAnsi="Times New Roman"/>
          <w:b/>
          <w:bCs/>
          <w:iCs/>
          <w:sz w:val="22"/>
          <w:szCs w:val="22"/>
        </w:rPr>
        <w:t>para o programa de trabalho da Comissão Europeia para 2021</w:t>
      </w:r>
    </w:p>
    <w:p w14:paraId="258CA404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i/>
          <w:sz w:val="22"/>
          <w:szCs w:val="22"/>
        </w:rPr>
      </w:pPr>
    </w:p>
    <w:p w14:paraId="1F7CFC34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18E42D10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4A16DF2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40039A0E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  <w:r w:rsidRPr="00627878">
        <w:rPr>
          <w:rFonts w:ascii="Times New Roman" w:hAnsi="Times New Roman"/>
          <w:b/>
          <w:sz w:val="22"/>
          <w:szCs w:val="22"/>
        </w:rPr>
        <w:t>com base no trabalho do</w:t>
      </w:r>
    </w:p>
    <w:p w14:paraId="6539ED51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  <w:r w:rsidRPr="00627878">
        <w:rPr>
          <w:rFonts w:ascii="Times New Roman" w:hAnsi="Times New Roman"/>
          <w:b/>
          <w:sz w:val="22"/>
          <w:szCs w:val="22"/>
        </w:rPr>
        <w:t xml:space="preserve"> </w:t>
      </w:r>
    </w:p>
    <w:p w14:paraId="7A521B48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  <w:r w:rsidRPr="00627878">
        <w:rPr>
          <w:rFonts w:ascii="Times New Roman" w:hAnsi="Times New Roman"/>
          <w:b/>
          <w:sz w:val="22"/>
          <w:szCs w:val="22"/>
        </w:rPr>
        <w:t>Grupo Eventual para o Contributo do CESE para o Programa de Trabalho da Comissão Europeia para 2021</w:t>
      </w:r>
    </w:p>
    <w:p w14:paraId="3AED97B6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47E1F303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_____________</w:t>
      </w:r>
    </w:p>
    <w:p w14:paraId="4234A862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14:paraId="792C9FD3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14:paraId="3FFC54E4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14:paraId="4E5196C1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Relatores:</w:t>
      </w:r>
      <w:r w:rsidRPr="00627878">
        <w:rPr>
          <w:rFonts w:ascii="Times New Roman" w:hAnsi="Times New Roman"/>
          <w:b/>
          <w:sz w:val="22"/>
          <w:szCs w:val="22"/>
        </w:rPr>
        <w:t xml:space="preserve"> Petr Zahradník (CZ-I)</w:t>
      </w:r>
    </w:p>
    <w:p w14:paraId="2B11417B" w14:textId="77777777" w:rsidR="00EA484E" w:rsidRPr="00627878" w:rsidRDefault="00EA484E" w:rsidP="00EA484E">
      <w:pPr>
        <w:spacing w:line="288" w:lineRule="auto"/>
        <w:ind w:left="3884"/>
        <w:rPr>
          <w:rFonts w:ascii="Times New Roman" w:hAnsi="Times New Roman"/>
          <w:b/>
          <w:sz w:val="22"/>
          <w:szCs w:val="22"/>
        </w:rPr>
      </w:pPr>
      <w:r w:rsidRPr="00627878">
        <w:rPr>
          <w:rFonts w:ascii="Times New Roman" w:hAnsi="Times New Roman"/>
          <w:b/>
          <w:sz w:val="22"/>
          <w:szCs w:val="22"/>
        </w:rPr>
        <w:t>Stefano Palmieri (IT-II)</w:t>
      </w:r>
    </w:p>
    <w:p w14:paraId="5009DD94" w14:textId="77777777" w:rsidR="00EA484E" w:rsidRPr="00627878" w:rsidRDefault="00EA484E" w:rsidP="00EA484E">
      <w:pPr>
        <w:spacing w:line="288" w:lineRule="auto"/>
        <w:ind w:left="3884"/>
        <w:rPr>
          <w:rFonts w:ascii="Times New Roman" w:hAnsi="Times New Roman"/>
          <w:b/>
          <w:sz w:val="22"/>
          <w:szCs w:val="22"/>
        </w:rPr>
      </w:pPr>
      <w:r w:rsidRPr="00627878">
        <w:rPr>
          <w:rFonts w:ascii="Times New Roman" w:hAnsi="Times New Roman"/>
          <w:b/>
          <w:sz w:val="22"/>
          <w:szCs w:val="22"/>
        </w:rPr>
        <w:t>Jan Dirx</w:t>
      </w:r>
      <w:bookmarkStart w:id="0" w:name="_GoBack"/>
      <w:bookmarkEnd w:id="0"/>
      <w:r w:rsidRPr="00627878">
        <w:rPr>
          <w:rFonts w:ascii="Times New Roman" w:hAnsi="Times New Roman"/>
          <w:b/>
          <w:sz w:val="22"/>
          <w:szCs w:val="22"/>
        </w:rPr>
        <w:t xml:space="preserve"> (NL-III)</w:t>
      </w:r>
    </w:p>
    <w:p w14:paraId="25866510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14:paraId="2FDFD8AD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_____________</w:t>
      </w:r>
    </w:p>
    <w:p w14:paraId="398831BA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38E86DFC" w14:textId="1BA67C7E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 xml:space="preserve">adotada pelo Comité Económico e Social Europeu </w:t>
      </w:r>
      <w:r w:rsidRPr="00627878">
        <w:rPr>
          <w:rFonts w:ascii="Times New Roman" w:hAnsi="Times New Roman"/>
          <w:sz w:val="22"/>
          <w:szCs w:val="22"/>
        </w:rPr>
        <w:br/>
        <w:t>em 16 de julho de 2020</w:t>
      </w:r>
    </w:p>
    <w:p w14:paraId="47D025FA" w14:textId="77777777" w:rsidR="00EA484E" w:rsidRPr="00627878" w:rsidRDefault="00EA484E" w:rsidP="00EA484E">
      <w:pPr>
        <w:spacing w:line="288" w:lineRule="auto"/>
        <w:jc w:val="center"/>
        <w:rPr>
          <w:rFonts w:ascii="Times New Roman" w:hAnsi="Times New Roman"/>
          <w:sz w:val="22"/>
          <w:szCs w:val="22"/>
        </w:rPr>
      </w:pPr>
    </w:p>
    <w:p w14:paraId="174DC1F6" w14:textId="77777777" w:rsidR="00EA484E" w:rsidRPr="00627878" w:rsidRDefault="00EA484E" w:rsidP="00EA484E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_____________</w:t>
      </w:r>
    </w:p>
    <w:p w14:paraId="1D16C18D" w14:textId="77777777" w:rsidR="00EA484E" w:rsidRPr="00627878" w:rsidRDefault="00EA484E" w:rsidP="00EA484E">
      <w:pPr>
        <w:spacing w:line="288" w:lineRule="auto"/>
        <w:rPr>
          <w:rFonts w:ascii="Times New Roman" w:hAnsi="Times New Roman"/>
          <w:sz w:val="22"/>
          <w:szCs w:val="22"/>
        </w:rPr>
      </w:pPr>
    </w:p>
    <w:p w14:paraId="64453DC3" w14:textId="4F5F47D1" w:rsidR="00EA484E" w:rsidRPr="00627878" w:rsidRDefault="00EA484E">
      <w:pPr>
        <w:spacing w:line="280" w:lineRule="exact"/>
        <w:ind w:left="357" w:hanging="357"/>
      </w:pPr>
      <w:r w:rsidRPr="00627878">
        <w:br w:type="page"/>
      </w:r>
    </w:p>
    <w:p w14:paraId="660072A1" w14:textId="27B71FF5" w:rsidR="00EA484E" w:rsidRPr="00627878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lastRenderedPageBreak/>
        <w:t>Como salientado na sua Resolução – Propostas do CESE para a reconstrução e a recuperação na sequência da crise da COVID-19</w:t>
      </w:r>
      <w:r w:rsidRPr="00627878">
        <w:rPr>
          <w:rFonts w:ascii="Times New Roman" w:hAnsi="Times New Roman"/>
          <w:vertAlign w:val="superscript"/>
          <w:lang w:eastAsia="en-US"/>
        </w:rPr>
        <w:footnoteReference w:id="1"/>
      </w:r>
      <w:r w:rsidRPr="00627878">
        <w:rPr>
          <w:rFonts w:ascii="Times New Roman" w:hAnsi="Times New Roman"/>
          <w:sz w:val="22"/>
          <w:szCs w:val="22"/>
        </w:rPr>
        <w:t>, o CESE saúda vivamente e apoia sem reservas as propostas da Comissão Europeia relativas ao Instrumento de Recuperação da União Europeia (Next Generation EU) e ao orçamento geral da UE para 2021-2027. O Comité deseja e faz votos de que as posições assumidas pela Comissão nestas iniciativas, perante a necessidade de recuperação e reconstrução após a crise da COVID-19, sejam desenvolvidas de forma plena e concreta no programa de trabalho da Comissão para 2021.</w:t>
      </w:r>
    </w:p>
    <w:p w14:paraId="0DC5F400" w14:textId="77777777" w:rsidR="00EA484E" w:rsidRPr="00627878" w:rsidRDefault="00EA484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70FAD9E5" w14:textId="77777777" w:rsidR="00EA484E" w:rsidRPr="00627878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No entender do CESE, o programa de trabalho deve centrar-se na reestruturação e na melhoria da economia e da sociedade, com base nos princípios seguintes: defesa dos direitos humanos e sociais, dos valores democráticos e do Estado de direito, libertação de todo o potencial do mercado único, consecução dos Objetivos de Desenvolvimento Sustentável (ODS), criação de uma economia circular e consecução da neutralidade climática da UE até 2050, o mais tardar, e garantia de boa governação e responsabilização democrática.</w:t>
      </w:r>
    </w:p>
    <w:p w14:paraId="62862964" w14:textId="77777777" w:rsidR="00EA484E" w:rsidRPr="00627878" w:rsidRDefault="00EA484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1DAC4335" w14:textId="7E5DFEA9" w:rsidR="00EA484E" w:rsidRPr="00627878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O CESE sublinha que os seis grandes domínios prioritários selecionados pela Comissão (Pacto Ecológico Europeu, Uma Europa Preparada para a Era Digital, Uma Economia ao serviço das Pessoas, Uma Europa mais Forte no Mundo, Promoção do Modo de Vida Europeu e Um Novo Impulso para a Democracia Europeia) constituem bases sólidas para a elaboração do programa de trabalho para 2021. Porventura, poderia ser colocada uma ênfase mais explícita nos investimentos e na necessidade de os acelerar, nomeadamente graças às medidas que estão atualmente a ser adotadas.</w:t>
      </w:r>
    </w:p>
    <w:p w14:paraId="76FF9B78" w14:textId="77777777" w:rsidR="00EA484E" w:rsidRPr="00627878" w:rsidRDefault="00EA484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161F4282" w14:textId="77777777" w:rsidR="00EA484E" w:rsidRPr="00627878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Sobretudo agora que é patente a importância da cooperação entre países nesta altura de crise, o CESE espera que a futura Conferência sobre o Futuro da Europa permita reforçar e aprofundar a estrutura institucional da UE e conduza a uma genuína renovação do projeto europeu, capaz de enfrentar os desafios das próximas décadas. Por conseguinte, a Comissão tem todo o apoio do Comité.</w:t>
      </w:r>
    </w:p>
    <w:p w14:paraId="48473CC8" w14:textId="77777777" w:rsidR="00EA484E" w:rsidRPr="00627878" w:rsidRDefault="00EA484E" w:rsidP="00EA484E">
      <w:pPr>
        <w:pStyle w:val="ListParagraph"/>
        <w:spacing w:line="288" w:lineRule="auto"/>
        <w:ind w:left="709" w:hanging="709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6FF3B067" w14:textId="2F23231E" w:rsidR="00EA484E" w:rsidRPr="00627878" w:rsidRDefault="00EA484E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O CESE está convicto de que o processo de retoma e relançamento da economia e da sociedade só será possível com a participação ativa das organizações da sociedade civil e dos parceiros sociais.</w:t>
      </w:r>
    </w:p>
    <w:p w14:paraId="7206EF37" w14:textId="77777777" w:rsidR="00797347" w:rsidRPr="00627878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659DAE92" w14:textId="71D68A1C" w:rsidR="00797347" w:rsidRPr="00627878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O Pacto Ecológico Europeu também pode ser encarado como um instrumento eficaz para relançar a economia de forma sustentável, através de investimentos maciços que apoiem as mudanças estruturais necessárias que a Europa está a atravessar. Deste ponto de vista, pode ser considerado uma oportunidade para apoiar uma retoma económica a mais longo prazo. Para o efeito, é necessário um novo consenso na Europa sobre a concentração de fontes de financiamento públicas e privadas suficientes, bem como a adoção de um novo modelo de governação para aplicar esse consenso com êxito na prática.</w:t>
      </w:r>
    </w:p>
    <w:p w14:paraId="4E7D4AA2" w14:textId="77777777" w:rsidR="00797347" w:rsidRPr="00627878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4F04EEF7" w14:textId="1100C344" w:rsidR="00797347" w:rsidRPr="00627878" w:rsidRDefault="00797347" w:rsidP="00CD33F9">
      <w:pPr>
        <w:pStyle w:val="ListParagraph"/>
        <w:pageBreakBefore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lastRenderedPageBreak/>
        <w:t xml:space="preserve">Os recursos públicos investidos em planos de recuperação devem não só ajudar a relançar a economia e a sociedade da Europa, mas também contribuir para reduzir de forma drástica o impacto de futuros choques investindo numa economia resiliente, inclusiva e respeitadora do clima (a designada «economia do bem-estar»). </w:t>
      </w:r>
    </w:p>
    <w:p w14:paraId="654FCC30" w14:textId="77777777" w:rsidR="00797347" w:rsidRPr="00627878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4CF873A2" w14:textId="48C76AEC" w:rsidR="00797347" w:rsidRPr="00627878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A taxonomia da UE do investimento sustentável deve orientar os investimentos públicos e privados durante todo o processo de retoma, a fim de acelerar a transição de setores poluentes para setores ecológicos.</w:t>
      </w:r>
    </w:p>
    <w:p w14:paraId="255DB36E" w14:textId="77777777" w:rsidR="00CD33F9" w:rsidRPr="00627878" w:rsidRDefault="00CD33F9" w:rsidP="00CD33F9">
      <w:pPr>
        <w:spacing w:line="288" w:lineRule="auto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</w:p>
    <w:p w14:paraId="67C0400C" w14:textId="1779E3BE" w:rsidR="00EA484E" w:rsidRPr="00627878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A crise da COVID-19 mostra que a revolução digital é um elemento importante para aumentar a resistência das nossas sociedades em situação de crise. É fundamental investir na digitalização de serviços essenciais e reforçar a capacidade dos governos, dos legisladores e das instituições públicas de prestarem os seus serviços durante uma crise.</w:t>
      </w:r>
    </w:p>
    <w:p w14:paraId="3A22B508" w14:textId="77777777" w:rsidR="00797347" w:rsidRPr="00627878" w:rsidRDefault="00797347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58772FC0" w14:textId="0C733ED2" w:rsidR="00797347" w:rsidRPr="00627878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 xml:space="preserve">A Comissão deve continuar a recorrer ao Semestre Europeu como motor da retoma, com base nas prioridades de investimento e de reforma identificadas no quadro do referido Semestre. O Comité louva a recente ênfase numa melhor integração dos assuntos sociais e do Pacto Ecológico Europeu, tal como a aplicação do Mecanismo de Recuperação e Resiliência através do Semestre. </w:t>
      </w:r>
    </w:p>
    <w:p w14:paraId="3C3DB9C8" w14:textId="77777777" w:rsidR="00695B6E" w:rsidRPr="00627878" w:rsidRDefault="00695B6E" w:rsidP="00695B6E">
      <w:pPr>
        <w:pStyle w:val="ListParagraph"/>
        <w:spacing w:line="288" w:lineRule="auto"/>
        <w:ind w:left="0"/>
        <w:jc w:val="both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4A80875C" w14:textId="57A1507F" w:rsidR="00797347" w:rsidRPr="00627878" w:rsidRDefault="00797347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É possível promover a inovação social como modelo para a recuperação através de processos colaborativos de criação, conceção e produção. A sociedade civil organizada é um catalisador da inovação social, um movimento que tem contribuído para a conceção de sistemas de assistência social que resultam em novas políticas, estruturas, produtos, serviços e métodos de trabalho.</w:t>
      </w:r>
      <w:r w:rsidR="00627878" w:rsidRPr="00627878">
        <w:rPr>
          <w:rFonts w:ascii="Times New Roman" w:hAnsi="Times New Roman"/>
          <w:sz w:val="22"/>
          <w:szCs w:val="22"/>
        </w:rPr>
        <w:t xml:space="preserve"> </w:t>
      </w:r>
      <w:r w:rsidRPr="00627878">
        <w:rPr>
          <w:rFonts w:ascii="Times New Roman" w:hAnsi="Times New Roman"/>
          <w:sz w:val="22"/>
          <w:szCs w:val="22"/>
        </w:rPr>
        <w:t>Mais do que nunca é necessária a participação da sociedade civil – e a verdadeira inovação social só se concretiza quando a sociedade civil está envolvida.</w:t>
      </w:r>
    </w:p>
    <w:p w14:paraId="1385EF6C" w14:textId="77777777" w:rsidR="00A1546D" w:rsidRPr="00627878" w:rsidRDefault="00A1546D" w:rsidP="00A1546D">
      <w:pPr>
        <w:pStyle w:val="ListParagraph"/>
        <w:spacing w:line="288" w:lineRule="auto"/>
        <w:ind w:left="0"/>
        <w:jc w:val="both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4B3A6FD5" w14:textId="2AC8F4EA" w:rsidR="00A1546D" w:rsidRPr="00627878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Acima de tudo, um dos principais ensinamentos retirados da crise do coronavírus revela que os sistemas de saúde de quase todos os países europeus necessitam de ser reforçados, colocando, sobretudo, a ênfase na prevenção. Embora a responsabilidade pelos cuidados de saúde seja uma competência nacional, a propagação do vírus não conhece fronteiras e está a afetar toda a Europa, dentro e fora das nossas fronteiras, com consequências sanitárias, sociais e económicas que exigem respostas comuns a nível europeu.</w:t>
      </w:r>
    </w:p>
    <w:p w14:paraId="2D20D300" w14:textId="77777777" w:rsidR="00A1546D" w:rsidRPr="00627878" w:rsidRDefault="00A1546D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108C4A04" w14:textId="16CCFD0F" w:rsidR="00A1546D" w:rsidRPr="00627878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A UE tem de reforçar e consolidar a sua posição global para assumir um papel mais importante e estratégico na economia e na política mundiais. A economia da UE pode explorar melhor as suas vantagens comparativas no comércio mundial e nos mercados de investimentos, sobretudo na produção industrial avançada e nos serviços inovadores, com a ambição de se tornar um líder mundial. Este esforço deve ser acompanhado de uma representação melhor e mais eficaz da UE em organizações internacionais fundamentais, onde a UE deve falar a uma só voz. O CESE exorta a Comissão Europeia a envidar esforços orientados para reforçar a posição da UE a nível mundial, o que deve igualmente refletir-se mais especificamente no programa de trabalho para 2021.</w:t>
      </w:r>
    </w:p>
    <w:p w14:paraId="5114F866" w14:textId="77777777" w:rsidR="00695B6E" w:rsidRPr="00627878" w:rsidRDefault="00695B6E" w:rsidP="00395CE4">
      <w:pPr>
        <w:pStyle w:val="ListParagraph"/>
        <w:spacing w:line="288" w:lineRule="auto"/>
        <w:ind w:left="567" w:hanging="567"/>
        <w:jc w:val="both"/>
        <w:outlineLvl w:val="1"/>
        <w:rPr>
          <w:rFonts w:ascii="Times New Roman" w:eastAsia="Times New Roman" w:hAnsi="Times New Roman"/>
          <w:sz w:val="22"/>
          <w:szCs w:val="22"/>
          <w:lang w:eastAsia="en-US"/>
        </w:rPr>
      </w:pPr>
    </w:p>
    <w:p w14:paraId="6903AF7B" w14:textId="2EF24674" w:rsidR="00695B6E" w:rsidRPr="00627878" w:rsidRDefault="00A1546D" w:rsidP="00CD33F9">
      <w:pPr>
        <w:pStyle w:val="ListParagraph"/>
        <w:pageBreakBefore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lastRenderedPageBreak/>
        <w:t>Para além das questões económicas e ambientais, o programa de trabalho da Comissão Europeia para 2021 deve nortear-se pela dimensão social. Tal significa que o seu empenho numa Europa social e sustentável deve ser uma prioridade. Às organizações da sociedade civil também cabe um papel importante neste domínio.</w:t>
      </w:r>
    </w:p>
    <w:p w14:paraId="1F858B09" w14:textId="77777777" w:rsidR="00695B6E" w:rsidRPr="00627878" w:rsidRDefault="00695B6E" w:rsidP="00395CE4">
      <w:pPr>
        <w:pStyle w:val="ListParagraph"/>
        <w:spacing w:line="288" w:lineRule="auto"/>
        <w:ind w:left="0"/>
        <w:jc w:val="both"/>
        <w:outlineLvl w:val="1"/>
        <w:rPr>
          <w:rFonts w:ascii="Times New Roman" w:hAnsi="Times New Roman"/>
          <w:sz w:val="22"/>
          <w:szCs w:val="22"/>
        </w:rPr>
      </w:pPr>
    </w:p>
    <w:p w14:paraId="73255230" w14:textId="500D09E0" w:rsidR="00695B6E" w:rsidRPr="00627878" w:rsidRDefault="00A1546D" w:rsidP="00395CE4">
      <w:pPr>
        <w:pStyle w:val="ListParagraph"/>
        <w:numPr>
          <w:ilvl w:val="0"/>
          <w:numId w:val="2"/>
        </w:numPr>
        <w:spacing w:line="288" w:lineRule="auto"/>
        <w:ind w:left="567" w:hanging="567"/>
        <w:jc w:val="both"/>
        <w:outlineLvl w:val="1"/>
        <w:rPr>
          <w:rFonts w:ascii="Times New Roman" w:hAnsi="Times New Roman"/>
          <w:sz w:val="22"/>
          <w:szCs w:val="22"/>
        </w:rPr>
      </w:pPr>
      <w:r w:rsidRPr="00627878">
        <w:rPr>
          <w:rFonts w:ascii="Times New Roman" w:hAnsi="Times New Roman"/>
          <w:sz w:val="22"/>
          <w:szCs w:val="22"/>
        </w:rPr>
        <w:t>O CESE apoia firmemente a proposta da Comissão Europeia de elaborar um plano de ação para a democracia europeia, que deverá ser exaustivo e contínuo, ter capacidade para promover mudanças e beneficiar de apoio financeiro e de coordenação interinstitucional.</w:t>
      </w:r>
    </w:p>
    <w:p w14:paraId="1F40C220" w14:textId="475B4AEC" w:rsidR="00395CE4" w:rsidRPr="00627878" w:rsidRDefault="00395CE4" w:rsidP="00695B6E">
      <w:pPr>
        <w:spacing w:line="288" w:lineRule="auto"/>
        <w:jc w:val="both"/>
        <w:outlineLvl w:val="1"/>
        <w:rPr>
          <w:rFonts w:ascii="Times New Roman" w:hAnsi="Times New Roman"/>
          <w:sz w:val="22"/>
          <w:szCs w:val="22"/>
        </w:rPr>
      </w:pPr>
    </w:p>
    <w:p w14:paraId="620BA47D" w14:textId="77777777" w:rsidR="00395CE4" w:rsidRPr="00627878" w:rsidRDefault="00395CE4">
      <w:pPr>
        <w:overflowPunct w:val="0"/>
        <w:autoSpaceDE w:val="0"/>
        <w:autoSpaceDN w:val="0"/>
        <w:adjustRightInd w:val="0"/>
        <w:spacing w:line="288" w:lineRule="auto"/>
        <w:jc w:val="center"/>
        <w:textAlignment w:val="baseline"/>
      </w:pPr>
      <w:r w:rsidRPr="00627878">
        <w:t>_____________</w:t>
      </w:r>
    </w:p>
    <w:p w14:paraId="5514C873" w14:textId="698C671E" w:rsidR="00395CE4" w:rsidRPr="00627878" w:rsidRDefault="00395CE4">
      <w:pPr>
        <w:tabs>
          <w:tab w:val="left" w:pos="1647"/>
        </w:tabs>
        <w:rPr>
          <w:rFonts w:ascii="Times New Roman" w:hAnsi="Times New Roman"/>
          <w:sz w:val="22"/>
          <w:szCs w:val="22"/>
        </w:rPr>
      </w:pPr>
    </w:p>
    <w:sectPr w:rsidR="00395CE4" w:rsidRPr="00627878" w:rsidSect="00627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37331" w14:textId="77777777" w:rsidR="00FC6434" w:rsidRDefault="00FC6434" w:rsidP="00EA484E">
      <w:r>
        <w:separator/>
      </w:r>
    </w:p>
  </w:endnote>
  <w:endnote w:type="continuationSeparator" w:id="0">
    <w:p w14:paraId="7D924EA2" w14:textId="77777777" w:rsidR="00FC6434" w:rsidRDefault="00FC6434" w:rsidP="00EA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35EA9" w14:textId="77777777" w:rsidR="00627878" w:rsidRPr="00627878" w:rsidRDefault="00627878" w:rsidP="00627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84632" w14:textId="53E63FB9" w:rsidR="00395CE4" w:rsidRPr="00627878" w:rsidRDefault="00627878" w:rsidP="00627878">
    <w:pPr>
      <w:pStyle w:val="Footer"/>
    </w:pPr>
    <w:r>
      <w:t xml:space="preserve">EESC-2020-03155-00-00-TCD-TRA (EN)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 xml:space="preserve"> = </w:instrText>
    </w:r>
    <w:fldSimple w:instr=" NUMPAGES ">
      <w:r>
        <w:rPr>
          <w:noProof/>
        </w:rPr>
        <w:instrText>4</w:instrText>
      </w:r>
    </w:fldSimple>
    <w:r>
      <w:instrText xml:space="preserve"> -0 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B6AAA" w14:textId="77777777" w:rsidR="00627878" w:rsidRPr="00627878" w:rsidRDefault="00627878" w:rsidP="00627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2C85F" w14:textId="77777777" w:rsidR="00FC6434" w:rsidRDefault="00FC6434" w:rsidP="00EA484E">
      <w:r>
        <w:separator/>
      </w:r>
    </w:p>
  </w:footnote>
  <w:footnote w:type="continuationSeparator" w:id="0">
    <w:p w14:paraId="2CDFA011" w14:textId="77777777" w:rsidR="00FC6434" w:rsidRDefault="00FC6434" w:rsidP="00EA484E">
      <w:r>
        <w:continuationSeparator/>
      </w:r>
    </w:p>
  </w:footnote>
  <w:footnote w:id="1">
    <w:p w14:paraId="3A3A82D3" w14:textId="6FAB0843" w:rsidR="00EA484E" w:rsidRPr="00627878" w:rsidRDefault="00EA484E" w:rsidP="00AC7274">
      <w:pPr>
        <w:pStyle w:val="FootnoteText"/>
        <w:spacing w:after="60" w:line="288" w:lineRule="auto"/>
        <w:ind w:left="567" w:hanging="567"/>
        <w:contextualSpacing/>
        <w:jc w:val="both"/>
        <w:outlineLvl w:val="1"/>
        <w:rPr>
          <w:rFonts w:ascii="Times New Roman" w:hAnsi="Times New Roman"/>
          <w:sz w:val="16"/>
          <w:szCs w:val="16"/>
        </w:rPr>
      </w:pPr>
      <w:r w:rsidRPr="00627878">
        <w:rPr>
          <w:rStyle w:val="FootnoteReference"/>
          <w:rFonts w:ascii="Times New Roman" w:hAnsi="Times New Roman"/>
        </w:rPr>
        <w:footnoteRef/>
      </w:r>
      <w:r w:rsidRPr="00627878">
        <w:rPr>
          <w:rFonts w:ascii="Times New Roman" w:hAnsi="Times New Roman"/>
          <w:sz w:val="16"/>
          <w:szCs w:val="16"/>
        </w:rPr>
        <w:tab/>
      </w:r>
      <w:hyperlink r:id="rId1" w:history="1">
        <w:r w:rsidRPr="00627878">
          <w:rPr>
            <w:rStyle w:val="Hyperlink"/>
            <w:rFonts w:ascii="Times New Roman" w:hAnsi="Times New Roman"/>
            <w:sz w:val="16"/>
            <w:szCs w:val="16"/>
          </w:rPr>
          <w:t xml:space="preserve">Resolução – Propostas do CESE para a reconstrução e a recuperação na sequência da crise </w:t>
        </w:r>
        <w:r w:rsidRPr="00627878">
          <w:rPr>
            <w:rStyle w:val="Hyperlink"/>
            <w:rFonts w:ascii="Times New Roman" w:hAnsi="Times New Roman"/>
            <w:sz w:val="16"/>
            <w:szCs w:val="16"/>
          </w:rPr>
          <w:t>da COVID-19</w:t>
        </w:r>
      </w:hyperlink>
      <w:r w:rsidRPr="00627878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3FF7D" w14:textId="77777777" w:rsidR="00627878" w:rsidRPr="00627878" w:rsidRDefault="00627878" w:rsidP="006278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11D9" w14:textId="77777777" w:rsidR="00627878" w:rsidRPr="00627878" w:rsidRDefault="00627878" w:rsidP="00627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F2A33" w14:textId="77777777" w:rsidR="00627878" w:rsidRPr="00627878" w:rsidRDefault="00627878" w:rsidP="00627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3A0113A"/>
    <w:lvl w:ilvl="0">
      <w:start w:val="1"/>
      <w:numFmt w:val="decimal"/>
      <w:pStyle w:val="Heading1"/>
      <w:lvlText w:val="%1."/>
      <w:lvlJc w:val="left"/>
      <w:pPr>
        <w:ind w:left="709" w:firstLine="0"/>
      </w:pPr>
      <w:rPr>
        <w:rFonts w:hint="default"/>
        <w:b/>
        <w:bCs w:val="0"/>
      </w:rPr>
    </w:lvl>
    <w:lvl w:ilvl="1">
      <w:start w:val="1"/>
      <w:numFmt w:val="decimal"/>
      <w:pStyle w:val="Heading2"/>
      <w:lvlText w:val="%1.%2"/>
      <w:lvlJc w:val="left"/>
      <w:pPr>
        <w:ind w:left="709" w:firstLine="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ind w:left="70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pStyle w:val="Heading4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709" w:firstLine="0"/>
      </w:pPr>
      <w:rPr>
        <w:rFonts w:hint="default"/>
      </w:rPr>
    </w:lvl>
  </w:abstractNum>
  <w:abstractNum w:abstractNumId="1" w15:restartNumberingAfterBreak="0">
    <w:nsid w:val="4DF036DF"/>
    <w:multiLevelType w:val="hybridMultilevel"/>
    <w:tmpl w:val="6E341E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4E"/>
    <w:rsid w:val="00085CE7"/>
    <w:rsid w:val="0019028B"/>
    <w:rsid w:val="00395CE4"/>
    <w:rsid w:val="00627878"/>
    <w:rsid w:val="00695B6E"/>
    <w:rsid w:val="006D2A9B"/>
    <w:rsid w:val="00747CA5"/>
    <w:rsid w:val="00765063"/>
    <w:rsid w:val="00797347"/>
    <w:rsid w:val="009A6C4F"/>
    <w:rsid w:val="00A1546D"/>
    <w:rsid w:val="00AC7274"/>
    <w:rsid w:val="00C12343"/>
    <w:rsid w:val="00CD33F9"/>
    <w:rsid w:val="00D41E97"/>
    <w:rsid w:val="00EA3B3D"/>
    <w:rsid w:val="00EA484E"/>
    <w:rsid w:val="00FC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574449C"/>
  <w15:chartTrackingRefBased/>
  <w15:docId w15:val="{B52C3C5B-351A-4CCD-A6EE-6A3077847CD9}"/>
  <w:attachedTemplate r:id="relationI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 w:val="18"/>
        <w:szCs w:val="22"/>
        <w:lang w:val="pt-PT" w:eastAsia="en-US" w:bidi="ar-SA"/>
      </w:rPr>
    </w:rPrDefault>
    <w:pPrDefault>
      <w:pPr>
        <w:spacing w:line="280" w:lineRule="exact"/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84E"/>
    <w:pPr>
      <w:spacing w:line="240" w:lineRule="auto"/>
      <w:ind w:left="0" w:firstLine="0"/>
    </w:pPr>
    <w:rPr>
      <w:rFonts w:ascii="Cambria" w:eastAsia="MS Mincho" w:hAnsi="Cambria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EA484E"/>
    <w:pPr>
      <w:numPr>
        <w:numId w:val="1"/>
      </w:numPr>
      <w:spacing w:line="288" w:lineRule="auto"/>
      <w:jc w:val="both"/>
      <w:outlineLvl w:val="0"/>
    </w:pPr>
    <w:rPr>
      <w:rFonts w:ascii="Times New Roman" w:eastAsia="Times New Roman" w:hAnsi="Times New Roman"/>
      <w:kern w:val="28"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A484E"/>
    <w:pPr>
      <w:numPr>
        <w:ilvl w:val="1"/>
        <w:numId w:val="1"/>
      </w:numPr>
      <w:spacing w:line="288" w:lineRule="auto"/>
      <w:jc w:val="both"/>
      <w:outlineLvl w:val="1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A484E"/>
    <w:pPr>
      <w:numPr>
        <w:ilvl w:val="2"/>
        <w:numId w:val="1"/>
      </w:numPr>
      <w:spacing w:line="288" w:lineRule="auto"/>
      <w:jc w:val="both"/>
      <w:outlineLvl w:val="2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EA484E"/>
    <w:pPr>
      <w:numPr>
        <w:ilvl w:val="3"/>
        <w:numId w:val="1"/>
      </w:numPr>
      <w:spacing w:line="288" w:lineRule="auto"/>
      <w:jc w:val="both"/>
      <w:outlineLvl w:val="3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EA484E"/>
    <w:pPr>
      <w:numPr>
        <w:ilvl w:val="4"/>
        <w:numId w:val="1"/>
      </w:numPr>
      <w:spacing w:line="288" w:lineRule="auto"/>
      <w:jc w:val="both"/>
      <w:outlineLvl w:val="4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EA484E"/>
    <w:pPr>
      <w:numPr>
        <w:ilvl w:val="5"/>
        <w:numId w:val="1"/>
      </w:numPr>
      <w:spacing w:line="288" w:lineRule="auto"/>
      <w:jc w:val="both"/>
      <w:outlineLvl w:val="5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EA484E"/>
    <w:pPr>
      <w:numPr>
        <w:ilvl w:val="6"/>
        <w:numId w:val="1"/>
      </w:numPr>
      <w:spacing w:line="288" w:lineRule="auto"/>
      <w:jc w:val="both"/>
      <w:outlineLvl w:val="6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EA484E"/>
    <w:pPr>
      <w:numPr>
        <w:ilvl w:val="7"/>
        <w:numId w:val="1"/>
      </w:numPr>
      <w:spacing w:line="288" w:lineRule="auto"/>
      <w:jc w:val="both"/>
      <w:outlineLvl w:val="7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EA484E"/>
    <w:pPr>
      <w:numPr>
        <w:ilvl w:val="8"/>
        <w:numId w:val="1"/>
      </w:numPr>
      <w:spacing w:line="288" w:lineRule="auto"/>
      <w:jc w:val="both"/>
      <w:outlineLvl w:val="8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84E"/>
    <w:rPr>
      <w:rFonts w:ascii="Times New Roman" w:eastAsia="Times New Roman" w:hAnsi="Times New Roman" w:cs="Times New Roman"/>
      <w:kern w:val="28"/>
      <w:sz w:val="22"/>
      <w:lang w:val="pt-PT"/>
    </w:rPr>
  </w:style>
  <w:style w:type="character" w:customStyle="1" w:styleId="Heading2Char">
    <w:name w:val="Heading 2 Char"/>
    <w:basedOn w:val="DefaultParagraphFont"/>
    <w:link w:val="Heading2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3Char">
    <w:name w:val="Heading 3 Char"/>
    <w:basedOn w:val="DefaultParagraphFont"/>
    <w:link w:val="Heading3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4Char">
    <w:name w:val="Heading 4 Char"/>
    <w:basedOn w:val="DefaultParagraphFont"/>
    <w:link w:val="Heading4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5Char">
    <w:name w:val="Heading 5 Char"/>
    <w:basedOn w:val="DefaultParagraphFont"/>
    <w:link w:val="Heading5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6Char">
    <w:name w:val="Heading 6 Char"/>
    <w:basedOn w:val="DefaultParagraphFont"/>
    <w:link w:val="Heading6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7Char">
    <w:name w:val="Heading 7 Char"/>
    <w:basedOn w:val="DefaultParagraphFont"/>
    <w:link w:val="Heading7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8Char">
    <w:name w:val="Heading 8 Char"/>
    <w:basedOn w:val="DefaultParagraphFont"/>
    <w:link w:val="Heading8"/>
    <w:rsid w:val="00EA484E"/>
    <w:rPr>
      <w:rFonts w:ascii="Times New Roman" w:eastAsia="Times New Roman" w:hAnsi="Times New Roman" w:cs="Times New Roman"/>
      <w:sz w:val="22"/>
      <w:lang w:val="pt-PT"/>
    </w:rPr>
  </w:style>
  <w:style w:type="character" w:customStyle="1" w:styleId="Heading9Char">
    <w:name w:val="Heading 9 Char"/>
    <w:basedOn w:val="DefaultParagraphFont"/>
    <w:link w:val="Heading9"/>
    <w:rsid w:val="00EA484E"/>
    <w:rPr>
      <w:rFonts w:ascii="Times New Roman" w:eastAsia="Times New Roman" w:hAnsi="Times New Roman" w:cs="Times New Roman"/>
      <w:sz w:val="22"/>
      <w:lang w:val="pt-PT"/>
    </w:rPr>
  </w:style>
  <w:style w:type="paragraph" w:styleId="FootnoteText">
    <w:name w:val="footnote text"/>
    <w:basedOn w:val="Normal"/>
    <w:link w:val="FootnoteTextChar"/>
    <w:unhideWhenUsed/>
    <w:qFormat/>
    <w:rsid w:val="00EA484E"/>
  </w:style>
  <w:style w:type="character" w:customStyle="1" w:styleId="FootnoteTextChar">
    <w:name w:val="Footnote Text Char"/>
    <w:basedOn w:val="DefaultParagraphFont"/>
    <w:link w:val="FootnoteText"/>
    <w:rsid w:val="00EA484E"/>
    <w:rPr>
      <w:rFonts w:ascii="Cambria" w:eastAsia="MS Mincho" w:hAnsi="Cambria" w:cs="Times New Roman"/>
      <w:sz w:val="24"/>
      <w:szCs w:val="24"/>
      <w:lang w:val="pt-PT" w:eastAsia="it-IT"/>
    </w:rPr>
  </w:style>
  <w:style w:type="character" w:styleId="FootnoteReference">
    <w:name w:val="footnote reference"/>
    <w:unhideWhenUsed/>
    <w:qFormat/>
    <w:rsid w:val="00EA484E"/>
    <w:rPr>
      <w:vertAlign w:val="superscript"/>
    </w:rPr>
  </w:style>
  <w:style w:type="character" w:styleId="Hyperlink">
    <w:name w:val="Hyperlink"/>
    <w:uiPriority w:val="99"/>
    <w:unhideWhenUsed/>
    <w:rsid w:val="00EA484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A4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CE4"/>
    <w:pPr>
      <w:spacing w:line="288" w:lineRule="auto"/>
      <w:jc w:val="both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395CE4"/>
    <w:rPr>
      <w:rFonts w:ascii="Times New Roman" w:eastAsia="MS Mincho" w:hAnsi="Times New Roman" w:cs="Times New Roman"/>
      <w:sz w:val="22"/>
      <w:szCs w:val="24"/>
      <w:lang w:val="pt-PT" w:eastAsia="it-IT"/>
    </w:rPr>
  </w:style>
  <w:style w:type="paragraph" w:styleId="Footer">
    <w:name w:val="footer"/>
    <w:basedOn w:val="Normal"/>
    <w:link w:val="FooterChar"/>
    <w:uiPriority w:val="99"/>
    <w:unhideWhenUsed/>
    <w:rsid w:val="00395CE4"/>
    <w:pPr>
      <w:spacing w:line="288" w:lineRule="auto"/>
      <w:jc w:val="both"/>
    </w:pPr>
    <w:rPr>
      <w:rFonts w:ascii="Times New Roman" w:hAnsi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395CE4"/>
    <w:rPr>
      <w:rFonts w:ascii="Times New Roman" w:eastAsia="MS Mincho" w:hAnsi="Times New Roman" w:cs="Times New Roman"/>
      <w:sz w:val="22"/>
      <w:szCs w:val="24"/>
      <w:lang w:val="pt-PT" w:eastAsia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6278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esc.europa.eu/pt/news-media/press-releases/eesc-proposals-post-covid-19-recovery-and-reconstruction-towards-new-societal-model" TargetMode="External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file:///Y:\word2016\Templates\Global\Styles.dotm" TargetMode="External" Id="rId1" /><Relationship Type="http://schemas.openxmlformats.org/officeDocument/2006/relationships/attachedTemplate" Target="Normal.dotm" TargetMode="External" Id="relationId1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VV634QRNENMJ-762678085-1616</_dlc_DocId>
    <_dlc_DocIdUrl xmlns="cda99570-6012-4083-bfeb-7d32ad1ce1a3">
      <Url>http://dm2016/eesc/2020/_layouts/15/DocIdRedir.aspx?ID=VV634QRNENMJ-762678085-1616</Url>
      <Description>VV634QRNENMJ-762678085-1616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TCD</TermName>
          <TermId xmlns="http://schemas.microsoft.com/office/infopath/2007/PartnerControls">cd9d6eb6-3f4f-424a-b2d1-57c9d450eaaf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2020-07-20T12:00:00+00:00</ProductionDate>
    <FicheYear xmlns="cda99570-6012-4083-bfeb-7d32ad1ce1a3">2020</FicheYear>
    <DocumentNumber xmlns="98af4b3d-0f8e-4839-87de-ec8dfffabf66">3155</DocumentNumber>
    <DocumentVersion xmlns="cda99570-6012-4083-bfeb-7d32ad1ce1a3">0</DocumentVersion>
    <DossierNumber xmlns="cda99570-6012-4083-bfeb-7d32ad1ce1a3" xsi:nil="true"/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cda99570-6012-4083-bfeb-7d32ad1ce1a3">2020-07-15T12:00:00+00:00</MeetingDate>
    <TaxCatchAll xmlns="cda99570-6012-4083-bfeb-7d32ad1ce1a3">
      <Value>51</Value>
      <Value>48</Value>
      <Value>47</Value>
      <Value>46</Value>
      <Value>45</Value>
      <Value>44</Value>
      <Value>43</Value>
      <Value>40</Value>
      <Value>39</Value>
      <Value>38</Value>
      <Value>36</Value>
      <Value>34</Value>
      <Value>32</Value>
      <Value>31</Value>
      <Value>29</Value>
      <Value>24</Value>
      <Value>16</Value>
      <Value>13</Value>
      <Value>11</Value>
      <Value>10</Value>
      <Value>9</Value>
      <Value>8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7916</FicheNumber>
    <DocumentPart xmlns="cda99570-6012-4083-bfeb-7d32ad1ce1a3">0</DocumentPart>
    <AdoptionDate xmlns="cda99570-6012-4083-bfeb-7d32ad1ce1a3" xsi:nil="true"/>
    <RequestingService xmlns="cda99570-6012-4083-bfeb-7d32ad1ce1a3">Coordination législative</RequestingService>
    <Meeting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SPL-CES</TermName>
          <TermId xmlns="http://schemas.microsoft.com/office/infopath/2007/PartnerControls">32d8cb1f-c9ec-4365-95c7-8385a18618ac</TermId>
        </TermInfo>
      </Terms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98af4b3d-0f8e-4839-87de-ec8dfffabf66">553</MeetingNumber>
    <DossierName_0 xmlns="http://schemas.microsoft.com/sharepoint/v3/fields">
      <Terms xmlns="http://schemas.microsoft.com/office/infopath/2007/PartnerControls"/>
    </DossierName_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292A099219C5BF43911B0000CE8DBCC8" ma:contentTypeVersion="4" ma:contentTypeDescription="Defines the documents for Document Manager V2" ma:contentTypeScope="" ma:versionID="d945b5853b9a409bd93986b015db2ee4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98af4b3d-0f8e-4839-87de-ec8dfffabf66" targetNamespace="http://schemas.microsoft.com/office/2006/metadata/properties" ma:root="true" ma:fieldsID="012abeaec5591cf3df1cee32d300b2f6" ns2:_="" ns3:_="" ns4:_="">
    <xsd:import namespace="cda99570-6012-4083-bfeb-7d32ad1ce1a3"/>
    <xsd:import namespace="http://schemas.microsoft.com/sharepoint/v3/fields"/>
    <xsd:import namespace="98af4b3d-0f8e-4839-87de-ec8dfffabf6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f4b3d-0f8e-4839-87de-ec8dfffabf66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DFE331-B971-45A0-9424-1F4960877F3C}"/>
</file>

<file path=customXml/itemProps2.xml><?xml version="1.0" encoding="utf-8"?>
<ds:datastoreItem xmlns:ds="http://schemas.openxmlformats.org/officeDocument/2006/customXml" ds:itemID="{81AA4422-9CD5-4FE5-8667-4FC8B2CDB9EC}"/>
</file>

<file path=customXml/itemProps3.xml><?xml version="1.0" encoding="utf-8"?>
<ds:datastoreItem xmlns:ds="http://schemas.openxmlformats.org/officeDocument/2006/customXml" ds:itemID="{3B946B77-A708-45B5-99DA-849AE8DA4E79}"/>
</file>

<file path=customXml/itemProps4.xml><?xml version="1.0" encoding="utf-8"?>
<ds:datastoreItem xmlns:ds="http://schemas.openxmlformats.org/officeDocument/2006/customXml" ds:itemID="{F35C3EEB-E397-4FD6-AD34-B14D5EF910EC}"/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5</TotalTime>
  <Pages>4</Pages>
  <Words>1080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Síntese - Propostas do CESE para o programa de trabalho da CE para 2021</dc:title>
  <dc:subject>Trabalhos consultivos, diversos</dc:subject>
  <dc:creator>Jan Dirx</dc:creator>
  <cp:keywords>EESC-2020-03155-00-00-TCD-TRA-EN</cp:keywords>
  <dc:description>Rapporteur:  - Original language: EN - Date of document: 20/07/2020 - Date of meeting: 15/07/2020 - External documents:  - Administrator: M. COSMAI Domenico</dc:description>
  <cp:lastModifiedBy>Carvalhinha De Matos Torres Ana</cp:lastModifiedBy>
  <cp:revision>9</cp:revision>
  <dcterms:created xsi:type="dcterms:W3CDTF">2020-07-17T14:51:00Z</dcterms:created>
  <dcterms:modified xsi:type="dcterms:W3CDTF">2020-07-20T06:57:00Z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17/07/2020</vt:lpwstr>
  </property>
  <property fmtid="{D5CDD505-2E9C-101B-9397-08002B2CF9AE}" pid="4" name="Pref_Time">
    <vt:lpwstr>16:38:07</vt:lpwstr>
  </property>
  <property fmtid="{D5CDD505-2E9C-101B-9397-08002B2CF9AE}" pid="5" name="Pref_User">
    <vt:lpwstr>hnic</vt:lpwstr>
  </property>
  <property fmtid="{D5CDD505-2E9C-101B-9397-08002B2CF9AE}" pid="6" name="Pref_FileName">
    <vt:lpwstr>EESC-2020-03155-00-00-TCD-ORI.docx</vt:lpwstr>
  </property>
  <property fmtid="{D5CDD505-2E9C-101B-9397-08002B2CF9AE}" pid="7" name="ContentTypeId">
    <vt:lpwstr>0x010100EA97B91038054C99906057A708A1480A00292A099219C5BF43911B0000CE8DBCC8</vt:lpwstr>
  </property>
  <property fmtid="{D5CDD505-2E9C-101B-9397-08002B2CF9AE}" pid="8" name="_dlc_DocIdItemGuid">
    <vt:lpwstr>c727f66a-5d43-4495-b56d-3fcaf1577139</vt:lpwstr>
  </property>
  <property fmtid="{D5CDD505-2E9C-101B-9397-08002B2CF9AE}" pid="9" name="AvailableTranslations">
    <vt:lpwstr>39;#HU|6b229040-c589-4408-b4c1-4285663d20a8;#9;#PL|1e03da61-4678-4e07-b136-b5024ca9197b;#45;#FI|87606a43-d45f-42d6-b8c9-e1a3457db5b7;#24;#LV|46f7e311-5d9f-4663-b433-18aeccb7ace7;#16;#ES|e7a6b05b-ae16-40c8-add9-68b64b03aeba;#13;#IT|0774613c-01ed-4e5d-a25d-11d2388de825;#29;#PT|50ccc04a-eadd-42ae-a0cb-acaf45f812ba;#4;#EN|f2175f21-25d7-44a3-96da-d6a61b075e1b;#32;#DA|5d49c027-8956-412b-aa16-e85a0f96ad0e;#40;#SV|c2ed69e7-a339-43d7-8f22-d93680a92aa0;#46;#SK|46d9fce0-ef79-4f71-b89b-cd6aa82426b8;#38;#EL|6d4f4d51-af9b-4650-94b4-4276bee85c91;#43;#HR|2f555653-ed1a-4fe6-8362-9082d95989e5;#36;#MT|7df99101-6854-4a26-b53a-b88c0da02c26;#31;#CS|72f9705b-0217-4fd3-bea2-cbc7ed80e26e;#48;#RO|feb747a2-64cd-4299-af12-4833ddc30497;#10;#DE|f6b31e5a-26fa-4935-b661-318e46daf27e;#34;#SL|98a412ae-eb01-49e9-ae3d-585a81724cfc;#47;#ET|ff6c3f4c-b02c-4c3c-ab07-2c37995a7a0a;#11;#FR|d2afafd3-4c81-4f60-8f52-ee33f2f54ff3;#44;#BG|1a1b3951-7821-4e6a-85f5-5673fc08bd2c</vt:lpwstr>
  </property>
  <property fmtid="{D5CDD505-2E9C-101B-9397-08002B2CF9AE}" pid="10" name="DocumentType_0">
    <vt:lpwstr>TCD|cd9d6eb6-3f4f-424a-b2d1-57c9d450eaaf</vt:lpwstr>
  </property>
  <property fmtid="{D5CDD505-2E9C-101B-9397-08002B2CF9AE}" pid="11" name="MeetingNumber">
    <vt:i4>553</vt:i4>
  </property>
  <property fmtid="{D5CDD505-2E9C-101B-9397-08002B2CF9AE}" pid="12" name="DossierName_0">
    <vt:lpwstr/>
  </property>
  <property fmtid="{D5CDD505-2E9C-101B-9397-08002B2CF9AE}" pid="13" name="DocumentSource_0">
    <vt:lpwstr>EESC|422833ec-8d7e-4e65-8e4e-8bed07ffb729</vt:lpwstr>
  </property>
  <property fmtid="{D5CDD505-2E9C-101B-9397-08002B2CF9AE}" pid="14" name="DocumentNumber">
    <vt:i4>3155</vt:i4>
  </property>
  <property fmtid="{D5CDD505-2E9C-101B-9397-08002B2CF9AE}" pid="15" name="FicheYear">
    <vt:i4>2020</vt:i4>
  </property>
  <property fmtid="{D5CDD505-2E9C-101B-9397-08002B2CF9AE}" pid="16" name="DocumentVersion">
    <vt:i4>0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/>
  </property>
  <property fmtid="{D5CDD505-2E9C-101B-9397-08002B2CF9AE}" pid="20" name="DocumentSource">
    <vt:lpwstr>1;#EESC|422833ec-8d7e-4e65-8e4e-8bed07ffb729</vt:lpwstr>
  </property>
  <property fmtid="{D5CDD505-2E9C-101B-9397-08002B2CF9AE}" pid="22" name="DocumentType">
    <vt:lpwstr>8;#TCD|cd9d6eb6-3f4f-424a-b2d1-57c9d450eaaf</vt:lpwstr>
  </property>
  <property fmtid="{D5CDD505-2E9C-101B-9397-08002B2CF9AE}" pid="23" name="RequestingService">
    <vt:lpwstr>Coordination législative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>SPL-CES|32d8cb1f-c9ec-4365-95c7-8385a18618ac</vt:lpwstr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4;#EN|f2175f21-25d7-44a3-96da-d6a61b075e1b</vt:lpwstr>
  </property>
  <property fmtid="{D5CDD505-2E9C-101B-9397-08002B2CF9AE}" pid="28" name="MeetingName">
    <vt:lpwstr>51;#SPL-CES|32d8cb1f-c9ec-4365-95c7-8385a18618ac</vt:lpwstr>
  </property>
  <property fmtid="{D5CDD505-2E9C-101B-9397-08002B2CF9AE}" pid="29" name="MeetingDate">
    <vt:filetime>2020-07-15T12:00:00Z</vt:filetime>
  </property>
  <property fmtid="{D5CDD505-2E9C-101B-9397-08002B2CF9AE}" pid="30" name="AvailableTranslations_0">
    <vt:lpwstr>HU|6b229040-c589-4408-b4c1-4285663d20a8;ES|e7a6b05b-ae16-40c8-add9-68b64b03aeba;IT|0774613c-01ed-4e5d-a25d-11d2388de825;EN|f2175f21-25d7-44a3-96da-d6a61b075e1b;HR|2f555653-ed1a-4fe6-8362-9082d95989e5;CS|72f9705b-0217-4fd3-bea2-cbc7ed80e26e;RO|feb747a2-64cd-4299-af12-4833ddc30497;DE|f6b31e5a-26fa-4935-b661-318e46daf27e</vt:lpwstr>
  </property>
  <property fmtid="{D5CDD505-2E9C-101B-9397-08002B2CF9AE}" pid="31" name="DocumentStatus_0">
    <vt:lpwstr>TRA|150d2a88-1431-44e6-a8ca-0bb753ab8672</vt:lpwstr>
  </property>
  <property fmtid="{D5CDD505-2E9C-101B-9397-08002B2CF9AE}" pid="32" name="OriginalLanguage_0">
    <vt:lpwstr>EN|f2175f21-25d7-44a3-96da-d6a61b075e1b</vt:lpwstr>
  </property>
  <property fmtid="{D5CDD505-2E9C-101B-9397-08002B2CF9AE}" pid="33" name="TaxCatchAll">
    <vt:lpwstr>31;#CS|72f9705b-0217-4fd3-bea2-cbc7ed80e26e;#43;#HR|2f555653-ed1a-4fe6-8362-9082d95989e5;#39;#HU|6b229040-c589-4408-b4c1-4285663d20a8;#16;#ES|e7a6b05b-ae16-40c8-add9-68b64b03aeba;#51;#SPL-CES|32d8cb1f-c9ec-4365-95c7-8385a18618ac;#13;#IT|0774613c-01ed-4e5d-a25d-11d2388de825;#48;#RO|feb747a2-64cd-4299-af12-4833ddc30497;#10;#DE|f6b31e5a-26fa-4935-b661-318e46daf27e;#8;#TCD|cd9d6eb6-3f4f-424a-b2d1-57c9d450eaaf;#6;#Final|ea5e6674-7b27-4bac-b091-73adbb394efe;#5;#Unrestricted|826e22d7-d029-4ec0-a450-0c28ff673572;#4;#EN|f2175f21-25d7-44a3-96da-d6a61b075e1b;#2;#TRA|150d2a88-1431-44e6-a8ca-0bb753ab8672;#1;#EESC|422833ec-8d7e-4e65-8e4e-8bed07ffb729</vt:lpwstr>
  </property>
  <property fmtid="{D5CDD505-2E9C-101B-9397-08002B2CF9AE}" pid="34" name="VersionStatus_0">
    <vt:lpwstr>Final|ea5e6674-7b27-4bac-b091-73adbb394efe</vt:lpwstr>
  </property>
  <property fmtid="{D5CDD505-2E9C-101B-9397-08002B2CF9AE}" pid="35" name="VersionStatus">
    <vt:lpwstr>6;#Final|ea5e6674-7b27-4bac-b091-73adbb394efe</vt:lpwstr>
  </property>
  <property fmtid="{D5CDD505-2E9C-101B-9397-08002B2CF9AE}" pid="36" name="DocumentYear">
    <vt:i4>2020</vt:i4>
  </property>
  <property fmtid="{D5CDD505-2E9C-101B-9397-08002B2CF9AE}" pid="37" name="FicheNumber">
    <vt:i4>7916</vt:i4>
  </property>
  <property fmtid="{D5CDD505-2E9C-101B-9397-08002B2CF9AE}" pid="38" name="DocumentLanguage">
    <vt:lpwstr>29;#PT|50ccc04a-eadd-42ae-a0cb-acaf45f812ba</vt:lpwstr>
  </property>
  <property fmtid="{D5CDD505-2E9C-101B-9397-08002B2CF9AE}" pid="39" name="_docset_NoMedatataSyncRequired">
    <vt:lpwstr>False</vt:lpwstr>
  </property>
</Properties>
</file>