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1C568A57" w:rsidR="00EA484E" w:rsidRPr="00AC7274" w:rsidRDefault="00F523D9" w:rsidP="00EA484E">
      <w:pPr>
        <w:spacing w:line="288" w:lineRule="auto"/>
        <w:jc w:val="center"/>
        <w:rPr>
          <w:rFonts w:ascii="Times New Roman" w:hAnsi="Times New Roman"/>
        </w:rPr>
      </w:pPr>
      <w:r>
        <w:rPr>
          <w:noProof/>
          <w:lang w:val="en-US" w:eastAsia="en-US"/>
        </w:rPr>
        <w:drawing>
          <wp:inline distT="0" distB="0" distL="0" distR="0" wp14:anchorId="376BFE22" wp14:editId="689964A3">
            <wp:extent cx="1792605" cy="1239520"/>
            <wp:effectExtent l="0" t="0" r="0" b="0"/>
            <wp:docPr id="1" name="Picture 1" title="EESCLogo_P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3F05DA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PL</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STRESZCZENIE REZOLUCJI</w:t>
      </w:r>
    </w:p>
    <w:p w14:paraId="6376E841" w14:textId="77777777" w:rsidR="00EA484E" w:rsidRPr="00AC7274" w:rsidRDefault="00EA484E" w:rsidP="00EA484E">
      <w:pPr>
        <w:spacing w:line="288" w:lineRule="auto"/>
        <w:jc w:val="center"/>
        <w:rPr>
          <w:rFonts w:ascii="Times New Roman" w:hAnsi="Times New Roman"/>
          <w:b/>
          <w:lang w:val="en-GB"/>
        </w:rPr>
      </w:pPr>
    </w:p>
    <w:p w14:paraId="4AFEA1A9" w14:textId="257E876E"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Wkład Europejskiego Komitetu Ekonomiczno-Społecznego</w:t>
      </w:r>
      <w:r w:rsidR="00B12C16">
        <w:rPr>
          <w:rFonts w:ascii="Times New Roman" w:hAnsi="Times New Roman"/>
          <w:b/>
          <w:bCs/>
          <w:iCs/>
          <w:sz w:val="22"/>
          <w:szCs w:val="22"/>
        </w:rPr>
        <w:br/>
      </w:r>
      <w:bookmarkStart w:id="0" w:name="_GoBack"/>
      <w:bookmarkEnd w:id="0"/>
      <w:r>
        <w:rPr>
          <w:rFonts w:ascii="Times New Roman" w:hAnsi="Times New Roman"/>
          <w:b/>
          <w:bCs/>
          <w:iCs/>
          <w:sz w:val="22"/>
          <w:szCs w:val="22"/>
        </w:rPr>
        <w:t>w program prac Komisji Europejskiej na 2021 r.</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w oparciu o prace</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grupy ad hoc „Wkład EKES-u w program prac Komisji Europejskiej na 2021 r.”</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 xml:space="preserve">Sprawozdawcy: </w:t>
      </w:r>
      <w:r>
        <w:rPr>
          <w:rFonts w:ascii="Times New Roman" w:hAnsi="Times New Roman"/>
          <w:b/>
          <w:sz w:val="22"/>
          <w:szCs w:val="22"/>
        </w:rPr>
        <w:t>Petr ZAHRADNÍK (Gr. I)</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Stefano PALMIERI (Gr. II)</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przyjęta przez Europejski Komitet Ekonomiczno-Społeczny</w:t>
      </w:r>
      <w:r>
        <w:rPr>
          <w:rFonts w:ascii="Times New Roman" w:hAnsi="Times New Roman"/>
          <w:sz w:val="22"/>
          <w:szCs w:val="22"/>
        </w:rPr>
        <w:br/>
        <w:t>w dniu 16 lipca 2020 r.</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4A0F46EB" w:rsidR="00EA484E" w:rsidRPr="00B12C16"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lastRenderedPageBreak/>
        <w:t>EKES, jak zaznaczył w swojej rezolucji „Propozycje EKES-u dotyczące odbudowy i</w:t>
      </w:r>
      <w:r w:rsidR="00B12C16" w:rsidRPr="00B12C16">
        <w:rPr>
          <w:rFonts w:ascii="Times New Roman" w:hAnsi="Times New Roman"/>
          <w:sz w:val="22"/>
          <w:szCs w:val="22"/>
        </w:rPr>
        <w:t> </w:t>
      </w:r>
      <w:r w:rsidRPr="00B12C16">
        <w:rPr>
          <w:rFonts w:ascii="Times New Roman" w:hAnsi="Times New Roman"/>
          <w:sz w:val="22"/>
          <w:szCs w:val="22"/>
        </w:rPr>
        <w:t>naprawy gospodarczej po kryzysie związanym z COVID-19”</w:t>
      </w:r>
      <w:r w:rsidRPr="00B12C16">
        <w:rPr>
          <w:rFonts w:ascii="Times New Roman" w:hAnsi="Times New Roman"/>
          <w:vertAlign w:val="superscript"/>
          <w:lang w:val="en-GB" w:eastAsia="en-US"/>
        </w:rPr>
        <w:footnoteReference w:id="1"/>
      </w:r>
      <w:r w:rsidRPr="00B12C16">
        <w:rPr>
          <w:rFonts w:ascii="Times New Roman" w:hAnsi="Times New Roman"/>
          <w:sz w:val="22"/>
          <w:szCs w:val="22"/>
        </w:rPr>
        <w:t>, z zadowoleniem przyjmuje i w pełni popiera propozycje Komisji Europejskiej dotyczące planu Next Generation EU i ogólnego budżetu UE na lata 2021–2027. Komitet ma nadzieję i oczekuje, że kierunki wytyczone przez Komisję w tych planach, zostaną w pełni i konkretnie rozszerzone w programie prac Komisji na rok 2021 ze względu na konieczność naprawy gospodarczej i odbudowy po kryzysie związanym z COVID-19.</w:t>
      </w:r>
    </w:p>
    <w:p w14:paraId="0DC5F400" w14:textId="77777777" w:rsidR="00EA484E" w:rsidRPr="00B12C16"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02B040DF" w:rsidR="00EA484E" w:rsidRPr="00B12C16"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Zdaniem EKES-u program prac powinien koncentrować się na restrukturyzacji i poprawie naszej gospodarki i społeczeństwa w oparciu o następujące zasady: ochrona praw człowieka i</w:t>
      </w:r>
      <w:r w:rsidR="00B12C16">
        <w:rPr>
          <w:rFonts w:ascii="Times New Roman" w:hAnsi="Times New Roman"/>
          <w:sz w:val="22"/>
          <w:szCs w:val="22"/>
        </w:rPr>
        <w:t> </w:t>
      </w:r>
      <w:r w:rsidRPr="00B12C16">
        <w:rPr>
          <w:rFonts w:ascii="Times New Roman" w:hAnsi="Times New Roman"/>
          <w:sz w:val="22"/>
          <w:szCs w:val="22"/>
        </w:rPr>
        <w:t>praw socjalnych; wartości demokratyczne i praworządność; uwolnienie pełnego potencjału jednolitego rynku; realizacja celów zrównoważonego rozwoju; stworzenie gospodarki o obiegu zamkniętym i osiągnięcie neutralności klimatycznej w UE najpóźniej do 2050 r. oraz zapewnienie dobrego sprawowania rządów i demokratycznej rozliczalności.</w:t>
      </w:r>
    </w:p>
    <w:p w14:paraId="62862964" w14:textId="77777777" w:rsidR="00EA484E" w:rsidRPr="00B12C16"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563CCC13" w:rsidR="00EA484E" w:rsidRPr="00B12C16"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EKES podkreśla, że sześć naczelnych celów wyznaczonych przez Komisję („Europejski Zielony Ład”, „Europa na miarę ery cyfrowej”, „Gospodarka, która służy ludziom”, „Silniejsza pozycja Europy na świecie”, „Promowanie naszego europejskiego stylu życia” i „Nowy impuls dla demokracji europejskiej”) stanowią potężne ramy umożliwiające opracowanie programu prac na rok 2021. Być może należałoby wyraźniej skoncentrować się na inwestycjach i</w:t>
      </w:r>
      <w:r w:rsidR="00B12C16">
        <w:rPr>
          <w:rFonts w:ascii="Times New Roman" w:hAnsi="Times New Roman"/>
          <w:sz w:val="22"/>
          <w:szCs w:val="22"/>
        </w:rPr>
        <w:t> </w:t>
      </w:r>
      <w:r w:rsidRPr="00B12C16">
        <w:rPr>
          <w:rFonts w:ascii="Times New Roman" w:hAnsi="Times New Roman"/>
          <w:sz w:val="22"/>
          <w:szCs w:val="22"/>
        </w:rPr>
        <w:t>potrzebie ich przyspieszenia, również dzięki obecnie przyjmowanym środkom.</w:t>
      </w:r>
    </w:p>
    <w:p w14:paraId="76FF9B78" w14:textId="77777777" w:rsidR="00EA484E" w:rsidRPr="00B12C16"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B12C16"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Zwłaszcza teraz, gdy doświadczamy znaczenia współpracy między krajami w czasach kryzysu, EKES ma nadzieję, że nadchodząca konferencja w sprawie przyszłości Europy będzie okazją do wzmocnienia i pogłębienia struktury instytucjonalnej UE oraz do rzeczywistej odnowy unijnego projektu, tak by był on w stanie sprostać wyzwaniom nadchodzących dziesięcioleci. Komisja może zatem liczyć na pełne poparcie Komitetu.</w:t>
      </w:r>
    </w:p>
    <w:p w14:paraId="48473CC8" w14:textId="77777777" w:rsidR="00EA484E" w:rsidRPr="00B12C16"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B12C16"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EKES jest przekonany, że proces naprawy i odbudowy gospodarki oraz społeczeństwa będzie możliwy jedynie przy aktywnym udziale organizacji społeczeństwa obywatelskiego i partnerów społecznych.</w:t>
      </w:r>
    </w:p>
    <w:p w14:paraId="7206EF37" w14:textId="77777777" w:rsidR="00797347" w:rsidRPr="00B12C16"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65385137" w:rsidR="00797347"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Europejski Zielony Ład może być również postrzegany jako skuteczne narzędzie ponownego ożywienia gospodarki w sposób zrównoważony poprzez masowe inwestycje wspierające niezbędne zmiany strukturalne, przed którymi stoi Europa. Z tego punktu widzenia można by go uznać za okazję do wspierania długoterminowej odbudowy gospodarczej. Wymaga to osiągnięcia nowego konsensusu w Europie w celu zgromadzenia wystarczających publicznych i</w:t>
      </w:r>
      <w:r w:rsidR="00B12C16">
        <w:rPr>
          <w:rFonts w:ascii="Times New Roman" w:hAnsi="Times New Roman"/>
          <w:sz w:val="22"/>
          <w:szCs w:val="22"/>
        </w:rPr>
        <w:t> </w:t>
      </w:r>
      <w:r w:rsidRPr="00B12C16">
        <w:rPr>
          <w:rFonts w:ascii="Times New Roman" w:hAnsi="Times New Roman"/>
          <w:sz w:val="22"/>
          <w:szCs w:val="22"/>
        </w:rPr>
        <w:t>prywatnych źródeł finansowania, a także przyjęcia nowego sposobu rządzenia, by skutecznie wdrożyć ten konsensus w praktyce.</w:t>
      </w:r>
    </w:p>
    <w:p w14:paraId="4E7D4AA2" w14:textId="77777777" w:rsidR="00797347" w:rsidRPr="00B12C16"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07B53215" w:rsidR="00797347"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Środki publiczne zainwestowane w plany naprawy gospodarczej powinny nie tylko pomóc w</w:t>
      </w:r>
      <w:r w:rsidR="00B12C16">
        <w:rPr>
          <w:rFonts w:ascii="Times New Roman" w:hAnsi="Times New Roman"/>
          <w:sz w:val="22"/>
          <w:szCs w:val="22"/>
        </w:rPr>
        <w:t> </w:t>
      </w:r>
      <w:r w:rsidRPr="00B12C16">
        <w:rPr>
          <w:rFonts w:ascii="Times New Roman" w:hAnsi="Times New Roman"/>
          <w:sz w:val="22"/>
          <w:szCs w:val="22"/>
        </w:rPr>
        <w:t xml:space="preserve">odbudowie europejskiej gospodarki i społeczeństwa, ale także w drastycznym ograniczeniu skutków kolejnych wstrząsów poprzez inwestycje w gospodarkę odporną, sprzyjającą włączeniu społecznemu i przyjazną dla klimatu (tzw. „gospodarka dobrobytu”). </w:t>
      </w:r>
    </w:p>
    <w:p w14:paraId="4CF873A2" w14:textId="446B1CCF" w:rsidR="00797347"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lastRenderedPageBreak/>
        <w:t>Unijna klasyfikacja zrównoważonych finansów powinna stanowić wskazówkę dla publicznych i</w:t>
      </w:r>
      <w:r w:rsidR="00B12C16">
        <w:rPr>
          <w:rFonts w:ascii="Times New Roman" w:hAnsi="Times New Roman"/>
          <w:sz w:val="22"/>
          <w:szCs w:val="22"/>
        </w:rPr>
        <w:t> </w:t>
      </w:r>
      <w:r w:rsidRPr="00B12C16">
        <w:rPr>
          <w:rFonts w:ascii="Times New Roman" w:hAnsi="Times New Roman"/>
          <w:sz w:val="22"/>
          <w:szCs w:val="22"/>
        </w:rPr>
        <w:t>prywatnych inwestycji na wszystkich etapach ożywienia gospodarczego, aby przyspieszyć przejście od sektorów zanieczyszczających do sektorów ekologicznych.</w:t>
      </w:r>
    </w:p>
    <w:p w14:paraId="5C3D1B4C" w14:textId="77777777" w:rsidR="00B12C16" w:rsidRPr="00B12C16" w:rsidRDefault="00B12C16" w:rsidP="00B12C16">
      <w:pPr>
        <w:spacing w:line="288" w:lineRule="auto"/>
        <w:jc w:val="both"/>
        <w:outlineLvl w:val="1"/>
        <w:rPr>
          <w:rFonts w:ascii="Times New Roman" w:eastAsia="Times New Roman" w:hAnsi="Times New Roman"/>
          <w:sz w:val="22"/>
          <w:szCs w:val="22"/>
        </w:rPr>
      </w:pPr>
    </w:p>
    <w:p w14:paraId="67C0400C" w14:textId="1779E3BE" w:rsidR="00EA484E"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Kryzys związany z COVID-19 pokazuje, że rewolucja cyfrowa jest ważnym elementem zwiększania odporności naszych społeczeństw na kryzysy. Kapitalne znaczenie ma inwestowanie w cyfryzację podstawowych usług i zwiększenie zdolności rządów, prawodawców i instytucji publicznych do świadczenia usług w czasie kryzysu.</w:t>
      </w:r>
    </w:p>
    <w:p w14:paraId="3A22B508" w14:textId="77777777" w:rsidR="00797347" w:rsidRPr="00B12C16"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 xml:space="preserve">Wzywa się Komisję do dalszego wykorzystywania semestru jako siły napędowej naprawy gospodarczej w oparciu o priorytety w zakresie inwestycji i reform określone w ramach europejskiego semestru. Komitet z zadowoleniem przyjmuje fakt, że w ostatnim czasie położono nacisk na lepsze uwzględnienie kwestii społecznych i Europejskiego Zielonego Ładu, a także na wdrażanie w ramach semestru Instrumentu na rzecz Odbudowy i Zwiększania Odporności. </w:t>
      </w:r>
    </w:p>
    <w:p w14:paraId="3C3DB9C8" w14:textId="77777777" w:rsidR="00695B6E" w:rsidRPr="00B12C16"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4AFB6E72" w:rsidR="00797347" w:rsidRPr="00B12C16"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Promowanie innowacji społecznych jako modelu naprawy gospodarczej niesie ze sobą możliwości – poprzez współtworzenie, współprojektowanie i współprodukcję. Zorganizowane społeczeństwo obywatelskie jest katalizatorem innowacji społecznych – ruch ten przyczynił się do projektowania systemów opieki społecznej prowadzących do tworzenia nowych polityk, struktur, produktów, usług i metod pracy.  Dziś bardziej niż kiedykolwiek niezbędny jest udział społeczeństwa obywatelskiego, lecz prawdziwe innowacje społeczne mają miejsce tylko wtedy, gdy to zorganizowane społeczeństwo angażuje się.</w:t>
      </w:r>
    </w:p>
    <w:p w14:paraId="1385EF6C" w14:textId="77777777" w:rsidR="00A1546D" w:rsidRPr="00B12C16"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5A2020A5" w:rsidR="00A1546D" w:rsidRPr="00B12C16"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Co najważniejsze, jednym z głównych wniosków płynących z kryzysu związanego z</w:t>
      </w:r>
      <w:r w:rsidR="00B12C16">
        <w:rPr>
          <w:rFonts w:ascii="Times New Roman" w:hAnsi="Times New Roman"/>
          <w:sz w:val="22"/>
          <w:szCs w:val="22"/>
        </w:rPr>
        <w:t> </w:t>
      </w:r>
      <w:r w:rsidRPr="00B12C16">
        <w:rPr>
          <w:rFonts w:ascii="Times New Roman" w:hAnsi="Times New Roman"/>
          <w:sz w:val="22"/>
          <w:szCs w:val="22"/>
        </w:rPr>
        <w:t>COVID</w:t>
      </w:r>
      <w:r w:rsidR="00B12C16">
        <w:rPr>
          <w:rFonts w:ascii="Times New Roman" w:hAnsi="Times New Roman"/>
          <w:sz w:val="22"/>
          <w:szCs w:val="22"/>
        </w:rPr>
        <w:noBreakHyphen/>
      </w:r>
      <w:r w:rsidRPr="00B12C16">
        <w:rPr>
          <w:rFonts w:ascii="Times New Roman" w:hAnsi="Times New Roman"/>
          <w:sz w:val="22"/>
          <w:szCs w:val="22"/>
        </w:rPr>
        <w:t>19 jest konieczność wzmocnienia systemów opieki zdrowotnej w prawie każdym kraju europejskim, przede wszystkim poprzez skupienie się na profilaktyce. Chociaż odpowiedzialność za opiekę zdrowotną spoczywa na szczeblu krajowym, to wirus rozprzestrzenia się ponad granicami. Pandemia oddziałuje na całą Europę, zarówno w obrębie naszych granic, jak i poza nimi, a także ma skutki sanitarne, społeczne i gospodarcze, które wymagają wspólnych odpowiedzi na szczeblu europejskim.</w:t>
      </w:r>
    </w:p>
    <w:p w14:paraId="2D20D300" w14:textId="77777777" w:rsidR="00A1546D" w:rsidRPr="00B12C16"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02E4626B" w:rsidR="00A1546D" w:rsidRPr="00B12C16"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B12C16">
        <w:rPr>
          <w:rFonts w:ascii="Times New Roman" w:hAnsi="Times New Roman"/>
          <w:sz w:val="22"/>
          <w:szCs w:val="22"/>
        </w:rPr>
        <w:t>UE musi wzmocnić i promować swoją pozycję globalną i odgrywać istotniejszą i bardziej strategiczną rolę w gospodarce światowej i polityce. Gospodarka UE ma potencjał do lepszego wykorzystania przewagi komparatywnej na światowym rynku handlu i inwestycji, zwłaszcza w</w:t>
      </w:r>
      <w:r w:rsidR="00B12C16">
        <w:rPr>
          <w:rFonts w:ascii="Times New Roman" w:hAnsi="Times New Roman"/>
          <w:sz w:val="22"/>
          <w:szCs w:val="22"/>
        </w:rPr>
        <w:t> </w:t>
      </w:r>
      <w:r w:rsidRPr="00B12C16">
        <w:rPr>
          <w:rFonts w:ascii="Times New Roman" w:hAnsi="Times New Roman"/>
          <w:sz w:val="22"/>
          <w:szCs w:val="22"/>
        </w:rPr>
        <w:t>zakresie zaawansowanej produkcji i innowacyjnych usług, a także ambicje, by stać się światowym liderem. Wysiłkom tym powinna towarzyszyć lepsza i skuteczniejsza reprezentacja UE w najważniejszych organizacjach światowych, przy czym Unia powinna przemawiać na ich forach jednym głosem. EKES wzywa Komisję Europejską do podjęcia odpowiednich działań w</w:t>
      </w:r>
      <w:r w:rsidR="00B12C16">
        <w:rPr>
          <w:rFonts w:ascii="Times New Roman" w:hAnsi="Times New Roman"/>
          <w:sz w:val="22"/>
          <w:szCs w:val="22"/>
        </w:rPr>
        <w:t> </w:t>
      </w:r>
      <w:r w:rsidRPr="00B12C16">
        <w:rPr>
          <w:rFonts w:ascii="Times New Roman" w:hAnsi="Times New Roman"/>
          <w:sz w:val="22"/>
          <w:szCs w:val="22"/>
        </w:rPr>
        <w:t>celu wzmocnienia pozycji UE na świecie, co powinno również znaleźć odzwierciedlenie w</w:t>
      </w:r>
      <w:r w:rsidR="00B12C16">
        <w:rPr>
          <w:rFonts w:ascii="Times New Roman" w:hAnsi="Times New Roman"/>
          <w:sz w:val="22"/>
          <w:szCs w:val="22"/>
        </w:rPr>
        <w:t> </w:t>
      </w:r>
      <w:r w:rsidRPr="00B12C16">
        <w:rPr>
          <w:rFonts w:ascii="Times New Roman" w:hAnsi="Times New Roman"/>
          <w:sz w:val="22"/>
          <w:szCs w:val="22"/>
        </w:rPr>
        <w:t>jej programie prac na 2021 r.</w:t>
      </w:r>
    </w:p>
    <w:p w14:paraId="5114F866" w14:textId="77777777" w:rsidR="00695B6E" w:rsidRPr="00B12C16"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B12C16"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sidRPr="00B12C16">
        <w:rPr>
          <w:rFonts w:ascii="Times New Roman" w:hAnsi="Times New Roman"/>
          <w:sz w:val="22"/>
          <w:szCs w:val="22"/>
        </w:rPr>
        <w:t>Oprócz kwestii gospodarczych i środowiskowych program prac UE na 2021 r. musi uwzględniać wymiar społeczny. Priorytetem będzie więc zaangażowanie Unii na rzecz społecznej i zrównoważonej Europy. W tym kontekście ważną rolę odgrywają również organizacje społeczeństwa obywatelskiego.</w:t>
      </w:r>
    </w:p>
    <w:p w14:paraId="73255230" w14:textId="500D09E0" w:rsidR="00695B6E" w:rsidRPr="00B12C16"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sidRPr="00B12C16">
        <w:rPr>
          <w:rFonts w:ascii="Times New Roman" w:hAnsi="Times New Roman"/>
          <w:sz w:val="22"/>
          <w:szCs w:val="22"/>
        </w:rPr>
        <w:lastRenderedPageBreak/>
        <w:t>EKES zdecydowanie popiera wniosek Komisji Europejskiej dotyczący opracowania europejskiego planu działania na rzecz demokracji, który powinien mieć kompleksowy i ciągły charakter i umożliwić wprowadzenie zmian, również dzięki zapewnieniu wsparcia finansowego i koordynacji międzyinstytucjonalnej.</w:t>
      </w:r>
    </w:p>
    <w:p w14:paraId="1F40C220" w14:textId="475B4AEC" w:rsidR="00395CE4" w:rsidRPr="00B12C16" w:rsidRDefault="00395CE4" w:rsidP="00695B6E">
      <w:pPr>
        <w:spacing w:line="288" w:lineRule="auto"/>
        <w:jc w:val="both"/>
        <w:outlineLvl w:val="1"/>
        <w:rPr>
          <w:rFonts w:ascii="Times New Roman" w:hAnsi="Times New Roman"/>
          <w:sz w:val="22"/>
          <w:szCs w:val="22"/>
          <w:lang w:val="en-GB"/>
        </w:rPr>
      </w:pPr>
    </w:p>
    <w:p w14:paraId="620BA47D" w14:textId="77777777" w:rsidR="00395CE4" w:rsidRPr="00B12C16" w:rsidRDefault="00395CE4">
      <w:pPr>
        <w:overflowPunct w:val="0"/>
        <w:autoSpaceDE w:val="0"/>
        <w:autoSpaceDN w:val="0"/>
        <w:adjustRightInd w:val="0"/>
        <w:spacing w:line="288" w:lineRule="auto"/>
        <w:jc w:val="center"/>
        <w:textAlignment w:val="baseline"/>
        <w:rPr>
          <w:sz w:val="22"/>
          <w:szCs w:val="22"/>
        </w:rPr>
      </w:pPr>
      <w:r w:rsidRPr="00B12C16">
        <w:rPr>
          <w:sz w:val="22"/>
          <w:szCs w:val="22"/>
        </w:rPr>
        <w:t>_____________</w:t>
      </w:r>
    </w:p>
    <w:p w14:paraId="5514C873" w14:textId="698C671E" w:rsidR="00395CE4" w:rsidRPr="00B12C16" w:rsidRDefault="00395CE4">
      <w:pPr>
        <w:tabs>
          <w:tab w:val="left" w:pos="1647"/>
        </w:tabs>
        <w:rPr>
          <w:rFonts w:ascii="Times New Roman" w:hAnsi="Times New Roman"/>
          <w:sz w:val="22"/>
          <w:szCs w:val="22"/>
          <w:lang w:val="en-GB"/>
        </w:rPr>
      </w:pPr>
    </w:p>
    <w:sectPr w:rsidR="00395CE4" w:rsidRPr="00B12C16"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7367E1C3"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B12C16">
      <w:rPr>
        <w:noProof/>
      </w:rPr>
      <w:t>1</w:t>
    </w:r>
    <w:r>
      <w:fldChar w:fldCharType="end"/>
    </w:r>
    <w:r>
      <w:t>/</w:t>
    </w:r>
    <w:r w:rsidR="00B12C16">
      <w:fldChar w:fldCharType="begin"/>
    </w:r>
    <w:r w:rsidR="00B12C16">
      <w:instrText xml:space="preserve"> NUMPAGES </w:instrText>
    </w:r>
    <w:r w:rsidR="00B12C16">
      <w:fldChar w:fldCharType="separate"/>
    </w:r>
    <w:r w:rsidR="00B12C16">
      <w:rPr>
        <w:noProof/>
      </w:rPr>
      <w:t>4</w:t>
    </w:r>
    <w:r w:rsidR="00B12C1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0B21CC7B" w:rsidR="00EA484E" w:rsidRPr="005C2677" w:rsidRDefault="00EA484E" w:rsidP="00B12C16">
      <w:pPr>
        <w:pStyle w:val="FootnoteText"/>
        <w:spacing w:after="60"/>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Rezolucja w sprawie kryzysu związanego z COVID-19</w:t>
        </w:r>
      </w:hyperlink>
      <w:r w:rsidR="00B12C16">
        <w:rPr>
          <w:rStyle w:val="Hyperlink"/>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747CA5"/>
    <w:rsid w:val="00765063"/>
    <w:rsid w:val="00797347"/>
    <w:rsid w:val="00A1546D"/>
    <w:rsid w:val="00AC7274"/>
    <w:rsid w:val="00B12C16"/>
    <w:rsid w:val="00C12343"/>
    <w:rsid w:val="00D41E97"/>
    <w:rsid w:val="00EA3B3D"/>
    <w:rsid w:val="00EA484E"/>
    <w:rsid w:val="00F523D9"/>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pl-PL"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pl-PL"/>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pl-PL"/>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pl-PL"/>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pl-PL"/>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pl-PL"/>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pl-PL"/>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pl-PL"/>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pl-PL"/>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pl-PL"/>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pl-PL"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pl-PL"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pl-PL"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pl-PL"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pl/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VV634QRNENMJ-762678085-1625</_dlc_DocId>
    <_dlc_DocIdUrl xmlns="cda99570-6012-4083-bfeb-7d32ad1ce1a3">
      <Url>http://dm2016/eesc/2020/_layouts/15/DocIdRedir.aspx?ID=VV634QRNENMJ-762678085-1625</Url>
      <Description>VV634QRNENMJ-762678085-1625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89AA24-7592-42B6-8BA6-7E9367FB4F8F}"/>
</file>

<file path=customXml/itemProps2.xml><?xml version="1.0" encoding="utf-8"?>
<ds:datastoreItem xmlns:ds="http://schemas.openxmlformats.org/officeDocument/2006/customXml" ds:itemID="{27CD4BFF-B7FB-44CA-8D3F-6257F3890FAE}"/>
</file>

<file path=customXml/itemProps3.xml><?xml version="1.0" encoding="utf-8"?>
<ds:datastoreItem xmlns:ds="http://schemas.openxmlformats.org/officeDocument/2006/customXml" ds:itemID="{C8EAFB24-55B6-4748-9BC9-35541BF88CFC}"/>
</file>

<file path=customXml/itemProps4.xml><?xml version="1.0" encoding="utf-8"?>
<ds:datastoreItem xmlns:ds="http://schemas.openxmlformats.org/officeDocument/2006/customXml" ds:itemID="{436631C1-1EF7-4483-8065-1AACA2EAEE12}"/>
</file>

<file path=docProps/app.xml><?xml version="1.0" encoding="utf-8"?>
<Properties xmlns="http://schemas.openxmlformats.org/officeDocument/2006/extended-properties" xmlns:vt="http://schemas.openxmlformats.org/officeDocument/2006/docPropsVTypes">
  <Template>Styles</Template>
  <TotalTime>5</TotalTime>
  <Pages>4</Pages>
  <Words>1041</Words>
  <Characters>5937</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Streszczenie - Wkład Europejskiego Komitetu Ekonomiczno-Społecznego w program prac Komisji Europejskiej na 2021 r.</dc:title>
  <dc:creator>Jan Dirx</dc:creator>
  <cp:keywords>EESC-2020-03155-00-00-TCD-TRA-EN</cp:keywords>
  <dc:description>Rapporteur:  - Original language: EN - Date of document: 20/07/2020 - Date of meeting: 15/07/2020 - External documents:  - Administrator: M. COSMAI Domenico</dc:description>
  <cp:lastModifiedBy>Kosim-Basimoglu Anna</cp:lastModifiedBy>
  <cp:revision>7</cp:revision>
  <dcterms:created xsi:type="dcterms:W3CDTF">2020-07-17T14:51:00Z</dcterms:created>
  <dcterms:modified xsi:type="dcterms:W3CDTF">2020-07-20T07:21:00Z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396bb6b1-19de-426e-b81e-05fc7af11308</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S|e7a6b05b-ae16-40c8-add9-68b64b03aeba;IT|0774613c-01ed-4e5d-a25d-11d2388de825;PT|50ccc04a-eadd-42ae-a0cb-acaf45f812ba;EN|f2175f21-25d7-44a3-96da-d6a61b075e1b;SK|46d9fce0-ef79-4f71-b89b-cd6aa82426b8;EL|6d4f4d51-af9b-4650-94b4-4276bee85c91;HR|2f555653-ed1a-4fe6-8362-9082d95989e5;CS|72f9705b-0217-4fd3-bea2-cbc7ed80e26e;RO|feb747a2-64cd-4299-af12-4833ddc30497;DE|f6b31e5a-26fa-4935-b661-318e46daf27e;ET|ff6c3f4c-b02c-4c3c-ab07-2c37995a7a0a;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43;#HR|2f555653-ed1a-4fe6-8362-9082d95989e5;#29;#PT|50ccc04a-eadd-42ae-a0cb-acaf45f812ba;#38;#EL|6d4f4d51-af9b-4650-94b4-4276bee85c91;#39;#HU|6b229040-c589-4408-b4c1-4285663d20a8;#16;#ES|e7a6b05b-ae16-40c8-add9-68b64b03aeba;#51;#SPL-CES|32d8cb1f-c9ec-4365-95c7-8385a18618ac;#13;#IT|0774613c-01ed-4e5d-a25d-11d2388de825;#48;#RO|feb747a2-64cd-4299-af12-4833ddc30497;#10;#DE|f6b31e5a-26fa-4935-b661-318e46daf27e;#46;#SK|46d9fce0-ef79-4f71-b89b-cd6aa82426b8;#8;#TCD|cd9d6eb6-3f4f-424a-b2d1-57c9d450eaaf;#44;#BG|1a1b3951-7821-4e6a-85f5-5673fc08bd2c;#6;#Final|ea5e6674-7b27-4bac-b091-73adbb394efe;#5;#Unrestricted|826e22d7-d029-4ec0-a450-0c28ff673572;#4;#EN|f2175f21-25d7-44a3-96da-d6a61b075e1b;#2;#TRA|150d2a88-1431-44e6-a8ca-0bb753ab8672;#1;#EESC|422833ec-8d7e-4e65-8e4e-8bed07ffb729;#47;#ET|ff6c3f4c-b02c-4c3c-ab07-2c37995a7a0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9;#PL|1e03da61-4678-4e07-b136-b5024ca9197b</vt:lpwstr>
  </property>
</Properties>
</file>