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2BC15202" w:rsidR="00EA484E" w:rsidRPr="00AC7274" w:rsidRDefault="00A513AD" w:rsidP="00EA484E">
      <w:pPr>
        <w:spacing w:line="288" w:lineRule="auto"/>
        <w:jc w:val="center"/>
        <w:rPr>
          <w:rFonts w:ascii="Times New Roman" w:hAnsi="Times New Roman"/>
        </w:rPr>
      </w:pPr>
      <w:bookmarkStart w:id="0" w:name="_GoBack"/>
      <w:bookmarkEnd w:id="0"/>
      <w:r>
        <w:rPr>
          <w:noProof/>
          <w:lang w:val="fr-BE" w:eastAsia="fr-BE"/>
        </w:rPr>
        <w:drawing>
          <wp:inline distT="0" distB="0" distL="0" distR="0" wp14:anchorId="41DE4922" wp14:editId="6D8D8E6D">
            <wp:extent cx="1792605" cy="1239520"/>
            <wp:effectExtent l="0" t="0" r="0" b="0"/>
            <wp:docPr id="1" name="Picture 1" title="EESC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val="fr-BE" w:eastAsia="fr-BE"/>
        </w:rPr>
        <mc:AlternateContent>
          <mc:Choice Requires="wps">
            <w:drawing>
              <wp:anchor distT="0" distB="0" distL="114300" distR="114300" simplePos="0" relativeHeight="251659264" behindDoc="1" locked="0" layoutInCell="0" allowOverlap="1" wp14:anchorId="6BDDC625" wp14:editId="3273D3A5">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a:solidFill>
                                <a:srgbClr val="FFFFFF"/>
                              </a:solidFill>
                            </a14:hiddenFill>
                          </a:ext>
                          <a:ext uri="{91240B29-F687-4f45-9708-019B960494DF}">
                            <a14:hiddenLine xmlns:pic="http://schemas.openxmlformats.org/drawingml/2006/pictur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NL</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SAMENVATTING VAN DE RESOLUTIE</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77777777"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Bijdrage van het Europees Economisch en Sociaal Comité</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aan het werkprogramma van de Europese Commissie voor 2021</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op basis van de werkzaamheden van de</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ad-hocgroep “Bijdrage van het EESC aan het werkprogramma van de Europese Commissie voor 2021”</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92C9FD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77777777"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Rapporteurs</w:t>
      </w:r>
      <w:r>
        <w:rPr>
          <w:rFonts w:ascii="Times New Roman" w:hAnsi="Times New Roman"/>
          <w:b/>
          <w:sz w:val="22"/>
          <w:szCs w:val="22"/>
        </w:rPr>
        <w:t>: Petr ZAHRADNIK (gr. I)</w:t>
      </w:r>
    </w:p>
    <w:p w14:paraId="2B11417B"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Stefano PALMIERI (gr. II-IT)</w:t>
      </w:r>
    </w:p>
    <w:p w14:paraId="5009DD94"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Jan DIRX (gr.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BA67C7E"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aangenomen door het Europees Economisch en Sociaal Comité</w:t>
      </w:r>
      <w:r>
        <w:rPr>
          <w:rFonts w:ascii="Times New Roman" w:hAnsi="Times New Roman"/>
          <w:sz w:val="22"/>
          <w:szCs w:val="22"/>
        </w:rPr>
        <w:br/>
        <w:t>op 16 juli 2020</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27B71FF5"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rPr>
        <w:lastRenderedPageBreak/>
        <w:t>Zoals reeds eerder opgemerkt in zijn resolutie over de voorstellen van het EESC voor wederopbouw en herstel na de COVID-19-crisis</w:t>
      </w:r>
      <w:r w:rsidRPr="00AC7274">
        <w:rPr>
          <w:rFonts w:ascii="Times New Roman" w:hAnsi="Times New Roman"/>
          <w:vertAlign w:val="superscript"/>
          <w:lang w:val="en-GB" w:eastAsia="en-US"/>
        </w:rPr>
        <w:footnoteReference w:id="1"/>
      </w:r>
      <w:r>
        <w:rPr>
          <w:rFonts w:ascii="Times New Roman" w:hAnsi="Times New Roman"/>
        </w:rPr>
        <w:t>, verwelkomt en steunt het EESC volledig de voorstellen van de Europese Commissie betreffende het herstelplan voor de Europese Unie, “Next Generation EU” genaamd, en betreffende de algemene EU-begroting voor 2021-2027.</w:t>
      </w:r>
      <w:r>
        <w:rPr>
          <w:rFonts w:ascii="Times New Roman" w:hAnsi="Times New Roman"/>
          <w:sz w:val="22"/>
          <w:szCs w:val="22"/>
        </w:rPr>
        <w:t xml:space="preserve"> Gelet op de noodzaak van herstel en wederopbouw na de coronacrisis hoopt en verwacht het EESC dat de lijnen die de Commissie in deze plannen heeft uitgezet, volledig en concreet worden uitgewerkt in het werkprogramma van de Commissie voor 2021.</w:t>
      </w:r>
    </w:p>
    <w:p w14:paraId="0DC5F400"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Naar de mening van het EESC moet het werkprogramma gericht zijn op herstructurering en verbetering van onze economie en samenleving op basis van de volgende beginselen: bescherming van mensenrechten en sociale rechten, democratische waarden en de rechtsstaat, benutting van het volledige potentieel van de eengemaakte markt, verwezenlijking van de duurzameontwikkelingsdoelstellingen (SDG’s), het creëren van een circulaire economie en het bereiken van klimaatneutraliteit in de EU, uiterlijk in 2050, en het tot stand brengen van goed bestuur en democratische verantwoordingsplicht.</w:t>
      </w:r>
    </w:p>
    <w:p w14:paraId="62862964"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7E5DFEA9"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Het EESC onderstreept dat de zes door de Commissie gekozen kernprioriteiten (Een Europese Green Deal, Een Europa dat klaar is voor het digitale tijdperk, Een economie die werkt voor de mensen, Een sterker Europa in de wereld, Bevordering van onze Europese levenswijze en Een nieuwe impuls voor de Europese democratie) voorzien in een krachtig kader voor de uitwerking van het werkprogramma voor 2021. Misschien moet explicieter de nadruk worden gelegd op investeringen en de noodzaak om deze te bespoedigen, mede dankzij de maatregelen die momenteel worden getroffen.</w:t>
      </w:r>
    </w:p>
    <w:p w14:paraId="76FF9B78"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Nu we het belang van samenwerking tussen landen in deze tijden van crisis ervaren, hoopt het EESC dat de komende conferentie over de toekomst van Europa zal helpen om de institutionele structuur van de EU te versterken en te verdiepen en om het EU-project daadwerkelijk te vernieuwen, zodat aan de uitdagingen van de komende decennia het hoofd kan worden geboden. De Commissie kan hiervoor rekenen op de volledige steun van het EESC.</w:t>
      </w:r>
    </w:p>
    <w:p w14:paraId="48473CC8" w14:textId="77777777" w:rsidR="00EA484E" w:rsidRPr="00395CE4"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Het EESC is ervan overtuigd dat het proces van herstel en wederopbouw van de economie en de samenleving alleen mogelijk zal zijn met de actieve deelname van maatschappelijke organisaties en sociale partners.</w:t>
      </w:r>
    </w:p>
    <w:p w14:paraId="7206EF37"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71D68A1C"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 Green Deal van de EU kan ook worden gezien als een doeltreffend instrument om de economie weer duurzaam op gang te brengen door middel van grootschalige investeringen ter ondersteuning van de noodzakelijke structurele veranderingen waar Europa voor staat. Vanuit dat oogpunt kan de Green Deal worden beschouwd als een kans om het economisch herstel op langere termijn te ondersteunen. Er is een nieuwe consensus in Europa nodig om hiervoor voldoende publieke en private financiële bronnen aan te boren en een nieuwe governance in te voeren om deze met succes in praktijk te brengen.</w:t>
      </w:r>
    </w:p>
    <w:p w14:paraId="4E7D4AA2"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1100C344"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lastRenderedPageBreak/>
        <w:t xml:space="preserve">Overheidsgeld dat in herstelplannen wordt geïnvesteerd, moet niet alleen de Europese economie en samenleving helpen herstellen, maar ook de impact van verdere schokken drastisch verminderen door te investeren in een veerkrachtige, inclusieve en klimaatvriendelijke economie (de zogenaamde “welzijnseconomie”). </w:t>
      </w:r>
    </w:p>
    <w:p w14:paraId="654FCC30"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CF873A2" w14:textId="77777777"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 EU-taxonomie voor duurzame financiering moet als leidraad dienen voor publieke en private investeringen gedurende het herstel, om de verschuiving van vervuilende sectoren naar groene sectoren te bespoedigen.</w:t>
      </w:r>
    </w:p>
    <w:p w14:paraId="67C0400C" w14:textId="1779E3BE" w:rsidR="00EA484E"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 coronacrisis toont aan dat grootscheepse digitalisering een belangrijk instrument is om onze samenleving crisisbestendiger te maken. Het is van het grootste belang dat wordt geïnvesteerd in de digitalisering van essentiële diensten en dat regeringen, wetgevers en overheidsinstellingen beter in staat zijn om hun diensten te blijven leveren tijdens perioden van crisis.</w:t>
      </w:r>
    </w:p>
    <w:p w14:paraId="3A22B508"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0C733ED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De Commissie wordt verzocht het Europees Semester te blijven gebruiken als aanjager van herstel op basis van de daarin vastgestelde investerings- en hervormingsprioriteiten. Het EESC is verheugd over de nadruk die de laatste tijd is gelegd op de noodzaak om meer rekening te houden met sociale aangelegenheden en de Europese Green Deal, en is ingenomen met de uitvoering van de faciliteit voor herstel en veerkracht via het Europees Semester. </w:t>
      </w:r>
    </w:p>
    <w:p w14:paraId="3C3DB9C8" w14:textId="77777777" w:rsidR="00695B6E" w:rsidRPr="00395CE4"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13F4896F"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Er is een kans om sociale innovatie te bevorderen als een model voor wederopbouw door middel van cocreatie, co-ontwerp en coproductie. Het georganiseerde maatschappelijk middenveld fungeert als katalysator voor sociale innovatie. Deze dynamiek heeft bijgedragen aan de ontwikkeling van de sociale stelsels, wat heeft geleid tot nieuwe beleidsmaatregelen, structuren, produc</w:t>
      </w:r>
      <w:r w:rsidR="00BF50DC">
        <w:rPr>
          <w:rFonts w:ascii="Times New Roman" w:hAnsi="Times New Roman"/>
          <w:sz w:val="22"/>
          <w:szCs w:val="22"/>
        </w:rPr>
        <w:t xml:space="preserve">ten, diensten en werkmethoden. </w:t>
      </w:r>
      <w:r>
        <w:rPr>
          <w:rFonts w:ascii="Times New Roman" w:hAnsi="Times New Roman"/>
          <w:sz w:val="22"/>
          <w:szCs w:val="22"/>
        </w:rPr>
        <w:t>De participatie van het maatschappelijk middenveld is nu belangrijker dan ooit, maar echte sociale innovatie vindt pas plaats wanneer het maatschappelijk middenveld betrokken wordt.</w:t>
      </w:r>
    </w:p>
    <w:p w14:paraId="1385EF6C" w14:textId="77777777" w:rsidR="00A1546D" w:rsidRPr="00395CE4"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2AC8F4EA"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Een van de belangrijkste lessen uit de coronacrisis is dat de gezondheidszorgstelsels in vrijwel alle Europese landen moeten worden versterkt, allereerst door in te zetten op preventie. Hoewel gezondheidszorg een bevoegdheid van de lidstaten is, is de verspreiding van het virus niet aan grenzen gebonden. Heel Europa is getroffen, zowel binnen als buiten onze grenzen, met gevolgen voor gezondheid, maatschappij en economie die een gemeenschappelijke respons op Europees niveau vereisen.</w:t>
      </w:r>
    </w:p>
    <w:p w14:paraId="2D20D300" w14:textId="77777777" w:rsidR="00A1546D" w:rsidRPr="00395CE4"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16CCFD0F"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 EU moet haar mondiale positie versterken en ondersteunen door een belangrijkere en meer strategische rol in te nemen in de wereldeconomie en in de politiek. De economie van de EU heeft het potentieel om haar comparatieve voordelen op de mondiale handels- en investeringsmarkt beter te benutten, met name op het gebied van geavanceerde productie en innovatieve diensten, waarbij zij de ambitie moet nastreven om een wereldleider te zijn. Deze inspanningen moeten gepaard gaan met een betere en efficiëntere vertegenwoordiging van de EU in de belangrijkste mondiale organisaties en door daar met één stem te spreken. Het EESC dringt er bij de Europese Commissie op aan een echte inspanning te leveren om de positie van de EU in de wereld te versterken, en dit ook tot uiting te laten komen in haar werkprogramma voor 2021.</w:t>
      </w:r>
    </w:p>
    <w:p w14:paraId="5114F866" w14:textId="77777777" w:rsidR="00695B6E" w:rsidRPr="00395CE4"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2EF24674"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 xml:space="preserve">Naast economische en milieuvraagstukken moet het werkprogramma van de EU voor 2021 in het teken staan van de sociale dimensie. Dit betekent dat haar inzet voor een sociaal en duurzaam </w:t>
      </w:r>
      <w:r>
        <w:rPr>
          <w:rFonts w:ascii="Times New Roman" w:hAnsi="Times New Roman"/>
          <w:sz w:val="22"/>
          <w:szCs w:val="22"/>
        </w:rPr>
        <w:lastRenderedPageBreak/>
        <w:t>Europa een prioriteit moet zijn. Daarbij spelen ook maatschappelijke organisaties een belangrijke rol.</w:t>
      </w:r>
    </w:p>
    <w:p w14:paraId="1F858B09" w14:textId="77777777" w:rsidR="00695B6E" w:rsidRPr="00395CE4" w:rsidRDefault="00695B6E" w:rsidP="00395CE4">
      <w:pPr>
        <w:pStyle w:val="ListParagraph"/>
        <w:spacing w:line="288" w:lineRule="auto"/>
        <w:ind w:left="0"/>
        <w:jc w:val="both"/>
        <w:outlineLvl w:val="1"/>
        <w:rPr>
          <w:rFonts w:ascii="Times New Roman" w:hAnsi="Times New Roman"/>
          <w:sz w:val="22"/>
          <w:szCs w:val="22"/>
          <w:lang w:val="en-GB"/>
        </w:rPr>
      </w:pPr>
    </w:p>
    <w:p w14:paraId="73255230" w14:textId="500D09E0"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Het EESC is een groot voorstander van het voorstel van de Europese Commissie om een “Europees actieplan voor de democratie” te ontwikkelen, dat alomvattend en continu moet zijn, veranderingen teweeg kan brengen en kan rekenen op financiële steun en interinstitutionele coördinatie.</w:t>
      </w:r>
    </w:p>
    <w:p w14:paraId="1F40C220" w14:textId="475B4AEC" w:rsidR="00395CE4" w:rsidRPr="00395CE4" w:rsidRDefault="00395CE4" w:rsidP="00695B6E">
      <w:pPr>
        <w:spacing w:line="288" w:lineRule="auto"/>
        <w:jc w:val="both"/>
        <w:outlineLvl w:val="1"/>
        <w:rPr>
          <w:rFonts w:ascii="Times New Roman" w:hAnsi="Times New Roman"/>
          <w:sz w:val="22"/>
          <w:szCs w:val="22"/>
          <w:lang w:val="en-GB"/>
        </w:rPr>
      </w:pPr>
    </w:p>
    <w:p w14:paraId="620BA47D" w14:textId="77777777" w:rsidR="00395CE4" w:rsidRPr="00AC7274" w:rsidRDefault="00395CE4">
      <w:pPr>
        <w:overflowPunct w:val="0"/>
        <w:autoSpaceDE w:val="0"/>
        <w:autoSpaceDN w:val="0"/>
        <w:adjustRightInd w:val="0"/>
        <w:spacing w:line="288" w:lineRule="auto"/>
        <w:jc w:val="center"/>
        <w:textAlignment w:val="baseline"/>
      </w:pPr>
      <w:r>
        <w:t>____________</w:t>
      </w:r>
    </w:p>
    <w:p w14:paraId="5514C873" w14:textId="698C671E" w:rsidR="00395CE4" w:rsidRPr="00395CE4" w:rsidRDefault="00395CE4">
      <w:pPr>
        <w:tabs>
          <w:tab w:val="left" w:pos="1647"/>
        </w:tabs>
        <w:rPr>
          <w:rFonts w:ascii="Times New Roman" w:hAnsi="Times New Roman"/>
          <w:sz w:val="22"/>
          <w:szCs w:val="22"/>
          <w:lang w:val="en-GB"/>
        </w:rPr>
      </w:pPr>
    </w:p>
    <w:sectPr w:rsidR="00395CE4" w:rsidRPr="00395CE4" w:rsidSect="00395CE4">
      <w:footerReference w:type="default" r:id="rId12"/>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6A91A4B9" w:rsidR="00395CE4" w:rsidRPr="00395CE4" w:rsidRDefault="00395CE4" w:rsidP="00395CE4">
    <w:pPr>
      <w:pStyle w:val="Footer"/>
    </w:pPr>
    <w:r>
      <w:t xml:space="preserve">EESC-2020-03155-00-00-TCD-TRA (NL) </w:t>
    </w:r>
    <w:r>
      <w:fldChar w:fldCharType="begin"/>
    </w:r>
    <w:r>
      <w:instrText xml:space="preserve"> PAGE  \* Arabic  \* MERGEFORMAT </w:instrText>
    </w:r>
    <w:r>
      <w:fldChar w:fldCharType="separate"/>
    </w:r>
    <w:r w:rsidR="002301D1">
      <w:rPr>
        <w:noProof/>
      </w:rPr>
      <w:t>4</w:t>
    </w:r>
    <w:r>
      <w:fldChar w:fldCharType="end"/>
    </w:r>
    <w:r>
      <w:t>/</w:t>
    </w:r>
    <w:fldSimple w:instr=" NUMPAGES ">
      <w:r w:rsidR="002301D1">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Resolutie over de periode na de COVID 19-crisis</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2301D1"/>
    <w:rsid w:val="00395CE4"/>
    <w:rsid w:val="00695B6E"/>
    <w:rsid w:val="006D2A9B"/>
    <w:rsid w:val="00747CA5"/>
    <w:rsid w:val="00765063"/>
    <w:rsid w:val="00797347"/>
    <w:rsid w:val="00A1546D"/>
    <w:rsid w:val="00A513AD"/>
    <w:rsid w:val="00AC7274"/>
    <w:rsid w:val="00BF50DC"/>
    <w:rsid w:val="00C12343"/>
    <w:rsid w:val="00D41E97"/>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74449C"/>
  <w15:chartTrackingRefBased/>
  <w15:docId w15:val="{B52C3C5B-351A-4CCD-A6EE-6A307784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nl-NL"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nl-NL"/>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nl-NL"/>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nl-NL"/>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nl-NL"/>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nl-NL"/>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nl-NL"/>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nl-NL"/>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nl-NL"/>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nl-NL"/>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nl-NL"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nl-NL"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nl-NL"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nl-NL"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nl/news-media/press-releases/eesc-proposals-post-covid-19-recovery-and-reconstruction-towards-new-societal-mode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VV634QRNENMJ-762678085-1647</_dlc_DocId>
    <_dlc_DocIdUrl xmlns="cda99570-6012-4083-bfeb-7d32ad1ce1a3">
      <Url>http://dm2016/eesc/2020/_layouts/15/DocIdRedir.aspx?ID=VV634QRNENMJ-762678085-1647</Url>
      <Description>VV634QRNENMJ-762678085-1647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60B399E-913C-4E1C-BABF-ED1FC5558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18D014-6D07-4708-A30B-715B991F7E0D}">
  <ds:schemaRefs>
    <ds:schemaRef ds:uri="http://schemas.microsoft.com/sharepoint/events"/>
  </ds:schemaRefs>
</ds:datastoreItem>
</file>

<file path=customXml/itemProps3.xml><?xml version="1.0" encoding="utf-8"?>
<ds:datastoreItem xmlns:ds="http://schemas.openxmlformats.org/officeDocument/2006/customXml" ds:itemID="{81604182-29B8-40DF-8339-5F203AA36CDB}">
  <ds:schemaRefs>
    <ds:schemaRef ds:uri="http://schemas.microsoft.com/sharepoint/v3/contenttype/forms"/>
  </ds:schemaRefs>
</ds:datastoreItem>
</file>

<file path=customXml/itemProps4.xml><?xml version="1.0" encoding="utf-8"?>
<ds:datastoreItem xmlns:ds="http://schemas.openxmlformats.org/officeDocument/2006/customXml" ds:itemID="{6C3B2921-B0E9-45AF-90C5-01D8A103320D}">
  <ds:schemaRefs>
    <ds:schemaRef ds:uri="cda99570-6012-4083-bfeb-7d32ad1ce1a3"/>
    <ds:schemaRef ds:uri="98af4b3d-0f8e-4839-87de-ec8dfffabf66"/>
    <ds:schemaRef ds:uri="http://purl.org/dc/elements/1.1/"/>
    <ds:schemaRef ds:uri="http://purl.org/dc/dcmitype/"/>
    <ds:schemaRef ds:uri="http://www.w3.org/XML/1998/namespace"/>
    <ds:schemaRef ds:uri="http://purl.org/dc/term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6185</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Samenvatting - Bijdrage van het Europees Economisch en Sociaal Comité aan het werkprogramma van de Europese Commissie voor 2021</vt: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Samenvatting - Bijdrage van het Europees Economisch en Sociaal Comité aan het werkprogramma van de Europese Commissie voor 2021</dc:title>
  <dc:subject>Advieswerkzaamheden, diversen</dc:subject>
  <dc:creator>Jan Dirx</dc:creator>
  <cp:keywords>EESC-2020-03155-00-00-TCD-TRA-EN</cp:keywords>
  <dc:description>Rapporteur:  - Original language: EN - Date of document: 20/07/2020 - Date of meeting: 15/07/2020 - External documents:  - Administrator: M. COSMAI Domenico</dc:description>
  <cp:lastModifiedBy>Jekaterina Kelk</cp:lastModifiedBy>
  <cp:revision>2</cp:revision>
  <dcterms:created xsi:type="dcterms:W3CDTF">2020-07-20T12:26:00Z</dcterms:created>
  <dcterms:modified xsi:type="dcterms:W3CDTF">2020-07-20T12:26:00Z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bc4452de-4adb-47ea-ab78-372398f35446</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1" name="DocumentType">
    <vt:lpwstr>8;#TCD|cd9d6eb6-3f4f-424a-b2d1-57c9d450eaaf</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SPL-CES|32d8cb1f-c9ec-4365-95c7-8385a18618ac</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51;#SPL-CES|32d8cb1f-c9ec-4365-95c7-8385a18618ac</vt:lpwstr>
  </property>
  <property fmtid="{D5CDD505-2E9C-101B-9397-08002B2CF9AE}" pid="28" name="MeetingDate">
    <vt:filetime>2020-07-15T12:00:00Z</vt:filetime>
  </property>
  <property fmtid="{D5CDD505-2E9C-101B-9397-08002B2CF9AE}" pid="29" name="AvailableTranslations_0">
    <vt:lpwstr>HU|6b229040-c589-4408-b4c1-4285663d20a8;PL|1e03da61-4678-4e07-b136-b5024ca9197b;FI|87606a43-d45f-42d6-b8c9-e1a3457db5b7;LV|46f7e311-5d9f-4663-b433-18aeccb7ace7;ES|e7a6b05b-ae16-40c8-add9-68b64b03aeba;IT|0774613c-01ed-4e5d-a25d-11d2388de825;PT|50ccc04a-ead</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51;#SPL-CES|32d8cb1f-c9ec-4365-95c7-8385a18618ac;#48;#RO|feb747a2-64cd-4299-af12-4833ddc30497;#47;#ET|ff6c3f4c-b02c-4c3c-ab07-2c37995a7a0a;#46;#SK|46d9fce0-ef79-4f71-b89b-cd6aa82426b8;#45;#FI|87606a43-d45f-42d6-b8c9-e1a3457db5b7;#44;#BG|1a1b3951-7821-4e6a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7916</vt:i4>
  </property>
  <property fmtid="{D5CDD505-2E9C-101B-9397-08002B2CF9AE}" pid="37" name="DocumentLanguage">
    <vt:lpwstr>41;#NL|55c6556c-b4f4-441d-9acf-c498d4f838bd</vt:lpwstr>
  </property>
</Properties>
</file>