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B964C" w14:textId="271DF8CB" w:rsidR="00EA484E" w:rsidRPr="00AC7274" w:rsidRDefault="00593BAD" w:rsidP="00EA484E">
      <w:pPr>
        <w:spacing w:line="288" w:lineRule="auto"/>
        <w:jc w:val="center"/>
        <w:rPr>
          <w:rFonts w:ascii="Times New Roman" w:hAnsi="Times New Roman"/>
        </w:rPr>
      </w:pPr>
      <w:r>
        <w:rPr>
          <w:noProof/>
          <w:lang w:val="en-US" w:eastAsia="en-US"/>
        </w:rPr>
        <w:drawing>
          <wp:inline distT="0" distB="0" distL="0" distR="0" wp14:anchorId="59380753" wp14:editId="3F7F6D9D">
            <wp:extent cx="1792605" cy="1239520"/>
            <wp:effectExtent l="0" t="0" r="0" b="0"/>
            <wp:docPr id="1" name="Picture 1" title="EESCLogo_M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84E">
        <w:rPr>
          <w:rFonts w:ascii="Times New Roman" w:hAnsi="Times New Roman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BDDC625" wp14:editId="43DE386C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pic="http://schemas.openxmlformats.org/drawingml/2006/pictur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:pic="http://schemas.openxmlformats.org/drawingml/2006/pictur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5B874" w14:textId="77777777" w:rsidR="00EA484E" w:rsidRPr="00260E65" w:rsidRDefault="00EA484E" w:rsidP="00EA48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DC62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" o:allowincell="f" filled="f" stroked="f">
                <v:textbox>
                  <w:txbxContent>
                    <w:p w14:paraId="7A25B874" w14:textId="77777777" w:rsidR="00EA484E" w:rsidRPr="00260E65" w:rsidRDefault="00EA484E" w:rsidP="00EA484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BF1EE07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B45454E" w14:textId="77777777" w:rsidR="00EA484E" w:rsidRPr="00AC7274" w:rsidRDefault="00EA484E" w:rsidP="00EA484E">
      <w:pPr>
        <w:spacing w:line="288" w:lineRule="auto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B80951C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EE5097E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13AA1B11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7FDD0B0D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DFDF48C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729B7E64" w14:textId="77777777" w:rsidR="00EA484E" w:rsidRPr="00AC7274" w:rsidRDefault="00EA484E" w:rsidP="00EA484E">
      <w:pPr>
        <w:spacing w:line="288" w:lineRule="auto"/>
        <w:rPr>
          <w:rFonts w:ascii="Times New Roman" w:hAnsi="Times New Roman"/>
          <w:b/>
          <w:sz w:val="22"/>
          <w:szCs w:val="22"/>
          <w:lang w:val="en-GB"/>
        </w:rPr>
      </w:pPr>
    </w:p>
    <w:p w14:paraId="524CB2DF" w14:textId="70941331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SOMMARJU TAR-RIŻOLUZZJONI</w:t>
      </w:r>
    </w:p>
    <w:p w14:paraId="6376E84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lang w:val="en-GB"/>
        </w:rPr>
      </w:pPr>
    </w:p>
    <w:p w14:paraId="63B8FE3F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Il-kontribut tal-Kumitat Ekonomiku u Soċjali Ewropew</w:t>
      </w:r>
    </w:p>
    <w:p w14:paraId="4AFEA1A9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għall-programm ta’ ħidma tal-Kummissjoni Ewropea għall-2021</w:t>
      </w:r>
    </w:p>
    <w:p w14:paraId="258CA404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i/>
          <w:sz w:val="22"/>
          <w:szCs w:val="22"/>
          <w:lang w:val="en-GB"/>
        </w:rPr>
      </w:pPr>
    </w:p>
    <w:p w14:paraId="1F7CFC34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E42D10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04A16DF2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0039A0E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abbażi tal-ħidma</w:t>
      </w:r>
    </w:p>
    <w:p w14:paraId="6539ED5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7A521B48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tal-grupp ad hoc “Il-kontribut tal-KESE għall-programm ta’ ħidma tal-Kummissjoni Ewropea għall-2021”</w:t>
      </w:r>
    </w:p>
    <w:p w14:paraId="3AED97B6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7E1F303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4234A862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792C9FD3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3FFC54E4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4E5196C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Relaturi: </w:t>
      </w:r>
      <w:r>
        <w:rPr>
          <w:rFonts w:ascii="Times New Roman" w:hAnsi="Times New Roman"/>
          <w:b/>
          <w:sz w:val="22"/>
          <w:szCs w:val="22"/>
        </w:rPr>
        <w:t>Petr ZAHRADNIK (Gr. I)</w:t>
      </w:r>
    </w:p>
    <w:p w14:paraId="2B11417B" w14:textId="77777777" w:rsidR="00EA484E" w:rsidRPr="00AC7274" w:rsidRDefault="00EA484E" w:rsidP="00EA484E">
      <w:pPr>
        <w:spacing w:line="288" w:lineRule="auto"/>
        <w:ind w:left="38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Stefano PALMIERI (Gr. II)</w:t>
      </w:r>
    </w:p>
    <w:p w14:paraId="5009DD94" w14:textId="77777777" w:rsidR="00EA484E" w:rsidRPr="00AC7274" w:rsidRDefault="00EA484E" w:rsidP="00EA484E">
      <w:pPr>
        <w:spacing w:line="288" w:lineRule="auto"/>
        <w:ind w:left="38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Jan DIRX (Gr. III)</w:t>
      </w:r>
    </w:p>
    <w:p w14:paraId="25866510" w14:textId="77777777" w:rsidR="00EA484E" w:rsidRPr="00395CE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2FDFD8AD" w14:textId="77777777" w:rsidR="00EA484E" w:rsidRPr="00395CE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398831BA" w14:textId="77777777" w:rsidR="00EA484E" w:rsidRPr="00395CE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38E86DFC" w14:textId="1BA67C7E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adottata mill-Kumitat Ekonomiku u Soċjali Ewropew</w:t>
      </w:r>
      <w:r>
        <w:rPr>
          <w:rFonts w:ascii="Times New Roman" w:hAnsi="Times New Roman"/>
          <w:sz w:val="22"/>
          <w:szCs w:val="22"/>
        </w:rPr>
        <w:br/>
        <w:t>fis-16 ta’ Lulju 2020</w:t>
      </w:r>
    </w:p>
    <w:p w14:paraId="47D025FA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174DC1F6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1D16C18D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64453DC3" w14:textId="4F5F47D1" w:rsidR="00EA484E" w:rsidRPr="00AC7274" w:rsidRDefault="00EA484E">
      <w:pPr>
        <w:spacing w:line="280" w:lineRule="exact"/>
        <w:ind w:left="357" w:hanging="357"/>
      </w:pPr>
      <w:r>
        <w:br w:type="page"/>
      </w:r>
    </w:p>
    <w:p w14:paraId="660072A1" w14:textId="27B71FF5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</w:rPr>
        <w:lastRenderedPageBreak/>
        <w:t>Kif indika fir-riżoluzzjoni tiegħu dwar “Proposti tal-KESE għar-rikostruzzjoni u l-irkupru wara l-kriżi tal-COVID-19”</w:t>
      </w:r>
      <w:r w:rsidRPr="00AC7274">
        <w:rPr>
          <w:rFonts w:ascii="Times New Roman" w:hAnsi="Times New Roman"/>
          <w:vertAlign w:val="superscript"/>
          <w:lang w:val="en-GB" w:eastAsia="en-US"/>
        </w:rPr>
        <w:footnoteReference w:id="1"/>
      </w:r>
      <w:r>
        <w:rPr>
          <w:rFonts w:ascii="Times New Roman" w:hAnsi="Times New Roman"/>
        </w:rPr>
        <w:t>, il-KESE jilqa’ bi pjaċir u jappoġġja l-proposti tal-Kummissjoni Ewropea: il-pjan Next Generation EU u l-baġit ġenerali tal-UE għall-2021-2027.</w:t>
      </w:r>
      <w:r>
        <w:rPr>
          <w:rFonts w:ascii="Times New Roman" w:hAnsi="Times New Roman"/>
          <w:sz w:val="22"/>
          <w:szCs w:val="22"/>
        </w:rPr>
        <w:t xml:space="preserve"> Il-Kumitat jittama u jistenna li, minħabba l-ħtieġa għall-irkupru u r-rikostruzzjoni wara l-kriżi tal-coronavirus, il-linji stabbiliti mill-Kummissjoni f’dawn il-pjani jiġu estiżi bis-sħiħ u b’mod konkret fil-programm ta’ ħidma tal-Kummissjoni għall-2021.</w:t>
      </w:r>
    </w:p>
    <w:p w14:paraId="0DC5F400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70FAD9E5" w14:textId="77777777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Għall-KESE, il-programm ta’ ħidma għandu jiffoka fuq ir-ristrutturar u t-titjib tal-ekonomija u s-soċjetà tagħna, abbażi tal-prinċipji li ġejjin: il-protezzjoni tad-drittijiet tal-bniedem u dawk soċjali, il-valuri demokratiċi u l-istat tad-dritt, l-isfruttar tal-potenzjal sħiħ tas-Suq Uniku, it-tilħiq tal-Għanijiet ta’ Żvilupp Sostenibbli (SDGs), il-ħolqien ta’ ekonomija ċirkolari u l-kisba tan-newtralità klimatika fl-UE sa mhux aktar tard mill-2050, u l-iżgurar ta’ governanza tajba u responsabbiltà demokratika.</w:t>
      </w:r>
    </w:p>
    <w:p w14:paraId="62862964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DAC4335" w14:textId="7E5DFEA9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Il-KESE jenfasizza li s-sitt ambizzjonijiet ewlenin magħżulin mill-Kummissjoni (Patt Ekoloġiku Ewropew, Ewropa lesta għall-era diġitali, Ekonomija għas-servizz tan-nies, Ewropa aktar b’saħħitha fid-dinja, Promozzjoni tal-istil ta’ ħajja Ewropew tagħna, u Spinta ġdida għad-demokrazija Ewropea) jipprovdu qafas b’saħħtu biex jiġi żviluppat il-programm ta’ ħidma għall-2021. Forsi jenħtieġ li ssir enfasi aktar espliċita fuq l-investimenti u l-ħtieġa li dawn jiġu aċċellerati, anke bis-saħħa tal-miżuri li qed jiġu adottati bħalissa.</w:t>
      </w:r>
    </w:p>
    <w:p w14:paraId="76FF9B78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61F4282" w14:textId="77777777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Speċjalment issa li qed nesperjenzaw l-importanza tal-kooperazzjoni bejn il-pajjiżi f’dawn iż-żminijiet ta’ kriżi, il-KESE jittama li l-Konferenza dwar il-futur tal-Ewropa li ħa ssir ’il quddiem se twassal għat-tisħiħ u l-approfondiment tal-istruttura istituzzjonali tal-UE u għal tiġdid reali tal-proġett tal-UE, li jkun kapaċi jiffaċċja l-isfidi tad-deċennji li ġejjin. Il-Kummissjoni għalhekk tista’ sserraħ fuq l-appoġġ sħiħ tal-Kumitat.</w:t>
      </w:r>
    </w:p>
    <w:p w14:paraId="48473CC8" w14:textId="77777777" w:rsidR="00EA484E" w:rsidRPr="00395CE4" w:rsidRDefault="00EA484E" w:rsidP="00EA484E">
      <w:pPr>
        <w:pStyle w:val="ListParagraph"/>
        <w:spacing w:line="288" w:lineRule="auto"/>
        <w:ind w:left="709" w:hanging="709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FF3B067" w14:textId="2F23231E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Il-KESE huwa konvint li l-proċess tal-irkupru u r-rikostruzzjoni tal-ekonomija u tas-soċjetà se jkun possibbli biss bil-parteċipazzjoni attiva tal-organizzazzjonijiet tas-soċjetà ċivili u tal-imsieħba soċjali.</w:t>
      </w:r>
    </w:p>
    <w:p w14:paraId="7206EF37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59DAE92" w14:textId="71D68A1C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Il-Patt Ekoloġiku tal-UE jista’ jitqies ukoll bħala għodda effettiva għat-tnedija mill-ġdid tal-ekonomija b’mod sostenibbli permezz ta’ investimenti kbar li jappoġġjaw il-bidliet strutturali meħtieġa li qed tiffaċċja l-Ewropa. Minn din il-perspettiva, il-Patt jista’ jitqies bħala opportunità biex jingħata appoġġ għal irkupru ekonomiku aktar fit-tul. Dan jirrikjedi kunsens ġdid fl-Ewropa biex, għal dan il-għan, tikkonċentra biżżejjed sorsi finanzjarji pubbliċi u privati u tadotta governanza ġdida biex timplimenta b’suċċess l-irkupru ekonomiku fil-prattika.</w:t>
      </w:r>
    </w:p>
    <w:p w14:paraId="4E7D4AA2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F04EEF7" w14:textId="1100C344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Il-flus pubbliċi investiti fi pjani ta’ rkupru ma għandhomx jgħinu biss biex l-ekonomija u s-soċjetà Ewropej jerġgħu lura għan-normal, iżda wkoll jgħinu biex inaqqsu drastikament l-impatti ta’ skossi ulterjuri billi jiġu investiti f’ekonomija reżiljenti, inklużiva u li ma tagħmilx ħsara lill-klima (l-hekk imsejħa “ekonomija tal-benesseri”). </w:t>
      </w:r>
    </w:p>
    <w:p w14:paraId="654FCC30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CF873A2" w14:textId="77777777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It-tassonomija tal-finanzi sostenibbli tal-UE għandha tiggwida l-investiment pubbliku u privat matul l-irkupru biex taċċellera t-tranżizzjoni minn setturi li jniġġsu għal setturi ekoloġiċi.</w:t>
      </w:r>
    </w:p>
    <w:p w14:paraId="67C0400C" w14:textId="1779E3BE" w:rsidR="00EA484E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Il-kriżi tal-coronavirus turi li r-rivoluzzjoni diġitali hija komponent importanti biex tissaħħaħ ir-reżiljenza tas-soċjetajiet tagħna fi kriżijiet. L-investiment fid-diġitalizzazzjoni ta’ servizzi essenzjali u ż-żieda fil-kapaċità tal-gvernijiet, tal-leġislaturi u tal-istituzzjonijiet pubbliċi biex jipprovdu s-servizzi tagħhom matul il-kriżijiet huwa tal-akbar importanza.</w:t>
      </w:r>
    </w:p>
    <w:p w14:paraId="3A22B508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58772FC0" w14:textId="0C733ED2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Il-Kummissjoni hija mistiedna tkompli tuża s-Semestru bħala xprun għall-irkupru abbażi tal-prijoritajiet ta’ investiment u investiment identifikati bħala parti mis-Semestru Ewropew. Il-Kumitat jilqa’ b’sodisfazzjon l-enfasi reċenti fuq l-inklużjoni aħjar tal-kwistjonijiet soċjali u dwar il-Patt Ekoloġiku Ewropew, kif ukoll l-implimentazzjoni tal-Faċilità għall-Irkupru u r-Reżiljenza permezz tas-Semestru. </w:t>
      </w:r>
    </w:p>
    <w:p w14:paraId="3C3DB9C8" w14:textId="77777777" w:rsidR="00695B6E" w:rsidRPr="00395CE4" w:rsidRDefault="00695B6E" w:rsidP="00695B6E">
      <w:pPr>
        <w:pStyle w:val="ListParagraph"/>
        <w:spacing w:line="288" w:lineRule="auto"/>
        <w:ind w:left="0"/>
        <w:jc w:val="both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A80875C" w14:textId="4AFB6E72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Hemm opportunità fil-promozzjoni tal-innovazzjoni soċjali bħala mudell għall-irkupru permezz tal-kokreazzjoni, il-kodisinn u l-koproduzzjoni. Is-soċjetà ċivili organizzata hija xprun għall-innovazzjoni soċjali, moviment li kkontribwixxa biex jitfasslu sistemi ta’ protezzjoni soċjali li rriżultaw f’politiki, strutturi, prodotti, servizzi u metodi ta’ ħidma ġodda.  Il-parteċipazzjoni tas-soċjetà ċivili hija meħtieġa iktar minn qatt qabel – iżda l-innovazzjoni soċjali vera sseħħ biss meta s-soċjetà ċivili tkun involuta.</w:t>
      </w:r>
    </w:p>
    <w:p w14:paraId="1385EF6C" w14:textId="77777777" w:rsidR="00A1546D" w:rsidRPr="00395CE4" w:rsidRDefault="00A1546D" w:rsidP="00A1546D">
      <w:pPr>
        <w:pStyle w:val="ListParagraph"/>
        <w:spacing w:line="288" w:lineRule="auto"/>
        <w:ind w:left="0"/>
        <w:jc w:val="both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B3A6FD5" w14:textId="2AC8F4EA" w:rsidR="00A1546D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L-aktar importanti, waħda mit-tagħlimiet ewlenin tal-kriżi tal-coronavairus hija li s-sistemi tas-saħħa fi kważi kull pajjiż Ewropew jeħtieġ li jissaħħu, l-ewwel u qabel kollox billi ssir enfasi fuq il-prevenzjoni. Filwaqt li r-responsabbiltà għall-kura tas-saħħa hija responsabbiltà nazzjonali, it-tixrid tal-virus ma jagħrafx fruntieri. Dan qed jaffettwa lill-Ewropa kollha, internament u lil hinn mill-fruntieri tagħna, b’konsegwenzi sanitarji, soċjali u ekonomiċi li jirrikjedu reazzjonijiet komuni fil-livell Ewropew.</w:t>
      </w:r>
    </w:p>
    <w:p w14:paraId="2D20D300" w14:textId="77777777" w:rsidR="00A1546D" w:rsidRPr="00395CE4" w:rsidRDefault="00A1546D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08C4A04" w14:textId="16CCFD0F" w:rsidR="00A1546D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Jeħtieġ li l-UE ssaħħaħ u tappoġġja l-pożizzjoni globali tagħha f’termini ta’ rwol aktar importanti u strateġiku fl-ekonomija dinjija kif ukoll fil-politika. L-ekonomija tal-UE għandha potenzjal li tuża aħjar il-vantaġġi komparattivi tagħha fis-suq globali tal-kummerċ u tal-investiment, speċjalment fis-servizzi ta’ manifattura u innovazzjoni avvanzati, bl-ambizzjoni li tkun mexxej globali. Dan l-isforz għandu jkun akkumpanjat minn rappreżentanza aħjar u aktar effettiva tal-UE fl-organizzazzjonijiet globali ewlenin u billi titkellem hemm b’vuċi waħda. Il-KESE jappella lill-Kummissjoni Ewropea biex tagħmel sforz rilevanti biex issaħħaħ il-pożizzjoni globali tal-UE, li għandu jiġi rifless ukoll fil-programm ta’ ħidma tagħha għall-2021 b’mod aktar speċifiku.</w:t>
      </w:r>
    </w:p>
    <w:p w14:paraId="5114F866" w14:textId="77777777" w:rsidR="00695B6E" w:rsidRPr="00395CE4" w:rsidRDefault="00695B6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903AF7B" w14:textId="2EF24674" w:rsidR="00695B6E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Lil hinn mill-kwistjonijiet ekonomiċi u ambjentali, il-programm ta’ ħidma tal-UE għall-2021 għandu jkun xprunat mid-dimensjoni soċjali. Dan ifisser li l-impenn tiegħu lejn Ewropa soċjali u sostenibbli għandu jkun prijorità. F’dan ir-rigward, l-organizzazzjonijiet tas-soċjetà ċivili jaqdu rwol importanti wkoll.</w:t>
      </w:r>
    </w:p>
    <w:p w14:paraId="1F858B09" w14:textId="77777777" w:rsidR="00695B6E" w:rsidRPr="00FE1181" w:rsidRDefault="00695B6E" w:rsidP="00395CE4">
      <w:pPr>
        <w:pStyle w:val="ListParagraph"/>
        <w:spacing w:line="288" w:lineRule="auto"/>
        <w:ind w:left="0"/>
        <w:jc w:val="both"/>
        <w:outlineLvl w:val="1"/>
        <w:rPr>
          <w:rFonts w:ascii="Times New Roman" w:hAnsi="Times New Roman"/>
          <w:sz w:val="8"/>
          <w:szCs w:val="8"/>
          <w:lang w:val="en-GB"/>
        </w:rPr>
      </w:pPr>
    </w:p>
    <w:p w14:paraId="73255230" w14:textId="500D09E0" w:rsidR="00695B6E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Il-KESE jappoġġja bis-sħiħ il-proposta tal-Kummissjoni Ewropea li jiġi żviluppat “Pjan ta’ Azzjoni għad-Demokrazija Ewropea” li għandu jkun komprensiv u kontinwu, bil-kapaċità li jwettaq bidla, bl-assigurazzjoni ta’ appoġġ finanzjarju u koordinazzjoni interistituzzjonali.</w:t>
      </w:r>
    </w:p>
    <w:p w14:paraId="1F40C220" w14:textId="475B4AEC" w:rsidR="00395CE4" w:rsidRPr="00FE1181" w:rsidRDefault="00395CE4" w:rsidP="00695B6E">
      <w:pPr>
        <w:spacing w:line="288" w:lineRule="auto"/>
        <w:jc w:val="both"/>
        <w:outlineLvl w:val="1"/>
        <w:rPr>
          <w:rFonts w:ascii="Times New Roman" w:hAnsi="Times New Roman"/>
          <w:sz w:val="8"/>
          <w:szCs w:val="8"/>
          <w:lang w:val="en-GB"/>
        </w:rPr>
      </w:pPr>
    </w:p>
    <w:p w14:paraId="620BA47D" w14:textId="77777777" w:rsidR="00395CE4" w:rsidRPr="00AC7274" w:rsidRDefault="00395CE4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</w:pPr>
      <w:r>
        <w:t>_____________</w:t>
      </w:r>
      <w:bookmarkStart w:id="0" w:name="_GoBack"/>
      <w:bookmarkEnd w:id="0"/>
    </w:p>
    <w:sectPr w:rsidR="00395CE4" w:rsidRPr="00AC7274" w:rsidSect="00395CE4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37331" w14:textId="77777777" w:rsidR="00FC6434" w:rsidRDefault="00FC6434" w:rsidP="00EA484E">
      <w:r>
        <w:separator/>
      </w:r>
    </w:p>
  </w:endnote>
  <w:endnote w:type="continuationSeparator" w:id="0">
    <w:p w14:paraId="7D924EA2" w14:textId="77777777" w:rsidR="00FC6434" w:rsidRDefault="00FC6434" w:rsidP="00EA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84632" w14:textId="55D7A2B8" w:rsidR="00395CE4" w:rsidRPr="00395CE4" w:rsidRDefault="00395CE4" w:rsidP="00395CE4">
    <w:pPr>
      <w:pStyle w:val="Footer"/>
    </w:pPr>
    <w:r>
      <w:t xml:space="preserve">EESC-2020-03155-00-00-TCD-TRA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FE1181">
      <w:rPr>
        <w:noProof/>
      </w:rPr>
      <w:t>1</w:t>
    </w:r>
    <w:r>
      <w:fldChar w:fldCharType="end"/>
    </w:r>
    <w:r>
      <w:t>/</w:t>
    </w:r>
    <w:r w:rsidR="00FE1181">
      <w:fldChar w:fldCharType="begin"/>
    </w:r>
    <w:r w:rsidR="00FE1181">
      <w:instrText xml:space="preserve"> NUMPAGES </w:instrText>
    </w:r>
    <w:r w:rsidR="00FE1181">
      <w:fldChar w:fldCharType="separate"/>
    </w:r>
    <w:r w:rsidR="00FE1181">
      <w:rPr>
        <w:noProof/>
      </w:rPr>
      <w:t>3</w:t>
    </w:r>
    <w:r w:rsidR="00FE11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2C85F" w14:textId="77777777" w:rsidR="00FC6434" w:rsidRDefault="00FC6434" w:rsidP="00EA484E">
      <w:r>
        <w:separator/>
      </w:r>
    </w:p>
  </w:footnote>
  <w:footnote w:type="continuationSeparator" w:id="0">
    <w:p w14:paraId="2CDFA011" w14:textId="77777777" w:rsidR="00FC6434" w:rsidRDefault="00FC6434" w:rsidP="00EA484E">
      <w:r>
        <w:continuationSeparator/>
      </w:r>
    </w:p>
  </w:footnote>
  <w:footnote w:id="1">
    <w:p w14:paraId="3A3A82D3" w14:textId="6FAB0843" w:rsidR="00EA484E" w:rsidRPr="005C2677" w:rsidRDefault="00EA484E" w:rsidP="00AC7274">
      <w:pPr>
        <w:pStyle w:val="FootnoteText"/>
        <w:spacing w:after="60" w:line="288" w:lineRule="auto"/>
        <w:ind w:left="567" w:hanging="567"/>
        <w:contextualSpacing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sz w:val="16"/>
          <w:szCs w:val="16"/>
        </w:rPr>
        <w:tab/>
      </w:r>
      <w:hyperlink r:id="rId1" w:history="1">
        <w:r>
          <w:rPr>
            <w:rStyle w:val="Hyperlink"/>
            <w:rFonts w:ascii="Times New Roman" w:hAnsi="Times New Roman"/>
            <w:sz w:val="16"/>
            <w:szCs w:val="16"/>
          </w:rPr>
          <w:t>Riżoluzzjoni dwar il-perjodu wara l-kriżi tal-COVID-19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3A0113A"/>
    <w:lvl w:ilvl="0">
      <w:start w:val="1"/>
      <w:numFmt w:val="decimal"/>
      <w:pStyle w:val="Heading1"/>
      <w:lvlText w:val="%1."/>
      <w:lvlJc w:val="left"/>
      <w:pPr>
        <w:ind w:left="709" w:firstLine="0"/>
      </w:pPr>
      <w:rPr>
        <w:rFonts w:hint="default"/>
        <w:b/>
        <w:bCs w:val="0"/>
      </w:rPr>
    </w:lvl>
    <w:lvl w:ilvl="1">
      <w:start w:val="1"/>
      <w:numFmt w:val="decimal"/>
      <w:pStyle w:val="Heading2"/>
      <w:lvlText w:val="%1.%2"/>
      <w:lvlJc w:val="left"/>
      <w:pPr>
        <w:ind w:left="709" w:firstLine="0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ind w:left="709" w:firstLine="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pStyle w:val="Heading4"/>
      <w:lvlText w:val="%1.%2.%3.%4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09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709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09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09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4DF036DF"/>
    <w:multiLevelType w:val="hybridMultilevel"/>
    <w:tmpl w:val="6E341E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4E"/>
    <w:rsid w:val="0019028B"/>
    <w:rsid w:val="00395CE4"/>
    <w:rsid w:val="00593BAD"/>
    <w:rsid w:val="00695B6E"/>
    <w:rsid w:val="006D2A9B"/>
    <w:rsid w:val="00747CA5"/>
    <w:rsid w:val="00765063"/>
    <w:rsid w:val="00797347"/>
    <w:rsid w:val="00A1546D"/>
    <w:rsid w:val="00AC7274"/>
    <w:rsid w:val="00C12343"/>
    <w:rsid w:val="00D41E97"/>
    <w:rsid w:val="00EA3B3D"/>
    <w:rsid w:val="00EA484E"/>
    <w:rsid w:val="00FC6434"/>
    <w:rsid w:val="00FE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74449C"/>
  <w15:chartTrackingRefBased/>
  <w15:docId w15:val="{B52C3C5B-351A-4CCD-A6EE-6A3077847CD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18"/>
        <w:szCs w:val="22"/>
        <w:lang w:val="mt-MT" w:eastAsia="en-US" w:bidi="ar-SA"/>
      </w:rPr>
    </w:rPrDefault>
    <w:pPrDefault>
      <w:pPr>
        <w:spacing w:line="280" w:lineRule="exact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84E"/>
    <w:pPr>
      <w:spacing w:line="240" w:lineRule="auto"/>
      <w:ind w:left="0" w:firstLine="0"/>
    </w:pPr>
    <w:rPr>
      <w:rFonts w:ascii="Cambria" w:eastAsia="MS Mincho" w:hAnsi="Cambria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qFormat/>
    <w:rsid w:val="00EA484E"/>
    <w:pPr>
      <w:numPr>
        <w:numId w:val="1"/>
      </w:numPr>
      <w:spacing w:line="288" w:lineRule="auto"/>
      <w:jc w:val="both"/>
      <w:outlineLvl w:val="0"/>
    </w:pPr>
    <w:rPr>
      <w:rFonts w:ascii="Times New Roman" w:eastAsia="Times New Roman" w:hAnsi="Times New Roman"/>
      <w:kern w:val="28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A484E"/>
    <w:pPr>
      <w:numPr>
        <w:ilvl w:val="1"/>
        <w:numId w:val="1"/>
      </w:numPr>
      <w:spacing w:line="288" w:lineRule="auto"/>
      <w:jc w:val="both"/>
      <w:outlineLvl w:val="1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A484E"/>
    <w:pPr>
      <w:numPr>
        <w:ilvl w:val="2"/>
        <w:numId w:val="1"/>
      </w:numPr>
      <w:spacing w:line="288" w:lineRule="auto"/>
      <w:jc w:val="both"/>
      <w:outlineLvl w:val="2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EA484E"/>
    <w:pPr>
      <w:numPr>
        <w:ilvl w:val="3"/>
        <w:numId w:val="1"/>
      </w:numPr>
      <w:spacing w:line="288" w:lineRule="auto"/>
      <w:jc w:val="both"/>
      <w:outlineLvl w:val="3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A484E"/>
    <w:pPr>
      <w:numPr>
        <w:ilvl w:val="4"/>
        <w:numId w:val="1"/>
      </w:numPr>
      <w:spacing w:line="288" w:lineRule="auto"/>
      <w:jc w:val="both"/>
      <w:outlineLvl w:val="4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EA484E"/>
    <w:pPr>
      <w:numPr>
        <w:ilvl w:val="5"/>
        <w:numId w:val="1"/>
      </w:numPr>
      <w:spacing w:line="288" w:lineRule="auto"/>
      <w:jc w:val="both"/>
      <w:outlineLvl w:val="5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EA484E"/>
    <w:pPr>
      <w:numPr>
        <w:ilvl w:val="6"/>
        <w:numId w:val="1"/>
      </w:numPr>
      <w:spacing w:line="288" w:lineRule="auto"/>
      <w:jc w:val="both"/>
      <w:outlineLvl w:val="6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EA484E"/>
    <w:pPr>
      <w:numPr>
        <w:ilvl w:val="7"/>
        <w:numId w:val="1"/>
      </w:numPr>
      <w:spacing w:line="288" w:lineRule="auto"/>
      <w:jc w:val="both"/>
      <w:outlineLvl w:val="7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EA484E"/>
    <w:pPr>
      <w:numPr>
        <w:ilvl w:val="8"/>
        <w:numId w:val="1"/>
      </w:numPr>
      <w:spacing w:line="288" w:lineRule="auto"/>
      <w:jc w:val="both"/>
      <w:outlineLvl w:val="8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484E"/>
    <w:rPr>
      <w:rFonts w:ascii="Times New Roman" w:eastAsia="Times New Roman" w:hAnsi="Times New Roman" w:cs="Times New Roman"/>
      <w:kern w:val="28"/>
      <w:sz w:val="22"/>
      <w:lang w:val="mt-MT"/>
    </w:rPr>
  </w:style>
  <w:style w:type="character" w:customStyle="1" w:styleId="Heading2Char">
    <w:name w:val="Heading 2 Char"/>
    <w:basedOn w:val="DefaultParagraphFont"/>
    <w:link w:val="Heading2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3Char">
    <w:name w:val="Heading 3 Char"/>
    <w:basedOn w:val="DefaultParagraphFont"/>
    <w:link w:val="Heading3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4Char">
    <w:name w:val="Heading 4 Char"/>
    <w:basedOn w:val="DefaultParagraphFont"/>
    <w:link w:val="Heading4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5Char">
    <w:name w:val="Heading 5 Char"/>
    <w:basedOn w:val="DefaultParagraphFont"/>
    <w:link w:val="Heading5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6Char">
    <w:name w:val="Heading 6 Char"/>
    <w:basedOn w:val="DefaultParagraphFont"/>
    <w:link w:val="Heading6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7Char">
    <w:name w:val="Heading 7 Char"/>
    <w:basedOn w:val="DefaultParagraphFont"/>
    <w:link w:val="Heading7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8Char">
    <w:name w:val="Heading 8 Char"/>
    <w:basedOn w:val="DefaultParagraphFont"/>
    <w:link w:val="Heading8"/>
    <w:rsid w:val="00EA484E"/>
    <w:rPr>
      <w:rFonts w:ascii="Times New Roman" w:eastAsia="Times New Roman" w:hAnsi="Times New Roman" w:cs="Times New Roman"/>
      <w:sz w:val="22"/>
      <w:lang w:val="mt-MT"/>
    </w:rPr>
  </w:style>
  <w:style w:type="character" w:customStyle="1" w:styleId="Heading9Char">
    <w:name w:val="Heading 9 Char"/>
    <w:basedOn w:val="DefaultParagraphFont"/>
    <w:link w:val="Heading9"/>
    <w:rsid w:val="00EA484E"/>
    <w:rPr>
      <w:rFonts w:ascii="Times New Roman" w:eastAsia="Times New Roman" w:hAnsi="Times New Roman" w:cs="Times New Roman"/>
      <w:sz w:val="22"/>
      <w:lang w:val="mt-MT"/>
    </w:rPr>
  </w:style>
  <w:style w:type="paragraph" w:styleId="FootnoteText">
    <w:name w:val="footnote text"/>
    <w:basedOn w:val="Normal"/>
    <w:link w:val="FootnoteTextChar"/>
    <w:unhideWhenUsed/>
    <w:qFormat/>
    <w:rsid w:val="00EA484E"/>
  </w:style>
  <w:style w:type="character" w:customStyle="1" w:styleId="FootnoteTextChar">
    <w:name w:val="Footnote Text Char"/>
    <w:basedOn w:val="DefaultParagraphFont"/>
    <w:link w:val="FootnoteText"/>
    <w:rsid w:val="00EA484E"/>
    <w:rPr>
      <w:rFonts w:ascii="Cambria" w:eastAsia="MS Mincho" w:hAnsi="Cambria" w:cs="Times New Roman"/>
      <w:sz w:val="24"/>
      <w:szCs w:val="24"/>
      <w:lang w:val="mt-MT" w:eastAsia="it-IT"/>
    </w:rPr>
  </w:style>
  <w:style w:type="character" w:styleId="FootnoteReference">
    <w:name w:val="footnote reference"/>
    <w:unhideWhenUsed/>
    <w:qFormat/>
    <w:rsid w:val="00EA484E"/>
    <w:rPr>
      <w:vertAlign w:val="superscript"/>
    </w:rPr>
  </w:style>
  <w:style w:type="character" w:styleId="Hyperlink">
    <w:name w:val="Hyperlink"/>
    <w:uiPriority w:val="99"/>
    <w:unhideWhenUsed/>
    <w:rsid w:val="00EA484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A4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CE4"/>
    <w:pPr>
      <w:spacing w:line="288" w:lineRule="auto"/>
      <w:jc w:val="both"/>
    </w:pPr>
    <w:rPr>
      <w:rFonts w:ascii="Times New Roman" w:hAnsi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95CE4"/>
    <w:rPr>
      <w:rFonts w:ascii="Times New Roman" w:eastAsia="MS Mincho" w:hAnsi="Times New Roman" w:cs="Times New Roman"/>
      <w:sz w:val="22"/>
      <w:szCs w:val="24"/>
      <w:lang w:val="mt-MT" w:eastAsia="it-IT"/>
    </w:rPr>
  </w:style>
  <w:style w:type="paragraph" w:styleId="Footer">
    <w:name w:val="footer"/>
    <w:basedOn w:val="Normal"/>
    <w:link w:val="FooterChar"/>
    <w:uiPriority w:val="99"/>
    <w:unhideWhenUsed/>
    <w:rsid w:val="00395CE4"/>
    <w:pPr>
      <w:spacing w:line="288" w:lineRule="auto"/>
      <w:jc w:val="both"/>
    </w:pPr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95CE4"/>
    <w:rPr>
      <w:rFonts w:ascii="Times New Roman" w:eastAsia="MS Mincho" w:hAnsi="Times New Roman" w:cs="Times New Roman"/>
      <w:sz w:val="22"/>
      <w:szCs w:val="24"/>
      <w:lang w:val="mt-M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CE4"/>
    <w:rPr>
      <w:rFonts w:ascii="Segoe UI" w:eastAsia="MS Mincho" w:hAnsi="Segoe UI" w:cs="Segoe UI"/>
      <w:szCs w:val="18"/>
      <w:lang w:val="mt-M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esc.europa.eu/mt/news-media/press-releases/eesc-proposals-post-covid-19-recovery-and-reconstruction-towards-new-societal-model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VV634QRNENMJ-762678085-1622</_dlc_DocId>
    <_dlc_DocIdUrl xmlns="cda99570-6012-4083-bfeb-7d32ad1ce1a3">
      <Url>http://dm2016/eesc/2020/_layouts/15/DocIdRedir.aspx?ID=VV634QRNENMJ-762678085-1622</Url>
      <Description>VV634QRNENMJ-762678085-1622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2020-07-20T12:00:00+00:00</ProductionDate>
    <FicheYear xmlns="cda99570-6012-4083-bfeb-7d32ad1ce1a3">2020</FicheYear>
    <DocumentNumber xmlns="98af4b3d-0f8e-4839-87de-ec8dfffabf66">3155</DocumentNumber>
    <DocumentVersion xmlns="cda99570-6012-4083-bfeb-7d32ad1ce1a3">0</DocumentVersion>
    <DossierNumber xmlns="cda99570-6012-4083-bfeb-7d32ad1ce1a3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>2020-07-15T12:00:00+00:00</MeetingDate>
    <TaxCatchAll xmlns="cda99570-6012-4083-bfeb-7d32ad1ce1a3">
      <Value>51</Value>
      <Value>48</Value>
      <Value>47</Value>
      <Value>46</Value>
      <Value>45</Value>
      <Value>44</Value>
      <Value>43</Value>
      <Value>40</Value>
      <Value>39</Value>
      <Value>38</Value>
      <Value>36</Value>
      <Value>34</Value>
      <Value>32</Value>
      <Value>31</Value>
      <Value>29</Value>
      <Value>24</Value>
      <Value>16</Value>
      <Value>13</Value>
      <Value>11</Value>
      <Value>10</Value>
      <Value>9</Value>
      <Value>8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cda99570-6012-4083-bfeb-7d32ad1ce1a3" xsi:nil="true"/>
    <DocumentYear xmlns="cda99570-6012-4083-bfeb-7d32ad1ce1a3">2020</DocumentYear>
    <FicheNumber xmlns="cda99570-6012-4083-bfeb-7d32ad1ce1a3">7916</FicheNumber>
    <DocumentPart xmlns="cda99570-6012-4083-bfeb-7d32ad1ce1a3">0</DocumentPart>
    <AdoptionDate xmlns="cda99570-6012-4083-bfeb-7d32ad1ce1a3" xsi:nil="true"/>
    <RequestingService xmlns="cda99570-6012-4083-bfeb-7d32ad1ce1a3">Coordination législative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SPL-CES</TermName>
          <TermId xmlns="http://schemas.microsoft.com/office/infopath/2007/PartnerControls">32d8cb1f-c9ec-4365-95c7-8385a18618ac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98af4b3d-0f8e-4839-87de-ec8dfffabf66">553</MeetingNumber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292A099219C5BF43911B0000CE8DBCC8" ma:contentTypeVersion="4" ma:contentTypeDescription="Defines the documents for Document Manager V2" ma:contentTypeScope="" ma:versionID="d945b5853b9a409bd93986b015db2ee4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98af4b3d-0f8e-4839-87de-ec8dfffabf66" targetNamespace="http://schemas.microsoft.com/office/2006/metadata/properties" ma:root="true" ma:fieldsID="012abeaec5591cf3df1cee32d300b2f6" ns2:_="" ns3:_="" ns4:_="">
    <xsd:import namespace="cda99570-6012-4083-bfeb-7d32ad1ce1a3"/>
    <xsd:import namespace="http://schemas.microsoft.com/sharepoint/v3/fields"/>
    <xsd:import namespace="98af4b3d-0f8e-4839-87de-ec8dfffabf6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f4b3d-0f8e-4839-87de-ec8dfffabf66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51303-7DE7-492B-8FA4-B902180EB10D}"/>
</file>

<file path=customXml/itemProps2.xml><?xml version="1.0" encoding="utf-8"?>
<ds:datastoreItem xmlns:ds="http://schemas.openxmlformats.org/officeDocument/2006/customXml" ds:itemID="{0E660147-6B15-47C3-8A82-2C4BBB3D3F64}"/>
</file>

<file path=customXml/itemProps3.xml><?xml version="1.0" encoding="utf-8"?>
<ds:datastoreItem xmlns:ds="http://schemas.openxmlformats.org/officeDocument/2006/customXml" ds:itemID="{F526A636-60EB-402F-AB6A-FC2022B6C949}"/>
</file>

<file path=customXml/itemProps4.xml><?xml version="1.0" encoding="utf-8"?>
<ds:datastoreItem xmlns:ds="http://schemas.openxmlformats.org/officeDocument/2006/customXml" ds:itemID="{7742650F-25A7-48A5-B4FA-D1D5C3CC1496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Sommarju - Proposti tal-KESE għall-programm ta' ħidma tal-KE għall-2021</dc:title>
  <dc:creator>Jan Dirx</dc:creator>
  <cp:keywords>EESC-2020-03155-00-00-TCD-TRA-EN</cp:keywords>
  <dc:description>Rapporteur:  - Original language: EN - Date of document: 20/07/2020 - Date of meeting: 15/07/2020 - External documents:  - Administrator: M. COSMAI Domenico</dc:description>
  <cp:lastModifiedBy>Zerafa Ramon</cp:lastModifiedBy>
  <cp:revision>7</cp:revision>
  <dcterms:created xsi:type="dcterms:W3CDTF">2020-07-17T14:51:00Z</dcterms:created>
  <dcterms:modified xsi:type="dcterms:W3CDTF">2020-07-20T07:20:00Z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17/07/2020</vt:lpwstr>
  </property>
  <property fmtid="{D5CDD505-2E9C-101B-9397-08002B2CF9AE}" pid="4" name="Pref_Time">
    <vt:lpwstr>16:38:07</vt:lpwstr>
  </property>
  <property fmtid="{D5CDD505-2E9C-101B-9397-08002B2CF9AE}" pid="5" name="Pref_User">
    <vt:lpwstr>hnic</vt:lpwstr>
  </property>
  <property fmtid="{D5CDD505-2E9C-101B-9397-08002B2CF9AE}" pid="6" name="Pref_FileName">
    <vt:lpwstr>EESC-2020-03155-00-00-TCD-ORI.docx</vt:lpwstr>
  </property>
  <property fmtid="{D5CDD505-2E9C-101B-9397-08002B2CF9AE}" pid="7" name="ContentTypeId">
    <vt:lpwstr>0x010100EA97B91038054C99906057A708A1480A00292A099219C5BF43911B0000CE8DBCC8</vt:lpwstr>
  </property>
  <property fmtid="{D5CDD505-2E9C-101B-9397-08002B2CF9AE}" pid="8" name="_dlc_DocIdItemGuid">
    <vt:lpwstr>58b2a694-8910-4c41-9def-ab45667ca26f</vt:lpwstr>
  </property>
  <property fmtid="{D5CDD505-2E9C-101B-9397-08002B2CF9AE}" pid="9" name="AvailableTranslations">
    <vt:lpwstr>39;#HU|6b229040-c589-4408-b4c1-4285663d20a8;#9;#PL|1e03da61-4678-4e07-b136-b5024ca9197b;#45;#FI|87606a43-d45f-42d6-b8c9-e1a3457db5b7;#24;#LV|46f7e311-5d9f-4663-b433-18aeccb7ace7;#16;#ES|e7a6b05b-ae16-40c8-add9-68b64b03aeba;#13;#IT|0774613c-01ed-4e5d-a25d-11d2388de825;#29;#PT|50ccc04a-eadd-42ae-a0cb-acaf45f812ba;#4;#EN|f2175f21-25d7-44a3-96da-d6a61b075e1b;#32;#DA|5d49c027-8956-412b-aa16-e85a0f96ad0e;#40;#SV|c2ed69e7-a339-43d7-8f22-d93680a92aa0;#46;#SK|46d9fce0-ef79-4f71-b89b-cd6aa82426b8;#38;#EL|6d4f4d51-af9b-4650-94b4-4276bee85c91;#43;#HR|2f555653-ed1a-4fe6-8362-9082d95989e5;#36;#MT|7df99101-6854-4a26-b53a-b88c0da02c26;#31;#CS|72f9705b-0217-4fd3-bea2-cbc7ed80e26e;#48;#RO|feb747a2-64cd-4299-af12-4833ddc30497;#10;#DE|f6b31e5a-26fa-4935-b661-318e46daf27e;#34;#SL|98a412ae-eb01-49e9-ae3d-585a81724cfc;#47;#ET|ff6c3f4c-b02c-4c3c-ab07-2c37995a7a0a;#11;#FR|d2afafd3-4c81-4f60-8f52-ee33f2f54ff3;#44;#BG|1a1b3951-7821-4e6a-85f5-5673fc08bd2c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553</vt:i4>
  </property>
  <property fmtid="{D5CDD505-2E9C-101B-9397-08002B2CF9AE}" pid="12" name="DossierName_0">
    <vt:lpwstr/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3155</vt:i4>
  </property>
  <property fmtid="{D5CDD505-2E9C-101B-9397-08002B2CF9AE}" pid="15" name="FicheYear">
    <vt:i4>2020</vt:i4>
  </property>
  <property fmtid="{D5CDD505-2E9C-101B-9397-08002B2CF9AE}" pid="16" name="DocumentVersion">
    <vt:i4>0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8;#TCD|cd9d6eb6-3f4f-424a-b2d1-57c9d450eaaf</vt:lpwstr>
  </property>
  <property fmtid="{D5CDD505-2E9C-101B-9397-08002B2CF9AE}" pid="23" name="RequestingService">
    <vt:lpwstr>Coordination législative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SPL-CES|32d8cb1f-c9ec-4365-95c7-8385a18618ac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>51;#SPL-CES|32d8cb1f-c9ec-4365-95c7-8385a18618ac</vt:lpwstr>
  </property>
  <property fmtid="{D5CDD505-2E9C-101B-9397-08002B2CF9AE}" pid="29" name="MeetingDate">
    <vt:filetime>2020-07-15T12:00:00Z</vt:filetime>
  </property>
  <property fmtid="{D5CDD505-2E9C-101B-9397-08002B2CF9AE}" pid="30" name="AvailableTranslations_0">
    <vt:lpwstr>HU|6b229040-c589-4408-b4c1-4285663d20a8;ES|e7a6b05b-ae16-40c8-add9-68b64b03aeba;IT|0774613c-01ed-4e5d-a25d-11d2388de825;PT|50ccc04a-eadd-42ae-a0cb-acaf45f812ba;EN|f2175f21-25d7-44a3-96da-d6a61b075e1b;SK|46d9fce0-ef79-4f71-b89b-cd6aa82426b8;EL|6d4f4d51-af9b-4650-94b4-4276bee85c91;HR|2f555653-ed1a-4fe6-8362-9082d95989e5;CS|72f9705b-0217-4fd3-bea2-cbc7ed80e26e;RO|feb747a2-64cd-4299-af12-4833ddc30497;DE|f6b31e5a-26fa-4935-b661-318e46daf27e;ET|ff6c3f4c-b02c-4c3c-ab07-2c37995a7a0a;BG|1a1b3951-7821-4e6a-85f5-5673fc08bd2c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31;#CS|72f9705b-0217-4fd3-bea2-cbc7ed80e26e;#43;#HR|2f555653-ed1a-4fe6-8362-9082d95989e5;#29;#PT|50ccc04a-eadd-42ae-a0cb-acaf45f812ba;#38;#EL|6d4f4d51-af9b-4650-94b4-4276bee85c91;#39;#HU|6b229040-c589-4408-b4c1-4285663d20a8;#16;#ES|e7a6b05b-ae16-40c8-add9-68b64b03aeba;#51;#SPL-CES|32d8cb1f-c9ec-4365-95c7-8385a18618ac;#13;#IT|0774613c-01ed-4e5d-a25d-11d2388de825;#48;#RO|feb747a2-64cd-4299-af12-4833ddc30497;#10;#DE|f6b31e5a-26fa-4935-b661-318e46daf27e;#46;#SK|46d9fce0-ef79-4f71-b89b-cd6aa82426b8;#8;#TCD|cd9d6eb6-3f4f-424a-b2d1-57c9d450eaaf;#44;#BG|1a1b3951-7821-4e6a-85f5-5673fc08bd2c;#6;#Final|ea5e6674-7b27-4bac-b091-73adbb394efe;#5;#Unrestricted|826e22d7-d029-4ec0-a450-0c28ff673572;#4;#EN|f2175f21-25d7-44a3-96da-d6a61b075e1b;#2;#TRA|150d2a88-1431-44e6-a8ca-0bb753ab8672;#1;#EESC|422833ec-8d7e-4e65-8e4e-8bed07ffb729;#47;#ET|ff6c3f4c-b02c-4c3c-ab07-2c37995a7a0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7916</vt:i4>
  </property>
  <property fmtid="{D5CDD505-2E9C-101B-9397-08002B2CF9AE}" pid="38" name="DocumentLanguage">
    <vt:lpwstr>36;#MT|7df99101-6854-4a26-b53a-b88c0da02c26</vt:lpwstr>
  </property>
</Properties>
</file>