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1A7885A0" w:rsidR="00EA484E" w:rsidRPr="00AC7274" w:rsidRDefault="00E4513A" w:rsidP="00EA484E">
      <w:pPr>
        <w:spacing w:line="288" w:lineRule="auto"/>
        <w:jc w:val="center"/>
        <w:rPr>
          <w:rFonts w:ascii="Times New Roman" w:hAnsi="Times New Roman"/>
        </w:rPr>
      </w:pPr>
      <w:r>
        <w:rPr>
          <w:noProof/>
          <w:lang w:val="en-US" w:eastAsia="en-US"/>
        </w:rPr>
        <w:drawing>
          <wp:inline distT="0" distB="0" distL="0" distR="0" wp14:anchorId="2A850C25" wp14:editId="18D3338C">
            <wp:extent cx="1792605" cy="1239520"/>
            <wp:effectExtent l="0" t="0" r="0" b="0"/>
            <wp:docPr id="1" name="Picture 1" title="EESC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anchorId="6BDDC625" wp14:editId="1CAB00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LV</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bookmarkStart w:id="0" w:name="_GoBack"/>
      <w:bookmarkEnd w:id="0"/>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REZOLŪCIJAS KOPSAVILKUMS</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Eiropas Ekonomikas un sociālo lietu komitejas ieguldījums</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Eiropas Komisijas 2021. gada darba programmā</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pamatojoties uz</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i/>
          <w:iCs/>
          <w:sz w:val="22"/>
          <w:szCs w:val="22"/>
        </w:rPr>
        <w:t>ad hoc</w:t>
      </w:r>
      <w:r>
        <w:rPr>
          <w:rFonts w:ascii="Times New Roman" w:hAnsi="Times New Roman"/>
          <w:b/>
          <w:sz w:val="22"/>
          <w:szCs w:val="22"/>
        </w:rPr>
        <w:t xml:space="preserve"> grupas “EESK ieguldījums Eiropas Komisijas 2021. gada darba programmā” darbu</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Ziņotāji:</w:t>
      </w:r>
      <w:r>
        <w:rPr>
          <w:rFonts w:ascii="Times New Roman" w:hAnsi="Times New Roman"/>
          <w:i/>
          <w:iCs/>
          <w:sz w:val="22"/>
          <w:szCs w:val="22"/>
        </w:rPr>
        <w:t xml:space="preserve"> </w:t>
      </w:r>
      <w:r>
        <w:rPr>
          <w:rFonts w:ascii="Times New Roman" w:hAnsi="Times New Roman"/>
          <w:b/>
          <w:i/>
          <w:iCs/>
          <w:sz w:val="22"/>
          <w:szCs w:val="22"/>
        </w:rPr>
        <w:t xml:space="preserve">Petr ZAHRADNIK </w:t>
      </w:r>
      <w:r>
        <w:rPr>
          <w:rFonts w:ascii="Times New Roman" w:hAnsi="Times New Roman"/>
          <w:b/>
          <w:sz w:val="22"/>
          <w:szCs w:val="22"/>
        </w:rPr>
        <w:t>(I gr.)</w:t>
      </w:r>
    </w:p>
    <w:p w14:paraId="2B11417B"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i/>
          <w:iCs/>
          <w:sz w:val="22"/>
          <w:szCs w:val="22"/>
        </w:rPr>
        <w:t>Stefano PALMIERI</w:t>
      </w:r>
      <w:r>
        <w:rPr>
          <w:rFonts w:ascii="Times New Roman" w:hAnsi="Times New Roman"/>
          <w:b/>
          <w:sz w:val="22"/>
          <w:szCs w:val="22"/>
        </w:rPr>
        <w:t xml:space="preserve"> (II gr.)</w:t>
      </w:r>
    </w:p>
    <w:p w14:paraId="5009DD94"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i/>
          <w:iCs/>
          <w:sz w:val="22"/>
          <w:szCs w:val="22"/>
        </w:rPr>
        <w:t>Jan DIRX</w:t>
      </w:r>
      <w:r>
        <w:rPr>
          <w:rFonts w:ascii="Times New Roman" w:hAnsi="Times New Roman"/>
          <w:b/>
          <w:sz w:val="22"/>
          <w:szCs w:val="22"/>
        </w:rPr>
        <w:t xml:space="preserve"> (III gr.)</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Eiropas Ekonomikas un sociālo lietu komiteja pieņēmusi</w:t>
      </w:r>
      <w:r>
        <w:rPr>
          <w:rFonts w:ascii="Times New Roman" w:hAnsi="Times New Roman"/>
          <w:sz w:val="22"/>
          <w:szCs w:val="22"/>
        </w:rPr>
        <w:br/>
        <w:t>2020. gada 16. jūlijā</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27B71FF5"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rPr>
        <w:lastRenderedPageBreak/>
        <w:t>Kā EESK jau norādījusi savā rezolūcijā “EESK priekšlikums par pārveidi un atveseļošanos pēc Covid-19 krīzes”</w:t>
      </w:r>
      <w:r w:rsidRPr="00AC7274">
        <w:rPr>
          <w:rFonts w:ascii="Times New Roman" w:hAnsi="Times New Roman"/>
          <w:vertAlign w:val="superscript"/>
          <w:lang w:val="en-GB" w:eastAsia="en-US"/>
        </w:rPr>
        <w:footnoteReference w:id="1"/>
      </w:r>
      <w:r>
        <w:rPr>
          <w:rFonts w:ascii="Times New Roman" w:hAnsi="Times New Roman"/>
        </w:rPr>
        <w:t>, tā ļoti atzinīgi vērtē un pilnībā atbalsta Eiropas Komisijas priekšlikumus: plānu “</w:t>
      </w:r>
      <w:r>
        <w:rPr>
          <w:rFonts w:ascii="Times New Roman" w:hAnsi="Times New Roman"/>
          <w:i/>
          <w:iCs/>
        </w:rPr>
        <w:t>Next Generation EU</w:t>
      </w:r>
      <w:r>
        <w:rPr>
          <w:rFonts w:ascii="Times New Roman" w:hAnsi="Times New Roman"/>
        </w:rPr>
        <w:t>” un kopējo ES budžetu 2021.–2027. gadam.</w:t>
      </w:r>
      <w:r>
        <w:rPr>
          <w:rFonts w:ascii="Times New Roman" w:hAnsi="Times New Roman"/>
          <w:sz w:val="22"/>
          <w:szCs w:val="22"/>
        </w:rPr>
        <w:t xml:space="preserve"> Pēc koronavīrusa krīzes ir vajadzīga atveseļošana un atjaunošana, tāpēc Komiteja cer un sagaida, ka nostādnes, ko Komisija izklāstījusi minētajos plānos, tiks pilnībā un konkrēti iekļautas Komisijas darba programmā 2021. gadam.</w:t>
      </w:r>
    </w:p>
    <w:p w14:paraId="0DC5F400"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EESK uzskata, ka darba programmā būtu jākoncentrējas uz ekonomikas un sabiedrības pārstrukturēšanu un uzlabojumiem, pamatojoties uz šādiem principiem: aizsargāt cilvēktiesības un sociālās tiesības, demokrātiskās vērtības un tiesiskumu, pilnībā atraisīt vienotā tirgus potenciālu, sasniegt ilgtspējīgas attīstības mērķus (IAM), izveidot aprites ekonomiku un vēlākais līdz 2050. gadam Eiropas Savienībā panākt klimatneitralitāti, kā arī nodrošināt labu pārvaldību un demokrātisko pārskatatbildību.</w:t>
      </w:r>
    </w:p>
    <w:p w14:paraId="62862964"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7E5DFEA9"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EESK uzsver, ka Komisijas izvēlētie seši pamatmērķi (Eiropas zaļais kurss, digitālajam laikmetam gatava Eiropa, ekonomika cilvēku labā, spēcīgāka Eiropa pasaulē, mūsu eiropeiskā dzīvesziņa un jauns impulss Eiropas demokrātijai) rada spēcīgu satvaru 2021. gada darba programmas izstrādei. Iespējams, ka lielāka uzmanība būtu jāpievērš ieguldījumiem un nepieciešamībai tos paātrināt, arī pateicoties pasākumiem, kas pašlaik tiek pieņemti.</w:t>
      </w:r>
    </w:p>
    <w:p w14:paraId="76FF9B78"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It sevišķi pašlaik, kad pieredzam, cik svarīga krīzes laikā ir valstu sadarbība, EESK cer, ka gaidāmā Konference par Eiropas nākotni stiprinās un padziļinās Eiropas Savienības institucionālo struktūru un izraisīs reālu atjaunos ES projekta atjaunošanu, kurā tas iegūs spēju stāties pretim nākamo gadu desmitu izaicinājumiem. Tāpēc Komisija var paļauties uz pilnīgu Komitejas atbalstu.</w:t>
      </w:r>
    </w:p>
    <w:p w14:paraId="48473CC8" w14:textId="77777777" w:rsidR="00EA484E" w:rsidRPr="00395CE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EESK ir pārliecināta, ka ekonomikas un sabiedrības atveseļošanas un atjaunošanas process būs iespējams tikai ar pilsoniskās sabiedrības organizāciju un sociālo partneru aktīvu līdzdalību.</w:t>
      </w:r>
    </w:p>
    <w:p w14:paraId="7206EF37"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ES zaļo kursu var uzskatīt arī par efektīvu rīku ilgtspējīgai ekonomikas darbības atjaunošanai, kurā tiek izmantoti lieli ieguldījumi, lai atbalstītu Eiropā nepieciešamās strukturālās pārmaiņas. No šāda skatpunkta to varētu uzskatīt par izdevību atbalstīt ekonomikas atveseļošanu ilgākā termiņā. Eiropā ir vajadzīgs jauns konsenss, lai šim mērķim koncentrētu pietiekamus publiskos un privātos finanšu resursus un ieviestu jaunu pārvaldības sistēmu, kas ļautu to veiksmīgi ieviest praksē.</w:t>
      </w:r>
    </w:p>
    <w:p w14:paraId="4E7D4AA2"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Atveseļošanas plānos ieguldītajiem publiskajiem līdzekļiem jāpalīdz ne tikai atjaunot Eiropas ekonomiku un sabiedrību, bet arī būtiski samazināt turpmāko satricinājumu ietekmi, ieguldot noturīgā, iekļaujošā un klimatam labvēlīgā ekonomikā (tā dēvētajā “labklājības ekonomikā”). </w:t>
      </w:r>
    </w:p>
    <w:p w14:paraId="654FCC30"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77777777"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Lai paātrinātu pāreju no piesārņojošām uz zaļām nozarēm, ilgtspējīgai ES finanšu taksonomijai būtu jāvirza publiskie un privātie ieguldījumi visā atveseļošanās gaitā.</w:t>
      </w:r>
    </w:p>
    <w:p w14:paraId="67C0400C" w14:textId="1779E3BE" w:rsidR="00EA484E"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lastRenderedPageBreak/>
        <w:t>Koronavīrusa krīze liecina, ka digitālajai revolūcijai ir svarīga nozīme mūsu sabiedrības noturības palielināšanā pret krīzēm. Ārkārtīgi būtiski ir ieguldīt pamatpakalpojumu digitalizācijā un palielināt valdību, likumdevēju un publisko iestāžu spēju krīzes laikā turpināt sniegt savus pakalpojumus.</w:t>
      </w:r>
    </w:p>
    <w:p w14:paraId="3A22B508"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Komisija tiek aicināta arī turpmāk kā ekonomikas atveseļošanas virzītājspēku izmantot Eiropas pusgadu, pamatojoties uz Eiropas pusgada ietvaros konstatētajām ieguldījumu un reformu prioritātēm. Komiteja atzinīgi vērtē neseno uzsvaru uz sociālo jautājumu un Eiropas zaļā kursa labāku iekļaušanu, kā arī Atveseļošanas un noturības mehānisma ieviešanu, izmantojot Eiropas pusgadu. </w:t>
      </w:r>
    </w:p>
    <w:p w14:paraId="3C3DB9C8" w14:textId="77777777" w:rsidR="00695B6E" w:rsidRPr="00395CE4"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4EFD302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Tagad ir iespēja veicināt sociālo inovāciju, kas kalpotu kā atveseļošanas modelis ar līdzradīšanas, kopizstrādes un kopražošanas palīdzību. Organizēta pilsoniskā sabiedrība ir katalizators sociālai inovācijai — kustībai, kura ir veicinājusi labklājības sistēmu izveidi, kas savukārt ļāvusi radīt jaunu rīcībpolitiku, struktūras, produktus, pakalpojumus un darba metodes.</w:t>
      </w:r>
      <w:r w:rsidR="00CD2A22">
        <w:rPr>
          <w:rFonts w:ascii="Times New Roman" w:hAnsi="Times New Roman"/>
          <w:sz w:val="22"/>
          <w:szCs w:val="22"/>
        </w:rPr>
        <w:t xml:space="preserve"> </w:t>
      </w:r>
      <w:r>
        <w:rPr>
          <w:rFonts w:ascii="Times New Roman" w:hAnsi="Times New Roman"/>
          <w:sz w:val="22"/>
          <w:szCs w:val="22"/>
        </w:rPr>
        <w:t>Pilsoniskās sabiedrības līdzdalība tagad ir nepieciešama vairāk nekā jebkad agrāk, taču patiesa sociālā inovācija ir iespējama tikai tad, ja tajā piedalās organizēta pilsoniskā sabiedrība.</w:t>
      </w:r>
    </w:p>
    <w:p w14:paraId="1385EF6C" w14:textId="77777777" w:rsidR="00A1546D" w:rsidRPr="00395CE4"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2AC8F4EA"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Viens no galvenajiem koronavīrusa krīzes secinājumiem ir tas, ka gandrīz visās Eiropas valstīs ir jāstiprina veselības aprūpes sistēmas, vispirms un galvenokārt pievēršoties profilaksei. Lai gan atbildība par veselības aprūpi ir valstu kompetencē, vīrusa izplatība neapstājas pie robežām. Tas ietekmē visu Eiropu — gan mūsu teritorijā, gan ārpus tās robežām —, radot sekas veselības, sociālajā un ekonomikas jomā, tāpēc vajadzīgi kopīgi risinājumi Eiropas līmenī.</w:t>
      </w:r>
    </w:p>
    <w:p w14:paraId="2D20D300" w14:textId="77777777" w:rsidR="00A1546D" w:rsidRPr="00395CE4"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16CCFD0F"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Eiropas Savienībai ir jānostiprina un jāuztur sava globālā pozīcija, proti, jāieņem nozīmīgāka un stratēģiskāka loma gan pasaules ekonomikā, gan politikā. ES ekonomikai ir potenciāls labāk izmantot savas salīdzinošās priekšrocības globālajā tirdzniecībā un ieguldījumu tirgū, it sevišķi progresīvā ražošanā un novatoriskos pakalpojumos ar mērķi kļūt par vienu no pasaules līderiem. Šie centieni ir jāpapildina ar labāku un efektīvāku ES pārstāvību galvenajās globālajās organizācijās, un ES nostājai tajās jābūt vienotai. EESK aicina Eiropas Komisiju pielikt attiecīgas pūles, lai nostiprinātu ES stāvokli pasaulē, un to konkrētāk atspoguļot arī tās 2021. gada darba programmā.</w:t>
      </w:r>
    </w:p>
    <w:p w14:paraId="5114F866" w14:textId="77777777" w:rsidR="00695B6E" w:rsidRPr="00395CE4"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2EF24674"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Papildus ekonomikas un vides jautājumiem ES darba programmai 2021. gadā ir jābalstās arī uz sociālo aspektu. Tas nozīmē, ka apņemšanās īstenot sociālu un ilgtspējīgu Eiropu ir prioritāte. Šajā ziņā nozīmīga loma ir arī pilsoniskās sabiedrības organizācijām.</w:t>
      </w:r>
    </w:p>
    <w:p w14:paraId="1F858B09" w14:textId="77777777" w:rsidR="00695B6E" w:rsidRPr="00395CE4" w:rsidRDefault="00695B6E" w:rsidP="00395CE4">
      <w:pPr>
        <w:pStyle w:val="ListParagraph"/>
        <w:spacing w:line="288" w:lineRule="auto"/>
        <w:ind w:left="0"/>
        <w:jc w:val="both"/>
        <w:outlineLvl w:val="1"/>
        <w:rPr>
          <w:rFonts w:ascii="Times New Roman" w:hAnsi="Times New Roman"/>
          <w:sz w:val="22"/>
          <w:szCs w:val="22"/>
          <w:lang w:val="en-GB"/>
        </w:rPr>
      </w:pPr>
    </w:p>
    <w:p w14:paraId="73255230" w14:textId="500D09E0"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EESK stingri atbalsta Eiropas Komisijas priekšlikumu izstrādāt Eiropas rīcības plānu demokrātijas jomā; plānam jābūt vispusīgam un nepārtrauktam, un ar to jāpanāk izmaiņas, ko nodrošina finansiāls atbalsts un iestāžu savstarpējā koordinācija.</w:t>
      </w:r>
    </w:p>
    <w:p w14:paraId="1F40C220" w14:textId="475B4AEC" w:rsidR="00395CE4" w:rsidRPr="00395CE4" w:rsidRDefault="00395CE4" w:rsidP="00695B6E">
      <w:pPr>
        <w:spacing w:line="288" w:lineRule="auto"/>
        <w:jc w:val="both"/>
        <w:outlineLvl w:val="1"/>
        <w:rPr>
          <w:rFonts w:ascii="Times New Roman" w:hAnsi="Times New Roman"/>
          <w:sz w:val="22"/>
          <w:szCs w:val="22"/>
          <w:lang w:val="en-GB"/>
        </w:rPr>
      </w:pPr>
    </w:p>
    <w:p w14:paraId="620BA47D" w14:textId="77777777" w:rsidR="00395CE4" w:rsidRPr="00AC7274" w:rsidRDefault="00395CE4">
      <w:pPr>
        <w:overflowPunct w:val="0"/>
        <w:autoSpaceDE w:val="0"/>
        <w:autoSpaceDN w:val="0"/>
        <w:adjustRightInd w:val="0"/>
        <w:spacing w:line="288" w:lineRule="auto"/>
        <w:jc w:val="center"/>
        <w:textAlignment w:val="baseline"/>
      </w:pPr>
      <w:r>
        <w:t>_____________</w:t>
      </w:r>
    </w:p>
    <w:p w14:paraId="5514C873" w14:textId="698C671E" w:rsidR="00395CE4" w:rsidRPr="00395CE4" w:rsidRDefault="00395CE4">
      <w:pPr>
        <w:tabs>
          <w:tab w:val="left" w:pos="1647"/>
        </w:tabs>
        <w:rPr>
          <w:rFonts w:ascii="Times New Roman" w:hAnsi="Times New Roman"/>
          <w:sz w:val="22"/>
          <w:szCs w:val="22"/>
          <w:lang w:val="en-GB"/>
        </w:rPr>
      </w:pPr>
    </w:p>
    <w:sectPr w:rsidR="00395CE4" w:rsidRPr="00395CE4"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1D8A32BD"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CD2A22">
      <w:rPr>
        <w:noProof/>
      </w:rPr>
      <w:t>1</w:t>
    </w:r>
    <w:r>
      <w:fldChar w:fldCharType="end"/>
    </w:r>
    <w:r>
      <w:t>/</w:t>
    </w:r>
    <w:r w:rsidR="00CD2A22">
      <w:fldChar w:fldCharType="begin"/>
    </w:r>
    <w:r w:rsidR="00CD2A22">
      <w:instrText xml:space="preserve"> NUMPAGES </w:instrText>
    </w:r>
    <w:r w:rsidR="00CD2A22">
      <w:fldChar w:fldCharType="separate"/>
    </w:r>
    <w:r w:rsidR="00CD2A22">
      <w:rPr>
        <w:noProof/>
      </w:rPr>
      <w:t>3</w:t>
    </w:r>
    <w:r w:rsidR="00CD2A2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Rezolūcija par pārveidi un atveseļošanos pēc Covid-19 krīzes</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695B6E"/>
    <w:rsid w:val="006D2A9B"/>
    <w:rsid w:val="00747CA5"/>
    <w:rsid w:val="00765063"/>
    <w:rsid w:val="00797347"/>
    <w:rsid w:val="00A1546D"/>
    <w:rsid w:val="00AC7274"/>
    <w:rsid w:val="00C12343"/>
    <w:rsid w:val="00CD2A22"/>
    <w:rsid w:val="00D41E97"/>
    <w:rsid w:val="00E4513A"/>
    <w:rsid w:val="00EA3B3D"/>
    <w:rsid w:val="00EA484E"/>
    <w:rsid w:val="00FC42F8"/>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lv-LV"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lv-LV"/>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lv-LV"/>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lv-LV"/>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lv-LV"/>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lv-LV"/>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lv-LV"/>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lv-LV"/>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lv-LV"/>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lv-LV"/>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lv-LV"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lv-LV"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lv-LV"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lv-LV"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lv/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VV634QRNENMJ-762678085-1631</_dlc_DocId>
    <_dlc_DocIdUrl xmlns="cda99570-6012-4083-bfeb-7d32ad1ce1a3">
      <Url>http://dm2016/eesc/2020/_layouts/15/DocIdRedir.aspx?ID=VV634QRNENMJ-762678085-1631</Url>
      <Description>VV634QRNENMJ-762678085-1631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9229E-3695-4554-A16F-083E3177E34F}"/>
</file>

<file path=customXml/itemProps2.xml><?xml version="1.0" encoding="utf-8"?>
<ds:datastoreItem xmlns:ds="http://schemas.openxmlformats.org/officeDocument/2006/customXml" ds:itemID="{50A79D6E-7485-495F-B1C2-166633190FD2}"/>
</file>

<file path=customXml/itemProps3.xml><?xml version="1.0" encoding="utf-8"?>
<ds:datastoreItem xmlns:ds="http://schemas.openxmlformats.org/officeDocument/2006/customXml" ds:itemID="{9E70BD77-EFC4-4377-9B1E-57316F8650F7}"/>
</file>

<file path=customXml/itemProps4.xml><?xml version="1.0" encoding="utf-8"?>
<ds:datastoreItem xmlns:ds="http://schemas.openxmlformats.org/officeDocument/2006/customXml" ds:itemID="{E6941208-65B9-42EF-A73F-1C486B4D7147}"/>
</file>

<file path=docProps/app.xml><?xml version="1.0" encoding="utf-8"?>
<Properties xmlns="http://schemas.openxmlformats.org/officeDocument/2006/extended-properties" xmlns:vt="http://schemas.openxmlformats.org/officeDocument/2006/docPropsVTypes">
  <Template>Styles</Template>
  <TotalTime>6</TotalTime>
  <Pages>3</Pages>
  <Words>938</Words>
  <Characters>5347</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Kopsavilkums - EESK ieguldījums EK 2021. gada darba programmā</dc:title>
  <dc:creator>Jan Dirx</dc:creator>
  <cp:keywords>EESC-2020-03155-00-00-TCD-TRA-EN</cp:keywords>
  <dc:description>Rapporteur:  - Original language: EN - Date of document: 20/07/2020 - Date of meeting: 15/07/2020 - External documents:  - Administrator: M. COSMAI Domenico</dc:description>
  <cp:lastModifiedBy>Goba Evija</cp:lastModifiedBy>
  <cp:revision>8</cp:revision>
  <dcterms:created xsi:type="dcterms:W3CDTF">2020-07-17T14:51:00Z</dcterms:created>
  <dcterms:modified xsi:type="dcterms:W3CDTF">2020-07-20T07:57:00Z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012f73f7-e8f4-4224-9b85-29b4e0385e9d</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PL|1e03da61-4678-4e07-b136-b5024ca9197b;FI|87606a43-d45f-42d6-b8c9-e1a3457db5b7;ES|e7a6b05b-ae16-40c8-add9-68b64b03aeba;IT|0774613c-01ed-4e5d-a25d-11d2388de825;PT|50ccc04a-eadd-42ae-a0cb-acaf45f812ba;EN|f2175f21-25d7-44a3-96da-d6a61b075e1b;DA|5d49c027-8956-412b-aa16-e85a0f96ad0e;SV|c2ed69e7-a339-43d7-8f22-d93680a92aa0;SK|46d9fce0-ef79-4f71-b89b-cd6aa82426b8;EL|6d4f4d51-af9b-4650-94b4-4276bee85c91;HR|2f555653-ed1a-4fe6-8362-9082d95989e5;MT|7df99101-6854-4a26-b53a-b88c0da02c26;CS|72f9705b-0217-4fd3-bea2-cbc7ed80e26e;RO|feb747a2-64cd-4299-af12-4833ddc30497;DE|f6b31e5a-26fa-4935-b661-318e46daf27e;SL|98a412ae-eb01-49e9-ae3d-585a81724cfc;ET|ff6c3f4c-b02c-4c3c-ab07-2c37995a7a0a;FR|d2afafd3-4c81-4f60-8f52-ee33f2f54ff3;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11;#FR|d2afafd3-4c81-4f60-8f52-ee33f2f54ff3;#32;#DA|5d49c027-8956-412b-aa16-e85a0f96ad0e;#31;#CS|72f9705b-0217-4fd3-bea2-cbc7ed80e26e;#43;#HR|2f555653-ed1a-4fe6-8362-9082d95989e5;#29;#PT|50ccc04a-eadd-42ae-a0cb-acaf45f812ba;#45;#FI|87606a43-d45f-42d6-b8c9-e1a3457db5b7;#38;#EL|6d4f4d51-af9b-4650-94b4-4276bee85c91;#39;#HU|6b229040-c589-4408-b4c1-4285663d20a8;#16;#ES|e7a6b05b-ae16-40c8-add9-68b64b03aeba;#51;#SPL-CES|32d8cb1f-c9ec-4365-95c7-8385a18618ac;#13;#IT|0774613c-01ed-4e5d-a25d-11d2388de825;#46;#SK|46d9fce0-ef79-4f71-b89b-cd6aa82426b8;#48;#RO|feb747a2-64cd-4299-af12-4833ddc30497;#10;#DE|f6b31e5a-26fa-4935-b661-318e46daf27e;#9;#PL|1e03da61-4678-4e07-b136-b5024ca9197b;#8;#TCD|cd9d6eb6-3f4f-424a-b2d1-57c9d450eaaf;#44;#BG|1a1b3951-7821-4e6a-85f5-5673fc08bd2c;#6;#Final|ea5e6674-7b27-4bac-b091-73adbb394efe;#5;#Unrestricted|826e22d7-d029-4ec0-a450-0c28ff673572;#4;#EN|f2175f21-25d7-44a3-96da-d6a61b075e1b;#40;#SV|c2ed69e7-a339-43d7-8f22-d93680a92aa0;#2;#TRA|150d2a88-1431-44e6-a8ca-0bb753ab8672;#1;#EESC|422833ec-8d7e-4e65-8e4e-8bed07ffb729;#47;#ET|ff6c3f4c-b02c-4c3c-ab07-2c37995a7a0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24;#LV|46f7e311-5d9f-4663-b433-18aeccb7ace7</vt:lpwstr>
  </property>
</Properties>
</file>