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B964C" w14:textId="281B4102" w:rsidR="00EA484E" w:rsidRPr="00AC7274" w:rsidRDefault="007047CD" w:rsidP="00EA484E">
      <w:pPr>
        <w:spacing w:line="288" w:lineRule="auto"/>
        <w:jc w:val="center"/>
        <w:rPr>
          <w:rFonts w:ascii="Times New Roman" w:hAnsi="Times New Roman"/>
        </w:rPr>
      </w:pPr>
      <w:bookmarkStart w:id="0" w:name="_GoBack"/>
      <w:bookmarkEnd w:id="0"/>
      <w:r>
        <w:rPr>
          <w:noProof/>
          <w:lang w:val="fr-BE" w:eastAsia="fr-BE"/>
        </w:rPr>
        <w:drawing>
          <wp:inline distT="0" distB="0" distL="0" distR="0" wp14:anchorId="1129C674" wp14:editId="3EFF12CE">
            <wp:extent cx="1792605" cy="1239520"/>
            <wp:effectExtent l="0" t="0" r="0" b="0"/>
            <wp:docPr id="1" name="Picture 1" title="EESCLogo_LT"/>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EA484E">
        <w:rPr>
          <w:rFonts w:ascii="Times New Roman" w:hAnsi="Times New Roman"/>
          <w:noProof/>
          <w:sz w:val="20"/>
          <w:lang w:val="fr-BE" w:eastAsia="fr-BE"/>
        </w:rPr>
        <mc:AlternateContent>
          <mc:Choice Requires="wps">
            <w:drawing>
              <wp:anchor distT="0" distB="0" distL="114300" distR="114300" simplePos="0" relativeHeight="251659264" behindDoc="1" locked="0" layoutInCell="0" allowOverlap="1" wp14:anchorId="6BDDC625" wp14:editId="3899BC4C">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pic="http://schemas.openxmlformats.org/drawingml/2006/picture"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a:solidFill>
                                <a:srgbClr val="FFFFFF"/>
                              </a:solidFill>
                            </a14:hiddenFill>
                          </a:ext>
                          <a:ext uri="{91240B29-F687-4f45-9708-019B960494DF}">
                            <a14:hiddenLine xmlns:pic="http://schemas.openxmlformats.org/drawingml/2006/picture"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w="9525">
                              <a:solidFill>
                                <a:srgbClr val="000000"/>
                              </a:solidFill>
                              <a:miter lim="800000"/>
                              <a:headEnd/>
                              <a:tailEnd/>
                            </a14:hiddenLine>
                          </a:ext>
                        </a:extLst>
                      </wps:spPr>
                      <wps:txbx>
                        <w:txbxContent>
                          <w:p w14:paraId="7A25B874" w14:textId="77777777" w:rsidR="00EA484E" w:rsidRPr="00260E65" w:rsidRDefault="00EA484E" w:rsidP="00EA484E">
                            <w:pPr>
                              <w:jc w:val="center"/>
                              <w:rPr>
                                <w:rFonts w:ascii="Arial" w:hAnsi="Arial" w:cs="Arial"/>
                                <w:b/>
                                <w:bCs/>
                                <w:sz w:val="48"/>
                              </w:rPr>
                            </w:pPr>
                            <w:r>
                              <w:rPr>
                                <w:rFonts w:ascii="Arial" w:hAnsi="Arial"/>
                                <w:b/>
                                <w:bCs/>
                                <w:sz w:val="48"/>
                              </w:rPr>
                              <w: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DC625"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" o:allowincell="f" filled="f" stroked="f">
                <v:textbox>
                  <w:txbxContent>
                    <w:p w14:paraId="7A25B874" w14:textId="77777777" w:rsidR="00EA484E" w:rsidRPr="00260E65" w:rsidRDefault="00EA484E" w:rsidP="00EA484E">
                      <w:pPr>
                        <w:jc w:val="center"/>
                        <w:rPr>
                          <w:rFonts w:ascii="Arial" w:hAnsi="Arial" w:cs="Arial"/>
                          <w:b/>
                          <w:bCs/>
                          <w:sz w:val="48"/>
                        </w:rPr>
                      </w:pPr>
                      <w:r>
                        <w:rPr>
                          <w:rFonts w:ascii="Arial" w:hAnsi="Arial"/>
                          <w:b/>
                          <w:bCs/>
                          <w:sz w:val="48"/>
                        </w:rPr>
                        <w:t>LT</w:t>
                      </w:r>
                    </w:p>
                  </w:txbxContent>
                </v:textbox>
                <w10:wrap anchorx="page" anchory="page"/>
              </v:shape>
            </w:pict>
          </mc:Fallback>
        </mc:AlternateContent>
      </w:r>
    </w:p>
    <w:p w14:paraId="0BF1EE07" w14:textId="77777777" w:rsidR="00EA484E" w:rsidRPr="00AC7274" w:rsidRDefault="00EA484E" w:rsidP="00EA484E">
      <w:pPr>
        <w:spacing w:line="288" w:lineRule="auto"/>
        <w:rPr>
          <w:rFonts w:ascii="Times New Roman" w:hAnsi="Times New Roman"/>
          <w:sz w:val="22"/>
          <w:szCs w:val="22"/>
          <w:lang w:val="en-GB"/>
        </w:rPr>
      </w:pPr>
    </w:p>
    <w:p w14:paraId="5B45454E" w14:textId="77777777" w:rsidR="00EA484E" w:rsidRPr="00AC7274" w:rsidRDefault="00EA484E" w:rsidP="00EA484E">
      <w:pPr>
        <w:spacing w:line="288" w:lineRule="auto"/>
        <w:jc w:val="right"/>
        <w:rPr>
          <w:rFonts w:ascii="Times New Roman" w:hAnsi="Times New Roman"/>
          <w:sz w:val="22"/>
          <w:szCs w:val="22"/>
          <w:lang w:val="en-GB"/>
        </w:rPr>
      </w:pPr>
    </w:p>
    <w:p w14:paraId="0B80951C" w14:textId="77777777" w:rsidR="00EA484E" w:rsidRPr="00AC7274" w:rsidRDefault="00EA484E" w:rsidP="00EA484E">
      <w:pPr>
        <w:spacing w:line="288" w:lineRule="auto"/>
        <w:rPr>
          <w:rFonts w:ascii="Times New Roman" w:hAnsi="Times New Roman"/>
          <w:sz w:val="22"/>
          <w:szCs w:val="22"/>
          <w:lang w:val="en-GB"/>
        </w:rPr>
      </w:pPr>
    </w:p>
    <w:p w14:paraId="5EE5097E" w14:textId="77777777" w:rsidR="00EA484E" w:rsidRPr="00AC7274" w:rsidRDefault="00EA484E" w:rsidP="00EA484E">
      <w:pPr>
        <w:spacing w:line="288" w:lineRule="auto"/>
        <w:rPr>
          <w:rFonts w:ascii="Times New Roman" w:hAnsi="Times New Roman"/>
          <w:sz w:val="22"/>
          <w:szCs w:val="22"/>
          <w:lang w:val="en-GB"/>
        </w:rPr>
      </w:pPr>
    </w:p>
    <w:p w14:paraId="13AA1B11" w14:textId="77777777" w:rsidR="00EA484E" w:rsidRPr="00AC7274" w:rsidRDefault="00EA484E" w:rsidP="00EA484E">
      <w:pPr>
        <w:spacing w:line="288" w:lineRule="auto"/>
        <w:rPr>
          <w:rFonts w:ascii="Times New Roman" w:hAnsi="Times New Roman"/>
          <w:sz w:val="22"/>
          <w:szCs w:val="22"/>
          <w:lang w:val="en-GB"/>
        </w:rPr>
      </w:pPr>
    </w:p>
    <w:p w14:paraId="7FDD0B0D" w14:textId="77777777" w:rsidR="00EA484E" w:rsidRPr="00AC7274" w:rsidRDefault="00EA484E" w:rsidP="00EA484E">
      <w:pPr>
        <w:spacing w:line="288" w:lineRule="auto"/>
        <w:rPr>
          <w:rFonts w:ascii="Times New Roman" w:hAnsi="Times New Roman"/>
          <w:sz w:val="22"/>
          <w:szCs w:val="22"/>
          <w:lang w:val="en-GB"/>
        </w:rPr>
      </w:pPr>
    </w:p>
    <w:p w14:paraId="5DFDF48C" w14:textId="77777777" w:rsidR="00EA484E" w:rsidRPr="00AC7274" w:rsidRDefault="00EA484E" w:rsidP="00EA484E">
      <w:pPr>
        <w:spacing w:line="288" w:lineRule="auto"/>
        <w:rPr>
          <w:rFonts w:ascii="Times New Roman" w:hAnsi="Times New Roman"/>
          <w:sz w:val="22"/>
          <w:szCs w:val="22"/>
          <w:lang w:val="en-GB"/>
        </w:rPr>
      </w:pPr>
    </w:p>
    <w:p w14:paraId="729B7E64" w14:textId="77777777" w:rsidR="00EA484E" w:rsidRPr="00AC7274" w:rsidRDefault="00EA484E" w:rsidP="00EA484E">
      <w:pPr>
        <w:spacing w:line="288" w:lineRule="auto"/>
        <w:rPr>
          <w:rFonts w:ascii="Times New Roman" w:hAnsi="Times New Roman"/>
          <w:b/>
          <w:sz w:val="22"/>
          <w:szCs w:val="22"/>
          <w:lang w:val="en-GB"/>
        </w:rPr>
      </w:pPr>
    </w:p>
    <w:p w14:paraId="524CB2DF" w14:textId="70941331" w:rsidR="00EA484E" w:rsidRPr="00AC7274" w:rsidRDefault="00EA484E" w:rsidP="00EA484E">
      <w:pPr>
        <w:spacing w:line="288" w:lineRule="auto"/>
        <w:jc w:val="center"/>
        <w:rPr>
          <w:rFonts w:ascii="Times New Roman" w:hAnsi="Times New Roman"/>
          <w:b/>
          <w:sz w:val="28"/>
          <w:szCs w:val="28"/>
        </w:rPr>
      </w:pPr>
      <w:r>
        <w:rPr>
          <w:rFonts w:ascii="Times New Roman" w:hAnsi="Times New Roman"/>
          <w:b/>
          <w:sz w:val="28"/>
          <w:szCs w:val="28"/>
        </w:rPr>
        <w:t>REZOLIUCIJOS SANTRAUKA</w:t>
      </w:r>
    </w:p>
    <w:p w14:paraId="6376E841" w14:textId="77777777" w:rsidR="00EA484E" w:rsidRPr="00AC7274" w:rsidRDefault="00EA484E" w:rsidP="00EA484E">
      <w:pPr>
        <w:spacing w:line="288" w:lineRule="auto"/>
        <w:jc w:val="center"/>
        <w:rPr>
          <w:rFonts w:ascii="Times New Roman" w:hAnsi="Times New Roman"/>
          <w:b/>
          <w:lang w:val="en-GB"/>
        </w:rPr>
      </w:pPr>
    </w:p>
    <w:p w14:paraId="63B8FE3F" w14:textId="77777777" w:rsidR="00EA484E" w:rsidRPr="00395CE4" w:rsidRDefault="00EA484E" w:rsidP="00EA484E">
      <w:pPr>
        <w:spacing w:line="288" w:lineRule="auto"/>
        <w:jc w:val="center"/>
        <w:rPr>
          <w:rFonts w:ascii="Times New Roman" w:hAnsi="Times New Roman"/>
          <w:b/>
          <w:bCs/>
          <w:iCs/>
          <w:sz w:val="22"/>
          <w:szCs w:val="22"/>
        </w:rPr>
      </w:pPr>
      <w:r>
        <w:rPr>
          <w:rFonts w:ascii="Times New Roman" w:hAnsi="Times New Roman"/>
          <w:b/>
          <w:bCs/>
          <w:iCs/>
          <w:sz w:val="22"/>
          <w:szCs w:val="22"/>
        </w:rPr>
        <w:t>Europos ekonomikos ir socialinių reikalų komiteto indėlis</w:t>
      </w:r>
    </w:p>
    <w:p w14:paraId="4AFEA1A9" w14:textId="77777777" w:rsidR="00EA484E" w:rsidRPr="00395CE4" w:rsidRDefault="00EA484E" w:rsidP="00EA484E">
      <w:pPr>
        <w:spacing w:line="288" w:lineRule="auto"/>
        <w:jc w:val="center"/>
        <w:rPr>
          <w:rFonts w:ascii="Times New Roman" w:hAnsi="Times New Roman"/>
          <w:b/>
          <w:i/>
          <w:sz w:val="22"/>
          <w:szCs w:val="22"/>
        </w:rPr>
      </w:pPr>
      <w:r>
        <w:rPr>
          <w:rFonts w:ascii="Times New Roman" w:hAnsi="Times New Roman"/>
          <w:b/>
          <w:bCs/>
          <w:iCs/>
          <w:sz w:val="22"/>
          <w:szCs w:val="22"/>
        </w:rPr>
        <w:t>į 2021 m. Europos Komisijos darbo programą</w:t>
      </w:r>
    </w:p>
    <w:p w14:paraId="258CA404" w14:textId="77777777" w:rsidR="00EA484E" w:rsidRPr="00395CE4" w:rsidRDefault="00EA484E" w:rsidP="00EA484E">
      <w:pPr>
        <w:spacing w:line="288" w:lineRule="auto"/>
        <w:jc w:val="center"/>
        <w:rPr>
          <w:rFonts w:ascii="Times New Roman" w:hAnsi="Times New Roman"/>
          <w:b/>
          <w:i/>
          <w:sz w:val="22"/>
          <w:szCs w:val="22"/>
          <w:lang w:val="en-GB"/>
        </w:rPr>
      </w:pPr>
    </w:p>
    <w:p w14:paraId="1F7CFC34" w14:textId="77777777" w:rsidR="00EA484E" w:rsidRPr="00AC7274" w:rsidRDefault="00EA484E" w:rsidP="00EA484E">
      <w:pPr>
        <w:spacing w:line="288" w:lineRule="auto"/>
        <w:jc w:val="center"/>
        <w:rPr>
          <w:rFonts w:ascii="Times New Roman" w:hAnsi="Times New Roman"/>
          <w:b/>
          <w:sz w:val="22"/>
          <w:szCs w:val="22"/>
          <w:lang w:val="en-GB"/>
        </w:rPr>
      </w:pPr>
    </w:p>
    <w:p w14:paraId="18E42D10" w14:textId="77777777" w:rsidR="00EA484E" w:rsidRPr="00AC7274" w:rsidRDefault="00EA484E" w:rsidP="00EA484E">
      <w:pPr>
        <w:spacing w:line="288" w:lineRule="auto"/>
        <w:jc w:val="center"/>
        <w:rPr>
          <w:rFonts w:ascii="Times New Roman" w:hAnsi="Times New Roman"/>
          <w:b/>
          <w:sz w:val="22"/>
          <w:szCs w:val="22"/>
          <w:lang w:val="en-GB"/>
        </w:rPr>
      </w:pPr>
    </w:p>
    <w:p w14:paraId="04A16DF2" w14:textId="77777777" w:rsidR="00EA484E" w:rsidRPr="00AC7274" w:rsidRDefault="00EA484E" w:rsidP="00EA484E">
      <w:pPr>
        <w:spacing w:line="288" w:lineRule="auto"/>
        <w:jc w:val="center"/>
        <w:rPr>
          <w:rFonts w:ascii="Times New Roman" w:hAnsi="Times New Roman"/>
          <w:b/>
          <w:sz w:val="22"/>
          <w:szCs w:val="22"/>
          <w:lang w:val="en-GB"/>
        </w:rPr>
      </w:pPr>
    </w:p>
    <w:p w14:paraId="40039A0E" w14:textId="77777777" w:rsidR="00EA484E" w:rsidRPr="00AC7274" w:rsidRDefault="00EA484E" w:rsidP="00EA484E">
      <w:pPr>
        <w:spacing w:line="288" w:lineRule="auto"/>
        <w:jc w:val="center"/>
        <w:rPr>
          <w:rFonts w:ascii="Times New Roman" w:hAnsi="Times New Roman"/>
          <w:b/>
          <w:sz w:val="22"/>
          <w:szCs w:val="22"/>
        </w:rPr>
      </w:pPr>
      <w:r>
        <w:rPr>
          <w:rFonts w:ascii="Times New Roman" w:hAnsi="Times New Roman"/>
          <w:b/>
          <w:sz w:val="22"/>
          <w:szCs w:val="22"/>
        </w:rPr>
        <w:t xml:space="preserve">remiantis </w:t>
      </w:r>
    </w:p>
    <w:p w14:paraId="6539ED51" w14:textId="77777777" w:rsidR="00EA484E" w:rsidRPr="00AC7274" w:rsidRDefault="00EA484E" w:rsidP="00EA484E">
      <w:pPr>
        <w:spacing w:line="288" w:lineRule="auto"/>
        <w:jc w:val="center"/>
        <w:rPr>
          <w:rFonts w:ascii="Times New Roman" w:hAnsi="Times New Roman"/>
          <w:b/>
          <w:sz w:val="22"/>
          <w:szCs w:val="22"/>
        </w:rPr>
      </w:pPr>
      <w:r>
        <w:rPr>
          <w:rFonts w:ascii="Times New Roman" w:hAnsi="Times New Roman"/>
          <w:b/>
          <w:sz w:val="22"/>
          <w:szCs w:val="22"/>
        </w:rPr>
        <w:t xml:space="preserve"> </w:t>
      </w:r>
    </w:p>
    <w:p w14:paraId="7A521B48" w14:textId="77777777" w:rsidR="00EA484E" w:rsidRPr="00AC7274" w:rsidRDefault="00EA484E" w:rsidP="00EA484E">
      <w:pPr>
        <w:spacing w:line="288" w:lineRule="auto"/>
        <w:jc w:val="center"/>
        <w:rPr>
          <w:rFonts w:ascii="Times New Roman" w:hAnsi="Times New Roman"/>
          <w:b/>
          <w:sz w:val="22"/>
          <w:szCs w:val="22"/>
        </w:rPr>
      </w:pPr>
      <w:r>
        <w:rPr>
          <w:rFonts w:ascii="Times New Roman" w:hAnsi="Times New Roman"/>
          <w:b/>
          <w:sz w:val="22"/>
          <w:szCs w:val="22"/>
        </w:rPr>
        <w:t>ad hoc grupės „EESRK indėlis į Europos Komisijos 2021 m. darbo programą“ darbu</w:t>
      </w:r>
    </w:p>
    <w:p w14:paraId="3AED97B6" w14:textId="77777777" w:rsidR="00EA484E" w:rsidRPr="00AC7274" w:rsidRDefault="00EA484E" w:rsidP="00EA484E">
      <w:pPr>
        <w:spacing w:line="288" w:lineRule="auto"/>
        <w:jc w:val="center"/>
        <w:rPr>
          <w:rFonts w:ascii="Times New Roman" w:hAnsi="Times New Roman"/>
          <w:b/>
          <w:sz w:val="22"/>
          <w:szCs w:val="22"/>
          <w:lang w:val="en-GB"/>
        </w:rPr>
      </w:pPr>
    </w:p>
    <w:p w14:paraId="47E1F303"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rPr>
      </w:pPr>
      <w:r>
        <w:rPr>
          <w:rFonts w:ascii="Times New Roman" w:hAnsi="Times New Roman"/>
          <w:sz w:val="22"/>
          <w:szCs w:val="22"/>
        </w:rPr>
        <w:t>________________</w:t>
      </w:r>
    </w:p>
    <w:p w14:paraId="4234A862"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92C9FD3"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3FFC54E4"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E5196C1" w14:textId="77777777" w:rsidR="00EA484E" w:rsidRPr="00AC7274" w:rsidRDefault="00EA484E" w:rsidP="00EA484E">
      <w:pPr>
        <w:spacing w:line="288" w:lineRule="auto"/>
        <w:jc w:val="center"/>
        <w:rPr>
          <w:rFonts w:ascii="Times New Roman" w:hAnsi="Times New Roman"/>
          <w:sz w:val="22"/>
          <w:szCs w:val="22"/>
        </w:rPr>
      </w:pPr>
      <w:r>
        <w:rPr>
          <w:rFonts w:ascii="Times New Roman" w:hAnsi="Times New Roman"/>
          <w:sz w:val="22"/>
          <w:szCs w:val="22"/>
        </w:rPr>
        <w:t xml:space="preserve">Pranešėjai </w:t>
      </w:r>
      <w:r>
        <w:rPr>
          <w:rFonts w:ascii="Times New Roman" w:hAnsi="Times New Roman"/>
          <w:b/>
          <w:sz w:val="22"/>
          <w:szCs w:val="22"/>
        </w:rPr>
        <w:t>Petr Zahradník</w:t>
      </w:r>
      <w:r>
        <w:rPr>
          <w:rFonts w:ascii="Times New Roman" w:hAnsi="Times New Roman"/>
          <w:sz w:val="22"/>
          <w:szCs w:val="22"/>
        </w:rPr>
        <w:t xml:space="preserve"> </w:t>
      </w:r>
      <w:r>
        <w:rPr>
          <w:rFonts w:ascii="Times New Roman" w:hAnsi="Times New Roman"/>
          <w:b/>
          <w:sz w:val="22"/>
          <w:szCs w:val="22"/>
        </w:rPr>
        <w:t>(I gr.)</w:t>
      </w:r>
    </w:p>
    <w:p w14:paraId="2B11417B" w14:textId="77777777" w:rsidR="00EA484E" w:rsidRPr="00AC7274" w:rsidRDefault="00EA484E" w:rsidP="00EA484E">
      <w:pPr>
        <w:spacing w:line="288" w:lineRule="auto"/>
        <w:ind w:left="3884"/>
        <w:rPr>
          <w:rFonts w:ascii="Times New Roman" w:hAnsi="Times New Roman"/>
          <w:b/>
          <w:sz w:val="22"/>
          <w:szCs w:val="22"/>
        </w:rPr>
      </w:pPr>
      <w:r>
        <w:rPr>
          <w:rFonts w:ascii="Times New Roman" w:hAnsi="Times New Roman"/>
          <w:b/>
          <w:sz w:val="22"/>
          <w:szCs w:val="22"/>
        </w:rPr>
        <w:t>Stefano Palmieri (II gr.)</w:t>
      </w:r>
    </w:p>
    <w:p w14:paraId="5009DD94" w14:textId="77777777" w:rsidR="00EA484E" w:rsidRPr="00AC7274" w:rsidRDefault="00EA484E" w:rsidP="00EA484E">
      <w:pPr>
        <w:spacing w:line="288" w:lineRule="auto"/>
        <w:ind w:left="3884"/>
        <w:rPr>
          <w:rFonts w:ascii="Times New Roman" w:hAnsi="Times New Roman"/>
          <w:b/>
          <w:sz w:val="22"/>
          <w:szCs w:val="22"/>
        </w:rPr>
      </w:pPr>
      <w:r>
        <w:rPr>
          <w:rFonts w:ascii="Times New Roman" w:hAnsi="Times New Roman"/>
          <w:b/>
          <w:sz w:val="22"/>
          <w:szCs w:val="22"/>
        </w:rPr>
        <w:t>Jan Dirx (III gr.)</w:t>
      </w:r>
    </w:p>
    <w:p w14:paraId="25866510" w14:textId="77777777" w:rsidR="00EA484E" w:rsidRPr="00395CE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2FDFD8AD" w14:textId="77777777" w:rsidR="00EA484E" w:rsidRPr="00395CE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rPr>
      </w:pPr>
      <w:r>
        <w:rPr>
          <w:rFonts w:ascii="Times New Roman" w:hAnsi="Times New Roman"/>
          <w:sz w:val="22"/>
          <w:szCs w:val="22"/>
        </w:rPr>
        <w:t>_____________</w:t>
      </w:r>
    </w:p>
    <w:p w14:paraId="398831BA" w14:textId="77777777" w:rsidR="00EA484E" w:rsidRPr="00395CE4" w:rsidRDefault="00EA484E" w:rsidP="00EA484E">
      <w:pPr>
        <w:spacing w:line="288" w:lineRule="auto"/>
        <w:rPr>
          <w:rFonts w:ascii="Times New Roman" w:hAnsi="Times New Roman"/>
          <w:sz w:val="22"/>
          <w:szCs w:val="22"/>
          <w:lang w:val="en-GB"/>
        </w:rPr>
      </w:pPr>
    </w:p>
    <w:p w14:paraId="38E86DFC" w14:textId="1BA67C7E" w:rsidR="00EA484E" w:rsidRPr="00AC7274" w:rsidRDefault="00EA484E" w:rsidP="00EA484E">
      <w:pPr>
        <w:spacing w:line="288" w:lineRule="auto"/>
        <w:jc w:val="center"/>
        <w:rPr>
          <w:rFonts w:ascii="Times New Roman" w:hAnsi="Times New Roman"/>
          <w:sz w:val="22"/>
          <w:szCs w:val="22"/>
        </w:rPr>
      </w:pPr>
      <w:r>
        <w:rPr>
          <w:rFonts w:ascii="Times New Roman" w:hAnsi="Times New Roman"/>
          <w:sz w:val="22"/>
          <w:szCs w:val="22"/>
        </w:rPr>
        <w:t>priimta Europos ekonomikos ir socialinių reikalų komitete 2020 m. liepos 16 d.</w:t>
      </w:r>
    </w:p>
    <w:p w14:paraId="47D025FA" w14:textId="77777777" w:rsidR="00EA484E" w:rsidRPr="00AC7274" w:rsidRDefault="00EA484E" w:rsidP="00EA484E">
      <w:pPr>
        <w:spacing w:line="288" w:lineRule="auto"/>
        <w:jc w:val="center"/>
        <w:rPr>
          <w:rFonts w:ascii="Times New Roman" w:hAnsi="Times New Roman"/>
          <w:sz w:val="22"/>
          <w:szCs w:val="22"/>
          <w:lang w:val="en-GB"/>
        </w:rPr>
      </w:pPr>
    </w:p>
    <w:p w14:paraId="174DC1F6"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rPr>
      </w:pPr>
      <w:r>
        <w:rPr>
          <w:rFonts w:ascii="Times New Roman" w:hAnsi="Times New Roman"/>
          <w:sz w:val="22"/>
          <w:szCs w:val="22"/>
        </w:rPr>
        <w:t>________________</w:t>
      </w:r>
    </w:p>
    <w:p w14:paraId="1D16C18D" w14:textId="77777777" w:rsidR="00EA484E" w:rsidRPr="00AC7274" w:rsidRDefault="00EA484E" w:rsidP="00EA484E">
      <w:pPr>
        <w:spacing w:line="288" w:lineRule="auto"/>
        <w:rPr>
          <w:rFonts w:ascii="Times New Roman" w:hAnsi="Times New Roman"/>
          <w:sz w:val="22"/>
          <w:szCs w:val="22"/>
          <w:lang w:val="en-GB"/>
        </w:rPr>
      </w:pPr>
    </w:p>
    <w:p w14:paraId="64453DC3" w14:textId="4F5F47D1" w:rsidR="00EA484E" w:rsidRPr="00AC7274" w:rsidRDefault="00EA484E">
      <w:pPr>
        <w:spacing w:line="280" w:lineRule="exact"/>
        <w:ind w:left="357" w:hanging="357"/>
      </w:pPr>
      <w:r>
        <w:br w:type="page"/>
      </w:r>
    </w:p>
    <w:p w14:paraId="660072A1" w14:textId="27B71FF5"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rPr>
        <w:lastRenderedPageBreak/>
        <w:t>Savo rezoliucijoje „EESRK pasiūlymai dėl ekonomikos atstatymo ir atgaivinimo priemonių po COVID-19 krizės“</w:t>
      </w:r>
      <w:r w:rsidRPr="00AC7274">
        <w:rPr>
          <w:rFonts w:ascii="Times New Roman" w:hAnsi="Times New Roman"/>
          <w:vertAlign w:val="superscript"/>
          <w:lang w:val="en-GB" w:eastAsia="en-US"/>
        </w:rPr>
        <w:footnoteReference w:id="1"/>
      </w:r>
      <w:r>
        <w:rPr>
          <w:rFonts w:ascii="Times New Roman" w:hAnsi="Times New Roman"/>
        </w:rPr>
        <w:t xml:space="preserve"> EESRK nurodė palankiai vertinantis ir visapusiškai remiantis Europos Komisijos pasiūlymus – priemonės „Next Generation EU“ planą ir bendrą 2021–2027 m. laikotarpio ES biudžetą.</w:t>
      </w:r>
      <w:r>
        <w:rPr>
          <w:rFonts w:ascii="Times New Roman" w:hAnsi="Times New Roman"/>
          <w:sz w:val="22"/>
          <w:szCs w:val="22"/>
        </w:rPr>
        <w:t xml:space="preserve"> Komitetas tikisi, kad atsižvelgiant į atsigavimo ir atstatymo po koronaviruso krizės poreikį, šiuose planuose Komisijos pateiktos gairės bus visiškai ir konkrečiai perkeltos į 2021 m. Komisijos darbo programą.</w:t>
      </w:r>
    </w:p>
    <w:p w14:paraId="0DC5F400" w14:textId="77777777" w:rsidR="00EA484E" w:rsidRPr="00395CE4" w:rsidRDefault="00EA484E"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70FAD9E5" w14:textId="77777777"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EESRK manymu, darbo programa turėtų būti skirta mūsų ekonomikos ir visuomenės restruktūrizavimui ir gerinimui – procesams, kurie turėtų remtis šiais principais: žmogaus ir socialinių teisių apsauga, demokratinėmis vertybėmis ir teisine valstybe, visišku bendrosios rinkos potencialo išlaisvinimu, darnaus vystymosi tikslų (DVT) pasiekimu, žiedinės ekonomikos kūrimu ir neutralaus poveikio klimatui užtikrinimu ne vėliau kaip iki 2050 m. ir gero valdymo ir demokratinės atskaitomybės užtikrinimu.</w:t>
      </w:r>
    </w:p>
    <w:p w14:paraId="62862964" w14:textId="77777777" w:rsidR="00EA484E" w:rsidRPr="00395CE4" w:rsidRDefault="00EA484E"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1DAC4335" w14:textId="7E5DFEA9"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EESRK atkreipia dėmesį į tai, kad Komisijos pasirinkti šeši pagrindiniai užmojai (Europos žaliasis kursas, prie skaitmeninio amžiaus prisitaikiusi Europa, žmonėms tarnaujanti ekonomika, pasaulyje stipresnė Europa, europinės gyvensenos propagavimas ir naujas postūmis Europos demokratijai) yra tvirtas pagrindas 2021 m. darbo programai parengti. Galbūt dabar reikėtų didesnį dėmesį skirti investicijoms ir būtinybei jas didinti, be kita ko, įgyvendinant šiuo metu priimamas priemones.</w:t>
      </w:r>
    </w:p>
    <w:p w14:paraId="76FF9B78" w14:textId="77777777" w:rsidR="00EA484E" w:rsidRPr="00395CE4" w:rsidRDefault="00EA484E"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161F4282" w14:textId="77777777"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Ypač dabar, kai suvokiame, koks svarbus yra valstybių bendradarbiavimas šiais krizės laikais, EESRK tikisi, kad būsima konferencija dėl Europos ateities padės sustiprinti ir pagilinti ES institucinę struktūrą ir užtikrinti tikrą ES projekto atsinaujinimą, kad Europa pajėgtų atremti ateinančių dešimtmečių iššūkius. Todėl Komisija gali tikėtis visapusiškos Komiteto paramos.</w:t>
      </w:r>
    </w:p>
    <w:p w14:paraId="48473CC8" w14:textId="77777777" w:rsidR="00EA484E" w:rsidRPr="00395CE4" w:rsidRDefault="00EA484E" w:rsidP="00EA484E">
      <w:pPr>
        <w:pStyle w:val="ListParagraph"/>
        <w:spacing w:line="288" w:lineRule="auto"/>
        <w:ind w:left="709" w:hanging="709"/>
        <w:jc w:val="both"/>
        <w:outlineLvl w:val="1"/>
        <w:rPr>
          <w:rFonts w:ascii="Times New Roman" w:eastAsia="Times New Roman" w:hAnsi="Times New Roman"/>
          <w:sz w:val="22"/>
          <w:szCs w:val="22"/>
          <w:lang w:val="en-GB" w:eastAsia="en-US"/>
        </w:rPr>
      </w:pPr>
    </w:p>
    <w:p w14:paraId="6FF3B067" w14:textId="2F23231E"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EESRK yra įsitikinęs, kad visuomenės ir ekonomikos atgaivinimo ir atstatymo procesas bus įmanomas tik jame aktyviai dalyvaujant pilietinės visuomenės organizacijoms ir socialiniams partneriams.</w:t>
      </w:r>
    </w:p>
    <w:p w14:paraId="7206EF37" w14:textId="77777777" w:rsidR="00797347" w:rsidRPr="00395CE4" w:rsidRDefault="00797347"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659DAE92" w14:textId="71D68A1C"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ES žaliąjį kursą galima laikyti ir veiksminga priemone siekiant tvariai išjudinti ekonomiką didžiulėmis investicijomis, kuriomis būtų remiami būtini struktūriniai pokyčiai, kurių Europai nepavyks išvengti. Šiuo požiūriu tai būtų galima vertinti kaip galimybę padėti ekonomikai atsigauti ilgesniu laikotarpiu. Tam būtinas naujas susitarimas dėl Europos, kad šiuo tikslu būtų galima sutelkti pakankamus viešojo ir privačiojo sektoriaus finansinius išteklius ir patvirtinti naują valdymo sistemą siekiant tai sėkmingai įgyvendinti praktikoje.</w:t>
      </w:r>
    </w:p>
    <w:p w14:paraId="4E7D4AA2" w14:textId="77777777" w:rsidR="00797347" w:rsidRPr="00395CE4" w:rsidRDefault="00797347"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4F04EEF7" w14:textId="1100C344"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 xml:space="preserve">Į ekonomikos gaivinimo planus investuojamos viešosios lėšos turėtų ne tik padėti atkurti Europos ekonomiką ir visuomenę, bet ir gerokai sumažinti paskesnių sukrėtimų poveikį, todėl jos turėtų būti investuojamos į atsparią, įtraukią ir klimatui nekenkiančią ekonomiką (vadinamąją gerbūvio ekonomiką). </w:t>
      </w:r>
    </w:p>
    <w:p w14:paraId="654FCC30" w14:textId="77777777" w:rsidR="00797347" w:rsidRPr="00395CE4" w:rsidRDefault="00797347"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4CF873A2" w14:textId="77777777"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lastRenderedPageBreak/>
        <w:t>Visą ekonomikos gaivinimo laikotarpį viešojo ir privačiojo sektorių lėšos turėtų būti investuojamos vadovaujantis ES tvaria finansų taksonomija, siekiant paspartinti perėjimą nuo teršiančių prie žaliųjų sektorių.</w:t>
      </w:r>
    </w:p>
    <w:p w14:paraId="67C0400C" w14:textId="1779E3BE" w:rsidR="00EA484E"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COVID-19 krizė atskleidė, kad skaitmeninė revoliucija atlieka svarbų vaidmenį didinant mūsų bendruomenių atsparumą krizėms. Svarbiausia yra investuoti į esminių paslaugų skaitmeninimą ir stiprinti vyriausybių, teisės aktų leidėjų ir viešųjų įstaigų gebėjimą teikti savo paslaugas krizės metu.</w:t>
      </w:r>
    </w:p>
    <w:p w14:paraId="3A22B508" w14:textId="77777777" w:rsidR="00797347" w:rsidRPr="00395CE4" w:rsidRDefault="00797347"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58772FC0" w14:textId="0C733ED2"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 xml:space="preserve">Komisija raginama toliau naudoti semestrą kaip ekonomikos atsigavimą skatinančią priemonę, atsižvelgiant į įgyvendinant Europos semestrą nustatytus investavimo ir reformų prioritetus. Komitetas palankiai vertina tai, kad pastaruoju metu siekta labiau atsižvelgti į socialinius klausimus ir Europos žaliąjį kursą, taip pat palankiai vertina ekonomikos gaivinimo ir atsparumo didinimo priemonės įgyvendinimą pagal semestrą. </w:t>
      </w:r>
    </w:p>
    <w:p w14:paraId="3C3DB9C8" w14:textId="77777777" w:rsidR="00695B6E" w:rsidRPr="00395CE4" w:rsidRDefault="00695B6E" w:rsidP="00695B6E">
      <w:pPr>
        <w:pStyle w:val="ListParagraph"/>
        <w:spacing w:line="288" w:lineRule="auto"/>
        <w:ind w:left="0"/>
        <w:jc w:val="both"/>
        <w:rPr>
          <w:rFonts w:ascii="Times New Roman" w:eastAsia="Times New Roman" w:hAnsi="Times New Roman"/>
          <w:sz w:val="22"/>
          <w:szCs w:val="22"/>
          <w:lang w:val="en-GB" w:eastAsia="en-US"/>
        </w:rPr>
      </w:pPr>
    </w:p>
    <w:p w14:paraId="4A80875C" w14:textId="580742AA"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Tai yra galimybė skatinti socialines inovacijas kaip ekonomikos atgaivinimo modelį, pasitelkiant bendrą kūrybą, bendrą projektavimą ir bendrą gamybą. Organizuota pilietinė visuomenė yra socialinių inovacijų katalizatorius – judėjimas, kuris prisidėjo kuriant gerovės sistemas, leidusias sukurti naujas politikos kryptis, struktūras, produktus, paslaugas ir darbo metodus.</w:t>
      </w:r>
      <w:r w:rsidR="00142670">
        <w:rPr>
          <w:rFonts w:ascii="Times New Roman" w:hAnsi="Times New Roman"/>
          <w:sz w:val="22"/>
          <w:szCs w:val="22"/>
        </w:rPr>
        <w:t xml:space="preserve"> </w:t>
      </w:r>
      <w:r>
        <w:rPr>
          <w:rFonts w:ascii="Times New Roman" w:hAnsi="Times New Roman"/>
          <w:sz w:val="22"/>
          <w:szCs w:val="22"/>
        </w:rPr>
        <w:t>Pilietinės visuomenės dalyvavimas dabar reikalingas labiau nei bet kada, tačiau tikros socialinės naujovės gali vykti tik dalyvaujant organizuotai pilietinei visuomenei.</w:t>
      </w:r>
    </w:p>
    <w:p w14:paraId="1385EF6C" w14:textId="77777777" w:rsidR="00A1546D" w:rsidRPr="00395CE4" w:rsidRDefault="00A1546D" w:rsidP="00A1546D">
      <w:pPr>
        <w:pStyle w:val="ListParagraph"/>
        <w:spacing w:line="288" w:lineRule="auto"/>
        <w:ind w:left="0"/>
        <w:jc w:val="both"/>
        <w:rPr>
          <w:rFonts w:ascii="Times New Roman" w:eastAsia="Times New Roman" w:hAnsi="Times New Roman"/>
          <w:sz w:val="22"/>
          <w:szCs w:val="22"/>
          <w:lang w:val="en-GB" w:eastAsia="en-US"/>
        </w:rPr>
      </w:pPr>
    </w:p>
    <w:p w14:paraId="4B3A6FD5" w14:textId="2AC8F4EA" w:rsidR="00A1546D" w:rsidRPr="00395CE4" w:rsidRDefault="00A1546D"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Svarbiausia, kad viena iš pagrindinių koronaviruso krizės pamokų yra ta, kad reikia stiprinti sveikatos priežiūros sistemas beveik visose Europos šalyse, visų pirma daugiausia dėmesio skiriant prevencijai. Nors atsakomybė už sveikatos priežiūrą tenka valstybėms narėms, valstybių sienos viruso plitimo nesustabdo. Viruso plitimas daro poveikį visai Europai, tiek jos viduje, tiek už jos ribų, o tai turi sanitarinių, socialinių ir ekonominių padarinių, dėl kurių reikia imtis bendrų atsakomųjų veiksmų Europos lygmeniu.</w:t>
      </w:r>
    </w:p>
    <w:p w14:paraId="2D20D300" w14:textId="77777777" w:rsidR="00A1546D" w:rsidRPr="00395CE4" w:rsidRDefault="00A1546D"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108C4A04" w14:textId="16CCFD0F" w:rsidR="00A1546D" w:rsidRPr="00395CE4" w:rsidRDefault="00A1546D"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ES turi stiprinti ir remti savo globalią poziciją, kad pasaulio ekonomikoje ir politikoje ji galėtų atlikti didesnį ir strategiškai reikšmingesnį vaidmenį. ES ekonomika turi potencialo geriau panaudoti savo lyginamuosius privalumus pasaulinėje prekyboje ir investicijų rinkoje, visų pirma pažangioje apdirbamojoje pramonėje ir inovatyviose paslaugose, siekdama tapti pasauline lydere. Šias pastangas turėtų papildyti geresnis ir veiksmingesnis ES atstovavimas pagrindinėse pasaulinėse organizacijose, o ES turėtų kalbėti vienu balsu. EESRK ragina Europos Komisiją dėti reikiamas pastangas, kad būtų sustiprinta pasaulinė ES pozicija ir kad tai konkrečiau atsispindėtų jos 2021 m. darbo programoje.</w:t>
      </w:r>
    </w:p>
    <w:p w14:paraId="5114F866" w14:textId="77777777" w:rsidR="00695B6E" w:rsidRPr="00395CE4" w:rsidRDefault="00695B6E"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6903AF7B" w14:textId="2EF24674" w:rsidR="00695B6E" w:rsidRPr="00395CE4" w:rsidRDefault="00A1546D" w:rsidP="00395CE4">
      <w:pPr>
        <w:pStyle w:val="ListParagraph"/>
        <w:numPr>
          <w:ilvl w:val="0"/>
          <w:numId w:val="2"/>
        </w:numPr>
        <w:spacing w:line="288" w:lineRule="auto"/>
        <w:ind w:left="567" w:hanging="567"/>
        <w:jc w:val="both"/>
        <w:outlineLvl w:val="1"/>
        <w:rPr>
          <w:rFonts w:ascii="Times New Roman" w:hAnsi="Times New Roman"/>
          <w:sz w:val="22"/>
          <w:szCs w:val="22"/>
        </w:rPr>
      </w:pPr>
      <w:r>
        <w:rPr>
          <w:rFonts w:ascii="Times New Roman" w:hAnsi="Times New Roman"/>
          <w:sz w:val="22"/>
          <w:szCs w:val="22"/>
        </w:rPr>
        <w:t>Be ekonomikos ir aplinkos klausimų, ES 2021 m. darbo programa turi apimti ir socialinį aspektą. Tai reiškia, kad svarbiausia, jog įgyvendinant šią programą, būtų kuriama socialinė ir tvari Europa. Šiuo požiūriu pilietinės visuomenės organizacijos taip pat atlieka svarbų vaidmenį.</w:t>
      </w:r>
    </w:p>
    <w:p w14:paraId="1F858B09" w14:textId="77777777" w:rsidR="00695B6E" w:rsidRPr="00395CE4" w:rsidRDefault="00695B6E" w:rsidP="00395CE4">
      <w:pPr>
        <w:pStyle w:val="ListParagraph"/>
        <w:spacing w:line="288" w:lineRule="auto"/>
        <w:ind w:left="0"/>
        <w:jc w:val="both"/>
        <w:outlineLvl w:val="1"/>
        <w:rPr>
          <w:rFonts w:ascii="Times New Roman" w:hAnsi="Times New Roman"/>
          <w:sz w:val="22"/>
          <w:szCs w:val="22"/>
          <w:lang w:val="en-GB"/>
        </w:rPr>
      </w:pPr>
    </w:p>
    <w:p w14:paraId="73255230" w14:textId="500D09E0" w:rsidR="00695B6E" w:rsidRPr="00395CE4" w:rsidRDefault="00A1546D" w:rsidP="00395CE4">
      <w:pPr>
        <w:pStyle w:val="ListParagraph"/>
        <w:numPr>
          <w:ilvl w:val="0"/>
          <w:numId w:val="2"/>
        </w:numPr>
        <w:spacing w:line="288" w:lineRule="auto"/>
        <w:ind w:left="567" w:hanging="567"/>
        <w:jc w:val="both"/>
        <w:outlineLvl w:val="1"/>
        <w:rPr>
          <w:rFonts w:ascii="Times New Roman" w:hAnsi="Times New Roman"/>
          <w:sz w:val="22"/>
          <w:szCs w:val="22"/>
        </w:rPr>
      </w:pPr>
      <w:r>
        <w:rPr>
          <w:rFonts w:ascii="Times New Roman" w:hAnsi="Times New Roman"/>
          <w:sz w:val="22"/>
          <w:szCs w:val="22"/>
        </w:rPr>
        <w:t>EESRK tvirtai remia Europos Komisijos pasiūlymą parengti Europos veiksmų planą demokratijos srityje, kuris turėtų būti visapusiškas ir tęstinis, gebantis įgyvendinti pokyčius, užtikrinamas finansine parama ir tarpinstituciniu koordinavimu.</w:t>
      </w:r>
    </w:p>
    <w:p w14:paraId="1F40C220" w14:textId="475B4AEC" w:rsidR="00395CE4" w:rsidRPr="00142670" w:rsidRDefault="00395CE4" w:rsidP="00695B6E">
      <w:pPr>
        <w:spacing w:line="288" w:lineRule="auto"/>
        <w:jc w:val="both"/>
        <w:outlineLvl w:val="1"/>
        <w:rPr>
          <w:rFonts w:ascii="Times New Roman" w:hAnsi="Times New Roman"/>
          <w:sz w:val="16"/>
          <w:szCs w:val="16"/>
          <w:lang w:val="en-GB"/>
        </w:rPr>
      </w:pPr>
    </w:p>
    <w:p w14:paraId="620BA47D" w14:textId="77777777" w:rsidR="00395CE4" w:rsidRPr="00AC7274" w:rsidRDefault="00395CE4">
      <w:pPr>
        <w:overflowPunct w:val="0"/>
        <w:autoSpaceDE w:val="0"/>
        <w:autoSpaceDN w:val="0"/>
        <w:adjustRightInd w:val="0"/>
        <w:spacing w:line="288" w:lineRule="auto"/>
        <w:jc w:val="center"/>
        <w:textAlignment w:val="baseline"/>
      </w:pPr>
      <w:r>
        <w:t>_____________</w:t>
      </w:r>
    </w:p>
    <w:sectPr w:rsidR="00395CE4" w:rsidRPr="00AC7274" w:rsidSect="00395CE4">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37331" w14:textId="77777777" w:rsidR="00FC6434" w:rsidRDefault="00FC6434" w:rsidP="00EA484E">
      <w:r>
        <w:separator/>
      </w:r>
    </w:p>
  </w:endnote>
  <w:endnote w:type="continuationSeparator" w:id="0">
    <w:p w14:paraId="7D924EA2" w14:textId="77777777" w:rsidR="00FC6434" w:rsidRDefault="00FC6434" w:rsidP="00EA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967DA" w14:textId="77777777" w:rsidR="00395CE4" w:rsidRPr="00395CE4" w:rsidRDefault="00395CE4" w:rsidP="00395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84632" w14:textId="51D0CA75" w:rsidR="00395CE4" w:rsidRPr="00395CE4" w:rsidRDefault="00395CE4" w:rsidP="00395CE4">
    <w:pPr>
      <w:pStyle w:val="Footer"/>
    </w:pPr>
    <w:r>
      <w:t xml:space="preserve">EESC-2020-03155-00-00-TCD-TRA (EN) </w:t>
    </w:r>
    <w:r>
      <w:fldChar w:fldCharType="begin"/>
    </w:r>
    <w:r>
      <w:instrText xml:space="preserve"> PAGE  \* Arabic  \* MERGEFORMAT </w:instrText>
    </w:r>
    <w:r>
      <w:fldChar w:fldCharType="separate"/>
    </w:r>
    <w:r w:rsidR="00DC67B7">
      <w:rPr>
        <w:noProof/>
      </w:rPr>
      <w:t>3</w:t>
    </w:r>
    <w:r>
      <w:fldChar w:fldCharType="end"/>
    </w:r>
    <w:r>
      <w:t>/</w:t>
    </w:r>
    <w:fldSimple w:instr=" NUMPAGES ">
      <w:r w:rsidR="00DC67B7">
        <w:rPr>
          <w:noProof/>
        </w:rPr>
        <w:t>3</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D1C6D" w14:textId="77777777" w:rsidR="00395CE4" w:rsidRPr="00395CE4" w:rsidRDefault="00395CE4" w:rsidP="00395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2C85F" w14:textId="77777777" w:rsidR="00FC6434" w:rsidRDefault="00FC6434" w:rsidP="00EA484E">
      <w:r>
        <w:separator/>
      </w:r>
    </w:p>
  </w:footnote>
  <w:footnote w:type="continuationSeparator" w:id="0">
    <w:p w14:paraId="2CDFA011" w14:textId="77777777" w:rsidR="00FC6434" w:rsidRDefault="00FC6434" w:rsidP="00EA484E">
      <w:r>
        <w:continuationSeparator/>
      </w:r>
    </w:p>
  </w:footnote>
  <w:footnote w:id="1">
    <w:p w14:paraId="3A3A82D3" w14:textId="3514ABC3" w:rsidR="00EA484E" w:rsidRPr="005C2677" w:rsidRDefault="00EA484E" w:rsidP="00AC7274">
      <w:pPr>
        <w:pStyle w:val="FootnoteText"/>
        <w:spacing w:after="60" w:line="288" w:lineRule="auto"/>
        <w:ind w:left="567" w:hanging="567"/>
        <w:contextualSpacing/>
        <w:jc w:val="both"/>
        <w:outlineLvl w:val="1"/>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r>
      <w:hyperlink r:id="rId1" w:history="1">
        <w:r>
          <w:rPr>
            <w:rStyle w:val="Hyperlink"/>
            <w:rFonts w:ascii="Times New Roman" w:hAnsi="Times New Roman"/>
            <w:sz w:val="16"/>
            <w:szCs w:val="16"/>
          </w:rPr>
          <w:t>Rezoliucija dėl ekonomikos atstatymo ir atgaivinimo priemonių po COVID-19 krizės</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A91F" w14:textId="77777777" w:rsidR="00395CE4" w:rsidRPr="00395CE4" w:rsidRDefault="00395CE4" w:rsidP="00395C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59AA2" w14:textId="26B8DA1F" w:rsidR="00395CE4" w:rsidRPr="00395CE4" w:rsidRDefault="00395CE4" w:rsidP="00395C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9201" w14:textId="77777777" w:rsidR="00395CE4" w:rsidRPr="00395CE4" w:rsidRDefault="00395CE4" w:rsidP="00395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3A0113A"/>
    <w:lvl w:ilvl="0">
      <w:start w:val="1"/>
      <w:numFmt w:val="decimal"/>
      <w:pStyle w:val="Heading1"/>
      <w:lvlText w:val="%1."/>
      <w:lvlJc w:val="left"/>
      <w:pPr>
        <w:ind w:left="709" w:firstLine="0"/>
      </w:pPr>
      <w:rPr>
        <w:rFonts w:hint="default"/>
        <w:b/>
        <w:bCs w:val="0"/>
      </w:rPr>
    </w:lvl>
    <w:lvl w:ilvl="1">
      <w:start w:val="1"/>
      <w:numFmt w:val="decimal"/>
      <w:pStyle w:val="Heading2"/>
      <w:lvlText w:val="%1.%2"/>
      <w:lvlJc w:val="left"/>
      <w:pPr>
        <w:ind w:left="709" w:firstLine="0"/>
      </w:pPr>
      <w:rPr>
        <w:rFonts w:hint="default"/>
        <w:b w:val="0"/>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abstractNum w:abstractNumId="1" w15:restartNumberingAfterBreak="0">
    <w:nsid w:val="4DF036DF"/>
    <w:multiLevelType w:val="hybridMultilevel"/>
    <w:tmpl w:val="6E341E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84E"/>
    <w:rsid w:val="00142670"/>
    <w:rsid w:val="0019028B"/>
    <w:rsid w:val="00395CE4"/>
    <w:rsid w:val="00695B6E"/>
    <w:rsid w:val="006D2A9B"/>
    <w:rsid w:val="007047CD"/>
    <w:rsid w:val="00747CA5"/>
    <w:rsid w:val="00765063"/>
    <w:rsid w:val="00797347"/>
    <w:rsid w:val="00A1546D"/>
    <w:rsid w:val="00AC7274"/>
    <w:rsid w:val="00C12343"/>
    <w:rsid w:val="00D41E97"/>
    <w:rsid w:val="00DC67B7"/>
    <w:rsid w:val="00E8316F"/>
    <w:rsid w:val="00EA3B3D"/>
    <w:rsid w:val="00EA484E"/>
    <w:rsid w:val="00FC64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4449C"/>
  <w15:chartTrackingRefBased/>
  <w15:docId w15:val="{B52C3C5B-351A-4CCD-A6EE-6A307784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sz w:val="18"/>
        <w:szCs w:val="22"/>
        <w:lang w:val="lt-LT" w:eastAsia="en-US" w:bidi="ar-SA"/>
      </w:rPr>
    </w:rPrDefault>
    <w:pPrDefault>
      <w:pPr>
        <w:spacing w:line="280" w:lineRule="exact"/>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84E"/>
    <w:pPr>
      <w:spacing w:line="240" w:lineRule="auto"/>
      <w:ind w:left="0" w:firstLine="0"/>
    </w:pPr>
    <w:rPr>
      <w:rFonts w:ascii="Cambria" w:eastAsia="MS Mincho" w:hAnsi="Cambria" w:cs="Times New Roman"/>
      <w:sz w:val="24"/>
      <w:szCs w:val="24"/>
      <w:lang w:eastAsia="it-IT"/>
    </w:rPr>
  </w:style>
  <w:style w:type="paragraph" w:styleId="Heading1">
    <w:name w:val="heading 1"/>
    <w:basedOn w:val="Normal"/>
    <w:next w:val="Normal"/>
    <w:link w:val="Heading1Char"/>
    <w:qFormat/>
    <w:rsid w:val="00EA484E"/>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EA484E"/>
    <w:pPr>
      <w:numPr>
        <w:ilvl w:val="1"/>
        <w:numId w:val="1"/>
      </w:numPr>
      <w:spacing w:line="288" w:lineRule="auto"/>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EA484E"/>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EA484E"/>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EA484E"/>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EA484E"/>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EA484E"/>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EA484E"/>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EA484E"/>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484E"/>
    <w:rPr>
      <w:rFonts w:ascii="Times New Roman" w:eastAsia="Times New Roman" w:hAnsi="Times New Roman" w:cs="Times New Roman"/>
      <w:kern w:val="28"/>
      <w:sz w:val="22"/>
      <w:lang w:val="lt-LT"/>
    </w:rPr>
  </w:style>
  <w:style w:type="character" w:customStyle="1" w:styleId="Heading2Char">
    <w:name w:val="Heading 2 Char"/>
    <w:basedOn w:val="DefaultParagraphFont"/>
    <w:link w:val="Heading2"/>
    <w:rsid w:val="00EA484E"/>
    <w:rPr>
      <w:rFonts w:ascii="Times New Roman" w:eastAsia="Times New Roman" w:hAnsi="Times New Roman" w:cs="Times New Roman"/>
      <w:sz w:val="22"/>
      <w:lang w:val="lt-LT"/>
    </w:rPr>
  </w:style>
  <w:style w:type="character" w:customStyle="1" w:styleId="Heading3Char">
    <w:name w:val="Heading 3 Char"/>
    <w:basedOn w:val="DefaultParagraphFont"/>
    <w:link w:val="Heading3"/>
    <w:rsid w:val="00EA484E"/>
    <w:rPr>
      <w:rFonts w:ascii="Times New Roman" w:eastAsia="Times New Roman" w:hAnsi="Times New Roman" w:cs="Times New Roman"/>
      <w:sz w:val="22"/>
      <w:lang w:val="lt-LT"/>
    </w:rPr>
  </w:style>
  <w:style w:type="character" w:customStyle="1" w:styleId="Heading4Char">
    <w:name w:val="Heading 4 Char"/>
    <w:basedOn w:val="DefaultParagraphFont"/>
    <w:link w:val="Heading4"/>
    <w:rsid w:val="00EA484E"/>
    <w:rPr>
      <w:rFonts w:ascii="Times New Roman" w:eastAsia="Times New Roman" w:hAnsi="Times New Roman" w:cs="Times New Roman"/>
      <w:sz w:val="22"/>
      <w:lang w:val="lt-LT"/>
    </w:rPr>
  </w:style>
  <w:style w:type="character" w:customStyle="1" w:styleId="Heading5Char">
    <w:name w:val="Heading 5 Char"/>
    <w:basedOn w:val="DefaultParagraphFont"/>
    <w:link w:val="Heading5"/>
    <w:rsid w:val="00EA484E"/>
    <w:rPr>
      <w:rFonts w:ascii="Times New Roman" w:eastAsia="Times New Roman" w:hAnsi="Times New Roman" w:cs="Times New Roman"/>
      <w:sz w:val="22"/>
      <w:lang w:val="lt-LT"/>
    </w:rPr>
  </w:style>
  <w:style w:type="character" w:customStyle="1" w:styleId="Heading6Char">
    <w:name w:val="Heading 6 Char"/>
    <w:basedOn w:val="DefaultParagraphFont"/>
    <w:link w:val="Heading6"/>
    <w:rsid w:val="00EA484E"/>
    <w:rPr>
      <w:rFonts w:ascii="Times New Roman" w:eastAsia="Times New Roman" w:hAnsi="Times New Roman" w:cs="Times New Roman"/>
      <w:sz w:val="22"/>
      <w:lang w:val="lt-LT"/>
    </w:rPr>
  </w:style>
  <w:style w:type="character" w:customStyle="1" w:styleId="Heading7Char">
    <w:name w:val="Heading 7 Char"/>
    <w:basedOn w:val="DefaultParagraphFont"/>
    <w:link w:val="Heading7"/>
    <w:rsid w:val="00EA484E"/>
    <w:rPr>
      <w:rFonts w:ascii="Times New Roman" w:eastAsia="Times New Roman" w:hAnsi="Times New Roman" w:cs="Times New Roman"/>
      <w:sz w:val="22"/>
      <w:lang w:val="lt-LT"/>
    </w:rPr>
  </w:style>
  <w:style w:type="character" w:customStyle="1" w:styleId="Heading8Char">
    <w:name w:val="Heading 8 Char"/>
    <w:basedOn w:val="DefaultParagraphFont"/>
    <w:link w:val="Heading8"/>
    <w:rsid w:val="00EA484E"/>
    <w:rPr>
      <w:rFonts w:ascii="Times New Roman" w:eastAsia="Times New Roman" w:hAnsi="Times New Roman" w:cs="Times New Roman"/>
      <w:sz w:val="22"/>
      <w:lang w:val="lt-LT"/>
    </w:rPr>
  </w:style>
  <w:style w:type="character" w:customStyle="1" w:styleId="Heading9Char">
    <w:name w:val="Heading 9 Char"/>
    <w:basedOn w:val="DefaultParagraphFont"/>
    <w:link w:val="Heading9"/>
    <w:rsid w:val="00EA484E"/>
    <w:rPr>
      <w:rFonts w:ascii="Times New Roman" w:eastAsia="Times New Roman" w:hAnsi="Times New Roman" w:cs="Times New Roman"/>
      <w:sz w:val="22"/>
      <w:lang w:val="lt-LT"/>
    </w:rPr>
  </w:style>
  <w:style w:type="paragraph" w:styleId="FootnoteText">
    <w:name w:val="footnote text"/>
    <w:basedOn w:val="Normal"/>
    <w:link w:val="FootnoteTextChar"/>
    <w:unhideWhenUsed/>
    <w:qFormat/>
    <w:rsid w:val="00EA484E"/>
  </w:style>
  <w:style w:type="character" w:customStyle="1" w:styleId="FootnoteTextChar">
    <w:name w:val="Footnote Text Char"/>
    <w:basedOn w:val="DefaultParagraphFont"/>
    <w:link w:val="FootnoteText"/>
    <w:rsid w:val="00EA484E"/>
    <w:rPr>
      <w:rFonts w:ascii="Cambria" w:eastAsia="MS Mincho" w:hAnsi="Cambria" w:cs="Times New Roman"/>
      <w:sz w:val="24"/>
      <w:szCs w:val="24"/>
      <w:lang w:val="lt-LT" w:eastAsia="it-IT"/>
    </w:rPr>
  </w:style>
  <w:style w:type="character" w:styleId="FootnoteReference">
    <w:name w:val="footnote reference"/>
    <w:unhideWhenUsed/>
    <w:qFormat/>
    <w:rsid w:val="00EA484E"/>
    <w:rPr>
      <w:vertAlign w:val="superscript"/>
    </w:rPr>
  </w:style>
  <w:style w:type="character" w:styleId="Hyperlink">
    <w:name w:val="Hyperlink"/>
    <w:uiPriority w:val="99"/>
    <w:unhideWhenUsed/>
    <w:rsid w:val="00EA484E"/>
    <w:rPr>
      <w:color w:val="0563C1"/>
      <w:u w:val="single"/>
    </w:rPr>
  </w:style>
  <w:style w:type="paragraph" w:styleId="ListParagraph">
    <w:name w:val="List Paragraph"/>
    <w:basedOn w:val="Normal"/>
    <w:uiPriority w:val="34"/>
    <w:qFormat/>
    <w:rsid w:val="00EA484E"/>
    <w:pPr>
      <w:ind w:left="720"/>
      <w:contextualSpacing/>
    </w:pPr>
  </w:style>
  <w:style w:type="paragraph" w:styleId="Header">
    <w:name w:val="header"/>
    <w:basedOn w:val="Normal"/>
    <w:link w:val="HeaderChar"/>
    <w:uiPriority w:val="99"/>
    <w:unhideWhenUsed/>
    <w:rsid w:val="00395CE4"/>
    <w:pPr>
      <w:spacing w:line="288" w:lineRule="auto"/>
      <w:jc w:val="both"/>
    </w:pPr>
    <w:rPr>
      <w:rFonts w:ascii="Times New Roman" w:hAnsi="Times New Roman"/>
      <w:sz w:val="22"/>
    </w:rPr>
  </w:style>
  <w:style w:type="character" w:customStyle="1" w:styleId="HeaderChar">
    <w:name w:val="Header Char"/>
    <w:basedOn w:val="DefaultParagraphFont"/>
    <w:link w:val="Header"/>
    <w:uiPriority w:val="99"/>
    <w:rsid w:val="00395CE4"/>
    <w:rPr>
      <w:rFonts w:ascii="Times New Roman" w:eastAsia="MS Mincho" w:hAnsi="Times New Roman" w:cs="Times New Roman"/>
      <w:sz w:val="22"/>
      <w:szCs w:val="24"/>
      <w:lang w:val="lt-LT" w:eastAsia="it-IT"/>
    </w:rPr>
  </w:style>
  <w:style w:type="paragraph" w:styleId="Footer">
    <w:name w:val="footer"/>
    <w:basedOn w:val="Normal"/>
    <w:link w:val="FooterChar"/>
    <w:uiPriority w:val="99"/>
    <w:unhideWhenUsed/>
    <w:rsid w:val="00395CE4"/>
    <w:pPr>
      <w:spacing w:line="288" w:lineRule="auto"/>
      <w:jc w:val="both"/>
    </w:pPr>
    <w:rPr>
      <w:rFonts w:ascii="Times New Roman" w:hAnsi="Times New Roman"/>
      <w:sz w:val="22"/>
    </w:rPr>
  </w:style>
  <w:style w:type="character" w:customStyle="1" w:styleId="FooterChar">
    <w:name w:val="Footer Char"/>
    <w:basedOn w:val="DefaultParagraphFont"/>
    <w:link w:val="Footer"/>
    <w:uiPriority w:val="99"/>
    <w:rsid w:val="00395CE4"/>
    <w:rPr>
      <w:rFonts w:ascii="Times New Roman" w:eastAsia="MS Mincho" w:hAnsi="Times New Roman" w:cs="Times New Roman"/>
      <w:sz w:val="22"/>
      <w:szCs w:val="24"/>
      <w:lang w:val="lt-LT" w:eastAsia="it-IT"/>
    </w:rPr>
  </w:style>
  <w:style w:type="paragraph" w:styleId="BalloonText">
    <w:name w:val="Balloon Text"/>
    <w:basedOn w:val="Normal"/>
    <w:link w:val="BalloonTextChar"/>
    <w:uiPriority w:val="99"/>
    <w:semiHidden/>
    <w:unhideWhenUsed/>
    <w:rsid w:val="00395C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5CE4"/>
    <w:rPr>
      <w:rFonts w:ascii="Segoe UI" w:eastAsia="MS Mincho" w:hAnsi="Segoe UI" w:cs="Segoe UI"/>
      <w:szCs w:val="18"/>
      <w:lang w:val="lt-L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esc.europa.eu/lt/news-media/press-releases/eesc-proposals-post-covid-19-recovery-and-reconstruction-towards-new-societal-mode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VV634QRNENMJ-762678085-1643</_dlc_DocId>
    <_dlc_DocIdUrl xmlns="cda99570-6012-4083-bfeb-7d32ad1ce1a3">
      <Url>http://dm2016/eesc/2020/_layouts/15/DocIdRedir.aspx?ID=VV634QRNENMJ-762678085-1643</Url>
      <Description>VV634QRNENMJ-762678085-1643</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TCD</TermName>
          <TermId xmlns="http://schemas.microsoft.com/office/infopath/2007/PartnerControls">cd9d6eb6-3f4f-424a-b2d1-57c9d450eaaf</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2020-07-20T12:00:00+00:00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2020-07-15T12:00:00+00:00</MeetingDate>
    <TaxCatchAll xmlns="cda99570-6012-4083-bfeb-7d32ad1ce1a3">
      <Value>51</Value>
      <Value>48</Value>
      <Value>47</Value>
      <Value>46</Value>
      <Value>45</Value>
      <Value>44</Value>
      <Value>43</Value>
      <Value>41</Value>
      <Value>40</Value>
      <Value>39</Value>
      <Value>38</Value>
      <Value>36</Value>
      <Value>34</Value>
      <Value>32</Value>
      <Value>31</Value>
      <Value>30</Value>
      <Value>29</Value>
      <Value>24</Value>
      <Value>16</Value>
      <Value>13</Value>
      <Value>11</Value>
      <Value>10</Value>
      <Value>9</Value>
      <Value>8</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7916</FicheNumber>
    <DocumentPart xmlns="cda99570-6012-4083-bfeb-7d32ad1ce1a3">0</DocumentPart>
    <AdoptionDate xmlns="cda99570-6012-4083-bfeb-7d32ad1ce1a3" xsi:nil="true"/>
    <RequestingService xmlns="cda99570-6012-4083-bfeb-7d32ad1ce1a3">Coordination législative</RequestingService>
    <MeetingName_0 xmlns="http://schemas.microsoft.com/sharepoint/v3/fields">
      <Terms xmlns="http://schemas.microsoft.com/office/infopath/2007/PartnerControls">
        <TermInfo xmlns="http://schemas.microsoft.com/office/infopath/2007/PartnerControls">
          <TermName xmlns="http://schemas.microsoft.com/office/infopath/2007/PartnerControls">SPL-CES</TermName>
          <TermId xmlns="http://schemas.microsoft.com/office/infopath/2007/PartnerControls">32d8cb1f-c9ec-4365-95c7-8385a18618ac</TermId>
        </TermInfo>
      </Term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553</MeetingNumber>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3BA2DE15-42D6-4A54-8A0E-2EE796FF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A1F0C-C273-452C-82DC-DD1DC79BB6E3}">
  <ds:schemaRefs>
    <ds:schemaRef ds:uri="http://schemas.microsoft.com/sharepoint/events"/>
  </ds:schemaRefs>
</ds:datastoreItem>
</file>

<file path=customXml/itemProps3.xml><?xml version="1.0" encoding="utf-8"?>
<ds:datastoreItem xmlns:ds="http://schemas.openxmlformats.org/officeDocument/2006/customXml" ds:itemID="{69186F6A-802B-4864-87B7-19107EB12996}">
  <ds:schemaRefs>
    <ds:schemaRef ds:uri="http://schemas.microsoft.com/sharepoint/v3/contenttype/forms"/>
  </ds:schemaRefs>
</ds:datastoreItem>
</file>

<file path=customXml/itemProps4.xml><?xml version="1.0" encoding="utf-8"?>
<ds:datastoreItem xmlns:ds="http://schemas.openxmlformats.org/officeDocument/2006/customXml" ds:itemID="{AD172B56-40DF-4710-9FD5-051F1BBC2090}">
  <ds:schemaRefs>
    <ds:schemaRef ds:uri="http://purl.org/dc/terms/"/>
    <ds:schemaRef ds:uri="http://schemas.microsoft.com/sharepoint/v3/fields"/>
    <ds:schemaRef ds:uri="http://schemas.microsoft.com/office/2006/documentManagement/types"/>
    <ds:schemaRef ds:uri="cda99570-6012-4083-bfeb-7d32ad1ce1a3"/>
    <ds:schemaRef ds:uri="98af4b3d-0f8e-4839-87de-ec8dfffabf66"/>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Santrauka  - EESRK indėlis į 2021 m. Europos Komisijos darbo programą</vt: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Santrauka  - EESRK indėlis į 2021 m. Europos Komisijos darbo programą</dc:title>
  <dc:creator>Jan Dirx</dc:creator>
  <cp:keywords>EESC-2020-03155-00-00-TCD-TRA-EN</cp:keywords>
  <dc:description>Rapporteur:  - Original language: EN - Date of document: 20/07/2020 - Date of meeting: 15/07/2020 - External documents:  - Administrator: M. COSMAI Domenico</dc:description>
  <cp:lastModifiedBy>Jekaterina Kelk</cp:lastModifiedBy>
  <cp:revision>2</cp:revision>
  <dcterms:created xsi:type="dcterms:W3CDTF">2020-07-20T12:25:00Z</dcterms:created>
  <dcterms:modified xsi:type="dcterms:W3CDTF">2020-07-20T12:25:00Z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vt:lpwstr>
  </property>
  <property fmtid="{D5CDD505-2E9C-101B-9397-08002B2CF9AE}" pid="4" name="Pref_Time">
    <vt:lpwstr>16:38:07</vt:lpwstr>
  </property>
  <property fmtid="{D5CDD505-2E9C-101B-9397-08002B2CF9AE}" pid="5" name="Pref_User">
    <vt:lpwstr>hnic</vt:lpwstr>
  </property>
  <property fmtid="{D5CDD505-2E9C-101B-9397-08002B2CF9AE}" pid="6" name="Pref_FileName">
    <vt:lpwstr>EESC-2020-03155-00-00-TCD-ORI.docx</vt:lpwstr>
  </property>
  <property fmtid="{D5CDD505-2E9C-101B-9397-08002B2CF9AE}" pid="7" name="ContentTypeId">
    <vt:lpwstr>0x010100EA97B91038054C99906057A708A1480A00292A099219C5BF43911B0000CE8DBCC8</vt:lpwstr>
  </property>
  <property fmtid="{D5CDD505-2E9C-101B-9397-08002B2CF9AE}" pid="8" name="_dlc_DocIdItemGuid">
    <vt:lpwstr>c81a29ef-3e3c-45e8-8626-7b10b2d34bf2</vt:lpwstr>
  </property>
  <property fmtid="{D5CDD505-2E9C-101B-9397-08002B2CF9AE}" pid="9" name="AvailableTranslations">
    <vt:lpwstr>39;#HU|6b229040-c589-4408-b4c1-4285663d20a8;#9;#PL|1e03da61-4678-4e07-b136-b5024ca9197b;#45;#FI|87606a43-d45f-42d6-b8c9-e1a3457db5b7;#24;#LV|46f7e311-5d9f-4663-b433-18aeccb7ace7;#16;#ES|e7a6b05b-ae16-40c8-add9-68b64b03aeba;#13;#IT|0774613c-01ed-4e5d-a25d-</vt:lpwstr>
  </property>
  <property fmtid="{D5CDD505-2E9C-101B-9397-08002B2CF9AE}" pid="10" name="DocumentType_0">
    <vt:lpwstr>TCD|cd9d6eb6-3f4f-424a-b2d1-57c9d450eaaf</vt:lpwstr>
  </property>
  <property fmtid="{D5CDD505-2E9C-101B-9397-08002B2CF9AE}" pid="11" name="MeetingNumber">
    <vt:i4>553</vt:i4>
  </property>
  <property fmtid="{D5CDD505-2E9C-101B-9397-08002B2CF9AE}" pid="12" name="DossierName_0">
    <vt:lpwstr/>
  </property>
  <property fmtid="{D5CDD505-2E9C-101B-9397-08002B2CF9AE}" pid="13" name="DocumentSource_0">
    <vt:lpwstr>EESC|422833ec-8d7e-4e65-8e4e-8bed07ffb729</vt:lpwstr>
  </property>
  <property fmtid="{D5CDD505-2E9C-101B-9397-08002B2CF9AE}" pid="14" name="DocumentNumber">
    <vt:i4>3155</vt:i4>
  </property>
  <property fmtid="{D5CDD505-2E9C-101B-9397-08002B2CF9AE}" pid="15" name="FicheYear">
    <vt:i4>2020</vt:i4>
  </property>
  <property fmtid="{D5CDD505-2E9C-101B-9397-08002B2CF9AE}" pid="16" name="DocumentVersion">
    <vt:i4>0</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
  </property>
  <property fmtid="{D5CDD505-2E9C-101B-9397-08002B2CF9AE}" pid="20" name="DocumentSource">
    <vt:lpwstr>1;#EESC|422833ec-8d7e-4e65-8e4e-8bed07ffb729</vt:lpwstr>
  </property>
  <property fmtid="{D5CDD505-2E9C-101B-9397-08002B2CF9AE}" pid="21" name="DocumentType">
    <vt:lpwstr>8;#TCD|cd9d6eb6-3f4f-424a-b2d1-57c9d450eaaf</vt:lpwstr>
  </property>
  <property fmtid="{D5CDD505-2E9C-101B-9397-08002B2CF9AE}" pid="22" name="RequestingService">
    <vt:lpwstr>Coordination législative</vt:lpwstr>
  </property>
  <property fmtid="{D5CDD505-2E9C-101B-9397-08002B2CF9AE}" pid="23" name="Confidentiality">
    <vt:lpwstr>5;#Unrestricted|826e22d7-d029-4ec0-a450-0c28ff673572</vt:lpwstr>
  </property>
  <property fmtid="{D5CDD505-2E9C-101B-9397-08002B2CF9AE}" pid="24" name="MeetingName_0">
    <vt:lpwstr>SPL-CES|32d8cb1f-c9ec-4365-95c7-8385a18618ac</vt:lpwstr>
  </property>
  <property fmtid="{D5CDD505-2E9C-101B-9397-08002B2CF9AE}" pid="25" name="Confidentiality_0">
    <vt:lpwstr>Unrestricted|826e22d7-d029-4ec0-a450-0c28ff673572</vt:lpwstr>
  </property>
  <property fmtid="{D5CDD505-2E9C-101B-9397-08002B2CF9AE}" pid="26" name="OriginalLanguage">
    <vt:lpwstr>4;#EN|f2175f21-25d7-44a3-96da-d6a61b075e1b</vt:lpwstr>
  </property>
  <property fmtid="{D5CDD505-2E9C-101B-9397-08002B2CF9AE}" pid="27" name="MeetingName">
    <vt:lpwstr>51;#SPL-CES|32d8cb1f-c9ec-4365-95c7-8385a18618ac</vt:lpwstr>
  </property>
  <property fmtid="{D5CDD505-2E9C-101B-9397-08002B2CF9AE}" pid="28" name="MeetingDate">
    <vt:filetime>2020-07-15T12:00:00Z</vt:filetime>
  </property>
  <property fmtid="{D5CDD505-2E9C-101B-9397-08002B2CF9AE}" pid="29" name="AvailableTranslations_0">
    <vt:lpwstr>HU|6b229040-c589-4408-b4c1-4285663d20a8;PL|1e03da61-4678-4e07-b136-b5024ca9197b;FI|87606a43-d45f-42d6-b8c9-e1a3457db5b7;LV|46f7e311-5d9f-4663-b433-18aeccb7ace7;ES|e7a6b05b-ae16-40c8-add9-68b64b03aeba;IT|0774613c-01ed-4e5d-a25d-11d2388de825;PT|50ccc04a-ead</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51;#SPL-CES|32d8cb1f-c9ec-4365-95c7-8385a18618ac;#48;#RO|feb747a2-64cd-4299-af12-4833ddc30497;#47;#ET|ff6c3f4c-b02c-4c3c-ab07-2c37995a7a0a;#46;#SK|46d9fce0-ef79-4f71-b89b-cd6aa82426b8;#45;#FI|87606a43-d45f-42d6-b8c9-e1a3457db5b7;#44;#BG|1a1b3951-7821-4e6a</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2020</vt:i4>
  </property>
  <property fmtid="{D5CDD505-2E9C-101B-9397-08002B2CF9AE}" pid="36" name="FicheNumber">
    <vt:i4>7916</vt:i4>
  </property>
  <property fmtid="{D5CDD505-2E9C-101B-9397-08002B2CF9AE}" pid="37" name="DocumentLanguage">
    <vt:lpwstr>30;#LT|a7ff5ce7-6123-4f68-865a-a57c31810414</vt:lpwstr>
  </property>
</Properties>
</file>