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05E18B39" w:rsidR="00EA484E" w:rsidRPr="00AC7274" w:rsidRDefault="00CF7902" w:rsidP="00EA484E">
      <w:pPr>
        <w:spacing w:line="288" w:lineRule="auto"/>
        <w:jc w:val="center"/>
        <w:rPr>
          <w:rFonts w:ascii="Times New Roman" w:hAnsi="Times New Roman"/>
        </w:rPr>
      </w:pPr>
      <w:r>
        <w:rPr>
          <w:noProof/>
          <w:lang w:val="en-US" w:eastAsia="en-US"/>
        </w:rPr>
        <w:drawing>
          <wp:inline distT="0" distB="0" distL="0" distR="0" wp14:anchorId="33636C90" wp14:editId="473389DB">
            <wp:extent cx="1792605" cy="1239520"/>
            <wp:effectExtent l="0" t="0" r="0" b="0"/>
            <wp:docPr id="1" name="Picture 1" title="EESCLogo_E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val="en-US" w:eastAsia="en-US"/>
        </w:rPr>
        <mc:AlternateContent>
          <mc:Choice Requires="wps">
            <w:drawing>
              <wp:anchor distT="0" distB="0" distL="114300" distR="114300" simplePos="0" relativeHeight="251659264" behindDoc="1" locked="0" layoutInCell="0" allowOverlap="1" wp14:anchorId="6BDDC625" wp14:editId="38A6BA69">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0B80951C" w14:textId="77777777" w:rsidR="00EA484E" w:rsidRPr="00AC7274" w:rsidRDefault="00EA484E" w:rsidP="00EA484E">
      <w:pPr>
        <w:spacing w:line="288" w:lineRule="auto"/>
        <w:rPr>
          <w:rFonts w:ascii="Times New Roman" w:hAnsi="Times New Roman"/>
          <w:sz w:val="22"/>
          <w:szCs w:val="22"/>
          <w:lang w:val="en-GB"/>
        </w:rPr>
      </w:pPr>
    </w:p>
    <w:p w14:paraId="5EE5097E" w14:textId="77777777" w:rsidR="00EA484E" w:rsidRPr="00AC7274" w:rsidRDefault="00EA484E" w:rsidP="00EA484E">
      <w:pPr>
        <w:spacing w:line="288" w:lineRule="auto"/>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RESUMEN DE LA RESOLUCIÓN</w:t>
      </w:r>
    </w:p>
    <w:p w14:paraId="6376E841" w14:textId="77777777" w:rsidR="00EA484E" w:rsidRPr="00AC7274" w:rsidRDefault="00EA484E" w:rsidP="00EA484E">
      <w:pPr>
        <w:spacing w:line="288" w:lineRule="auto"/>
        <w:jc w:val="center"/>
        <w:rPr>
          <w:rFonts w:ascii="Times New Roman" w:hAnsi="Times New Roman"/>
          <w:b/>
          <w:lang w:val="en-GB"/>
        </w:rPr>
      </w:pPr>
    </w:p>
    <w:p w14:paraId="63B8FE3F" w14:textId="77777777" w:rsidR="00EA484E" w:rsidRPr="00395CE4" w:rsidRDefault="00EA484E" w:rsidP="00EA484E">
      <w:pPr>
        <w:spacing w:line="288" w:lineRule="auto"/>
        <w:jc w:val="center"/>
        <w:rPr>
          <w:rFonts w:ascii="Times New Roman" w:hAnsi="Times New Roman"/>
          <w:b/>
          <w:bCs/>
          <w:iCs/>
          <w:sz w:val="22"/>
          <w:szCs w:val="22"/>
        </w:rPr>
      </w:pPr>
      <w:r>
        <w:rPr>
          <w:rFonts w:ascii="Times New Roman" w:hAnsi="Times New Roman"/>
          <w:b/>
          <w:bCs/>
          <w:iCs/>
          <w:sz w:val="22"/>
          <w:szCs w:val="22"/>
        </w:rPr>
        <w:t>La contribución del Comité Económico y Social Europeo</w:t>
      </w:r>
    </w:p>
    <w:p w14:paraId="4AFEA1A9" w14:textId="77777777"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al programa de trabajo de la Comisión Europea para 2021</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18E42D10"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40039A0E"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sobre la base del trabajo del</w:t>
      </w:r>
    </w:p>
    <w:p w14:paraId="6539ED51"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 </w:t>
      </w:r>
    </w:p>
    <w:p w14:paraId="7A521B48" w14:textId="627F487A"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Grupo </w:t>
      </w:r>
      <w:r>
        <w:rPr>
          <w:rFonts w:ascii="Times New Roman" w:hAnsi="Times New Roman"/>
          <w:b/>
          <w:i/>
          <w:iCs/>
          <w:sz w:val="22"/>
          <w:szCs w:val="22"/>
        </w:rPr>
        <w:t>ad hoc</w:t>
      </w:r>
      <w:r>
        <w:rPr>
          <w:rFonts w:ascii="Times New Roman" w:hAnsi="Times New Roman"/>
          <w:b/>
          <w:sz w:val="22"/>
          <w:szCs w:val="22"/>
        </w:rPr>
        <w:t xml:space="preserve"> «Contribución del CESE </w:t>
      </w:r>
      <w:r w:rsidR="00904CAF">
        <w:rPr>
          <w:rFonts w:ascii="Times New Roman" w:hAnsi="Times New Roman"/>
          <w:b/>
          <w:sz w:val="22"/>
          <w:szCs w:val="22"/>
        </w:rPr>
        <w:br/>
      </w:r>
      <w:r>
        <w:rPr>
          <w:rFonts w:ascii="Times New Roman" w:hAnsi="Times New Roman"/>
          <w:b/>
          <w:sz w:val="22"/>
          <w:szCs w:val="22"/>
        </w:rPr>
        <w:t>al programa de trabajo de la Comisión Europea para 2021»</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4234A862"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92C9FD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6E090483" w:rsidR="00EA484E" w:rsidRPr="00AC7274" w:rsidRDefault="0063691D" w:rsidP="0063691D">
      <w:pPr>
        <w:tabs>
          <w:tab w:val="left" w:pos="2835"/>
          <w:tab w:val="left" w:pos="3828"/>
        </w:tabs>
        <w:spacing w:line="288" w:lineRule="auto"/>
        <w:jc w:val="both"/>
        <w:rPr>
          <w:rFonts w:ascii="Times New Roman" w:hAnsi="Times New Roman"/>
          <w:sz w:val="22"/>
          <w:szCs w:val="22"/>
        </w:rPr>
      </w:pPr>
      <w:r>
        <w:rPr>
          <w:rFonts w:ascii="Times New Roman" w:hAnsi="Times New Roman"/>
          <w:sz w:val="22"/>
          <w:szCs w:val="22"/>
          <w:lang w:val="en-GB"/>
        </w:rPr>
        <w:tab/>
      </w:r>
      <w:r w:rsidR="00EA484E">
        <w:rPr>
          <w:rFonts w:ascii="Times New Roman" w:hAnsi="Times New Roman"/>
          <w:sz w:val="22"/>
          <w:szCs w:val="22"/>
        </w:rPr>
        <w:t>Ponentes</w:t>
      </w:r>
      <w:r>
        <w:rPr>
          <w:rFonts w:ascii="Times New Roman" w:hAnsi="Times New Roman"/>
          <w:b/>
          <w:sz w:val="22"/>
          <w:szCs w:val="22"/>
        </w:rPr>
        <w:t>:</w:t>
      </w:r>
      <w:r>
        <w:rPr>
          <w:rFonts w:ascii="Times New Roman" w:hAnsi="Times New Roman"/>
          <w:b/>
          <w:sz w:val="22"/>
          <w:szCs w:val="22"/>
        </w:rPr>
        <w:tab/>
      </w:r>
      <w:r w:rsidR="00EA484E">
        <w:rPr>
          <w:rFonts w:ascii="Times New Roman" w:hAnsi="Times New Roman"/>
          <w:b/>
          <w:sz w:val="22"/>
          <w:szCs w:val="22"/>
        </w:rPr>
        <w:t>Petr ZAHRADNIK (Gr. I)</w:t>
      </w:r>
    </w:p>
    <w:p w14:paraId="2B11417B" w14:textId="5AB95151" w:rsidR="00EA484E" w:rsidRPr="00AC7274" w:rsidRDefault="0063691D" w:rsidP="0063691D">
      <w:pPr>
        <w:tabs>
          <w:tab w:val="left" w:pos="3828"/>
        </w:tabs>
        <w:spacing w:line="288" w:lineRule="auto"/>
        <w:rPr>
          <w:rFonts w:ascii="Times New Roman" w:hAnsi="Times New Roman"/>
          <w:b/>
          <w:sz w:val="22"/>
          <w:szCs w:val="22"/>
        </w:rPr>
      </w:pPr>
      <w:r>
        <w:rPr>
          <w:rFonts w:ascii="Times New Roman" w:hAnsi="Times New Roman"/>
          <w:b/>
          <w:sz w:val="22"/>
          <w:szCs w:val="22"/>
        </w:rPr>
        <w:tab/>
      </w:r>
      <w:r w:rsidR="00EA484E">
        <w:rPr>
          <w:rFonts w:ascii="Times New Roman" w:hAnsi="Times New Roman"/>
          <w:b/>
          <w:sz w:val="22"/>
          <w:szCs w:val="22"/>
        </w:rPr>
        <w:t>Stefano PALMIERI (Gr. II)</w:t>
      </w:r>
    </w:p>
    <w:p w14:paraId="5009DD94" w14:textId="44448CC7" w:rsidR="00EA484E" w:rsidRPr="00AC7274" w:rsidRDefault="0063691D" w:rsidP="0063691D">
      <w:pPr>
        <w:tabs>
          <w:tab w:val="left" w:pos="3828"/>
        </w:tabs>
        <w:spacing w:line="288" w:lineRule="auto"/>
        <w:rPr>
          <w:rFonts w:ascii="Times New Roman" w:hAnsi="Times New Roman"/>
          <w:b/>
          <w:sz w:val="22"/>
          <w:szCs w:val="22"/>
        </w:rPr>
      </w:pPr>
      <w:r>
        <w:rPr>
          <w:rFonts w:ascii="Times New Roman" w:hAnsi="Times New Roman"/>
          <w:b/>
          <w:sz w:val="22"/>
          <w:szCs w:val="22"/>
        </w:rPr>
        <w:tab/>
      </w:r>
      <w:r w:rsidR="00EA484E">
        <w:rPr>
          <w:rFonts w:ascii="Times New Roman" w:hAnsi="Times New Roman"/>
          <w:b/>
          <w:sz w:val="22"/>
          <w:szCs w:val="22"/>
        </w:rPr>
        <w:t>Jan DIRX (Gr. III)</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1BA67C7E"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aprobada por el Comité Económico y Social Europeo</w:t>
      </w:r>
      <w:r>
        <w:rPr>
          <w:rFonts w:ascii="Times New Roman" w:hAnsi="Times New Roman"/>
          <w:sz w:val="22"/>
          <w:szCs w:val="22"/>
        </w:rPr>
        <w:br/>
        <w:t>el 16 de julio de 2020</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27B71FF5"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lastRenderedPageBreak/>
        <w:t>Como señaló en su Resolución «Propuesta del CESE para la reconstrucción y la recuperación tras la crisis de la COVID 19»</w:t>
      </w:r>
      <w:r w:rsidRPr="00AC7274">
        <w:rPr>
          <w:rFonts w:ascii="Times New Roman" w:hAnsi="Times New Roman"/>
          <w:vertAlign w:val="superscript"/>
          <w:lang w:val="en-GB" w:eastAsia="en-US"/>
        </w:rPr>
        <w:footnoteReference w:id="1"/>
      </w:r>
      <w:r>
        <w:rPr>
          <w:rFonts w:ascii="Times New Roman" w:hAnsi="Times New Roman"/>
          <w:sz w:val="22"/>
          <w:szCs w:val="22"/>
        </w:rPr>
        <w:t>, el CESE acoge con gran satisfacción y apoya plenamente las propuestas de la Comisión Europea: el plan Next Generation EU (el nuevo instrumento de recuperación de la Unión Europea) y el presupuesto general de la UE para 2021-2027</w:t>
      </w:r>
      <w:r>
        <w:rPr>
          <w:rFonts w:ascii="Times New Roman" w:hAnsi="Times New Roman"/>
        </w:rPr>
        <w:t>.</w:t>
      </w:r>
      <w:r>
        <w:rPr>
          <w:rFonts w:ascii="Times New Roman" w:hAnsi="Times New Roman"/>
          <w:sz w:val="22"/>
          <w:szCs w:val="22"/>
        </w:rPr>
        <w:t xml:space="preserve"> El Comité espera y desea que las líneas establecidas por la Comisión en estos planes, debido a la necesidad de recuperación y reconstrucción tras la crisis del coronavirus, se amplíen de manera completa y concreta en el programa de trabajo de la Comisión para 2021.</w:t>
      </w:r>
    </w:p>
    <w:p w14:paraId="0DC5F400"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Para el CESE, el programa de trabajo debe centrarse en la reestructuración y la mejora de nuestra economía y nuestra sociedad, de acuerdo con los siguientes principios: la protección de los derechos humanos y sociales, los valores democráticos y el Estado de Derecho; la liberación de todo el potencial del mercado único; la consecución de los Objetivos de Desarrollo Sostenible (ODS); la creación de una economía circular y la consecución de la neutralidad climática en la UE en 2050 a más tardar; y la garantía de una buena gobernanza y la rendición de cuentas democrática.</w:t>
      </w:r>
    </w:p>
    <w:p w14:paraId="62862964"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7E5DFEA9"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El CESE subraya que las seis grandes ambiciones elegidas por la Comisión (un Pacto Verde Europeo, una Europa adaptada a la era digital, una economía al servicio de las personas, una Europa más fuerte en el mundo, la promoción de nuestro modo de vida europeo y un nuevo impulso a la democracia europea) proporcionan un marco poderoso para elaborar el programa de trabajo para 2021. Quizás debería hacerse más hincapié en las inversiones y la necesidad de acelerarlas, también mediante las medidas que se están adoptando actualmente.</w:t>
      </w:r>
    </w:p>
    <w:p w14:paraId="76FF9B78"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Sobre todo ahora que experimentamos la importancia de la cooperación entre países en estos tiempos de crisis, el CESE confía en que la próxima Conferencia sobre el Futuro de Europa dé lugar a consolidar y profundizar la estructura institucional de la UE y a una verdadera renovación del proyecto de la Unión, que le posibilite afrontar los retos de las próximas décadas. En este sentido, la Comisión puede contar con todo el apoyo del Comité.</w:t>
      </w:r>
    </w:p>
    <w:p w14:paraId="48473CC8" w14:textId="77777777" w:rsidR="00EA484E" w:rsidRPr="00395CE4"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2F23231E"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El CESE está convencido de que el proceso de recuperación y reconstrucción de la economía y la sociedad solo será posible con la participación activa de las organizaciones de la sociedad civil y los interlocutores sociales.</w:t>
      </w:r>
    </w:p>
    <w:p w14:paraId="7206EF37"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71D68A1C"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El Pacto Verde de la UE puede percibirse también como una herramienta eficaz para reiniciar la economía de manera sostenible mediante inversiones de gran volumen que respalden los cambios estructurales necesarios a los que se enfrenta Europa. Desde este punto de vista, podría considerarse una oportunidad para sostener una recuperación económica a más largo plazo. Ello requiere un nuevo consenso en Europa para concentrar, a tal efecto, suficientes fuentes financieras públicas y privadas y adoptar una nueva gobernanza para aplicarlo con éxito en la práctica.</w:t>
      </w:r>
    </w:p>
    <w:p w14:paraId="4E7D4AA2"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1100C344" w:rsidR="00797347" w:rsidRPr="00395CE4" w:rsidRDefault="00797347" w:rsidP="0063691D">
      <w:pPr>
        <w:pStyle w:val="ListParagraph"/>
        <w:keepNext/>
        <w:keepLines/>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El dinero público que se invierta en los planes de recuperación deberá no solo contribuir a restaurar la economía y la sociedad europeas, sino también a reducir drásticamente el impacto </w:t>
      </w:r>
      <w:r>
        <w:rPr>
          <w:rFonts w:ascii="Times New Roman" w:hAnsi="Times New Roman"/>
          <w:sz w:val="22"/>
          <w:szCs w:val="22"/>
        </w:rPr>
        <w:lastRenderedPageBreak/>
        <w:t xml:space="preserve">de nuevas perturbaciones, optando por una economía resiliente, inclusiva y respetuosa con el clima (la denominada «economía del bienestar»). </w:t>
      </w:r>
    </w:p>
    <w:p w14:paraId="654FCC30"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CF873A2" w14:textId="77777777"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La taxonomía de las finanzas sostenibles de la UE debería orientar la inversión pública y privada durante el proceso de recuperación, a fin de acelerar la transición desde los sectores contaminantes hacia los sectores ecológicos.</w:t>
      </w:r>
    </w:p>
    <w:p w14:paraId="67C0400C" w14:textId="1779E3BE" w:rsidR="00EA484E"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La crisis del coronavirus demuestra que la revolución digital es un aspecto importante del refuerzo de la resiliencia de nuestras sociedades ante las crisis. Se considera primordial invertir en la digitalización de los servicios esenciales y potenciar la capacidad de gobiernos, legisladores e instituciones públicas para prestar servicios en época de crisis.</w:t>
      </w:r>
    </w:p>
    <w:p w14:paraId="3A22B508"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58772FC0" w14:textId="0C733ED2"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Se invita a la Comisión a seguir utilizando el Semestre como factor impulsor de la recuperación sobre la base de las prioridades de inversión y reforma identificadas como parte del Semestre Europeo. El Comité acoge favorablemente la reciente prioridad otorgada a la mejora en la inclusión de los asuntos sociales y el Pacto Verde Europeo, así como la ejecución del Mecanismo de Recuperación y Resiliencia a través del Semestre. </w:t>
      </w:r>
    </w:p>
    <w:p w14:paraId="3C3DB9C8" w14:textId="77777777" w:rsidR="00695B6E" w:rsidRPr="00395CE4" w:rsidRDefault="00695B6E" w:rsidP="00695B6E">
      <w:pPr>
        <w:pStyle w:val="ListParagraph"/>
        <w:spacing w:line="288" w:lineRule="auto"/>
        <w:ind w:left="0"/>
        <w:jc w:val="both"/>
        <w:rPr>
          <w:rFonts w:ascii="Times New Roman" w:eastAsia="Times New Roman" w:hAnsi="Times New Roman"/>
          <w:sz w:val="22"/>
          <w:szCs w:val="22"/>
          <w:lang w:val="en-GB" w:eastAsia="en-US"/>
        </w:rPr>
      </w:pPr>
    </w:p>
    <w:p w14:paraId="4A80875C" w14:textId="7E74118B"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Existe la posibilidad de promover la innovación social como modelo de recuperación a través de la cocreación, el codiseño y la coproducción. La sociedad civil organizada es un catalizador de innovación social, un movimiento que ha contribuido a la concepción de sistemas de bienestar que han dado lugar a nuevas políticas, estructuras, productos, s</w:t>
      </w:r>
      <w:r w:rsidR="00B11CA0">
        <w:rPr>
          <w:rFonts w:ascii="Times New Roman" w:hAnsi="Times New Roman"/>
          <w:sz w:val="22"/>
          <w:szCs w:val="22"/>
        </w:rPr>
        <w:t xml:space="preserve">ervicios y métodos de trabajo. </w:t>
      </w:r>
      <w:r>
        <w:rPr>
          <w:rFonts w:ascii="Times New Roman" w:hAnsi="Times New Roman"/>
          <w:sz w:val="22"/>
          <w:szCs w:val="22"/>
        </w:rPr>
        <w:t>Ahora más que nunca es necesaria la participación de la sociedad civil, y la verdadera innovación social depende de esta participación.</w:t>
      </w:r>
    </w:p>
    <w:p w14:paraId="1385EF6C" w14:textId="77777777" w:rsidR="00A1546D" w:rsidRPr="00395CE4" w:rsidRDefault="00A1546D" w:rsidP="00A1546D">
      <w:pPr>
        <w:pStyle w:val="ListParagraph"/>
        <w:spacing w:line="288" w:lineRule="auto"/>
        <w:ind w:left="0"/>
        <w:jc w:val="both"/>
        <w:rPr>
          <w:rFonts w:ascii="Times New Roman" w:eastAsia="Times New Roman" w:hAnsi="Times New Roman"/>
          <w:sz w:val="22"/>
          <w:szCs w:val="22"/>
          <w:lang w:val="en-GB" w:eastAsia="en-US"/>
        </w:rPr>
      </w:pPr>
    </w:p>
    <w:p w14:paraId="4B3A6FD5" w14:textId="2AC8F4EA"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Por encima de otras consideraciones, una de las principales lecciones extraídas de la crisis del coronavirus es que los sistemas de salud en casi todos los países europeos deben fortalecerse, ante todo centrándose en la prevención. Si bien la responsabilidad de la atención médica incumbe al nivel nacional, la propagación del virus no conoce fronteras. Afecta a toda Europa, tanto dentro como fuera de nuestras fronteras, con consecuencias sanitarias, sociales y económicas que exigen una respuesta común a nivel europeo.</w:t>
      </w:r>
    </w:p>
    <w:p w14:paraId="2D20D300" w14:textId="77777777" w:rsidR="00A1546D" w:rsidRPr="00395CE4" w:rsidRDefault="00A1546D"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08C4A04" w14:textId="16CCFD0F"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La UE debe reforzar y apoyar su posición global en cuanto a desempeñar un papel más importante y estratégico en la economía y la política mundiales. La economía de la UE tiene potencial para aprovechar mejor sus ventajas comparativas en el mercado mundial del comercio y la inversión, especialmente en los sectores manufacturero y de servicios innovadores avanzados, junto con la ambición para ser un líder mundial. Este esfuerzo debe ir acompañado de una representación mejor y más eficaz de la UE en las principales organizaciones mundiales y de expresarse en ellas con una sola voz. El CESE pide a la Comisión Europea que haga un esfuerzo importante para reforzar la posición global de la UE, algo que también debe reflejarse en su programa de trabajo para 2021 de forma más específica.</w:t>
      </w:r>
    </w:p>
    <w:p w14:paraId="5114F866" w14:textId="77777777" w:rsidR="00695B6E" w:rsidRPr="00395CE4" w:rsidRDefault="00695B6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903AF7B" w14:textId="4B35F6BF" w:rsidR="00695B6E" w:rsidRPr="00395CE4" w:rsidRDefault="00A1546D" w:rsidP="0063691D">
      <w:pPr>
        <w:pStyle w:val="ListParagraph"/>
        <w:keepNext/>
        <w:keepLines/>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 xml:space="preserve">Más allá de las cuestiones económicas y medioambientales, el </w:t>
      </w:r>
      <w:r w:rsidR="0063691D">
        <w:rPr>
          <w:rFonts w:ascii="Times New Roman" w:hAnsi="Times New Roman"/>
          <w:sz w:val="22"/>
          <w:szCs w:val="22"/>
        </w:rPr>
        <w:t>programa de trabajo de la UE en </w:t>
      </w:r>
      <w:r>
        <w:rPr>
          <w:rFonts w:ascii="Times New Roman" w:hAnsi="Times New Roman"/>
          <w:sz w:val="22"/>
          <w:szCs w:val="22"/>
        </w:rPr>
        <w:t>2021 debe estar impulsado por la dimensión social. Esto significa que su compromiso con una Europa social y sostenible será prioritario. En este sentido, las organizaciones de la sociedad civil también desempeñan un papel importante.</w:t>
      </w:r>
    </w:p>
    <w:p w14:paraId="1F858B09" w14:textId="77777777" w:rsidR="00695B6E" w:rsidRPr="00395CE4" w:rsidRDefault="00695B6E" w:rsidP="00395CE4">
      <w:pPr>
        <w:pStyle w:val="ListParagraph"/>
        <w:spacing w:line="288" w:lineRule="auto"/>
        <w:ind w:left="0"/>
        <w:jc w:val="both"/>
        <w:outlineLvl w:val="1"/>
        <w:rPr>
          <w:rFonts w:ascii="Times New Roman" w:hAnsi="Times New Roman"/>
          <w:sz w:val="22"/>
          <w:szCs w:val="22"/>
          <w:lang w:val="en-GB"/>
        </w:rPr>
      </w:pPr>
    </w:p>
    <w:p w14:paraId="73255230" w14:textId="500D09E0"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El CESE respalda con firmeza la propuesta de la Comisión Europea encaminada a desarrollar un «Plan de Acción Europeo para la Democracia» que sea integral y continuo, con la capacidad para producir cambios, sostenido mediante apoyo financiero y coordinación interinstitucional.</w:t>
      </w:r>
    </w:p>
    <w:p w14:paraId="1F40C220" w14:textId="475B4AEC" w:rsidR="00395CE4" w:rsidRPr="00395CE4" w:rsidRDefault="00395CE4" w:rsidP="00695B6E">
      <w:pPr>
        <w:spacing w:line="288" w:lineRule="auto"/>
        <w:jc w:val="both"/>
        <w:outlineLvl w:val="1"/>
        <w:rPr>
          <w:rFonts w:ascii="Times New Roman" w:hAnsi="Times New Roman"/>
          <w:sz w:val="22"/>
          <w:szCs w:val="22"/>
          <w:lang w:val="en-GB"/>
        </w:rPr>
      </w:pPr>
    </w:p>
    <w:p w14:paraId="620BA47D" w14:textId="77777777" w:rsidR="00395CE4" w:rsidRPr="00AC7274" w:rsidRDefault="00395CE4">
      <w:pPr>
        <w:overflowPunct w:val="0"/>
        <w:autoSpaceDE w:val="0"/>
        <w:autoSpaceDN w:val="0"/>
        <w:adjustRightInd w:val="0"/>
        <w:spacing w:line="288" w:lineRule="auto"/>
        <w:jc w:val="center"/>
        <w:textAlignment w:val="baseline"/>
      </w:pPr>
      <w:r>
        <w:t>_____________</w:t>
      </w:r>
    </w:p>
    <w:p w14:paraId="5514C873" w14:textId="698C671E" w:rsidR="00395CE4" w:rsidRPr="00395CE4" w:rsidRDefault="00395CE4">
      <w:pPr>
        <w:tabs>
          <w:tab w:val="left" w:pos="1647"/>
        </w:tabs>
        <w:rPr>
          <w:rFonts w:ascii="Times New Roman" w:hAnsi="Times New Roman"/>
          <w:sz w:val="22"/>
          <w:szCs w:val="22"/>
          <w:lang w:val="en-GB"/>
        </w:rPr>
      </w:pPr>
    </w:p>
    <w:sectPr w:rsidR="00395CE4" w:rsidRPr="00395CE4" w:rsidSect="00395CE4">
      <w:footerReference w:type="default" r:id="rId8"/>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0222F48A" w:rsidR="00395CE4" w:rsidRPr="00395CE4" w:rsidRDefault="00395CE4" w:rsidP="00395CE4">
    <w:pPr>
      <w:pStyle w:val="Footer"/>
    </w:pPr>
    <w:r>
      <w:t xml:space="preserve">EESC-2020-03155-00-00-TCD-TRA (EN) </w:t>
    </w:r>
    <w:r>
      <w:fldChar w:fldCharType="begin"/>
    </w:r>
    <w:r>
      <w:instrText xml:space="preserve"> PAGE  \* Arabic  \* MERGEFORMAT </w:instrText>
    </w:r>
    <w:r>
      <w:fldChar w:fldCharType="separate"/>
    </w:r>
    <w:r w:rsidR="0023645E">
      <w:rPr>
        <w:noProof/>
      </w:rPr>
      <w:t>1</w:t>
    </w:r>
    <w:r>
      <w:fldChar w:fldCharType="end"/>
    </w:r>
    <w:r>
      <w:t>/</w:t>
    </w:r>
    <w:r w:rsidR="0023645E">
      <w:fldChar w:fldCharType="begin"/>
    </w:r>
    <w:r w:rsidR="0023645E">
      <w:instrText xml:space="preserve"> NUMPAGES </w:instrText>
    </w:r>
    <w:r w:rsidR="0023645E">
      <w:fldChar w:fldCharType="separate"/>
    </w:r>
    <w:r w:rsidR="0023645E">
      <w:rPr>
        <w:noProof/>
      </w:rPr>
      <w:t>4</w:t>
    </w:r>
    <w:r w:rsidR="0023645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5C2677" w:rsidRDefault="00EA484E" w:rsidP="00AC7274">
      <w:pPr>
        <w:pStyle w:val="FootnoteText"/>
        <w:spacing w:after="60" w:line="288" w:lineRule="auto"/>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Pr>
            <w:rStyle w:val="Hyperlink"/>
            <w:rFonts w:ascii="Times New Roman" w:hAnsi="Times New Roman"/>
            <w:sz w:val="16"/>
            <w:szCs w:val="16"/>
          </w:rPr>
          <w:t>Resolución sobre el período posterior a la crisis de l</w:t>
        </w:r>
        <w:bookmarkStart w:id="0" w:name="_GoBack"/>
        <w:bookmarkEnd w:id="0"/>
        <w:r>
          <w:rPr>
            <w:rStyle w:val="Hyperlink"/>
            <w:rFonts w:ascii="Times New Roman" w:hAnsi="Times New Roman"/>
            <w:sz w:val="16"/>
            <w:szCs w:val="16"/>
          </w:rPr>
          <w:t>a COVID 19</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23645E"/>
    <w:rsid w:val="00395CE4"/>
    <w:rsid w:val="0063691D"/>
    <w:rsid w:val="00695B6E"/>
    <w:rsid w:val="006D2A9B"/>
    <w:rsid w:val="00747CA5"/>
    <w:rsid w:val="00765063"/>
    <w:rsid w:val="00797347"/>
    <w:rsid w:val="00844A0E"/>
    <w:rsid w:val="00904CAF"/>
    <w:rsid w:val="00A1546D"/>
    <w:rsid w:val="00AC7274"/>
    <w:rsid w:val="00B11CA0"/>
    <w:rsid w:val="00C12343"/>
    <w:rsid w:val="00CF7902"/>
    <w:rsid w:val="00D41E97"/>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es-ES"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es-ES"/>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es-ES"/>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es-ES"/>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es-ES"/>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es-ES"/>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es-ES"/>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es-ES"/>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es-ES"/>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es-ES"/>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es-ES"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es-ES"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es-ES"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es-ES" w:eastAsia="it-IT"/>
    </w:rPr>
  </w:style>
  <w:style w:type="character" w:styleId="FollowedHyperlink">
    <w:name w:val="FollowedHyperlink"/>
    <w:basedOn w:val="DefaultParagraphFont"/>
    <w:uiPriority w:val="99"/>
    <w:semiHidden/>
    <w:unhideWhenUsed/>
    <w:rsid w:val="002364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es/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VV634QRNENMJ-762678085-1612</_dlc_DocId>
    <_dlc_DocIdUrl xmlns="cda99570-6012-4083-bfeb-7d32ad1ce1a3">
      <Url>http://dm2016/eesc/2020/_layouts/15/DocIdRedir.aspx?ID=VV634QRNENMJ-762678085-1612</Url>
      <Description>VV634QRNENMJ-762678085-1612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BABCF-5C29-407F-A9A9-2DB7B67A0263}"/>
</file>

<file path=customXml/itemProps2.xml><?xml version="1.0" encoding="utf-8"?>
<ds:datastoreItem xmlns:ds="http://schemas.openxmlformats.org/officeDocument/2006/customXml" ds:itemID="{5E93C48E-E553-491D-92E7-BE39700DB026}"/>
</file>

<file path=customXml/itemProps3.xml><?xml version="1.0" encoding="utf-8"?>
<ds:datastoreItem xmlns:ds="http://schemas.openxmlformats.org/officeDocument/2006/customXml" ds:itemID="{BD29D7C4-90C8-469E-9C68-3BF05EB33F68}"/>
</file>

<file path=customXml/itemProps4.xml><?xml version="1.0" encoding="utf-8"?>
<ds:datastoreItem xmlns:ds="http://schemas.openxmlformats.org/officeDocument/2006/customXml" ds:itemID="{C2A20AB1-B347-4AA9-9D50-533A7B520A6B}"/>
</file>

<file path=docProps/app.xml><?xml version="1.0" encoding="utf-8"?>
<Properties xmlns="http://schemas.openxmlformats.org/officeDocument/2006/extended-properties" xmlns:vt="http://schemas.openxmlformats.org/officeDocument/2006/docPropsVTypes">
  <Template>Styles</Template>
  <TotalTime>7</TotalTime>
  <Pages>4</Pages>
  <Words>1081</Words>
  <Characters>6166</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Sumario - Propuestas del CESE al programa de trabajo de la Comisión Europea para 2021</dc:title>
  <dc:subject>Trabajos consultivos/varios</dc:subject>
  <dc:creator>Jan Dirx</dc:creator>
  <cp:keywords>EESC-2020-03155-00-00-TCD-TRA-EN</cp:keywords>
  <dc:description>Rapporteur:  - Original language: EN - Date of document: 20/07/2020 - Date of meeting: 15/07/2020 - External documents:  - Administrator: M. COSMAI Domenico</dc:description>
  <cp:lastModifiedBy>Fernandez Riego Maria Gabriela</cp:lastModifiedBy>
  <cp:revision>11</cp:revision>
  <dcterms:created xsi:type="dcterms:W3CDTF">2020-07-17T14:51:00Z</dcterms:created>
  <dcterms:modified xsi:type="dcterms:W3CDTF">2020-07-20T06:36:00Z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0a0837d7-9132-4d80-adee-2b1f2781f615</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HU|6b229040-c589-4408-b4c1-4285663d20a8;IT|0774613c-01ed-4e5d-a25d-11d2388de825;EN|f2175f21-25d7-44a3-96da-d6a61b075e1b;HR|2f555653-ed1a-4fe6-8362-9082d95989e5;CS|72f9705b-0217-4fd3-bea2-cbc7ed80e26e;RO|feb747a2-64cd-4299-af12-4833ddc30497;DE|f6b31e5a-26fa-4935-b661-318e46daf27e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31;#CS|72f9705b-0217-4fd3-bea2-cbc7ed80e26e;#43;#HR|2f555653-ed1a-4fe6-8362-9082d95989e5;#39;#HU|6b229040-c589-4408-b4c1-4285663d20a8;#51;#SPL-CES|32d8cb1f-c9ec-4365-95c7-8385a18618ac;#13;#IT|0774613c-01ed-4e5d-a25d-11d2388de825;#48;#RO|feb747a2-64cd-4299-af12-4833ddc30497;#10;#DE|f6b31e5a-26fa-4935-b661-318e46daf27e;#8;#TCD|cd9d6eb6-3f4f-424a-b2d1-57c9d450eaaf;#6;#Final|ea5e6674-7b27-4bac-b091-73adbb394efe;#5;#Unrestricted|826e22d7-d029-4ec0-a450-0c28ff673572;#4;#EN|f2175f21-25d7-44a3-96da-d6a61b075e1b;#2;#TRA|150d2a88-1431-44e6-a8ca-0bb753ab8672;#1;#EESC|422833ec-8d7e-4e65-8e4e-8bed07ffb729</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16;#ES|e7a6b05b-ae16-40c8-add9-68b64b03aeba</vt:lpwstr>
  </property>
  <property fmtid="{D5CDD505-2E9C-101B-9397-08002B2CF9AE}" pid="39" name="_docset_NoMedatataSyncRequired">
    <vt:lpwstr>False</vt:lpwstr>
  </property>
</Properties>
</file>