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B964C" w14:textId="3CF7CB2F" w:rsidR="00EA484E" w:rsidRPr="00AC7274" w:rsidRDefault="00705BBC" w:rsidP="00EA484E">
      <w:pPr>
        <w:spacing w:line="288" w:lineRule="auto"/>
        <w:jc w:val="center"/>
        <w:rPr>
          <w:rFonts w:ascii="Times New Roman" w:hAnsi="Times New Roman"/>
        </w:rPr>
      </w:pPr>
      <w:bookmarkStart w:id="0" w:name="_GoBack"/>
      <w:bookmarkEnd w:id="0"/>
      <w:r>
        <w:rPr>
          <w:noProof/>
          <w:lang w:eastAsia="el-GR"/>
        </w:rPr>
        <w:drawing>
          <wp:inline distT="0" distB="0" distL="0" distR="0" wp14:anchorId="39F8BD7F" wp14:editId="5C2EFB58">
            <wp:extent cx="1792605" cy="1239520"/>
            <wp:effectExtent l="0" t="0" r="0" b="0"/>
            <wp:docPr id="1" name="Picture 1" title="EESCLogo_E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EA484E">
        <w:rPr>
          <w:rFonts w:ascii="Times New Roman" w:hAnsi="Times New Roman"/>
          <w:noProof/>
          <w:sz w:val="20"/>
          <w:lang w:eastAsia="el-GR"/>
        </w:rPr>
        <mc:AlternateContent>
          <mc:Choice Requires="wps">
            <w:drawing>
              <wp:anchor distT="0" distB="0" distL="114300" distR="114300" simplePos="0" relativeHeight="251659264" behindDoc="1" locked="0" layoutInCell="0" allowOverlap="1" wp14:anchorId="6BDDC625" wp14:editId="093AA1E5">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a:solidFill>
                                <a:srgbClr val="FFFFFF"/>
                              </a:solidFill>
                            </a14:hiddenFill>
                          </a:ext>
                          <a:ext uri="{91240B29-F687-4f45-9708-019B960494DF}">
                            <a14:hiddenLin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ΕL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DC62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NwFRkVFAgAA&#10;RgQAAA4AAAAAAAAAAAAAAAAALgIAAGRycy9lMm9Eb2MueG1sUEsBAi0AFAAGAAgAAAAhAOtUMVre&#10;AAAADwEAAA8AAAAAAAAAAAAAAAAAnwQAAGRycy9kb3ducmV2LnhtbFBLBQYAAAAABAAEAPMAAACq&#10;BQAAAAA=&#10;" o:allowincell="f" filled="f" stroked="f">
                <v:textbo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ΕL</w:t>
                      </w:r>
                    </w:p>
                  </w:txbxContent>
                </v:textbox>
                <w10:wrap anchorx="page" anchory="page"/>
              </v:shape>
            </w:pict>
          </mc:Fallback>
        </mc:AlternateContent>
      </w:r>
    </w:p>
    <w:p w14:paraId="0BF1EE07" w14:textId="77777777" w:rsidR="00EA484E" w:rsidRPr="00AC7274" w:rsidRDefault="00EA484E" w:rsidP="00EA484E">
      <w:pPr>
        <w:spacing w:line="288" w:lineRule="auto"/>
        <w:rPr>
          <w:rFonts w:ascii="Times New Roman" w:hAnsi="Times New Roman"/>
          <w:sz w:val="22"/>
          <w:szCs w:val="22"/>
          <w:lang w:val="en-GB"/>
        </w:rPr>
      </w:pPr>
    </w:p>
    <w:p w14:paraId="5B45454E" w14:textId="77777777" w:rsidR="00EA484E" w:rsidRPr="00AC7274" w:rsidRDefault="00EA484E" w:rsidP="00EA484E">
      <w:pPr>
        <w:spacing w:line="288" w:lineRule="auto"/>
        <w:jc w:val="right"/>
        <w:rPr>
          <w:rFonts w:ascii="Times New Roman" w:hAnsi="Times New Roman"/>
          <w:sz w:val="22"/>
          <w:szCs w:val="22"/>
          <w:lang w:val="en-GB"/>
        </w:rPr>
      </w:pPr>
    </w:p>
    <w:p w14:paraId="0B80951C" w14:textId="77777777" w:rsidR="00EA484E" w:rsidRPr="00AC7274" w:rsidRDefault="00EA484E" w:rsidP="00EA484E">
      <w:pPr>
        <w:spacing w:line="288" w:lineRule="auto"/>
        <w:rPr>
          <w:rFonts w:ascii="Times New Roman" w:hAnsi="Times New Roman"/>
          <w:sz w:val="22"/>
          <w:szCs w:val="22"/>
          <w:lang w:val="en-GB"/>
        </w:rPr>
      </w:pPr>
    </w:p>
    <w:p w14:paraId="5EE5097E" w14:textId="77777777" w:rsidR="00EA484E" w:rsidRPr="00AC7274" w:rsidRDefault="00EA484E" w:rsidP="00EA484E">
      <w:pPr>
        <w:spacing w:line="288" w:lineRule="auto"/>
        <w:rPr>
          <w:rFonts w:ascii="Times New Roman" w:hAnsi="Times New Roman"/>
          <w:sz w:val="22"/>
          <w:szCs w:val="22"/>
          <w:lang w:val="en-GB"/>
        </w:rPr>
      </w:pPr>
    </w:p>
    <w:p w14:paraId="13AA1B11" w14:textId="77777777" w:rsidR="00EA484E" w:rsidRPr="00AC7274" w:rsidRDefault="00EA484E" w:rsidP="00EA484E">
      <w:pPr>
        <w:spacing w:line="288" w:lineRule="auto"/>
        <w:rPr>
          <w:rFonts w:ascii="Times New Roman" w:hAnsi="Times New Roman"/>
          <w:sz w:val="22"/>
          <w:szCs w:val="22"/>
          <w:lang w:val="en-GB"/>
        </w:rPr>
      </w:pPr>
    </w:p>
    <w:p w14:paraId="7FDD0B0D" w14:textId="77777777" w:rsidR="00EA484E" w:rsidRPr="00AC7274" w:rsidRDefault="00EA484E" w:rsidP="00EA484E">
      <w:pPr>
        <w:spacing w:line="288" w:lineRule="auto"/>
        <w:rPr>
          <w:rFonts w:ascii="Times New Roman" w:hAnsi="Times New Roman"/>
          <w:sz w:val="22"/>
          <w:szCs w:val="22"/>
          <w:lang w:val="en-GB"/>
        </w:rPr>
      </w:pPr>
    </w:p>
    <w:p w14:paraId="5DFDF48C" w14:textId="77777777" w:rsidR="00EA484E" w:rsidRPr="00AC7274" w:rsidRDefault="00EA484E" w:rsidP="00EA484E">
      <w:pPr>
        <w:spacing w:line="288" w:lineRule="auto"/>
        <w:rPr>
          <w:rFonts w:ascii="Times New Roman" w:hAnsi="Times New Roman"/>
          <w:sz w:val="22"/>
          <w:szCs w:val="22"/>
          <w:lang w:val="en-GB"/>
        </w:rPr>
      </w:pPr>
    </w:p>
    <w:p w14:paraId="729B7E64" w14:textId="77777777" w:rsidR="00EA484E" w:rsidRPr="00AC7274" w:rsidRDefault="00EA484E" w:rsidP="00EA484E">
      <w:pPr>
        <w:spacing w:line="288" w:lineRule="auto"/>
        <w:rPr>
          <w:rFonts w:ascii="Times New Roman" w:hAnsi="Times New Roman"/>
          <w:b/>
          <w:sz w:val="22"/>
          <w:szCs w:val="22"/>
          <w:lang w:val="en-GB"/>
        </w:rPr>
      </w:pPr>
    </w:p>
    <w:p w14:paraId="524CB2DF" w14:textId="70941331" w:rsidR="00EA484E" w:rsidRPr="00AC7274" w:rsidRDefault="00EA484E" w:rsidP="00EA484E">
      <w:pPr>
        <w:spacing w:line="288" w:lineRule="auto"/>
        <w:jc w:val="center"/>
        <w:rPr>
          <w:rFonts w:ascii="Times New Roman" w:hAnsi="Times New Roman"/>
          <w:b/>
          <w:sz w:val="28"/>
          <w:szCs w:val="28"/>
        </w:rPr>
      </w:pPr>
      <w:r>
        <w:rPr>
          <w:rFonts w:ascii="Times New Roman" w:hAnsi="Times New Roman"/>
          <w:b/>
          <w:sz w:val="28"/>
          <w:szCs w:val="28"/>
        </w:rPr>
        <w:t>ΣΥΝΟΨΗ ΤΟΥ ΨΗΦΙΣΜΑΤΟΣ</w:t>
      </w:r>
    </w:p>
    <w:p w14:paraId="6376E841" w14:textId="77777777" w:rsidR="00EA484E" w:rsidRPr="00AC7274" w:rsidRDefault="00EA484E" w:rsidP="00EA484E">
      <w:pPr>
        <w:spacing w:line="288" w:lineRule="auto"/>
        <w:jc w:val="center"/>
        <w:rPr>
          <w:rFonts w:ascii="Times New Roman" w:hAnsi="Times New Roman"/>
          <w:b/>
          <w:lang w:val="en-GB"/>
        </w:rPr>
      </w:pPr>
    </w:p>
    <w:p w14:paraId="63B8FE3F" w14:textId="77777777" w:rsidR="00EA484E" w:rsidRPr="00395CE4" w:rsidRDefault="00EA484E" w:rsidP="00EA484E">
      <w:pPr>
        <w:spacing w:line="288" w:lineRule="auto"/>
        <w:jc w:val="center"/>
        <w:rPr>
          <w:rFonts w:ascii="Times New Roman" w:hAnsi="Times New Roman"/>
          <w:b/>
          <w:bCs/>
          <w:iCs/>
          <w:sz w:val="22"/>
          <w:szCs w:val="22"/>
        </w:rPr>
      </w:pPr>
      <w:r>
        <w:rPr>
          <w:rFonts w:ascii="Times New Roman" w:hAnsi="Times New Roman"/>
          <w:b/>
          <w:bCs/>
          <w:iCs/>
          <w:sz w:val="22"/>
          <w:szCs w:val="22"/>
        </w:rPr>
        <w:t>Η συμβολή της Ευρωπαϊκής Οικονομικής και Κοινωνικής Επιτροπής</w:t>
      </w:r>
    </w:p>
    <w:p w14:paraId="4AFEA1A9" w14:textId="77777777" w:rsidR="00EA484E" w:rsidRPr="00395CE4" w:rsidRDefault="00EA484E" w:rsidP="00EA484E">
      <w:pPr>
        <w:spacing w:line="288" w:lineRule="auto"/>
        <w:jc w:val="center"/>
        <w:rPr>
          <w:rFonts w:ascii="Times New Roman" w:hAnsi="Times New Roman"/>
          <w:b/>
          <w:i/>
          <w:sz w:val="22"/>
          <w:szCs w:val="22"/>
        </w:rPr>
      </w:pPr>
      <w:r>
        <w:rPr>
          <w:rFonts w:ascii="Times New Roman" w:hAnsi="Times New Roman"/>
          <w:b/>
          <w:bCs/>
          <w:iCs/>
          <w:sz w:val="22"/>
          <w:szCs w:val="22"/>
        </w:rPr>
        <w:t>στο πρόγραμμα εργασίας της Ευρωπαϊκής Επιτροπής για το 2021</w:t>
      </w:r>
    </w:p>
    <w:p w14:paraId="258CA404" w14:textId="77777777" w:rsidR="00EA484E" w:rsidRPr="00395CE4" w:rsidRDefault="00EA484E" w:rsidP="00EA484E">
      <w:pPr>
        <w:spacing w:line="288" w:lineRule="auto"/>
        <w:jc w:val="center"/>
        <w:rPr>
          <w:rFonts w:ascii="Times New Roman" w:hAnsi="Times New Roman"/>
          <w:b/>
          <w:i/>
          <w:sz w:val="22"/>
          <w:szCs w:val="22"/>
          <w:lang w:val="en-GB"/>
        </w:rPr>
      </w:pPr>
    </w:p>
    <w:p w14:paraId="1F7CFC34" w14:textId="77777777" w:rsidR="00EA484E" w:rsidRPr="00AC7274" w:rsidRDefault="00EA484E" w:rsidP="00EA484E">
      <w:pPr>
        <w:spacing w:line="288" w:lineRule="auto"/>
        <w:jc w:val="center"/>
        <w:rPr>
          <w:rFonts w:ascii="Times New Roman" w:hAnsi="Times New Roman"/>
          <w:b/>
          <w:sz w:val="22"/>
          <w:szCs w:val="22"/>
          <w:lang w:val="en-GB"/>
        </w:rPr>
      </w:pPr>
    </w:p>
    <w:p w14:paraId="04A16DF2" w14:textId="77777777" w:rsidR="00EA484E" w:rsidRPr="00AC7274" w:rsidRDefault="00EA484E" w:rsidP="00EA484E">
      <w:pPr>
        <w:spacing w:line="288" w:lineRule="auto"/>
        <w:jc w:val="center"/>
        <w:rPr>
          <w:rFonts w:ascii="Times New Roman" w:hAnsi="Times New Roman"/>
          <w:b/>
          <w:sz w:val="22"/>
          <w:szCs w:val="22"/>
          <w:lang w:val="en-GB"/>
        </w:rPr>
      </w:pPr>
    </w:p>
    <w:p w14:paraId="7A521B48" w14:textId="581EBC11"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 xml:space="preserve">με βάση το έργο της </w:t>
      </w:r>
      <w:r>
        <w:rPr>
          <w:rFonts w:ascii="Times New Roman" w:hAnsi="Times New Roman"/>
          <w:b/>
          <w:sz w:val="22"/>
          <w:szCs w:val="22"/>
        </w:rPr>
        <w:cr/>
        <w:t xml:space="preserve"> </w:t>
      </w:r>
      <w:r>
        <w:rPr>
          <w:rFonts w:ascii="Times New Roman" w:hAnsi="Times New Roman"/>
          <w:b/>
          <w:sz w:val="22"/>
          <w:szCs w:val="22"/>
        </w:rPr>
        <w:cr/>
      </w:r>
      <w:r>
        <w:rPr>
          <w:rFonts w:ascii="Times New Roman" w:hAnsi="Times New Roman"/>
          <w:b/>
          <w:sz w:val="22"/>
          <w:szCs w:val="22"/>
        </w:rPr>
        <w:br/>
        <w:t>ειδικής ομάδας «Η συμβολή της Ευρωπαϊκής Οικονομικής και Κοινωνικής Επιτροπής στο πρόγραμμα εργασίας της Ευρωπαϊκής Επιτροπής για το 2021»</w:t>
      </w:r>
    </w:p>
    <w:p w14:paraId="3AED97B6" w14:textId="77777777" w:rsidR="00EA484E" w:rsidRPr="00AC7274" w:rsidRDefault="00EA484E" w:rsidP="00EA484E">
      <w:pPr>
        <w:spacing w:line="288" w:lineRule="auto"/>
        <w:jc w:val="center"/>
        <w:rPr>
          <w:rFonts w:ascii="Times New Roman" w:hAnsi="Times New Roman"/>
          <w:b/>
          <w:sz w:val="22"/>
          <w:szCs w:val="22"/>
          <w:lang w:val="en-GB"/>
        </w:rPr>
      </w:pPr>
    </w:p>
    <w:p w14:paraId="47E1F30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w:t>
      </w:r>
    </w:p>
    <w:p w14:paraId="4234A862"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3FFC54E4"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E5196C1" w14:textId="77777777"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Εισηγητές</w:t>
      </w:r>
      <w:r>
        <w:rPr>
          <w:rFonts w:ascii="Times New Roman" w:hAnsi="Times New Roman"/>
          <w:b/>
          <w:sz w:val="22"/>
          <w:szCs w:val="22"/>
        </w:rPr>
        <w:t>: Petr ZAHRADNIK (Ομ. I)</w:t>
      </w:r>
    </w:p>
    <w:p w14:paraId="2B11417B" w14:textId="77777777" w:rsidR="00EA484E" w:rsidRPr="00AC7274" w:rsidRDefault="00EA484E" w:rsidP="00EA484E">
      <w:pPr>
        <w:spacing w:line="288" w:lineRule="auto"/>
        <w:ind w:left="3884"/>
        <w:rPr>
          <w:rFonts w:ascii="Times New Roman" w:hAnsi="Times New Roman"/>
          <w:b/>
          <w:sz w:val="22"/>
          <w:szCs w:val="22"/>
        </w:rPr>
      </w:pPr>
      <w:r>
        <w:rPr>
          <w:rFonts w:ascii="Times New Roman" w:hAnsi="Times New Roman"/>
          <w:b/>
          <w:sz w:val="22"/>
          <w:szCs w:val="22"/>
        </w:rPr>
        <w:t>Stefano PALMIERI (Ομ. II)</w:t>
      </w:r>
    </w:p>
    <w:p w14:paraId="5009DD94" w14:textId="77777777" w:rsidR="00EA484E" w:rsidRPr="00AC7274" w:rsidRDefault="00EA484E" w:rsidP="00EA484E">
      <w:pPr>
        <w:spacing w:line="288" w:lineRule="auto"/>
        <w:ind w:left="3884"/>
        <w:rPr>
          <w:rFonts w:ascii="Times New Roman" w:hAnsi="Times New Roman"/>
          <w:b/>
          <w:sz w:val="22"/>
          <w:szCs w:val="22"/>
        </w:rPr>
      </w:pPr>
      <w:r>
        <w:rPr>
          <w:rFonts w:ascii="Times New Roman" w:hAnsi="Times New Roman"/>
          <w:b/>
          <w:sz w:val="22"/>
          <w:szCs w:val="22"/>
        </w:rPr>
        <w:t>Jan DIRX (Ομ. III)</w:t>
      </w:r>
    </w:p>
    <w:p w14:paraId="25866510"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2FDFD8AD"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398831BA" w14:textId="77777777" w:rsidR="00EA484E" w:rsidRPr="00395CE4" w:rsidRDefault="00EA484E" w:rsidP="00EA484E">
      <w:pPr>
        <w:spacing w:line="288" w:lineRule="auto"/>
        <w:rPr>
          <w:rFonts w:ascii="Times New Roman" w:hAnsi="Times New Roman"/>
          <w:sz w:val="22"/>
          <w:szCs w:val="22"/>
          <w:lang w:val="en-GB"/>
        </w:rPr>
      </w:pPr>
    </w:p>
    <w:p w14:paraId="38E86DFC" w14:textId="1BA67C7E"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εγκρίθηκε από την Ευρωπαϊκή Οικονομική και Κοινωνική Επιτροπή</w:t>
      </w:r>
      <w:r>
        <w:rPr>
          <w:rFonts w:ascii="Times New Roman" w:hAnsi="Times New Roman"/>
          <w:sz w:val="22"/>
          <w:szCs w:val="22"/>
        </w:rPr>
        <w:br/>
        <w:t>στις 16 Ιουλίου 2020</w:t>
      </w:r>
    </w:p>
    <w:p w14:paraId="47D025FA" w14:textId="77777777" w:rsidR="00EA484E" w:rsidRPr="00AC7274" w:rsidRDefault="00EA484E" w:rsidP="00EA484E">
      <w:pPr>
        <w:spacing w:line="288" w:lineRule="auto"/>
        <w:jc w:val="center"/>
        <w:rPr>
          <w:rFonts w:ascii="Times New Roman" w:hAnsi="Times New Roman"/>
          <w:sz w:val="22"/>
          <w:szCs w:val="22"/>
          <w:lang w:val="en-GB"/>
        </w:rPr>
      </w:pPr>
    </w:p>
    <w:p w14:paraId="174DC1F6"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1D16C18D" w14:textId="77777777" w:rsidR="00EA484E" w:rsidRPr="00AC7274" w:rsidRDefault="00EA484E" w:rsidP="00EA484E">
      <w:pPr>
        <w:spacing w:line="288" w:lineRule="auto"/>
        <w:rPr>
          <w:rFonts w:ascii="Times New Roman" w:hAnsi="Times New Roman"/>
          <w:sz w:val="22"/>
          <w:szCs w:val="22"/>
          <w:lang w:val="en-GB"/>
        </w:rPr>
      </w:pPr>
    </w:p>
    <w:p w14:paraId="64453DC3" w14:textId="4F5F47D1" w:rsidR="00EA484E" w:rsidRPr="00AC7274" w:rsidRDefault="00EA484E">
      <w:pPr>
        <w:spacing w:line="280" w:lineRule="exact"/>
        <w:ind w:left="357" w:hanging="357"/>
      </w:pPr>
      <w:r>
        <w:br w:type="page"/>
      </w:r>
    </w:p>
    <w:p w14:paraId="660072A1" w14:textId="27B71FF5" w:rsidR="00EA484E" w:rsidRPr="0047648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476484">
        <w:rPr>
          <w:rFonts w:ascii="Times New Roman" w:hAnsi="Times New Roman"/>
          <w:sz w:val="22"/>
          <w:szCs w:val="22"/>
        </w:rPr>
        <w:lastRenderedPageBreak/>
        <w:t>Όπως επισήμανε η Ευρωπαϊκή Οικονομική και Κοινωνική Επιτροπή (ΕΟΚΕ) στο ψήφισμά της με τίτλο «Προτάσεις της ΕΟΚΕ για την ανασυγκρότηση και την ανάκαμψη μετά την κρίση της νόσου COVID-19»</w:t>
      </w:r>
      <w:r w:rsidRPr="00476484">
        <w:rPr>
          <w:rFonts w:ascii="Times New Roman" w:hAnsi="Times New Roman"/>
          <w:sz w:val="22"/>
          <w:szCs w:val="22"/>
          <w:vertAlign w:val="superscript"/>
          <w:lang w:val="en-GB" w:eastAsia="en-US"/>
        </w:rPr>
        <w:footnoteReference w:id="1"/>
      </w:r>
      <w:r w:rsidRPr="00476484">
        <w:rPr>
          <w:rFonts w:ascii="Times New Roman" w:hAnsi="Times New Roman"/>
          <w:sz w:val="22"/>
          <w:szCs w:val="22"/>
        </w:rPr>
        <w:t>, η ΕΟΚΕ επικροτεί και στηρίζει πλήρως τις προτάσεις της Ευρωπαϊκής Επιτροπής το μέσο ανάκαμψης «ΕΕ - Επόμενη Γενιά» και τον συνολικό ενωσιακό προϋπολογισμό για την περίοδο 2021-2027. Η ΕΟΚΕ ελπίζει και αναμένει ότι οι κατευθύνσεις που καθόρισε η Ευρωπαϊκή Επιτροπή σε αυτά τα σχέδια, λόγω της ανάγκης για ανάκαμψη και ανοικοδόμηση μετά την κρίση λόγω του κορονοϊού, θα επεκταθούν πλήρως και συγκεκριμένα στο πρόγραμμα εργασίας της Ευρωπαϊκής Επιτροπής για το 2021.</w:t>
      </w:r>
    </w:p>
    <w:p w14:paraId="0DC5F400" w14:textId="77777777" w:rsidR="00EA484E" w:rsidRPr="0047648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70FAD9E5" w14:textId="77777777" w:rsidR="00EA484E" w:rsidRPr="0047648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476484">
        <w:rPr>
          <w:rFonts w:ascii="Times New Roman" w:hAnsi="Times New Roman"/>
          <w:sz w:val="22"/>
          <w:szCs w:val="22"/>
        </w:rPr>
        <w:t>Για την ΕΟΚΕ, το πρόγραμμα εργασίας θα πρέπει να επικεντρώνεται στην αναδιάρθρωση και τη βελτίωση της οικονομίας και της κοινωνίας μας, ώστε να βασίζεται στις ακόλουθες αρχές: προστασία των ανθρωπίνων και των κοινωνικών δικαιωμάτων, των δημοκρατικών αξιών και του κράτους δικαίου· πλήρης αξιοποίηση του δυναμικού της ενιαίας αγοράς· επίτευξη των στόχων βιώσιμης ανάπτυξης (ΣΒΑ)· ανάπτυξη της κυκλικής οικονομίας· και επίτευξη της κλιματικής ουδετερότητας στην ΕΕ το αργότερο έως το 2050 και διασφάλιση της χρηστής διακυβέρνησης και της δημοκρατικής λογοδοσίας.</w:t>
      </w:r>
    </w:p>
    <w:p w14:paraId="62862964" w14:textId="77777777" w:rsidR="00EA484E" w:rsidRPr="0047648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DAC4335" w14:textId="7E5DFEA9" w:rsidR="00EA484E" w:rsidRPr="0047648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476484">
        <w:rPr>
          <w:rFonts w:ascii="Times New Roman" w:hAnsi="Times New Roman"/>
          <w:sz w:val="22"/>
          <w:szCs w:val="22"/>
        </w:rPr>
        <w:t>Η ΕΟΚΕ υπογραμμίζει ότι οι έξι πρωταρχικές φιλοδοξίες που επέλεξε η Ευρωπαϊκή Επιτροπή (μια Ευρωπαϊκή Πράσινη Συμφωνία, μια Ευρώπη έτοιμη για την ψηφιακή εποχή, μια οικονομία στην υπηρεσία των ανθρώπων, μια ισχυρότερη Ευρώπη στον κόσμο, προώθηση του ευρωπαϊκού τρόπου ζωής και μια νέα ώθηση για την ευρωπαϊκή δημοκρατία) παρέχουν ένα ισχυρό πλαίσιο για την εκπόνηση του προγράμματος εργασίας για το 2021. Ίσως πρέπει να δοθεί μεγαλύτερη έμφαση στις επενδύσεις και στην ανάγκη να επιταχυνθούν, χάρη και στα μέτρα που λαμβάνονται επί του παρόντος.</w:t>
      </w:r>
    </w:p>
    <w:p w14:paraId="76FF9B78" w14:textId="77777777" w:rsidR="00EA484E" w:rsidRPr="0047648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61F4282" w14:textId="77777777" w:rsidR="00EA484E" w:rsidRPr="0047648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476484">
        <w:rPr>
          <w:rFonts w:ascii="Times New Roman" w:hAnsi="Times New Roman"/>
          <w:sz w:val="22"/>
          <w:szCs w:val="22"/>
        </w:rPr>
        <w:t>Ειδικά τώρα που βιώνουμε τη σημασία της συνεργασίας μεταξύ των χωρών σε αυτές τις περιόδους κρίσης, η ΕΟΚΕ ευελπιστεί ότι η προσεχής διάσκεψη για το μέλλον της Ευρώπης θα οδηγήσει στην ενίσχυση και την εμβάθυνση της θεσμικής δομής της ΕΕ, καθώς και στην πραγματική ανανέωση του εγχειρήματος της ΕΕ προκειμένου να είναι σε θέση να αντιμετωπίσει τις προκλήσεις των επόμενων δεκαετιών. Ως εκ τούτου, η Ευρωπαϊκή Επιτροπή μπορεί να βασιστεί στην πλήρη υποστήριξη της ΕΟΚΕ.</w:t>
      </w:r>
    </w:p>
    <w:p w14:paraId="48473CC8" w14:textId="77777777" w:rsidR="00EA484E" w:rsidRPr="00476484" w:rsidRDefault="00EA484E" w:rsidP="00EA484E">
      <w:pPr>
        <w:pStyle w:val="ListParagraph"/>
        <w:spacing w:line="288" w:lineRule="auto"/>
        <w:ind w:left="709" w:hanging="709"/>
        <w:jc w:val="both"/>
        <w:outlineLvl w:val="1"/>
        <w:rPr>
          <w:rFonts w:ascii="Times New Roman" w:eastAsia="Times New Roman" w:hAnsi="Times New Roman"/>
          <w:sz w:val="22"/>
          <w:szCs w:val="22"/>
          <w:lang w:val="en-GB" w:eastAsia="en-US"/>
        </w:rPr>
      </w:pPr>
    </w:p>
    <w:p w14:paraId="6FF3B067" w14:textId="2F23231E" w:rsidR="00EA484E" w:rsidRPr="0047648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476484">
        <w:rPr>
          <w:rFonts w:ascii="Times New Roman" w:hAnsi="Times New Roman"/>
          <w:sz w:val="22"/>
          <w:szCs w:val="22"/>
        </w:rPr>
        <w:t>Η ΕΟΚΕ είναι πεπεισμένη ότι η διαδικασία ανάκαμψης και ανασυγκρότησης της οικονομίας και της κοινωνίας θα είναι δυνατή μόνο με την ενεργό συμμετοχή των οργανώσεων της κοινωνίας των πολιτών και των κοινωνικών εταίρων.</w:t>
      </w:r>
    </w:p>
    <w:p w14:paraId="7206EF37" w14:textId="77777777" w:rsidR="00797347" w:rsidRPr="0047648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59DAE92" w14:textId="71D68A1C" w:rsidR="00797347" w:rsidRPr="0047648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476484">
        <w:rPr>
          <w:rFonts w:ascii="Times New Roman" w:hAnsi="Times New Roman"/>
          <w:sz w:val="22"/>
          <w:szCs w:val="22"/>
        </w:rPr>
        <w:t>Η Πράσινη Συμφωνία της ΕΕ μπορεί επίσης να θεωρηθεί ένα αποτελεσματικό εργαλείο για τη βιώσιμη επανεκκίνηση της οικονομίας μέσω τεράστιων επενδύσεων που υποστηρίζουν τις απαραίτητες διαρθρωτικές αλλαγές που αντιμετωπίζει η Ευρώπη. Από αυτή την άποψη, θα μπορούσε να θεωρηθεί ως ευκαιρία για τη στήριξη της πιο μακροπρόθεσμης οικονομικής ανάκαμψης. Απαιτεί νέα συναίνεση στην Ευρώπη ώστε να συγκεντρωθούν επαρκείς δημόσιοι και ιδιωτικοί χρηματοδοτικοί πόροι για αυτόν τον σκοπό και να υιοθετηθεί μια νέα διακυβέρνηση για την επιτυχή εφαρμογή της στην πράξη.</w:t>
      </w:r>
    </w:p>
    <w:p w14:paraId="4E7D4AA2" w14:textId="77777777" w:rsidR="00797347" w:rsidRPr="0047648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F04EEF7" w14:textId="1100C344" w:rsidR="00797347" w:rsidRPr="0047648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476484">
        <w:rPr>
          <w:rFonts w:ascii="Times New Roman" w:hAnsi="Times New Roman"/>
          <w:sz w:val="22"/>
          <w:szCs w:val="22"/>
        </w:rPr>
        <w:lastRenderedPageBreak/>
        <w:t xml:space="preserve">Τα κρατικά κεφάλαια που επενδύονται σε σχέδια ανάκαμψης δεν θα πρέπει μόνο να βοηθήσουν στην αποκατάσταση της ευρωπαϊκής οικονομίας και της κοινωνίας, αλλά και να μειώσουν δραστικά τις επιπτώσεις των περαιτέρω κλυδωνισμών επενδύοντας σε μια ανθεκτική, χωρίς αποκλεισμούς και φιλική προς το κλίμα οικονομία (τη λεγόμενη «οικονομία ευημερίας»). </w:t>
      </w:r>
    </w:p>
    <w:p w14:paraId="654FCC30" w14:textId="77777777" w:rsidR="00797347" w:rsidRPr="0047648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CF873A2" w14:textId="77777777" w:rsidR="00797347" w:rsidRPr="0047648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476484">
        <w:rPr>
          <w:rFonts w:ascii="Times New Roman" w:hAnsi="Times New Roman"/>
          <w:sz w:val="22"/>
          <w:szCs w:val="22"/>
        </w:rPr>
        <w:t>Η ταξινόμηση της βιώσιμης χρηματοδότησης της ΕΕ θα πρέπει να κατευθύνει τις δημόσιες και ιδιωτικές επενδύσεις καθ’ όλη τη διάρκεια της ανάκαμψης για να επιταχύνει τη μετάβαση από τους τομείς που ρυπαίνουν στους πράσινους τομείς.</w:t>
      </w:r>
    </w:p>
    <w:p w14:paraId="67C0400C" w14:textId="1779E3BE" w:rsidR="00EA484E" w:rsidRPr="0047648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476484">
        <w:rPr>
          <w:rFonts w:ascii="Times New Roman" w:hAnsi="Times New Roman"/>
          <w:sz w:val="22"/>
          <w:szCs w:val="22"/>
        </w:rPr>
        <w:t>Η κρίση λόγω του κορονοϊού κατέδειξε ότι η ψηφιακή επανάσταση αποτελεί σημαντικό τμήμα της αύξησης της ανθεκτικότητας των κοινωνιών μας. Οι επενδύσεις στην ψηφιοποίηση ζωτικών υπηρεσιών και η αύξηση της ικανότητας των κυβερνήσεων, των νομοθετών και των δημόσιων οργανισμών να παρέχουν τις υπηρεσίες τους κατά τη διάρκεια μιας κρίσης είναι υψίστης σημασίας.</w:t>
      </w:r>
    </w:p>
    <w:p w14:paraId="3A22B508" w14:textId="77777777" w:rsidR="00797347" w:rsidRPr="0047648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58772FC0" w14:textId="0C733ED2" w:rsidR="00797347" w:rsidRPr="0047648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476484">
        <w:rPr>
          <w:rFonts w:ascii="Times New Roman" w:hAnsi="Times New Roman"/>
          <w:sz w:val="22"/>
          <w:szCs w:val="22"/>
        </w:rPr>
        <w:t xml:space="preserve">Η Ευρωπαϊκή Επιτροπή καλείται να συνεχίσει να χρησιμοποιεί το Ευρωπαϊκό Εξάμηνο ως παράγοντα ανάκαμψης βάσει των προτεραιοτήτων επενδύσεων και μεταρρυθμίσεων που προσδιορίζονται ως μέρος του Ευρωπαϊκού Εξαμήνου. Η ΕΟΚΕ συμφωνεί με την έμφαση που δόθηκε πρόσφατα στην καλύτερη συμπερίληψη κοινωνικών θεμάτων και της Ευρωπαϊκής Πράσινης Συμφωνίας, όπως και την εφαρμογή του Μηχανισμού Ανάκαμψης και Ανθεκτικότητας μέσω του Ευρωπαϊκού Εξαμήνου. </w:t>
      </w:r>
    </w:p>
    <w:p w14:paraId="3C3DB9C8" w14:textId="77777777" w:rsidR="00695B6E" w:rsidRPr="00476484" w:rsidRDefault="00695B6E" w:rsidP="00695B6E">
      <w:pPr>
        <w:pStyle w:val="ListParagraph"/>
        <w:spacing w:line="288" w:lineRule="auto"/>
        <w:ind w:left="0"/>
        <w:jc w:val="both"/>
        <w:rPr>
          <w:rFonts w:ascii="Times New Roman" w:eastAsia="Times New Roman" w:hAnsi="Times New Roman"/>
          <w:sz w:val="22"/>
          <w:szCs w:val="22"/>
          <w:lang w:val="en-GB" w:eastAsia="en-US"/>
        </w:rPr>
      </w:pPr>
    </w:p>
    <w:p w14:paraId="4A80875C" w14:textId="4AFB6E72" w:rsidR="00797347" w:rsidRPr="0047648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476484">
        <w:rPr>
          <w:rFonts w:ascii="Times New Roman" w:hAnsi="Times New Roman"/>
          <w:sz w:val="22"/>
          <w:szCs w:val="22"/>
        </w:rPr>
        <w:t>Είναι ευκαιρία για την προώθηση της κοινωνικής καινοτομίας ως μοντέλου ανάκαμψης μέσω της συνδημιουργίας, του από κοινού σχεδιασμού και της συμπαραγωγής. Η οργανωμένη κοινωνία των πολιτών είναι καταλύτης για την κοινωνική καινοτομία, ένα κίνημα που έχει σχεδιάσει συστήματα πρόνοιας που οδηγούν σε νέες πολιτικές, δομές, προϊόντα, υπηρεσίες και μεθόδους εργασίας.  Η συμμετοχή της κοινωνίας των πολιτών πρέπει να προωθηθεί σήμερα περισσότερο από ποτέ — αλλά η αληθινή κοινωνική καινοτομία γίνεται μόνο όταν εμπλέκεται η οργανωμένη κοινωνία των πολιτών.</w:t>
      </w:r>
    </w:p>
    <w:p w14:paraId="1385EF6C" w14:textId="77777777" w:rsidR="00A1546D" w:rsidRPr="00476484" w:rsidRDefault="00A1546D" w:rsidP="00A1546D">
      <w:pPr>
        <w:pStyle w:val="ListParagraph"/>
        <w:spacing w:line="288" w:lineRule="auto"/>
        <w:ind w:left="0"/>
        <w:jc w:val="both"/>
        <w:rPr>
          <w:rFonts w:ascii="Times New Roman" w:eastAsia="Times New Roman" w:hAnsi="Times New Roman"/>
          <w:sz w:val="22"/>
          <w:szCs w:val="22"/>
          <w:lang w:val="en-GB" w:eastAsia="en-US"/>
        </w:rPr>
      </w:pPr>
    </w:p>
    <w:p w14:paraId="4B3A6FD5" w14:textId="2AC8F4EA" w:rsidR="00A1546D" w:rsidRPr="00476484"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476484">
        <w:rPr>
          <w:rFonts w:ascii="Times New Roman" w:hAnsi="Times New Roman"/>
          <w:sz w:val="22"/>
          <w:szCs w:val="22"/>
        </w:rPr>
        <w:t>Πρωτίστως, ένα από τα κύρια διδάγματα της κρίσης λόγω του κορονοϊού είναι ότι τα συστήματα υγείας σε όλες σχεδόν τις ευρωπαϊκές χώρες πρέπει να ενισχυθούν, με έμφαση κυρίως στην πρόληψη. Ενώ η ιατροφαρμακευτική περίθαλψη αποτελεί εθνική ευθύνη, η εξάπλωση του ιού δεν δεσμεύεται από σύνορα. Επηρεάζει ολόκληρη την Ευρώπη, τόσο εντός όσο και εκτός των συνόρων μας, με υγειονομικές, κοινωνικές και οικονομικές συνέπειες που απαιτούν κοινές απαντήσεις σε ευρωπαϊκό επίπεδο.</w:t>
      </w:r>
    </w:p>
    <w:p w14:paraId="2D20D300" w14:textId="77777777" w:rsidR="00A1546D" w:rsidRPr="00476484" w:rsidRDefault="00A1546D"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08C4A04" w14:textId="16CCFD0F" w:rsidR="00A1546D" w:rsidRPr="00476484"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476484">
        <w:rPr>
          <w:rFonts w:ascii="Times New Roman" w:hAnsi="Times New Roman"/>
          <w:sz w:val="22"/>
          <w:szCs w:val="22"/>
        </w:rPr>
        <w:t>Η ΕΕ πρέπει να ενισχύσει και να στηρίξει την παγκόσμια της θέση όσον αφορά τον πιο σημαντικό και στρατηγικό ρόλο στην παγκόσμια οικονομία, καθώς και στην πολιτική. Η οικονομία της ΕΕ έχει τη δυνατότητα να αξιοποιήσει καλύτερα τα συγκριτικά της πλεονεκτήματα στην παγκόσμια εμπορική και επενδυτική αγορά, ιδίως όσον αφορά την προηγμένη παραγωγή και τις καινοτόμες υπηρεσίες, καθώς και τη φιλοδοξία να αναλάβει ηγετικό ρόλο σε παγκόσμιο επίπεδο. Η προσπάθεια αυτή θα πρέπει να συνοδεύεται από καλύτερη και αποτελεσματικότερη εκπροσώπηση της ΕΕ σε βασικούς παγκόσμιους οργανισμούς και από την ανάγκη να εκφράζεται εκεί με μία φωνή. Η ΕΟΚΕ καλεί την Ευρωπαϊκή Επιτροπή να καταβάλει σύντονη προσπάθεια για την ενίσχυση της παγκόσμιας θέσης της ΕΕ, η οποία θα αντικατοπτρίζεται και στο πρόγραμμα εργασίας της για το 2021.</w:t>
      </w:r>
    </w:p>
    <w:p w14:paraId="5114F866" w14:textId="77777777" w:rsidR="00695B6E" w:rsidRPr="00476484" w:rsidRDefault="00695B6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903AF7B" w14:textId="2EF24674" w:rsidR="00695B6E" w:rsidRPr="00476484" w:rsidRDefault="00A1546D" w:rsidP="00395CE4">
      <w:pPr>
        <w:pStyle w:val="ListParagraph"/>
        <w:numPr>
          <w:ilvl w:val="0"/>
          <w:numId w:val="2"/>
        </w:numPr>
        <w:spacing w:line="288" w:lineRule="auto"/>
        <w:ind w:left="567" w:hanging="567"/>
        <w:jc w:val="both"/>
        <w:outlineLvl w:val="1"/>
        <w:rPr>
          <w:rFonts w:ascii="Times New Roman" w:hAnsi="Times New Roman"/>
          <w:sz w:val="22"/>
          <w:szCs w:val="22"/>
        </w:rPr>
      </w:pPr>
      <w:r w:rsidRPr="00476484">
        <w:rPr>
          <w:rFonts w:ascii="Times New Roman" w:hAnsi="Times New Roman"/>
          <w:sz w:val="22"/>
          <w:szCs w:val="22"/>
        </w:rPr>
        <w:t>Πέρα από τα οικονομικά και περιβαλλοντικά ζητήματα, το πρόγραμμα εργασίας της ΕΕ για το 2021 πρέπει να διεξαχθεί με γνώμονα την κοινωνική διάσταση. Αυτό σημαίνει ότι θα αποτελεί προτεραιότητα η δέσμευσή του για μια κοινωνική και βιώσιμη Ευρώπη. Ως προς αυτό, σημαντικό ρόλο διαδραματίζουν επίσης οι οργανώσεις της κοινωνίας των πολιτών.</w:t>
      </w:r>
    </w:p>
    <w:p w14:paraId="1F858B09" w14:textId="77777777" w:rsidR="00695B6E" w:rsidRPr="00476484" w:rsidRDefault="00695B6E" w:rsidP="00395CE4">
      <w:pPr>
        <w:pStyle w:val="ListParagraph"/>
        <w:spacing w:line="288" w:lineRule="auto"/>
        <w:ind w:left="0"/>
        <w:jc w:val="both"/>
        <w:outlineLvl w:val="1"/>
        <w:rPr>
          <w:rFonts w:ascii="Times New Roman" w:hAnsi="Times New Roman"/>
          <w:sz w:val="22"/>
          <w:szCs w:val="22"/>
          <w:lang w:val="en-GB"/>
        </w:rPr>
      </w:pPr>
    </w:p>
    <w:p w14:paraId="73255230" w14:textId="500D09E0" w:rsidR="00695B6E" w:rsidRPr="00476484" w:rsidRDefault="00A1546D" w:rsidP="00395CE4">
      <w:pPr>
        <w:pStyle w:val="ListParagraph"/>
        <w:numPr>
          <w:ilvl w:val="0"/>
          <w:numId w:val="2"/>
        </w:numPr>
        <w:spacing w:line="288" w:lineRule="auto"/>
        <w:ind w:left="567" w:hanging="567"/>
        <w:jc w:val="both"/>
        <w:outlineLvl w:val="1"/>
        <w:rPr>
          <w:rFonts w:ascii="Times New Roman" w:hAnsi="Times New Roman"/>
          <w:sz w:val="22"/>
          <w:szCs w:val="22"/>
        </w:rPr>
      </w:pPr>
      <w:r w:rsidRPr="00476484">
        <w:rPr>
          <w:rFonts w:ascii="Times New Roman" w:hAnsi="Times New Roman"/>
          <w:sz w:val="22"/>
          <w:szCs w:val="22"/>
        </w:rPr>
        <w:t>Η ΕΟΚΕ υποστηρίζει σθεναρά την πρόταση της Ευρωπαϊκής Επιτροπής για ανάπτυξη ενός «Ευρωπαϊκού σχεδίου δράσης για τη δημοκρατία», το οποίο θα πρέπει να είναι ολοκληρωμένο, μακροπρόθεσμο και ικανό να επιφέρει αλλαγές, παρέχοντας σε αυτό χρηματοδοτική στήριξη και εξασφαλίζοντας τον διοργανικό συντονισμό.</w:t>
      </w:r>
    </w:p>
    <w:p w14:paraId="1F40C220" w14:textId="475B4AEC" w:rsidR="00395CE4" w:rsidRPr="00476484" w:rsidRDefault="00395CE4" w:rsidP="00695B6E">
      <w:pPr>
        <w:spacing w:line="288" w:lineRule="auto"/>
        <w:jc w:val="both"/>
        <w:outlineLvl w:val="1"/>
        <w:rPr>
          <w:rFonts w:ascii="Times New Roman" w:hAnsi="Times New Roman"/>
          <w:sz w:val="22"/>
          <w:szCs w:val="22"/>
          <w:lang w:val="en-GB"/>
        </w:rPr>
      </w:pPr>
    </w:p>
    <w:p w14:paraId="620BA47D" w14:textId="77777777" w:rsidR="00395CE4" w:rsidRPr="00476484" w:rsidRDefault="00395CE4">
      <w:pPr>
        <w:overflowPunct w:val="0"/>
        <w:autoSpaceDE w:val="0"/>
        <w:autoSpaceDN w:val="0"/>
        <w:adjustRightInd w:val="0"/>
        <w:spacing w:line="288" w:lineRule="auto"/>
        <w:jc w:val="center"/>
        <w:textAlignment w:val="baseline"/>
        <w:rPr>
          <w:rFonts w:ascii="Times New Roman" w:hAnsi="Times New Roman"/>
          <w:sz w:val="22"/>
          <w:szCs w:val="22"/>
        </w:rPr>
      </w:pPr>
      <w:r w:rsidRPr="00476484">
        <w:rPr>
          <w:rFonts w:ascii="Times New Roman" w:hAnsi="Times New Roman"/>
          <w:sz w:val="22"/>
          <w:szCs w:val="22"/>
        </w:rPr>
        <w:t>_____________</w:t>
      </w:r>
    </w:p>
    <w:p w14:paraId="5514C873" w14:textId="698C671E" w:rsidR="00395CE4" w:rsidRPr="00476484" w:rsidRDefault="00395CE4">
      <w:pPr>
        <w:tabs>
          <w:tab w:val="left" w:pos="1647"/>
        </w:tabs>
        <w:rPr>
          <w:rFonts w:ascii="Times New Roman" w:hAnsi="Times New Roman"/>
          <w:sz w:val="22"/>
          <w:szCs w:val="22"/>
          <w:lang w:val="en-GB"/>
        </w:rPr>
      </w:pPr>
    </w:p>
    <w:sectPr w:rsidR="00395CE4" w:rsidRPr="00476484" w:rsidSect="004A328D">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37331" w14:textId="77777777" w:rsidR="00FC6434" w:rsidRDefault="00FC6434" w:rsidP="00EA484E">
      <w:r>
        <w:separator/>
      </w:r>
    </w:p>
  </w:endnote>
  <w:endnote w:type="continuationSeparator" w:id="0">
    <w:p w14:paraId="7D924EA2" w14:textId="77777777" w:rsidR="00FC6434" w:rsidRDefault="00FC6434" w:rsidP="00E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560E5" w14:textId="77777777" w:rsidR="004A328D" w:rsidRPr="004A328D" w:rsidRDefault="004A328D" w:rsidP="004A32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4632" w14:textId="60DDD320" w:rsidR="00395CE4" w:rsidRPr="004A328D" w:rsidRDefault="004A328D" w:rsidP="004A328D">
    <w:pPr>
      <w:pStyle w:val="Footer"/>
    </w:pPr>
    <w:r>
      <w:t xml:space="preserve">EESC-2020-03155-00-00-TCD-TRA (EN)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fldSimple w:instr=" NUMPAGES ">
      <w:r>
        <w:rPr>
          <w:noProof/>
        </w:rPr>
        <w:instrText>4</w:instrText>
      </w:r>
    </w:fldSimple>
    <w:r>
      <w:instrText xml:space="preserve"> -0 </w:instrText>
    </w:r>
    <w:r>
      <w:fldChar w:fldCharType="separate"/>
    </w:r>
    <w:r>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7EDE9" w14:textId="77777777" w:rsidR="004A328D" w:rsidRPr="004A328D" w:rsidRDefault="004A328D" w:rsidP="004A32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2C85F" w14:textId="77777777" w:rsidR="00FC6434" w:rsidRDefault="00FC6434" w:rsidP="00EA484E">
      <w:r>
        <w:separator/>
      </w:r>
    </w:p>
  </w:footnote>
  <w:footnote w:type="continuationSeparator" w:id="0">
    <w:p w14:paraId="2CDFA011" w14:textId="77777777" w:rsidR="00FC6434" w:rsidRDefault="00FC6434" w:rsidP="00EA484E">
      <w:r>
        <w:continuationSeparator/>
      </w:r>
    </w:p>
  </w:footnote>
  <w:footnote w:id="1">
    <w:p w14:paraId="3A3A82D3" w14:textId="6FAB0843" w:rsidR="00EA484E" w:rsidRPr="005C2677" w:rsidRDefault="00EA484E" w:rsidP="00AC7274">
      <w:pPr>
        <w:pStyle w:val="FootnoteText"/>
        <w:spacing w:after="60" w:line="288" w:lineRule="auto"/>
        <w:ind w:left="567" w:hanging="567"/>
        <w:contextualSpacing/>
        <w:jc w:val="both"/>
        <w:outlineLvl w:val="1"/>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r>
      <w:hyperlink r:id="rId1" w:history="1">
        <w:r>
          <w:rPr>
            <w:rStyle w:val="Hyperlink"/>
            <w:rFonts w:ascii="Times New Roman" w:hAnsi="Times New Roman"/>
            <w:sz w:val="16"/>
            <w:szCs w:val="16"/>
          </w:rPr>
          <w:t>Ψήφισμα της ΕΟΚΕ για την ανασυγκρότηση και την ανάκαμψη μετά την κρίση της νόσου COVID-19.</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5DBA2" w14:textId="77777777" w:rsidR="004A328D" w:rsidRPr="004A328D" w:rsidRDefault="004A328D" w:rsidP="004A32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DD5B" w14:textId="77777777" w:rsidR="004A328D" w:rsidRPr="004A328D" w:rsidRDefault="004A328D" w:rsidP="004A32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91C78" w14:textId="77777777" w:rsidR="004A328D" w:rsidRPr="004A328D" w:rsidRDefault="004A328D" w:rsidP="004A32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3A0113A"/>
    <w:lvl w:ilvl="0">
      <w:start w:val="1"/>
      <w:numFmt w:val="decimal"/>
      <w:pStyle w:val="Heading1"/>
      <w:lvlText w:val="%1."/>
      <w:lvlJc w:val="left"/>
      <w:pPr>
        <w:ind w:left="709" w:firstLine="0"/>
      </w:pPr>
      <w:rPr>
        <w:rFonts w:hint="default"/>
        <w:b/>
        <w:bCs w:val="0"/>
      </w:rPr>
    </w:lvl>
    <w:lvl w:ilvl="1">
      <w:start w:val="1"/>
      <w:numFmt w:val="decimal"/>
      <w:pStyle w:val="Heading2"/>
      <w:lvlText w:val="%1.%2"/>
      <w:lvlJc w:val="left"/>
      <w:pPr>
        <w:ind w:left="709" w:firstLine="0"/>
      </w:pPr>
      <w:rPr>
        <w:rFonts w:hint="default"/>
        <w:b w:val="0"/>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abstractNum w:abstractNumId="1" w15:restartNumberingAfterBreak="0">
    <w:nsid w:val="4DF036DF"/>
    <w:multiLevelType w:val="hybridMultilevel"/>
    <w:tmpl w:val="0E10C172"/>
    <w:lvl w:ilvl="0" w:tplc="0413000F">
      <w:start w:val="1"/>
      <w:numFmt w:val="decimal"/>
      <w:lvlText w:val="%1."/>
      <w:lvlJc w:val="left"/>
      <w:pPr>
        <w:ind w:left="720" w:hanging="360"/>
      </w:pPr>
    </w:lvl>
    <w:lvl w:ilvl="1" w:tplc="17A6AB34" w:tentative="1">
      <w:start w:val="1"/>
      <mc:AlternateContent>
        <mc:Choice Requires="w14">
          <w:numFmt w:val="custom" w:format="α, β, γ, ..."/>
        </mc:Choice>
        <mc:Fallback>
          <w:numFmt w:val="decimal"/>
        </mc:Fallback>
      </mc:AlternateContent>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F5EC0158" w:tentative="1">
      <w:start w:val="1"/>
      <mc:AlternateContent>
        <mc:Choice Requires="w14">
          <w:numFmt w:val="custom" w:format="α, β, γ, ..."/>
        </mc:Choice>
        <mc:Fallback>
          <w:numFmt w:val="decimal"/>
        </mc:Fallback>
      </mc:AlternateContent>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B032E8A8" w:tentative="1">
      <w:start w:val="1"/>
      <mc:AlternateContent>
        <mc:Choice Requires="w14">
          <w:numFmt w:val="custom" w:format="α, β, γ, ..."/>
        </mc:Choice>
        <mc:Fallback>
          <w:numFmt w:val="decimal"/>
        </mc:Fallback>
      </mc:AlternateContent>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4E"/>
    <w:rsid w:val="0019028B"/>
    <w:rsid w:val="00395CE4"/>
    <w:rsid w:val="00476484"/>
    <w:rsid w:val="004A328D"/>
    <w:rsid w:val="00695B6E"/>
    <w:rsid w:val="006D2A9B"/>
    <w:rsid w:val="00705BBC"/>
    <w:rsid w:val="00747CA5"/>
    <w:rsid w:val="00765063"/>
    <w:rsid w:val="00797347"/>
    <w:rsid w:val="00A1546D"/>
    <w:rsid w:val="00AC7274"/>
    <w:rsid w:val="00C12343"/>
    <w:rsid w:val="00D41E97"/>
    <w:rsid w:val="00EA3B3D"/>
    <w:rsid w:val="00EA484E"/>
    <w:rsid w:val="00FC6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74449C"/>
  <w15:chartTrackingRefBased/>
  <w15:docId w15:val="{B52C3C5B-351A-4CCD-A6EE-6A3077847CD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18"/>
        <w:szCs w:val="22"/>
        <w:lang w:val="el-GR" w:eastAsia="en-US" w:bidi="ar-SA"/>
      </w:rPr>
    </w:rPrDefault>
    <w:pPrDefault>
      <w:pPr>
        <w:spacing w:line="280" w:lineRule="exact"/>
        <w:ind w:left="357" w:hanging="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84E"/>
    <w:pPr>
      <w:spacing w:line="240" w:lineRule="auto"/>
      <w:ind w:left="0" w:firstLine="0"/>
    </w:pPr>
    <w:rPr>
      <w:rFonts w:ascii="Cambria" w:eastAsia="MS Mincho" w:hAnsi="Cambria" w:cs="Times New Roman"/>
      <w:sz w:val="24"/>
      <w:szCs w:val="24"/>
      <w:lang w:eastAsia="it-IT"/>
    </w:rPr>
  </w:style>
  <w:style w:type="paragraph" w:styleId="Heading1">
    <w:name w:val="heading 1"/>
    <w:basedOn w:val="Normal"/>
    <w:next w:val="Normal"/>
    <w:link w:val="Heading1Char"/>
    <w:qFormat/>
    <w:rsid w:val="00EA484E"/>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EA484E"/>
    <w:pPr>
      <w:numPr>
        <w:ilvl w:val="1"/>
        <w:numId w:val="1"/>
      </w:numPr>
      <w:spacing w:line="288" w:lineRule="auto"/>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EA484E"/>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EA484E"/>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EA484E"/>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EA484E"/>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EA484E"/>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EA484E"/>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EA484E"/>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el-GR"/>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el-GR"/>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el-GR"/>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el-GR"/>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el-GR"/>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el-GR"/>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el-GR"/>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el-GR"/>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el-GR"/>
    </w:rPr>
  </w:style>
  <w:style w:type="paragraph" w:styleId="FootnoteText">
    <w:name w:val="footnote text"/>
    <w:basedOn w:val="Normal"/>
    <w:link w:val="FootnoteTextChar"/>
    <w:unhideWhenUsed/>
    <w:qFormat/>
    <w:rsid w:val="00EA484E"/>
  </w:style>
  <w:style w:type="character" w:customStyle="1" w:styleId="FootnoteTextChar">
    <w:name w:val="Footnote Text Char"/>
    <w:basedOn w:val="DefaultParagraphFont"/>
    <w:link w:val="FootnoteText"/>
    <w:rsid w:val="00EA484E"/>
    <w:rPr>
      <w:rFonts w:ascii="Cambria" w:eastAsia="MS Mincho" w:hAnsi="Cambria" w:cs="Times New Roman"/>
      <w:sz w:val="24"/>
      <w:szCs w:val="24"/>
      <w:lang w:val="el-GR" w:eastAsia="it-IT"/>
    </w:rPr>
  </w:style>
  <w:style w:type="character" w:styleId="FootnoteReference">
    <w:name w:val="footnote reference"/>
    <w:unhideWhenUsed/>
    <w:qFormat/>
    <w:rsid w:val="00EA484E"/>
    <w:rPr>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paragraph" w:styleId="Header">
    <w:name w:val="header"/>
    <w:basedOn w:val="Normal"/>
    <w:link w:val="HeaderChar"/>
    <w:uiPriority w:val="99"/>
    <w:unhideWhenUsed/>
    <w:rsid w:val="00395CE4"/>
    <w:pPr>
      <w:spacing w:line="288" w:lineRule="auto"/>
      <w:jc w:val="both"/>
    </w:pPr>
    <w:rPr>
      <w:rFonts w:ascii="Times New Roman" w:hAnsi="Times New Roman"/>
      <w:sz w:val="22"/>
    </w:rPr>
  </w:style>
  <w:style w:type="character" w:customStyle="1" w:styleId="HeaderChar">
    <w:name w:val="Header Char"/>
    <w:basedOn w:val="DefaultParagraphFont"/>
    <w:link w:val="Header"/>
    <w:uiPriority w:val="99"/>
    <w:rsid w:val="00395CE4"/>
    <w:rPr>
      <w:rFonts w:ascii="Times New Roman" w:eastAsia="MS Mincho" w:hAnsi="Times New Roman" w:cs="Times New Roman"/>
      <w:sz w:val="22"/>
      <w:szCs w:val="24"/>
      <w:lang w:val="el-GR" w:eastAsia="it-IT"/>
    </w:rPr>
  </w:style>
  <w:style w:type="paragraph" w:styleId="Footer">
    <w:name w:val="footer"/>
    <w:basedOn w:val="Normal"/>
    <w:link w:val="FooterChar"/>
    <w:uiPriority w:val="99"/>
    <w:unhideWhenUsed/>
    <w:rsid w:val="00395CE4"/>
    <w:pPr>
      <w:spacing w:line="288" w:lineRule="auto"/>
      <w:jc w:val="both"/>
    </w:pPr>
    <w:rPr>
      <w:rFonts w:ascii="Times New Roman" w:hAnsi="Times New Roman"/>
      <w:sz w:val="22"/>
    </w:rPr>
  </w:style>
  <w:style w:type="character" w:customStyle="1" w:styleId="FooterChar">
    <w:name w:val="Footer Char"/>
    <w:basedOn w:val="DefaultParagraphFont"/>
    <w:link w:val="Footer"/>
    <w:uiPriority w:val="99"/>
    <w:rsid w:val="00395CE4"/>
    <w:rPr>
      <w:rFonts w:ascii="Times New Roman" w:eastAsia="MS Mincho" w:hAnsi="Times New Roman" w:cs="Times New Roman"/>
      <w:sz w:val="22"/>
      <w:szCs w:val="24"/>
      <w:lang w:val="el-GR" w:eastAsia="it-IT"/>
    </w:rPr>
  </w:style>
  <w:style w:type="paragraph" w:styleId="BalloonText">
    <w:name w:val="Balloon Text"/>
    <w:basedOn w:val="Normal"/>
    <w:link w:val="BalloonTextChar"/>
    <w:uiPriority w:val="99"/>
    <w:semiHidden/>
    <w:unhideWhenUsed/>
    <w:rsid w:val="00395C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CE4"/>
    <w:rPr>
      <w:rFonts w:ascii="Segoe UI" w:eastAsia="MS Mincho" w:hAnsi="Segoe UI" w:cs="Segoe UI"/>
      <w:szCs w:val="18"/>
      <w:lang w:val="el-GR"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esc.europa.eu/el/news-media/press-releases/eesc-proposals-post-covid-19-recovery-and-reconstruction-towards-new-societal-mode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VV634QRNENMJ-762678085-1619</_dlc_DocId>
    <_dlc_DocIdUrl xmlns="cda99570-6012-4083-bfeb-7d32ad1ce1a3">
      <Url>http://dm2016/eesc/2020/_layouts/15/DocIdRedir.aspx?ID=VV634QRNENMJ-762678085-1619</Url>
      <Description>VV634QRNENMJ-762678085-1619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2020-07-20T12:00:00+00:00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2020-07-15T12:00:00+00:00</MeetingDate>
    <TaxCatchAll xmlns="cda99570-6012-4083-bfeb-7d32ad1ce1a3">
      <Value>51</Value>
      <Value>48</Value>
      <Value>47</Value>
      <Value>46</Value>
      <Value>45</Value>
      <Value>44</Value>
      <Value>43</Value>
      <Value>40</Value>
      <Value>39</Value>
      <Value>38</Value>
      <Value>36</Value>
      <Value>34</Value>
      <Value>32</Value>
      <Value>31</Value>
      <Value>29</Value>
      <Value>24</Value>
      <Value>16</Value>
      <Value>13</Value>
      <Value>11</Value>
      <Value>10</Value>
      <Value>9</Value>
      <Value>8</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7916</FicheNumber>
    <DocumentPart xmlns="cda99570-6012-4083-bfeb-7d32ad1ce1a3">0</DocumentPart>
    <AdoptionDate xmlns="cda99570-6012-4083-bfeb-7d32ad1ce1a3" xsi:nil="true"/>
    <RequestingService xmlns="cda99570-6012-4083-bfeb-7d32ad1ce1a3">Coordination législative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553</MeetingNumber>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28B1E4-4726-48B9-8103-CC1ECE20DBFE}"/>
</file>

<file path=customXml/itemProps2.xml><?xml version="1.0" encoding="utf-8"?>
<ds:datastoreItem xmlns:ds="http://schemas.openxmlformats.org/officeDocument/2006/customXml" ds:itemID="{F3E81D0C-D7F0-413F-9531-C2C234874349}"/>
</file>

<file path=customXml/itemProps3.xml><?xml version="1.0" encoding="utf-8"?>
<ds:datastoreItem xmlns:ds="http://schemas.openxmlformats.org/officeDocument/2006/customXml" ds:itemID="{7D8623A7-0AED-45B4-893E-88220FD453E3}"/>
</file>

<file path=customXml/itemProps4.xml><?xml version="1.0" encoding="utf-8"?>
<ds:datastoreItem xmlns:ds="http://schemas.openxmlformats.org/officeDocument/2006/customXml" ds:itemID="{2750AD94-CAAC-4422-984B-A829849F8F58}"/>
</file>

<file path=docProps/app.xml><?xml version="1.0" encoding="utf-8"?>
<Properties xmlns="http://schemas.openxmlformats.org/officeDocument/2006/extended-properties" xmlns:vt="http://schemas.openxmlformats.org/officeDocument/2006/docPropsVTypes">
  <Template>Styles.dotm</Template>
  <TotalTime>3</TotalTime>
  <Pages>4</Pages>
  <Words>1159</Words>
  <Characters>6259</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Σύνοψη του ψηφίσματος της ΕΟΚΕ στο πρόγραμμα εργασίας της Ευρωπαϊκής Επιτροπής για το 2021</dc:title>
  <dc:subject>Συμβουλευτικές εργασίες, διάφορα</dc:subject>
  <dc:creator>Jan Dirx</dc:creator>
  <cp:keywords>EESC-2020-03155-00-00-TCD-TRA-EN</cp:keywords>
  <dc:description>Rapporteur:  - Original language: EN - Date of document: 20/07/2020 - Date of meeting: 15/07/2020 - External documents:  - Administrator: M. COSMAI Domenico</dc:description>
  <cp:lastModifiedBy>Georgios Skarpas</cp:lastModifiedBy>
  <cp:revision>8</cp:revision>
  <dcterms:created xsi:type="dcterms:W3CDTF">2020-07-17T14:51:00Z</dcterms:created>
  <dcterms:modified xsi:type="dcterms:W3CDTF">2020-07-20T07:01:00Z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vt:lpwstr>
  </property>
  <property fmtid="{D5CDD505-2E9C-101B-9397-08002B2CF9AE}" pid="4" name="Pref_Time">
    <vt:lpwstr>16:38:07</vt:lpwstr>
  </property>
  <property fmtid="{D5CDD505-2E9C-101B-9397-08002B2CF9AE}" pid="5" name="Pref_User">
    <vt:lpwstr>hnic</vt:lpwstr>
  </property>
  <property fmtid="{D5CDD505-2E9C-101B-9397-08002B2CF9AE}" pid="6" name="Pref_FileName">
    <vt:lpwstr>EESC-2020-03155-00-00-TCD-ORI.docx</vt:lpwstr>
  </property>
  <property fmtid="{D5CDD505-2E9C-101B-9397-08002B2CF9AE}" pid="7" name="ContentTypeId">
    <vt:lpwstr>0x010100EA97B91038054C99906057A708A1480A00292A099219C5BF43911B0000CE8DBCC8</vt:lpwstr>
  </property>
  <property fmtid="{D5CDD505-2E9C-101B-9397-08002B2CF9AE}" pid="8" name="_dlc_DocIdItemGuid">
    <vt:lpwstr>6e5443b0-241d-44b3-891a-96b608938179</vt:lpwstr>
  </property>
  <property fmtid="{D5CDD505-2E9C-101B-9397-08002B2CF9AE}" pid="9" name="AvailableTranslations">
    <vt:lpwstr>39;#HU|6b229040-c589-4408-b4c1-4285663d20a8;#9;#PL|1e03da61-4678-4e07-b136-b5024ca9197b;#45;#FI|87606a43-d45f-42d6-b8c9-e1a3457db5b7;#24;#LV|46f7e311-5d9f-4663-b433-18aeccb7ace7;#16;#ES|e7a6b05b-ae16-40c8-add9-68b64b03aeba;#13;#IT|0774613c-01ed-4e5d-a25d-11d2388de825;#29;#PT|50ccc04a-eadd-42ae-a0cb-acaf45f812ba;#4;#EN|f2175f21-25d7-44a3-96da-d6a61b075e1b;#32;#DA|5d49c027-8956-412b-aa16-e85a0f96ad0e;#40;#SV|c2ed69e7-a339-43d7-8f22-d93680a92aa0;#46;#SK|46d9fce0-ef79-4f71-b89b-cd6aa82426b8;#38;#EL|6d4f4d51-af9b-4650-94b4-4276bee85c91;#43;#HR|2f555653-ed1a-4fe6-8362-9082d95989e5;#36;#MT|7df99101-6854-4a26-b53a-b88c0da02c26;#31;#CS|72f9705b-0217-4fd3-bea2-cbc7ed80e26e;#48;#RO|feb747a2-64cd-4299-af12-4833ddc30497;#10;#DE|f6b31e5a-26fa-4935-b661-318e46daf27e;#34;#SL|98a412ae-eb01-49e9-ae3d-585a81724cfc;#47;#ET|ff6c3f4c-b02c-4c3c-ab07-2c37995a7a0a;#11;#FR|d2afafd3-4c81-4f60-8f52-ee33f2f54ff3;#44;#BG|1a1b3951-7821-4e6a-85f5-5673fc08bd2c</vt:lpwstr>
  </property>
  <property fmtid="{D5CDD505-2E9C-101B-9397-08002B2CF9AE}" pid="10" name="DocumentType_0">
    <vt:lpwstr>TCD|cd9d6eb6-3f4f-424a-b2d1-57c9d450eaaf</vt:lpwstr>
  </property>
  <property fmtid="{D5CDD505-2E9C-101B-9397-08002B2CF9AE}" pid="11" name="MeetingNumber">
    <vt:i4>553</vt:i4>
  </property>
  <property fmtid="{D5CDD505-2E9C-101B-9397-08002B2CF9AE}" pid="12" name="DossierName_0">
    <vt:lpwstr/>
  </property>
  <property fmtid="{D5CDD505-2E9C-101B-9397-08002B2CF9AE}" pid="13" name="DocumentSource_0">
    <vt:lpwstr>EESC|422833ec-8d7e-4e65-8e4e-8bed07ffb729</vt:lpwstr>
  </property>
  <property fmtid="{D5CDD505-2E9C-101B-9397-08002B2CF9AE}" pid="14" name="DocumentNumber">
    <vt:i4>3155</vt:i4>
  </property>
  <property fmtid="{D5CDD505-2E9C-101B-9397-08002B2CF9AE}" pid="15" name="FicheYear">
    <vt:i4>2020</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1;#EESC|422833ec-8d7e-4e65-8e4e-8bed07ffb729</vt:lpwstr>
  </property>
  <property fmtid="{D5CDD505-2E9C-101B-9397-08002B2CF9AE}" pid="22" name="DocumentType">
    <vt:lpwstr>8;#TCD|cd9d6eb6-3f4f-424a-b2d1-57c9d450eaaf</vt:lpwstr>
  </property>
  <property fmtid="{D5CDD505-2E9C-101B-9397-08002B2CF9AE}" pid="23" name="RequestingService">
    <vt:lpwstr>Coordination législative</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51;#SPL-CES|32d8cb1f-c9ec-4365-95c7-8385a18618ac</vt:lpwstr>
  </property>
  <property fmtid="{D5CDD505-2E9C-101B-9397-08002B2CF9AE}" pid="29" name="MeetingDate">
    <vt:filetime>2020-07-15T12:00:00Z</vt:filetime>
  </property>
  <property fmtid="{D5CDD505-2E9C-101B-9397-08002B2CF9AE}" pid="30" name="AvailableTranslations_0">
    <vt:lpwstr>HU|6b229040-c589-4408-b4c1-4285663d20a8;ES|e7a6b05b-ae16-40c8-add9-68b64b03aeba;IT|0774613c-01ed-4e5d-a25d-11d2388de825;PT|50ccc04a-eadd-42ae-a0cb-acaf45f812ba;EN|f2175f21-25d7-44a3-96da-d6a61b075e1b;HR|2f555653-ed1a-4fe6-8362-9082d95989e5;CS|72f9705b-0217-4fd3-bea2-cbc7ed80e26e;RO|feb747a2-64cd-4299-af12-4833ddc30497;DE|f6b31e5a-26fa-4935-b661-318e46daf27e;BG|1a1b3951-7821-4e6a-85f5-5673fc08bd2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31;#CS|72f9705b-0217-4fd3-bea2-cbc7ed80e26e;#43;#HR|2f555653-ed1a-4fe6-8362-9082d95989e5;#29;#PT|50ccc04a-eadd-42ae-a0cb-acaf45f812ba;#39;#HU|6b229040-c589-4408-b4c1-4285663d20a8;#16;#ES|e7a6b05b-ae16-40c8-add9-68b64b03aeba;#51;#SPL-CES|32d8cb1f-c9ec-4365-95c7-8385a18618ac;#13;#IT|0774613c-01ed-4e5d-a25d-11d2388de825;#48;#RO|feb747a2-64cd-4299-af12-4833ddc30497;#10;#DE|f6b31e5a-26fa-4935-b661-318e46daf27e;#8;#TCD|cd9d6eb6-3f4f-424a-b2d1-57c9d450eaaf;#44;#BG|1a1b3951-7821-4e6a-85f5-5673fc08bd2c;#6;#Final|ea5e6674-7b27-4bac-b091-73adbb394efe;#5;#Unrestricted|826e22d7-d029-4ec0-a450-0c28ff673572;#4;#EN|f2175f21-25d7-44a3-96da-d6a61b075e1b;#2;#TRA|150d2a88-1431-44e6-a8ca-0bb753ab8672;#1;#EESC|422833ec-8d7e-4e65-8e4e-8bed07ffb729</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7916</vt:i4>
  </property>
  <property fmtid="{D5CDD505-2E9C-101B-9397-08002B2CF9AE}" pid="38" name="DocumentLanguage">
    <vt:lpwstr>38;#EL|6d4f4d51-af9b-4650-94b4-4276bee85c91</vt:lpwstr>
  </property>
</Properties>
</file>