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7495B61F" w:rsidR="00EA484E" w:rsidRPr="00AC7274" w:rsidRDefault="00640F9D" w:rsidP="00EA484E">
      <w:pPr>
        <w:spacing w:line="288" w:lineRule="auto"/>
        <w:jc w:val="center"/>
        <w:rPr>
          <w:rFonts w:ascii="Times New Roman" w:hAnsi="Times New Roman"/>
        </w:rPr>
      </w:pPr>
      <w:r>
        <w:rPr>
          <w:noProof/>
          <w:lang w:val="en-US" w:eastAsia="en-US"/>
        </w:rPr>
        <w:drawing>
          <wp:inline distT="0" distB="0" distL="0" distR="0" wp14:anchorId="452744BC" wp14:editId="21F814B6">
            <wp:extent cx="1792605" cy="1239520"/>
            <wp:effectExtent l="0" t="0" r="0" b="0"/>
            <wp:docPr id="1" name="Picture 1" title="EESC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val="en-US" w:eastAsia="en-US"/>
        </w:rPr>
        <mc:AlternateContent>
          <mc:Choice Requires="wps">
            <w:drawing>
              <wp:anchor distT="0" distB="0" distL="114300" distR="114300" simplePos="0" relativeHeight="251659264" behindDoc="1" locked="0" layoutInCell="0" allowOverlap="1" wp14:anchorId="6BDDC625" wp14:editId="2E78AA97">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ZUSAMMENFASSUNG DER ENTSCHLIESSUNG</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77777777"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Beitrag des Europäischen Wirtschafts- und Sozialausschusses</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zum Arbeitsprogramm 2021 der Europäischen Kommission</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auf der Grundlage der Arbeit der</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Ad-hoc-Gruppe „Beitrag des EWSA zum Arbeitsprogramm 2021 der Kommission“</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792C9FD3" w14:textId="188BAB7E"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77777777"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 xml:space="preserve">Berichterstatter: </w:t>
      </w:r>
      <w:r>
        <w:rPr>
          <w:rFonts w:ascii="Times New Roman" w:hAnsi="Times New Roman"/>
          <w:b/>
          <w:sz w:val="22"/>
          <w:szCs w:val="22"/>
        </w:rPr>
        <w:t>Petr ZAHRADNÍK (Gr. I)</w:t>
      </w:r>
    </w:p>
    <w:p w14:paraId="2B11417B" w14:textId="77777777" w:rsidR="00EA484E" w:rsidRPr="00AC7274" w:rsidRDefault="00EA484E" w:rsidP="00DB527C">
      <w:pPr>
        <w:spacing w:line="288" w:lineRule="auto"/>
        <w:ind w:left="3969"/>
        <w:rPr>
          <w:rFonts w:ascii="Times New Roman" w:hAnsi="Times New Roman"/>
          <w:b/>
          <w:sz w:val="22"/>
          <w:szCs w:val="22"/>
        </w:rPr>
      </w:pPr>
      <w:r>
        <w:rPr>
          <w:rFonts w:ascii="Times New Roman" w:hAnsi="Times New Roman"/>
          <w:b/>
          <w:sz w:val="22"/>
          <w:szCs w:val="22"/>
        </w:rPr>
        <w:t>Stefano PALMIERI (Gr. II)</w:t>
      </w:r>
    </w:p>
    <w:p w14:paraId="5009DD94" w14:textId="77777777" w:rsidR="00EA484E" w:rsidRPr="00AC7274" w:rsidRDefault="00EA484E" w:rsidP="000145BB">
      <w:pPr>
        <w:spacing w:line="288" w:lineRule="auto"/>
        <w:ind w:left="3884" w:firstLine="85"/>
        <w:rPr>
          <w:rFonts w:ascii="Times New Roman" w:hAnsi="Times New Roman"/>
          <w:b/>
          <w:sz w:val="22"/>
          <w:szCs w:val="22"/>
        </w:rPr>
      </w:pPr>
      <w:r>
        <w:rPr>
          <w:rFonts w:ascii="Times New Roman" w:hAnsi="Times New Roman"/>
          <w:b/>
          <w:sz w:val="22"/>
          <w:szCs w:val="22"/>
        </w:rPr>
        <w:t>Jan DIRX (Gr.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BA67C7E"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vom Europäischen Wirtschafts- und Sozialausschuss am 16. Juli 2020 verabschiedet</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33F4C3EF"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rPr>
        <w:lastRenderedPageBreak/>
        <w:t>Der Europäische Wirtschafts- und Sozialausschuss (EWSA) begrüßt und unterstützt nachdrücklich die Vorschläge der Europäischen K</w:t>
      </w:r>
      <w:r w:rsidR="000145BB">
        <w:rPr>
          <w:rFonts w:ascii="Times New Roman" w:hAnsi="Times New Roman"/>
        </w:rPr>
        <w:t>ommission, den „Next Generation </w:t>
      </w:r>
      <w:r>
        <w:rPr>
          <w:rFonts w:ascii="Times New Roman" w:hAnsi="Times New Roman"/>
        </w:rPr>
        <w:t>EU“-Plan und den langfristigen EU-Haushalt für 2021–2027, wie er bereits in seiner Entschließung „Vorschläge des EWSA für den Wiederaufbau und die wirtschaftliche Erholung nach der Covid-19-Krise“</w:t>
      </w:r>
      <w:r w:rsidRPr="00AC7274">
        <w:rPr>
          <w:rFonts w:ascii="Times New Roman" w:hAnsi="Times New Roman"/>
          <w:vertAlign w:val="superscript"/>
          <w:lang w:val="en-GB" w:eastAsia="en-US"/>
        </w:rPr>
        <w:footnoteReference w:id="1"/>
      </w:r>
      <w:r>
        <w:rPr>
          <w:rFonts w:ascii="Times New Roman" w:hAnsi="Times New Roman"/>
        </w:rPr>
        <w:t xml:space="preserve"> betont hat.</w:t>
      </w:r>
      <w:r>
        <w:rPr>
          <w:rFonts w:ascii="Times New Roman" w:hAnsi="Times New Roman"/>
          <w:sz w:val="22"/>
          <w:szCs w:val="22"/>
        </w:rPr>
        <w:t xml:space="preserve"> Der Ausschuss hofft und erwartet, dass die von der Kommission in diesen Plänen dargelegte Marschroute für die notwendige Erholung und den Wiederaufbau nach der Coronavirus-Krise in ihrem Arbeitsprogramm für 2021 umfassend und konkret weiterentwickelt wird.</w:t>
      </w:r>
    </w:p>
    <w:p w14:paraId="0DC5F400"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Nach Auffassung des EWSA sollte sich das Arbeitsprogramm auf die Neustrukturierung und Verbesserung unserer Wirtschaft und Gesellschaft auf der Grundlage folgender Prinzipien konzentrieren: Schutz der Menschenrechte und der sozialen Rechte, der demokratischen Werte und der Rechtsstaatlichkeit, Erschließung des vollen Potenzials des</w:t>
      </w:r>
      <w:bookmarkStart w:id="0" w:name="_GoBack"/>
      <w:bookmarkEnd w:id="0"/>
      <w:r>
        <w:rPr>
          <w:rFonts w:ascii="Times New Roman" w:hAnsi="Times New Roman"/>
          <w:sz w:val="22"/>
          <w:szCs w:val="22"/>
        </w:rPr>
        <w:t xml:space="preserve"> Binnenmarkts, Verwirklichung der Nachhaltigkeitsziele, Schaffung einer Kreislaufwirtschaft und einer klimaneutralen EU bis spätestens 2050 sowie Gewährleistung eines verantwortungsvollen Regierungshandelns und demokratischer Rechenschaftspflicht.</w:t>
      </w:r>
    </w:p>
    <w:p w14:paraId="62862964"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7E5DFEA9"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Der EWSA betont, dass die von der Kommission gewählten sechs Kernziele (europäischer Grüner Deal, ein Europa für das digitale Zeitalter, eine Wirtschaft im Dienste der Menschen, ein stärkeres Europa in der Welt, Förderung unserer europäischen Lebensweise und neuer Schwung für die Demokratie in Europa) einen wirksamen Rahmen für die Ausarbeitung des Arbeitsprogramms für 2021 bieten. Eventuell sollte der Schwerpunkt, auch mit Blick auf die gegenwärtig ergriffenen Maßnahmen, dezidierter auf Investitionen und auf die Tatsache gelegt werden, dass sie beschleunigt werden müssen.</w:t>
      </w:r>
    </w:p>
    <w:p w14:paraId="76FF9B78"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Gerade jetzt, da wir erleben, wie wichtig die Zusammenarbeit zwischen den Ländern in diesen Krisenzeiten ist, hofft der EWSA, dass die bevorstehende Konferenz zur Zukunft Europas zur Stärkung und Vertiefung des institutionellen Gefüges der EU und zu einer echten Erneuerung des EU-Projekts führen wird, das für die Herausforderungen der nächsten Jahrzehnte gerüstet sein muss. Die Kommission kann deshalb auf die uneingeschränkte Unterstützung des Ausschusses zählen.</w:t>
      </w:r>
    </w:p>
    <w:p w14:paraId="48473CC8" w14:textId="77777777" w:rsidR="00EA484E" w:rsidRPr="00395CE4"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Der EWSA ist überzeugt, dass der Prozess der Erholung und des Wiederaufbaus von Wirtschaft und Gesellschaft nur unter aktiver Beteiligung der Organisationen der Zivilgesellschaft und der Sozialpartner möglich sein wird.</w:t>
      </w:r>
    </w:p>
    <w:p w14:paraId="7206EF37"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71D68A1C"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Der Grüne Deal der EU kann auch als wirksames Instrument zur nachhaltigen Wiederbelebung der Wirtschaft durch massive Investitionen zur Unterstützung der notwendigen strukturellen Veränderungen, mit denen Europa konfrontiert ist, angesehen werden. Unter diesem Gesichtspunkt ließe er sich als Chance zur Unterstützung einer längerfristigen wirtschaftlichen Erholung begreifen. Es bedarf eines neuen Konsenses in Europa, um zu diesem Zweck ausreichende öffentliche und private Finanzierungsquellen zu bündeln und eine neue Governance zu schaffen, um ihn erfolgreich in die Praxis umzusetzen.</w:t>
      </w:r>
    </w:p>
    <w:p w14:paraId="4E7D4AA2"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1100C344"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Öffentliche Mittel, die in Konjunkturprogramme investiert werden, sollten nicht nur zum Wiederaufbau der europäischen Wirtschaft und Gesellschaft beitragen, sondern im Wege der Förderung einer widerstandsfähigen, inklusiven und klimafreundlichen Wirtschaft (der sogenannten „Ökonomie des Wohlergehens“) auch zur wirksamen Eindämmung der Auswirkungen weiterer Schocks. </w:t>
      </w:r>
    </w:p>
    <w:p w14:paraId="654FCC30"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CF873A2" w14:textId="4021C56D" w:rsidR="00797347" w:rsidRPr="000145BB"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Die EU-Taxonomie für ein nachhaltiges Finanzwesen sollte während der Phase der wirtschaftlichen Erholung als Richtschnur für öffentliche und private Investitionen dienen, um die Verlagerung weg von umweltschädlichen hin zu umweltverträglichen Branchen zu beschleunigen.</w:t>
      </w:r>
    </w:p>
    <w:p w14:paraId="6A9FC0CF" w14:textId="77777777" w:rsidR="000145BB" w:rsidRPr="00395CE4" w:rsidRDefault="000145BB" w:rsidP="000145BB">
      <w:pPr>
        <w:pStyle w:val="ListParagraph"/>
        <w:spacing w:line="288" w:lineRule="auto"/>
        <w:ind w:left="567"/>
        <w:jc w:val="both"/>
        <w:outlineLvl w:val="1"/>
        <w:rPr>
          <w:rFonts w:ascii="Times New Roman" w:eastAsia="Times New Roman" w:hAnsi="Times New Roman"/>
          <w:sz w:val="22"/>
          <w:szCs w:val="22"/>
        </w:rPr>
      </w:pPr>
    </w:p>
    <w:p w14:paraId="67C0400C" w14:textId="1779E3BE" w:rsidR="00EA484E"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Die Coronakrise zeigt, dass die digitale Revolution ein wichtiges Element für eine größere Krisenresilienz unserer Gesellschaft ist. Investitionen in die Digitalisierung wesentlicher Dienstleistungen und die Verbesserung der Fähigkeit von Regierungen, gesetzgebenden Organen und öffentlichen Einrichtungen, ihre Dienste auch in einer Krise weiter zu erbringen, sind von größter Bedeutung.</w:t>
      </w:r>
    </w:p>
    <w:p w14:paraId="3A22B508"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0C733ED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Die Kommission wird ersucht, das Semester weiterhin als Hebel für den Aufschwung auf der Grundlage der im Rahmen des Europäischen Semesters ermittelten Investitions- und Reformprioritäten zu nutzen. Der Ausschuss begrüßt den jüngsten Fokus auf einer besseren Einbeziehung sozialer Fragen und des europäischen Grünen Deals ebenso wie die Umsetzung der Aufbau- und Resilienzfazilität im Rahmen des Europäischen Semesters. </w:t>
      </w:r>
    </w:p>
    <w:p w14:paraId="3C3DB9C8" w14:textId="77777777" w:rsidR="00695B6E" w:rsidRPr="00395CE4"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4AFB6E7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Eine Chance liegt in der Förderung der sozialen Innovation als Modell für den Wiederaufbau durch gemeinsame Entwicklung, Gestaltung und Produktion. Die organisierte Zivilgesellschaft ist ein Katalysator für soziale Innovation, aus der heraus Sozialsysteme entstanden sind, die neue Ansätze, Strukturen, Produkte, Dienstleistungen und Arbeitsmethoden hervorgebracht haben.  Die Teilhabe der Zivilgesellschaft ist heute wichtiger denn je, doch kann es echte soziale Innovation nur geben, wenn die Zivilgesellschaft beteiligt wird.</w:t>
      </w:r>
    </w:p>
    <w:p w14:paraId="1385EF6C" w14:textId="77777777" w:rsidR="00A1546D" w:rsidRPr="00395CE4"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2AC8F4EA"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Nicht zuletzt lautet eine der wichtigsten Lehren aus der Coronakrise, dass die Gesundheitssysteme in fast allen europäischen Ländern gestärkt werden müssen, indem der Schwerpunkt in erster Linie auf Prävention gelegt wird. Zwar fällt die Gesundheitsversorgung in die Zuständigkeit der einzelnen Länder, doch kennt die Ausbreitung des Virus keine Grenzen. Das Virus verbreitet sich in ganz Europa – sowohl innerhalb als auch außerhalb unserer Grenzen –, mit gesundheits-, sozial- und wirtschaftspolitischen Folgen, die gemeinsame Reaktionen auf europäischer Ebene erfordern.</w:t>
      </w:r>
    </w:p>
    <w:p w14:paraId="2D20D300" w14:textId="77777777" w:rsidR="00A1546D" w:rsidRPr="00395CE4"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0FBDB3BF"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Die EU muss ihre globale Position stärken und unterstützen, um sowohl in der Weltwirtschaft als auch in der internationalen Politik eine wichtigere strateg</w:t>
      </w:r>
      <w:r w:rsidR="000145BB">
        <w:rPr>
          <w:rFonts w:ascii="Times New Roman" w:hAnsi="Times New Roman"/>
          <w:sz w:val="22"/>
          <w:szCs w:val="22"/>
        </w:rPr>
        <w:t>ische Rolle einzunehmen. Die EU</w:t>
      </w:r>
      <w:r w:rsidR="000145BB">
        <w:rPr>
          <w:rFonts w:ascii="Times New Roman" w:hAnsi="Times New Roman"/>
          <w:sz w:val="22"/>
          <w:szCs w:val="22"/>
        </w:rPr>
        <w:noBreakHyphen/>
      </w:r>
      <w:r>
        <w:rPr>
          <w:rFonts w:ascii="Times New Roman" w:hAnsi="Times New Roman"/>
          <w:sz w:val="22"/>
          <w:szCs w:val="22"/>
        </w:rPr>
        <w:t xml:space="preserve">Wirtschaft verfügt über das Potenzial, ihre komparativen Vorteile auf dem globalen Handels- und Investitionsmarkt insbesondere in den Bereichen fortgeschrittene Fertigung und innovative Dienstleistungen besser zu nutzen und hat den Anspruch, weltweit führend zu sein. Neben diesem Bestreben sollte eine bessere und wirksamere Vertretung der EU in wichtigen internationalen Organisationen gewährleistet und sichergestellt werden, dass sie dort mit einer </w:t>
      </w:r>
      <w:r>
        <w:rPr>
          <w:rFonts w:ascii="Times New Roman" w:hAnsi="Times New Roman"/>
          <w:sz w:val="22"/>
          <w:szCs w:val="22"/>
        </w:rPr>
        <w:lastRenderedPageBreak/>
        <w:t>Stimme spricht. Der EWSA fordert die Europäische Kommission auf, die notwendige Stärkung der globalen Position der EU in ihrem Arbeitsprogramm für 2021 deutlicher herauszustellen.</w:t>
      </w:r>
    </w:p>
    <w:p w14:paraId="5114F866" w14:textId="77777777" w:rsidR="00695B6E" w:rsidRPr="00395CE4"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2EF24674"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Neben wirtschaftlichen und ökologischen Fragen muss das Arbeitsprogramm der EU für 2021 auch an sozialen Fragen ausgerichtet werden. Das bedeutet, dass dem Engagement für ein soziales und nachhaltiges Europa Priorität eingeräumt werden muss. Dabei spielen auch die Organisationen der Zivilgesellschaft eine wichtige Rolle.</w:t>
      </w:r>
    </w:p>
    <w:p w14:paraId="1F858B09" w14:textId="77777777" w:rsidR="00695B6E" w:rsidRPr="00395CE4" w:rsidRDefault="00695B6E" w:rsidP="00395CE4">
      <w:pPr>
        <w:pStyle w:val="ListParagraph"/>
        <w:spacing w:line="288" w:lineRule="auto"/>
        <w:ind w:left="0"/>
        <w:jc w:val="both"/>
        <w:outlineLvl w:val="1"/>
        <w:rPr>
          <w:rFonts w:ascii="Times New Roman" w:hAnsi="Times New Roman"/>
          <w:sz w:val="22"/>
          <w:szCs w:val="22"/>
          <w:lang w:val="en-GB"/>
        </w:rPr>
      </w:pPr>
    </w:p>
    <w:p w14:paraId="73255230" w14:textId="500D09E0"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Der EWSA unterstützt nachdrücklich den Vorschlag der Europäischen Kommission zur Erarbeitung eines Europäischen Aktionsplans für Demokratie, der umfassend und langfristig angelegt sein, Änderungen bewirken und durch finanzielle Unterstützung und interinstitutionelle Koordinierung abgesichert sein sollte.</w:t>
      </w:r>
    </w:p>
    <w:p w14:paraId="1F40C220" w14:textId="475B4AEC" w:rsidR="00395CE4" w:rsidRPr="00395CE4" w:rsidRDefault="00395CE4" w:rsidP="00695B6E">
      <w:pPr>
        <w:spacing w:line="288" w:lineRule="auto"/>
        <w:jc w:val="both"/>
        <w:outlineLvl w:val="1"/>
        <w:rPr>
          <w:rFonts w:ascii="Times New Roman" w:hAnsi="Times New Roman"/>
          <w:sz w:val="22"/>
          <w:szCs w:val="22"/>
          <w:lang w:val="en-GB"/>
        </w:rPr>
      </w:pPr>
    </w:p>
    <w:p w14:paraId="620BA47D" w14:textId="77777777" w:rsidR="00395CE4" w:rsidRPr="00AC7274" w:rsidRDefault="00395CE4">
      <w:pPr>
        <w:overflowPunct w:val="0"/>
        <w:autoSpaceDE w:val="0"/>
        <w:autoSpaceDN w:val="0"/>
        <w:adjustRightInd w:val="0"/>
        <w:spacing w:line="288" w:lineRule="auto"/>
        <w:jc w:val="center"/>
        <w:textAlignment w:val="baseline"/>
      </w:pPr>
      <w:r>
        <w:t>_____________</w:t>
      </w:r>
    </w:p>
    <w:p w14:paraId="5514C873" w14:textId="698C671E" w:rsidR="00395CE4" w:rsidRPr="00395CE4" w:rsidRDefault="00395CE4">
      <w:pPr>
        <w:tabs>
          <w:tab w:val="left" w:pos="1647"/>
        </w:tabs>
        <w:rPr>
          <w:rFonts w:ascii="Times New Roman" w:hAnsi="Times New Roman"/>
          <w:sz w:val="22"/>
          <w:szCs w:val="22"/>
          <w:lang w:val="en-GB"/>
        </w:rPr>
      </w:pPr>
    </w:p>
    <w:sectPr w:rsidR="00395CE4" w:rsidRPr="00395CE4" w:rsidSect="00395CE4">
      <w:footerReference w:type="default" r:id="rId8"/>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4FAF8962"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580CF2">
      <w:rPr>
        <w:noProof/>
      </w:rPr>
      <w:t>4</w:t>
    </w:r>
    <w:r>
      <w:fldChar w:fldCharType="end"/>
    </w:r>
    <w:r>
      <w:t>/</w:t>
    </w:r>
    <w:r w:rsidR="00580CF2">
      <w:fldChar w:fldCharType="begin"/>
    </w:r>
    <w:r w:rsidR="00580CF2">
      <w:instrText xml:space="preserve"> NUMPAGES </w:instrText>
    </w:r>
    <w:r w:rsidR="00580CF2">
      <w:fldChar w:fldCharType="separate"/>
    </w:r>
    <w:r w:rsidR="00580CF2">
      <w:rPr>
        <w:noProof/>
      </w:rPr>
      <w:t>4</w:t>
    </w:r>
    <w:r w:rsidR="00580CF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Entschließung zum Wiederaufbau und zur wirtschaftlichen Erholung nach der C</w:t>
        </w:r>
        <w:r>
          <w:rPr>
            <w:rStyle w:val="Hyperlink"/>
            <w:rFonts w:ascii="Times New Roman" w:hAnsi="Times New Roman"/>
            <w:sz w:val="16"/>
            <w:szCs w:val="16"/>
          </w:rPr>
          <w:t>o</w:t>
        </w:r>
        <w:r>
          <w:rPr>
            <w:rStyle w:val="Hyperlink"/>
            <w:rFonts w:ascii="Times New Roman" w:hAnsi="Times New Roman"/>
            <w:sz w:val="16"/>
            <w:szCs w:val="16"/>
          </w:rPr>
          <w:t>vid-19-Krise</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0145BB"/>
    <w:rsid w:val="0019028B"/>
    <w:rsid w:val="00395CE4"/>
    <w:rsid w:val="00580CF2"/>
    <w:rsid w:val="00640F9D"/>
    <w:rsid w:val="00695B6E"/>
    <w:rsid w:val="006D2A9B"/>
    <w:rsid w:val="00747CA5"/>
    <w:rsid w:val="00765063"/>
    <w:rsid w:val="00797347"/>
    <w:rsid w:val="00A1546D"/>
    <w:rsid w:val="00AC7274"/>
    <w:rsid w:val="00C12343"/>
    <w:rsid w:val="00D41E97"/>
    <w:rsid w:val="00DB527C"/>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de-DE"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de-DE"/>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de-DE"/>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de-DE"/>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de-DE"/>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de-DE"/>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de-DE"/>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de-DE"/>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de-DE"/>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de-DE"/>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de-DE"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de-DE"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de-DE"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de-DE" w:eastAsia="it-IT"/>
    </w:rPr>
  </w:style>
  <w:style w:type="character" w:styleId="FollowedHyperlink">
    <w:name w:val="FollowedHyperlink"/>
    <w:basedOn w:val="DefaultParagraphFont"/>
    <w:uiPriority w:val="99"/>
    <w:semiHidden/>
    <w:unhideWhenUsed/>
    <w:rsid w:val="000145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de/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VV634QRNENMJ-762678085-1602</_dlc_DocId>
    <_dlc_DocIdUrl xmlns="cda99570-6012-4083-bfeb-7d32ad1ce1a3">
      <Url>http://dm2016/eesc/2020/_layouts/15/DocIdRedir.aspx?ID=VV634QRNENMJ-762678085-1602</Url>
      <Description>VV634QRNENMJ-762678085-1602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3501F3-AB9B-4B49-8FF3-691220636B50}"/>
</file>

<file path=customXml/itemProps2.xml><?xml version="1.0" encoding="utf-8"?>
<ds:datastoreItem xmlns:ds="http://schemas.openxmlformats.org/officeDocument/2006/customXml" ds:itemID="{BA70122B-FC67-4FA8-A2C3-FB0C15474AFD}"/>
</file>

<file path=customXml/itemProps3.xml><?xml version="1.0" encoding="utf-8"?>
<ds:datastoreItem xmlns:ds="http://schemas.openxmlformats.org/officeDocument/2006/customXml" ds:itemID="{C2433169-2042-44BB-B1FE-16BA90C117E4}"/>
</file>

<file path=customXml/itemProps4.xml><?xml version="1.0" encoding="utf-8"?>
<ds:datastoreItem xmlns:ds="http://schemas.openxmlformats.org/officeDocument/2006/customXml" ds:itemID="{53FE945F-B623-4197-B1C3-B84941065A54}"/>
</file>

<file path=docProps/app.xml><?xml version="1.0" encoding="utf-8"?>
<Properties xmlns="http://schemas.openxmlformats.org/officeDocument/2006/extended-properties" xmlns:vt="http://schemas.openxmlformats.org/officeDocument/2006/docPropsVTypes">
  <Template>Styles</Template>
  <TotalTime>11</TotalTime>
  <Pages>4</Pages>
  <Words>1132</Words>
  <Characters>6455</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Zusammenfassung - Vorschläge des EWSA zum Arbeitsprogramm 2021 der Europäischen Kommission</dc:title>
  <dc:subject>Beratende Arbeiten/Verschiedenes</dc:subject>
  <dc:creator>Jan Dirx</dc:creator>
  <cp:keywords>EESC-2020-03155-00-00-TCD-TRA-EN</cp:keywords>
  <dc:description>Rapporteur:  - Original language: EN - Date of document: 17/07/2020 - Date of meeting: 15/07/2020 - External documents:  - Administrator: M. COSMAI Domenico</dc:description>
  <cp:lastModifiedBy>Suciu Monica Elena</cp:lastModifiedBy>
  <cp:revision>9</cp:revision>
  <dcterms:created xsi:type="dcterms:W3CDTF">2020-07-17T14:51:00Z</dcterms:created>
  <dcterms:modified xsi:type="dcterms:W3CDTF">2020-07-17T16:11:00Z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fd6da4fb-6903-41e7-8b34-c8f379f34db5</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HU|6b229040-c589-4408-b4c1-4285663d20a8;EN|f2175f21-25d7-44a3-96da-d6a61b075e1b;CS|72f9705b-0217-4fd3-bea2-cbc7ed80e26e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39;#HU|6b229040-c589-4408-b4c1-4285663d20a8;#8;#TCD|cd9d6eb6-3f4f-424a-b2d1-57c9d450eaaf;#6;#Final|ea5e6674-7b27-4bac-b091-73adbb394efe;#5;#Unrestricted|826e22d7-d029-4ec0-a450-0c28ff673572;#4;#EN|f2175f21-25d7-44a3-96da-d6a61b075e1b;#2;#TRA|150d2a88-1431-44e6-a8ca-0bb753ab8672;#1;#EESC|422833ec-8d7e-4e65-8e4e-8bed07ffb729;#51;#SPL-CES|32d8cb1f-c9ec-4365-95c7-8385a18618a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10;#DE|f6b31e5a-26fa-4935-b661-318e46daf27e</vt:lpwstr>
  </property>
  <property fmtid="{D5CDD505-2E9C-101B-9397-08002B2CF9AE}" pid="39" name="_docset_NoMedatataSyncRequired">
    <vt:lpwstr>False</vt:lpwstr>
  </property>
</Properties>
</file>