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08CA5C36" w:rsidR="00EA484E" w:rsidRPr="00AC7274" w:rsidRDefault="00CD7114" w:rsidP="00EA484E">
      <w:pPr>
        <w:spacing w:line="288" w:lineRule="auto"/>
        <w:jc w:val="center"/>
        <w:rPr>
          <w:rFonts w:ascii="Times New Roman" w:hAnsi="Times New Roman"/>
        </w:rPr>
      </w:pPr>
      <w:bookmarkStart w:id="0" w:name="_GoBack"/>
      <w:bookmarkEnd w:id="0"/>
      <w:r>
        <w:rPr>
          <w:noProof/>
          <w:lang w:eastAsia="da-DK"/>
        </w:rPr>
        <w:drawing>
          <wp:inline distT="0" distB="0" distL="0" distR="0" wp14:anchorId="171A7975" wp14:editId="1C5AD985">
            <wp:extent cx="1792605" cy="1239520"/>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eastAsia="da-DK"/>
        </w:rPr>
        <mc:AlternateContent>
          <mc:Choice Requires="wps">
            <w:drawing>
              <wp:anchor distT="0" distB="0" distL="114300" distR="114300" simplePos="0" relativeHeight="251659264" behindDoc="1" locked="0" layoutInCell="0" allowOverlap="1" wp14:anchorId="6BDDC625" wp14:editId="5640379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RESUMÉ AF RESOLUTIONEN</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77777777"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Det Europæiske Økonomiske og Sociale Udvalgs bidrag</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til Kommissionens arbejdsprogram for 2021</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baseret på arbejdet i</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ad hoc-gruppen "EØSU's bidrag til Kommissionens arbejdsprogram for 2021"</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77777777"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 xml:space="preserve">Ordførere: </w:t>
      </w:r>
      <w:r>
        <w:rPr>
          <w:rFonts w:ascii="Times New Roman" w:hAnsi="Times New Roman"/>
          <w:b/>
          <w:sz w:val="22"/>
          <w:szCs w:val="22"/>
        </w:rPr>
        <w:t>Petr Zahradnik (Gr. I)</w:t>
      </w:r>
    </w:p>
    <w:p w14:paraId="2B11417B"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Stefano Palmieri (Gr. II)</w:t>
      </w:r>
    </w:p>
    <w:p w14:paraId="5009DD94" w14:textId="77777777" w:rsidR="00EA484E" w:rsidRPr="00AC7274" w:rsidRDefault="00EA484E" w:rsidP="00EA484E">
      <w:pPr>
        <w:spacing w:line="288" w:lineRule="auto"/>
        <w:ind w:left="3884"/>
        <w:rPr>
          <w:rFonts w:ascii="Times New Roman" w:hAnsi="Times New Roman"/>
          <w:b/>
          <w:sz w:val="22"/>
          <w:szCs w:val="22"/>
        </w:rPr>
      </w:pPr>
      <w:r>
        <w:rPr>
          <w:rFonts w:ascii="Times New Roman" w:hAnsi="Times New Roman"/>
          <w:b/>
          <w:sz w:val="22"/>
          <w:szCs w:val="22"/>
        </w:rPr>
        <w:t>Jan Dirx (Gr.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1BA67C7E"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vedtaget af Det Europæiske Økonomiske og Sociale Udvalg den 16. juli 2020</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27B71FF5" w:rsidR="00EA484E" w:rsidRPr="007F3640"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7F3640">
        <w:rPr>
          <w:rFonts w:ascii="Times New Roman" w:hAnsi="Times New Roman"/>
          <w:sz w:val="22"/>
        </w:rPr>
        <w:lastRenderedPageBreak/>
        <w:t>Som EØSU påpegede i sin resolution "EØSU's forslag til genopbygning og genopretning efter covid-19-krisen"</w:t>
      </w:r>
      <w:r w:rsidRPr="007F3640">
        <w:rPr>
          <w:rFonts w:ascii="Times New Roman" w:hAnsi="Times New Roman"/>
          <w:vertAlign w:val="superscript"/>
          <w:lang w:val="en-GB" w:eastAsia="en-US"/>
        </w:rPr>
        <w:footnoteReference w:id="1"/>
      </w:r>
      <w:r w:rsidRPr="007F3640">
        <w:rPr>
          <w:rFonts w:ascii="Times New Roman" w:hAnsi="Times New Roman"/>
          <w:sz w:val="22"/>
        </w:rPr>
        <w:t>, glæder EØSU sig meget over og støtter Kommissionens forslag Next Generation EU og det samlede EU-budget for perioden 2021-2027.</w:t>
      </w:r>
      <w:r w:rsidRPr="007F3640">
        <w:rPr>
          <w:rFonts w:ascii="Times New Roman" w:hAnsi="Times New Roman"/>
          <w:sz w:val="22"/>
          <w:szCs w:val="22"/>
        </w:rPr>
        <w:t xml:space="preserve"> Udvalget håber og forventer, at de linjer, som Kommissionen har udstukket i disse planer, som følge af behovet for genopretning og genopbygning efter covid-19-krisen fuldt ud og konkret vil blive udvidet i Kommissionens arbejdsprogram for 2021.</w:t>
      </w:r>
    </w:p>
    <w:p w14:paraId="0DC5F400"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5BA9F005"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EØSU mener, at arbejdsprogrammet bør fokusere på omstrukturering og forbedring af vores økonomi og samfund med udgangspunkt i følgende principper: beskyttelse af menneskerettigheder og sociale rettigheder, demokratiske værdier og retsstatsprincippet, udnyttelse af det indre markeds fulde potentiale, opfyldelse af verdensmålene for bæredygtig udvikling (SDG), skabelse af en cirkulær økonomi og opnåelse af klimaneutralitet i EU senest i</w:t>
      </w:r>
      <w:r w:rsidR="007F3640">
        <w:rPr>
          <w:rFonts w:ascii="Times New Roman" w:hAnsi="Times New Roman"/>
          <w:sz w:val="22"/>
          <w:szCs w:val="22"/>
        </w:rPr>
        <w:t> </w:t>
      </w:r>
      <w:r>
        <w:rPr>
          <w:rFonts w:ascii="Times New Roman" w:hAnsi="Times New Roman"/>
          <w:sz w:val="22"/>
          <w:szCs w:val="22"/>
        </w:rPr>
        <w:t>2050 og sikring af god regeringsførelse og demokratisk ansvarlighed.</w:t>
      </w:r>
    </w:p>
    <w:p w14:paraId="62862964"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3755A684"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EØSU understreger, at de seks overordnede ambitioner, som Kommissionen har valgt (En</w:t>
      </w:r>
      <w:r w:rsidR="007F3640">
        <w:rPr>
          <w:rFonts w:ascii="Times New Roman" w:hAnsi="Times New Roman"/>
          <w:sz w:val="22"/>
          <w:szCs w:val="22"/>
        </w:rPr>
        <w:t> </w:t>
      </w:r>
      <w:r>
        <w:rPr>
          <w:rFonts w:ascii="Times New Roman" w:hAnsi="Times New Roman"/>
          <w:sz w:val="22"/>
          <w:szCs w:val="22"/>
        </w:rPr>
        <w:t>europæisk grøn pagt, Et Europa klar til den digitale tidsalder, En økonomi, der tjener alle, Et stærkere Europa i verden, Fremme af vores europæiske levevis og Et nyt skub i europæisk demokrati), udgør en stærk ramme for udarbejdelsen af arbejdsprogrammet for 2021. Måske kunne der være mere udtrykkeligt fokus på investeringer og behovet for at fremskynde dem bl.a. ved hjælp af de foranstaltninger, der er ved at blive vedtaget.</w:t>
      </w:r>
    </w:p>
    <w:p w14:paraId="76FF9B78" w14:textId="77777777" w:rsidR="00EA484E" w:rsidRPr="00395CE4"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7777777"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Især nu hvor vi i disse krisetider oplever, hvor vigtigt samarbejdet mellem landene er, håber EØSU, at den kommende konference om Europas fremtid vil styrke og uddybe EU's institutionelle struktur og føre til en reel fornyelse af EU-projektet, så Unionen bliver i stand til at håndtere de kommende årtiers udfordringer. Kommissionen kan derfor regne med udvalgets fulde støtte.</w:t>
      </w:r>
    </w:p>
    <w:p w14:paraId="48473CC8" w14:textId="77777777" w:rsidR="00EA484E" w:rsidRPr="00395CE4"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2F23231E" w:rsidR="00EA484E" w:rsidRPr="00395CE4"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EØSU er overbevist om, at processen med genopretning og genopbygning af økonomien og samfundet kun vil være mulig med aktiv deltagelse af civilsamfundsorganisationer og arbejdsmarkedets parter.</w:t>
      </w:r>
    </w:p>
    <w:p w14:paraId="7206EF37"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71D68A1C"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EU's grønne pagt kan også ses som et effektivt redskab til en bæredygtig genstart af økonomien gennem massive investeringer, der støtter de nødvendige strukturelle ændringer, som Europa står over for. Set fra dette synspunkt kan det betragtes som en mulighed for at støtte et langsigtet økonomisk opsving. Det forudsætter ny konsensus i EU for i den forbindelse at samle tilstrækkelige offentlige og private finansieringskilder og vedtage en ny forvaltningspraksis, så den kan gennemføres med succes i praksis.</w:t>
      </w:r>
    </w:p>
    <w:p w14:paraId="4E7D4AA2"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1100C344"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Offentlige midler, der investeres i genopretningsplaner, skal ikke kun bidrage til at genoprette den europæiske økonomi og det europæiske samfund, men også til at mindske følgerne af yderligere chok ved at investere i en robust, inklusiv og klimavenlig økonomi (den såkaldte "velfærdsøkonomi"). </w:t>
      </w:r>
    </w:p>
    <w:p w14:paraId="654FCC30"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50A27DAD" w:rsidR="00797347" w:rsidRPr="007F3640"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lastRenderedPageBreak/>
        <w:t>EU's taksonomi for bæredygtig finansiering bør lede offentlige og private investeringer under hele genopretningen for at fremskynde overgangen fra forurenende sektorer til grønne sektorer.</w:t>
      </w:r>
    </w:p>
    <w:p w14:paraId="04BC2CD8" w14:textId="77777777" w:rsidR="007F3640" w:rsidRPr="007F3640" w:rsidRDefault="007F3640" w:rsidP="007F3640">
      <w:pPr>
        <w:spacing w:line="288" w:lineRule="auto"/>
        <w:jc w:val="both"/>
        <w:outlineLvl w:val="1"/>
        <w:rPr>
          <w:rFonts w:ascii="Times New Roman" w:eastAsia="Times New Roman" w:hAnsi="Times New Roman"/>
          <w:sz w:val="22"/>
          <w:szCs w:val="22"/>
        </w:rPr>
      </w:pPr>
    </w:p>
    <w:p w14:paraId="67C0400C" w14:textId="1779E3BE" w:rsidR="00EA484E"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Coronaviruskrisen viser, at den digitale revolution er et vigtigt element i en styrkelse af vores samfunds modstandsdygtighed over for kriser. Det er helt afgørende at investere i en digitalisering af centrale tjenesteydelser og styrke myndighedernes, lovgivernes og de offentlige institutioners evne til at levere deres tjenester under en krise.</w:t>
      </w:r>
    </w:p>
    <w:p w14:paraId="3A22B508" w14:textId="77777777" w:rsidR="00797347" w:rsidRPr="00395CE4"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0C733ED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 xml:space="preserve">Kommissionen opfordres til fortsat at anvende det europæiske semester som drivkraft for genopretning baseret på de investerings- og reformprioriteter, der er identificeret som led i det europæiske semester. Udvalget glæder sig over den vægt, der på det seneste er lagt på en bedre inkludering af sociale spørgsmål og den europæiske grønne pagt, ligesom gennemførelsen af faciliteten for genopretning og modstandsdygtighed via det europæiske semester. </w:t>
      </w:r>
    </w:p>
    <w:p w14:paraId="3C3DB9C8" w14:textId="77777777" w:rsidR="00695B6E" w:rsidRPr="00395CE4"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4AFB6E72" w:rsidR="00797347" w:rsidRPr="00395CE4"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Der er nu en chance for at fremme social innovation som en model for genopretning gennem fælles skabelse, fælles udformning og fælles fremstilling. Det organiserede civilsamfund er en katalysator for social innovation og en bevægelse, der har bidraget til at udforme velfærdssystemer, der resulterer i nye politikker, strukturer, produkter, tjenesteydelser og arbejdsmetoder.  Der er nu mere end nogensinde brug for, at civilsamfundet inddrages – sand social innovation kan kun lykkes, hvis civilsamfundet er involveret.</w:t>
      </w:r>
    </w:p>
    <w:p w14:paraId="1385EF6C" w14:textId="77777777" w:rsidR="00A1546D" w:rsidRPr="00395CE4"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2AC8F4EA"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En af de vigtigste erfaringer fra coronaviruskrisen er, at sundhedssystemerne i næsten alle europæiske lande skal styrkes, primært med fokus på forebyggelse. Nok er sundhedspleje et nationalt ansvar, men virussens spredning kender ikke til grænser. Den berører hele EU på tværs af grænserne med sanitære, sociale og økonomiske konsekvenser, hvilket kalder på fælles svar på EU-niveau.</w:t>
      </w:r>
    </w:p>
    <w:p w14:paraId="2D20D300" w14:textId="77777777" w:rsidR="00A1546D" w:rsidRPr="00395CE4"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16CCFD0F" w:rsidR="00A1546D" w:rsidRPr="00395CE4"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Pr>
          <w:rFonts w:ascii="Times New Roman" w:hAnsi="Times New Roman"/>
          <w:sz w:val="22"/>
          <w:szCs w:val="22"/>
        </w:rPr>
        <w:t>EU er nødt til at styrke og støtte sin globale position med hensyn til at spille en vigtigere og mere strategisk rolle i verdensøkonomien såvel som i politik. EU's økonomi rummer potentiale for at udnytte den konkurrencemæssige fordel bedre i det globale handels- og investeringsmarked, især inden for avanceret produktion og innovative tjenester med en ambition om at blive førende i verden. Denne indsats bør ledsages af en bedre og mere effektiv repræsentation af EU i de vigtigste globale organisationer og ved at tale med én stemme. EØSU opfordrer Kommissionen til at gøre en relevant indsats for at styrke EU's position på verdensplan, hvilket også afspejles mere specifikt i dets arbejdsprogram for 2021.</w:t>
      </w:r>
    </w:p>
    <w:p w14:paraId="5114F866" w14:textId="77777777" w:rsidR="00695B6E" w:rsidRPr="00395CE4"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2EF24674"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Ud over økonomiske og miljømæssige spørgsmål må EU's arbejdsprogram i 2021 drives af den sociale dimension. Det betyder, at dets engagement i et socialt og bæredygtigt Europa skal prioriteres højt. I den forbindelse spiller civilsamfundsorganisationerne også en vigtig rolle.</w:t>
      </w:r>
    </w:p>
    <w:p w14:paraId="1F858B09" w14:textId="77777777" w:rsidR="00695B6E" w:rsidRPr="00395CE4" w:rsidRDefault="00695B6E" w:rsidP="00395CE4">
      <w:pPr>
        <w:pStyle w:val="ListParagraph"/>
        <w:spacing w:line="288" w:lineRule="auto"/>
        <w:ind w:left="0"/>
        <w:jc w:val="both"/>
        <w:outlineLvl w:val="1"/>
        <w:rPr>
          <w:rFonts w:ascii="Times New Roman" w:hAnsi="Times New Roman"/>
          <w:sz w:val="22"/>
          <w:szCs w:val="22"/>
          <w:lang w:val="en-GB"/>
        </w:rPr>
      </w:pPr>
    </w:p>
    <w:p w14:paraId="73255230" w14:textId="500D09E0" w:rsidR="00695B6E" w:rsidRPr="00395CE4"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Pr>
          <w:rFonts w:ascii="Times New Roman" w:hAnsi="Times New Roman"/>
          <w:sz w:val="22"/>
          <w:szCs w:val="22"/>
        </w:rPr>
        <w:t>EØSU støtter kraftigt Kommissionens forslag om at udvikle en "europæisk demokratihandlingsplan", som bør spænde vidt og være vedvarende og i stand til at frembringe ændringer, og som sikres med økonomisk støtte og interinstitutionel koordinering.</w:t>
      </w:r>
    </w:p>
    <w:p w14:paraId="1F40C220" w14:textId="475B4AEC" w:rsidR="00395CE4" w:rsidRPr="00395CE4" w:rsidRDefault="00395CE4" w:rsidP="00695B6E">
      <w:pPr>
        <w:spacing w:line="288" w:lineRule="auto"/>
        <w:jc w:val="both"/>
        <w:outlineLvl w:val="1"/>
        <w:rPr>
          <w:rFonts w:ascii="Times New Roman" w:hAnsi="Times New Roman"/>
          <w:sz w:val="22"/>
          <w:szCs w:val="22"/>
          <w:lang w:val="en-GB"/>
        </w:rPr>
      </w:pPr>
    </w:p>
    <w:p w14:paraId="620BA47D" w14:textId="77777777" w:rsidR="00395CE4" w:rsidRPr="00AC7274" w:rsidRDefault="00395CE4">
      <w:pPr>
        <w:overflowPunct w:val="0"/>
        <w:autoSpaceDE w:val="0"/>
        <w:autoSpaceDN w:val="0"/>
        <w:adjustRightInd w:val="0"/>
        <w:spacing w:line="288" w:lineRule="auto"/>
        <w:jc w:val="center"/>
        <w:textAlignment w:val="baseline"/>
      </w:pPr>
      <w:r>
        <w:t>_____________</w:t>
      </w:r>
    </w:p>
    <w:p w14:paraId="5514C873" w14:textId="698C671E" w:rsidR="00395CE4" w:rsidRPr="00395CE4" w:rsidRDefault="00395CE4">
      <w:pPr>
        <w:tabs>
          <w:tab w:val="left" w:pos="1647"/>
        </w:tabs>
        <w:rPr>
          <w:rFonts w:ascii="Times New Roman" w:hAnsi="Times New Roman"/>
          <w:sz w:val="22"/>
          <w:szCs w:val="22"/>
          <w:lang w:val="en-GB"/>
        </w:rPr>
      </w:pPr>
    </w:p>
    <w:sectPr w:rsidR="00395CE4" w:rsidRPr="00395CE4"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1F530713"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7F3640">
      <w:rPr>
        <w:noProof/>
      </w:rPr>
      <w:t>1</w:t>
    </w:r>
    <w:r>
      <w:fldChar w:fldCharType="end"/>
    </w:r>
    <w:r>
      <w:t>/</w:t>
    </w:r>
    <w:r w:rsidR="007F3640">
      <w:fldChar w:fldCharType="begin"/>
    </w:r>
    <w:r w:rsidR="007F3640">
      <w:instrText xml:space="preserve"> NUMPAGES </w:instrText>
    </w:r>
    <w:r w:rsidR="007F3640">
      <w:fldChar w:fldCharType="separate"/>
    </w:r>
    <w:r w:rsidR="007F3640">
      <w:rPr>
        <w:noProof/>
      </w:rPr>
      <w:t>3</w:t>
    </w:r>
    <w:r w:rsidR="007F36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Pr>
            <w:rStyle w:val="Hyperlink"/>
            <w:rFonts w:ascii="Times New Roman" w:hAnsi="Times New Roman"/>
            <w:sz w:val="16"/>
            <w:szCs w:val="16"/>
          </w:rPr>
          <w:t>Resolution om tiden efter COVID 19-kris</w:t>
        </w:r>
        <w:r>
          <w:rPr>
            <w:rStyle w:val="Hyperlink"/>
            <w:rFonts w:ascii="Times New Roman" w:hAnsi="Times New Roman"/>
            <w:sz w:val="16"/>
            <w:szCs w:val="16"/>
          </w:rPr>
          <w:t>e</w:t>
        </w:r>
        <w:r>
          <w:rPr>
            <w:rStyle w:val="Hyperlink"/>
            <w:rFonts w:ascii="Times New Roman" w:hAnsi="Times New Roman"/>
            <w:sz w:val="16"/>
            <w:szCs w:val="16"/>
          </w:rPr>
          <w:t>n</w:t>
        </w:r>
      </w:hyperlink>
      <w:r w:rsidRPr="007F3640">
        <w:rPr>
          <w:rFonts w:ascii="Times New Roman" w:hAnsi="Times New Roman"/>
          <w:sz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95CE4"/>
    <w:rsid w:val="00695B6E"/>
    <w:rsid w:val="006D2A9B"/>
    <w:rsid w:val="00747CA5"/>
    <w:rsid w:val="00765063"/>
    <w:rsid w:val="00797347"/>
    <w:rsid w:val="007F3640"/>
    <w:rsid w:val="00A1546D"/>
    <w:rsid w:val="00AC7274"/>
    <w:rsid w:val="00C12343"/>
    <w:rsid w:val="00CD7114"/>
    <w:rsid w:val="00D41E97"/>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da-DK"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da-DK"/>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da-DK"/>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da-DK"/>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da-DK"/>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da-DK"/>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da-DK"/>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da-DK"/>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da-DK"/>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da-DK"/>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da-DK"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da-DK"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da-DK"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da-DK" w:eastAsia="it-IT"/>
    </w:rPr>
  </w:style>
  <w:style w:type="character" w:styleId="FollowedHyperlink">
    <w:name w:val="FollowedHyperlink"/>
    <w:basedOn w:val="DefaultParagraphFont"/>
    <w:uiPriority w:val="99"/>
    <w:semiHidden/>
    <w:unhideWhenUsed/>
    <w:rsid w:val="007F36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da/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VV634QRNENMJ-762678085-1627</_dlc_DocId>
    <_dlc_DocIdUrl xmlns="cda99570-6012-4083-bfeb-7d32ad1ce1a3">
      <Url>http://dm2016/eesc/2020/_layouts/15/DocIdRedir.aspx?ID=VV634QRNENMJ-762678085-1627</Url>
      <Description>VV634QRNENMJ-762678085-1627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2020-07-20T12:00:00+00:00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68F17F-71FB-46C7-A14B-3D06281DB672}"/>
</file>

<file path=customXml/itemProps2.xml><?xml version="1.0" encoding="utf-8"?>
<ds:datastoreItem xmlns:ds="http://schemas.openxmlformats.org/officeDocument/2006/customXml" ds:itemID="{35B29C62-6933-4218-88F0-0FEA814B9C38}"/>
</file>

<file path=customXml/itemProps3.xml><?xml version="1.0" encoding="utf-8"?>
<ds:datastoreItem xmlns:ds="http://schemas.openxmlformats.org/officeDocument/2006/customXml" ds:itemID="{B1432410-4935-4CD7-B218-024EF7B44994}"/>
</file>

<file path=customXml/itemProps4.xml><?xml version="1.0" encoding="utf-8"?>
<ds:datastoreItem xmlns:ds="http://schemas.openxmlformats.org/officeDocument/2006/customXml" ds:itemID="{FFB18C22-A769-4803-8368-3BB29EE8C2E0}"/>
</file>

<file path=docProps/app.xml><?xml version="1.0" encoding="utf-8"?>
<Properties xmlns="http://schemas.openxmlformats.org/officeDocument/2006/extended-properties" xmlns:vt="http://schemas.openxmlformats.org/officeDocument/2006/docPropsVTypes">
  <Template>Styles.dotm</Template>
  <TotalTime>5</TotalTime>
  <Pages>3</Pages>
  <Words>912</Words>
  <Characters>5565</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Resumé - EØSU's bidrag til Kommissionens arbejdsprogram for 2021</dc:title>
  <dc:subject>Rådgivende arbejde, diverse</dc:subject>
  <dc:creator>Jan Dirx</dc:creator>
  <cp:keywords>EESC-2020-03155-00-00-TCD-TRA-EN</cp:keywords>
  <dc:description>Rapporteur:  - Original language: EN - Date of document: 20/07/2020 - Date of meeting: 15/07/2020 - External documents:  - Administrator: M. COSMAI Domenico</dc:description>
  <cp:lastModifiedBy>Ulla Vang</cp:lastModifiedBy>
  <cp:revision>7</cp:revision>
  <dcterms:created xsi:type="dcterms:W3CDTF">2020-07-17T14:51:00Z</dcterms:created>
  <dcterms:modified xsi:type="dcterms:W3CDTF">2020-07-20T07:40:00Z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fbdcf439-3a9f-4804-961f-7ce5f5513ede</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PL|1e03da61-4678-4e07-b136-b5024ca9197b;ES|e7a6b05b-ae16-40c8-add9-68b64b03aeba;IT|0774613c-01ed-4e5d-a25d-11d2388de825;PT|50ccc04a-eadd-42ae-a0cb-acaf45f812ba;EN|f2175f21-25d7-44a3-96da-d6a61b075e1b;SV|c2ed69e7-a339-43d7-8f22-d93680a92aa0;SK|46d9fce0-ef79-4f71-b89b-cd6aa82426b8;EL|6d4f4d51-af9b-4650-94b4-4276bee85c91;HR|2f555653-ed1a-4fe6-8362-9082d95989e5;MT|7df99101-6854-4a26-b53a-b88c0da02c26;CS|72f9705b-0217-4fd3-bea2-cbc7ed80e26e;RO|feb747a2-64cd-4299-af12-4833ddc30497;DE|f6b31e5a-26fa-4935-b661-318e46daf27e;SL|98a412ae-eb01-49e9-ae3d-585a81724cfc;ET|ff6c3f4c-b02c-4c3c-ab07-2c37995a7a0a;BG|1a1b3951-7821-4e6a-85f5-5673fc08bd2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31;#CS|72f9705b-0217-4fd3-bea2-cbc7ed80e26e;#43;#HR|2f555653-ed1a-4fe6-8362-9082d95989e5;#29;#PT|50ccc04a-eadd-42ae-a0cb-acaf45f812ba;#38;#EL|6d4f4d51-af9b-4650-94b4-4276bee85c91;#39;#HU|6b229040-c589-4408-b4c1-4285663d20a8;#16;#ES|e7a6b05b-ae16-40c8-add9-68b64b03aeba;#51;#SPL-CES|32d8cb1f-c9ec-4365-95c7-8385a18618ac;#13;#IT|0774613c-01ed-4e5d-a25d-11d2388de825;#46;#SK|46d9fce0-ef79-4f71-b89b-cd6aa82426b8;#48;#RO|feb747a2-64cd-4299-af12-4833ddc30497;#10;#DE|f6b31e5a-26fa-4935-b661-318e46daf27e;#9;#PL|1e03da61-4678-4e07-b136-b5024ca9197b;#8;#TCD|cd9d6eb6-3f4f-424a-b2d1-57c9d450eaaf;#44;#BG|1a1b3951-7821-4e6a-85f5-5673fc08bd2c;#6;#Final|ea5e6674-7b27-4bac-b091-73adbb394efe;#5;#Unrestricted|826e22d7-d029-4ec0-a450-0c28ff673572;#4;#EN|f2175f21-25d7-44a3-96da-d6a61b075e1b;#40;#SV|c2ed69e7-a339-43d7-8f22-d93680a92aa0;#2;#TRA|150d2a88-1431-44e6-a8ca-0bb753ab8672;#1;#EESC|422833ec-8d7e-4e65-8e4e-8bed07ffb729;#47;#ET|ff6c3f4c-b02c-4c3c-ab07-2c37995a7a0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32;#DA|5d49c027-8956-412b-aa16-e85a0f96ad0e</vt:lpwstr>
  </property>
</Properties>
</file>