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70F4403A" w:rsidR="00AD5AAC" w:rsidRPr="00AB5770" w:rsidRDefault="00B4005A"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269AA460" wp14:editId="1BAE36F2">
            <wp:extent cx="1792605" cy="1239520"/>
            <wp:effectExtent l="0" t="0" r="0" b="0"/>
            <wp:docPr id="1" name="Picture 1" title="EESCLogo_I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6550EC1A">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IT</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RISOLUZIONE</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4952EC9C" w:rsidR="00856067" w:rsidRPr="00AB5770" w:rsidRDefault="00812462" w:rsidP="00AB5770">
      <w:pPr>
        <w:spacing w:line="288" w:lineRule="auto"/>
        <w:jc w:val="center"/>
        <w:rPr>
          <w:rFonts w:ascii="Times New Roman" w:eastAsia="Times New Roman" w:hAnsi="Times New Roman"/>
          <w:b/>
          <w:sz w:val="22"/>
          <w:szCs w:val="22"/>
        </w:rPr>
      </w:pPr>
      <w:r>
        <w:rPr>
          <w:rFonts w:ascii="Times New Roman" w:hAnsi="Times New Roman"/>
          <w:b/>
          <w:sz w:val="22"/>
          <w:szCs w:val="22"/>
        </w:rPr>
        <w:t>Il contributo del Comitato economico e sociale europeo</w:t>
      </w:r>
      <w:r>
        <w:rPr>
          <w:b/>
        </w:rPr>
        <w:cr/>
      </w:r>
      <w:r>
        <w:rPr>
          <w:b/>
        </w:rPr>
        <w:br/>
      </w:r>
      <w:r>
        <w:rPr>
          <w:rFonts w:ascii="Times New Roman" w:hAnsi="Times New Roman"/>
          <w:b/>
          <w:sz w:val="22"/>
          <w:szCs w:val="22"/>
        </w:rPr>
        <w:t>al programma di lavoro della Commissione europea per il 2021 basato sui lavori del</w:t>
      </w:r>
      <w:r>
        <w:rPr>
          <w:b/>
        </w:rPr>
        <w:cr/>
      </w:r>
      <w:r>
        <w:rPr>
          <w:b/>
        </w:rPr>
        <w:br/>
      </w:r>
      <w:r>
        <w:rPr>
          <w:rFonts w:ascii="Times New Roman" w:hAnsi="Times New Roman"/>
          <w:b/>
          <w:sz w:val="22"/>
          <w:szCs w:val="22"/>
        </w:rPr>
        <w:t>gruppo ad hoc "Contributo del CESE al programma di lavoro</w:t>
      </w:r>
      <w:r>
        <w:rPr>
          <w:b/>
        </w:rPr>
        <w:t xml:space="preserve"> </w:t>
      </w:r>
      <w:r>
        <w:rPr>
          <w:rFonts w:ascii="Times New Roman" w:hAnsi="Times New Roman"/>
          <w:b/>
          <w:sz w:val="22"/>
          <w:szCs w:val="22"/>
        </w:rPr>
        <w:t>della Commissione europea per il 2021</w:t>
      </w:r>
      <w:r>
        <w:rPr>
          <w:b/>
        </w:rPr>
        <w:t>"</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73EA9BBE" w:rsidR="0056313A" w:rsidRPr="00AB5770" w:rsidRDefault="0056313A" w:rsidP="00524941">
      <w:pPr>
        <w:tabs>
          <w:tab w:val="left" w:pos="3969"/>
        </w:tabs>
        <w:spacing w:line="288" w:lineRule="auto"/>
        <w:jc w:val="center"/>
        <w:rPr>
          <w:rFonts w:ascii="Times New Roman" w:eastAsia="Times New Roman" w:hAnsi="Times New Roman"/>
          <w:sz w:val="22"/>
          <w:szCs w:val="22"/>
        </w:rPr>
      </w:pPr>
      <w:r>
        <w:rPr>
          <w:rFonts w:ascii="Times New Roman" w:hAnsi="Times New Roman"/>
          <w:sz w:val="22"/>
          <w:szCs w:val="22"/>
        </w:rPr>
        <w:t xml:space="preserve">Relatori: </w:t>
      </w:r>
      <w:r w:rsidR="00952C0F">
        <w:rPr>
          <w:rFonts w:ascii="Times New Roman" w:hAnsi="Times New Roman"/>
          <w:sz w:val="22"/>
          <w:szCs w:val="22"/>
        </w:rPr>
        <w:t xml:space="preserve">   </w:t>
      </w:r>
      <w:r>
        <w:rPr>
          <w:rFonts w:ascii="Times New Roman" w:hAnsi="Times New Roman"/>
          <w:b/>
          <w:sz w:val="22"/>
          <w:szCs w:val="22"/>
        </w:rPr>
        <w:t>Petr ZAHRADNÍK (I gr.)</w:t>
      </w:r>
    </w:p>
    <w:p w14:paraId="62D1F206" w14:textId="24A50B0D"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Stefano PALMIERI (II gr.)</w:t>
      </w:r>
    </w:p>
    <w:p w14:paraId="2B3EA8D2" w14:textId="0AF3F9C1"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Jan DIRX (III gr.)</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41EF9B1"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Adottata dal Comitato economico e sociale europeo</w:t>
      </w:r>
      <w:r>
        <w:rPr>
          <w:rFonts w:ascii="Times New Roman" w:hAnsi="Times New Roman"/>
          <w:sz w:val="22"/>
          <w:szCs w:val="22"/>
        </w:rPr>
        <w:br/>
        <w:t>il 16 luglio 2020</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Introduzione</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AB5770" w:rsidRDefault="00597B5F" w:rsidP="00AB5770">
      <w:pPr>
        <w:pStyle w:val="Heading2"/>
        <w:ind w:left="567" w:hanging="567"/>
        <w:rPr>
          <w:rFonts w:eastAsia="MS Mincho"/>
        </w:rPr>
      </w:pPr>
      <w:r>
        <w:t>Come evidenziato nella sua risoluzione "Le proposte del CESE per la ricostruzione e la ripresa dopo la crisi della Covid-19"</w:t>
      </w:r>
      <w:r w:rsidRPr="00AB5770">
        <w:rPr>
          <w:rFonts w:eastAsia="MS Mincho"/>
          <w:sz w:val="24"/>
          <w:szCs w:val="24"/>
          <w:vertAlign w:val="superscript"/>
          <w:lang w:val="en-GB" w:eastAsia="it-IT"/>
        </w:rPr>
        <w:footnoteReference w:id="2"/>
      </w:r>
      <w:r>
        <w:t>, il CESE accoglie con grande favore, e appoggia con convinzione il piano Next Generation EU e il bilancio generale dell'UE per il periodo 2021-2027 proposti dalla Commissione europea. Il Comitato auspica e si attende che, vista la necessità di una ripresa e di una ricostruzione dopo la crisi della Covid-19, gli orientamenti definiti dalla Commissione in questi piani siano pienamente e concretamente sviluppati nell'ambito del programma di lavoro della Commissione europea per il 2021.</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Per il CESE, il programma di lavoro dovrebbe concentrarsi sulla ristrutturazione e sul miglioramento della nostra economia e della nostra società, basandosi sui principi seguenti: proteggere i diritti umani e sociali, i valori democratici e lo Stato di diritto, liberare tutto il potenziale del mercato unico, conseguire gli obiettivi di sviluppo sostenibile (OSS), realizzare un'economia circolare e raggiungere la neutralità climatica nell'UE entro al più tardi il 2050, garantire infine la buona governance e la rendicontabilità democratica.</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09B2DD67" w:rsidR="00C27803"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Il CESE sottolinea che le sei tematiche ambiziose scelte dalla Commissione (un Green Deal europeo, un'Europa pronta per l'era digitale, un'economia al servizio delle persone, un'Europa più forte nel mondo, promozione del nostro stile di vita europeo e un nuovo slancio per la democrazia europea) offrono un quadro solido per elaborare il programma di lavoro per il 2021. Forse bisognerebbe rivolgere un'attenzione più esplicita agli investimenti e alla necessità di accelerarli, anche grazie alle misure attualmente in fase di adozione. Alcuni dettagli del futuro programma di lavoro si trovano nella comunicazione della Commissione sul piano per la ripresa dell'Europa</w:t>
      </w:r>
      <w:r w:rsidR="00C27803" w:rsidRPr="00AB5770">
        <w:rPr>
          <w:rStyle w:val="FootnoteReference"/>
          <w:rFonts w:ascii="Times New Roman" w:hAnsi="Times New Roman"/>
          <w:lang w:val="en-GB"/>
        </w:rPr>
        <w:footnoteReference w:id="3"/>
      </w:r>
      <w:r>
        <w:rPr>
          <w:rFonts w:ascii="Times New Roman" w:hAnsi="Times New Roman"/>
          <w:sz w:val="22"/>
          <w:szCs w:val="22"/>
        </w:rPr>
        <w:t xml:space="preserve"> e nuove proposte saranno inserite nel discorso sullo stato dell'Unione e nella lettera d'intenti al Parlamento europeo e al Consiglio della presidente della Commissione von der Leyen a settembre. Il CESE apprezza inoltre il programma di lavoro adattato per il 2020, che reagisce alla crisi della COVID e potrebbe dare indicazioni per i prossimi futuri sviluppi.</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Il CESE si compiace che la Commissione europea abbia adeguato il suo programma di lavoro per il 2020 nel quadro dell'obiettivo della ripresa dell'Europa in risposta alla pandemia di Covid-19, cambiando l'asse centrale del suo lavoro e dando priorità alle azioni necessarie per promuovere la ripresa e la resilienza dell'Europa, mantenendo nel contempo il suo impegno a realizzare le sue iniziative faro, il Green Deal europeo e la strategia digitale, in quanto essenziali per rilanciare l'economia europea e costruire un'Europa più resiliente, sostenibile, equa e prospera. Prende atto che nove iniziative sono state rinviate al 2021.</w:t>
      </w:r>
    </w:p>
    <w:p w14:paraId="012BDA40"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0A60680D" w14:textId="6D049903"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Soprattutto in un momento come questo, in cui constatiamo l'importanza della cooperazione tra paesi in tempi di crisi, il CESE auspica che l'imminente Conferenza sul futuro dell'Europa porti al rafforzamento e approfondimento della struttura istituzionale dell'UE e a un autentico rilancio del progetto europeo, affinché esso sia in grado di affrontare le sfide dei prossimi decenni. La Commissione può pertanto contare sul pieno sostegno del Comitato.</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Il CESE è convinto che questo processo di ripresa e ricostruzione dell'economia e della società sarà possibile solo con la partecipazione attiva delle organizzazioni della società civile e delle parti sociali.</w:t>
      </w:r>
    </w:p>
    <w:p w14:paraId="6441BF6A" w14:textId="77777777" w:rsidR="00597B5F" w:rsidRPr="007E12B4" w:rsidRDefault="00597B5F" w:rsidP="00AB5770">
      <w:pPr>
        <w:spacing w:line="288" w:lineRule="auto"/>
        <w:ind w:left="709" w:hanging="709"/>
        <w:jc w:val="both"/>
        <w:rPr>
          <w:rFonts w:ascii="Times New Roman" w:hAnsi="Times New Roman"/>
          <w:sz w:val="20"/>
          <w:szCs w:val="22"/>
          <w:lang w:val="en-GB"/>
        </w:rPr>
      </w:pPr>
    </w:p>
    <w:p w14:paraId="495944EC"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Nei capitoli e paragrafi seguenti, il Comitato formula le sue proposte concrete per il programma di lavoro per il 2021 in linea con i sei grandi obiettivi della Commissione.</w:t>
      </w:r>
    </w:p>
    <w:p w14:paraId="00B5FA30" w14:textId="50A46962" w:rsidR="00597B5F" w:rsidRDefault="00597B5F" w:rsidP="00AB5770">
      <w:pPr>
        <w:spacing w:line="288" w:lineRule="auto"/>
        <w:ind w:left="709" w:hanging="709"/>
        <w:rPr>
          <w:rFonts w:ascii="Times New Roman" w:hAnsi="Times New Roman"/>
          <w:sz w:val="16"/>
          <w:szCs w:val="22"/>
          <w:lang w:val="en-GB"/>
        </w:rPr>
      </w:pPr>
    </w:p>
    <w:p w14:paraId="4E6BB6D5" w14:textId="77777777" w:rsidR="00E823FE" w:rsidRPr="00E823FE" w:rsidRDefault="00E823FE" w:rsidP="00AB5770">
      <w:pPr>
        <w:spacing w:line="288" w:lineRule="auto"/>
        <w:ind w:left="709" w:hanging="709"/>
        <w:rPr>
          <w:rFonts w:ascii="Times New Roman" w:hAnsi="Times New Roman"/>
          <w:sz w:val="16"/>
          <w:szCs w:val="22"/>
          <w:lang w:val="en-GB"/>
        </w:rPr>
      </w:pPr>
    </w:p>
    <w:p w14:paraId="604BBEDB" w14:textId="77777777" w:rsidR="00246F6C" w:rsidRPr="00AB5770" w:rsidRDefault="00246F6C">
      <w:pPr>
        <w:pStyle w:val="Heading1"/>
        <w:keepNext/>
        <w:keepLines/>
        <w:ind w:left="567" w:hanging="567"/>
        <w:rPr>
          <w:b/>
        </w:rPr>
      </w:pPr>
      <w:r>
        <w:rPr>
          <w:b/>
        </w:rPr>
        <w:t>Un Green Deal europeo</w:t>
      </w:r>
    </w:p>
    <w:p w14:paraId="0B0FD07A" w14:textId="77777777" w:rsidR="00246F6C" w:rsidRPr="00E823FE" w:rsidRDefault="00246F6C">
      <w:pPr>
        <w:keepNext/>
        <w:keepLines/>
        <w:spacing w:line="288" w:lineRule="auto"/>
        <w:ind w:left="709" w:hanging="709"/>
        <w:jc w:val="both"/>
        <w:rPr>
          <w:rFonts w:ascii="Times New Roman" w:hAnsi="Times New Roman"/>
          <w:sz w:val="20"/>
          <w:szCs w:val="22"/>
          <w:lang w:val="en-GB"/>
        </w:rPr>
      </w:pPr>
    </w:p>
    <w:p w14:paraId="78BD9FE0" w14:textId="77777777" w:rsidR="00246F6C" w:rsidRPr="00AB5770" w:rsidRDefault="00246F6C">
      <w:pPr>
        <w:pStyle w:val="Heading2"/>
        <w:keepNext/>
        <w:keepLines/>
        <w:ind w:left="567" w:hanging="567"/>
        <w:rPr>
          <w:b/>
        </w:rPr>
      </w:pPr>
      <w:r>
        <w:rPr>
          <w:b/>
        </w:rPr>
        <w:t>Il Green Deal</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C608DC">
      <w:pPr>
        <w:pStyle w:val="Heading3"/>
        <w:ind w:left="567" w:hanging="567"/>
      </w:pPr>
      <w:r>
        <w:t>Il Green Deal europeo può essere considerato anche come uno strumento efficace per riavviare in modo sostenibile l'economia, attraverso ingenti investimenti a sostegno delle necessarie modifiche strutturali che l'Europa deve affrontare in questo momento. Da questo punto di vista, si potrebbe considerare come un'opportunità per sostenere una ripresa economica a più lungo termine. Esso richiede un nuovo consenso in Europa per concentrare sufficienti risorse finanziarie pubbliche e per adottare una nuova governance in modo che esso possa essere attuato con successo sul piano pratico.</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AB5770" w:rsidRDefault="00BF644E" w:rsidP="00AB5770">
      <w:pPr>
        <w:pStyle w:val="Heading3"/>
        <w:ind w:left="567" w:hanging="567"/>
      </w:pPr>
      <w:r>
        <w:t>Il CESE è un convinto fautore della transizione verso l'economia circolare. Finora, il CESE ha sostenuto con forza le politiche ambiziose adottate in questo settore attraverso il suo impegno nei confronti della Piattaforma europea delle parti interessate per l'economia circolare. Le sue richieste di lunga data alla Commissione, relative all'efficienza nell'uso delle risorse, comprendono un invito a rivedere la normativa sulla progettazione ecocompatibile e la pertinente legislazione in materia di politica dei prodotti, a includere gradualmente i requisiti obbligatori sull'efficienza nell'uso delle risorse per la progettazione dei prodotti nonché nuove procedure per gli appalti pubblici al fine di incoraggiare prodotti circolari e nuovi modelli aziendali, tenendo conto nel contempo della situazione economica post-Covid e di una reale fattibilità di tali cambiamenti.</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00115C65" w:rsidR="00273B1D" w:rsidRPr="00AB5770" w:rsidRDefault="00BF644E" w:rsidP="00AB5770">
      <w:pPr>
        <w:pStyle w:val="Heading3"/>
        <w:ind w:left="567" w:hanging="567"/>
      </w:pPr>
      <w:r>
        <w:t>Il CESE prende atto che la revisione della direttiva sulla comunicazione di informazioni di carattere non finanziario, al fine di migliorare la qualità e la portata delle informazioni di carattere non finanziario, comprese quelle concernenti aspetti ambientali come la biodiversità, è stata rinviata al 2021. Il CESE ritiene che le politiche fiscali in generale dovrebbero essere sottoposte a riforma, in linea con le ambizioni in materia di clima, e che i regimi fiscali e la determinazione dei prezzi dovrebbero riflettere i costi ambientali, compresa la perdita di biodiversità. Questo dovrebbe incoraggiare gli Stati membri a modificare i regimi fiscali per trasferire la pressione fiscale dal lavoro all'inquinamento, alle risorse a prezzi eccessivamente bassi e ad altre esternalità ambientali. Per prevenire e correggere situazioni di degrado ambientale occorre applicare i principi del "chi usa paga" e del "chi inquina paga".</w:t>
      </w:r>
    </w:p>
    <w:p w14:paraId="76D6266B" w14:textId="77777777" w:rsidR="00273B1D" w:rsidRPr="007E12B4" w:rsidRDefault="00273B1D" w:rsidP="00AB5770">
      <w:pPr>
        <w:spacing w:line="288" w:lineRule="auto"/>
        <w:rPr>
          <w:rFonts w:ascii="Times New Roman" w:hAnsi="Times New Roman"/>
          <w:sz w:val="20"/>
          <w:szCs w:val="22"/>
          <w:lang w:val="en-GB"/>
        </w:rPr>
      </w:pPr>
    </w:p>
    <w:p w14:paraId="108CC1B9" w14:textId="777DABC7" w:rsidR="00273B1D" w:rsidRPr="00AB5770" w:rsidRDefault="00273B1D" w:rsidP="00AB5770">
      <w:pPr>
        <w:pStyle w:val="Heading3"/>
        <w:ind w:left="567" w:hanging="567"/>
      </w:pPr>
      <w:r>
        <w:lastRenderedPageBreak/>
        <w:t>Il CESE si compiace del fatto che la biodiversità sarà integrata in tutte le politiche, come indicato nella comunicazione sulla strategia dell'UE sulla biodiversità per il 2030</w:t>
      </w:r>
      <w:r w:rsidRPr="00AB5770">
        <w:rPr>
          <w:rStyle w:val="FootnoteReference"/>
          <w:sz w:val="24"/>
          <w:szCs w:val="24"/>
          <w:lang w:val="en-GB"/>
        </w:rPr>
        <w:footnoteReference w:id="4"/>
      </w:r>
      <w:r>
        <w:t>. Il CESE accoglie con favore l'istituzione da parte della Commissione di un nuovo quadro europeo di governance della biodiversità. Ciò contribuirà a identificare gli obblighi e gli impegni e a definire una tabella di marcia per guidare l'attuazione degli stessi. Ciò beneficerà sia la PAC che il sistema alimentare europeo e potrebbe quindi continuare a renderli più sostenibili. Nell'ambito di tale attuazione, la Commissione istituirà un meccanismo di monitoraggio e revisione con una chiara serie di indicatori concordati, che consentiranno di valutare periodicamente i progressi e, se necessario, intraprendere azioni correttive. Questo meccanismo dovrà essere uno degli strumenti per il riesame dell'attuazione delle politiche ambientali e contribuirà al semestre europeo.</w:t>
      </w:r>
    </w:p>
    <w:p w14:paraId="02F08A96" w14:textId="77777777" w:rsidR="00273B1D" w:rsidRPr="007E12B4" w:rsidRDefault="00273B1D" w:rsidP="00AB5770">
      <w:pPr>
        <w:spacing w:line="288" w:lineRule="auto"/>
        <w:rPr>
          <w:rFonts w:ascii="Times New Roman" w:hAnsi="Times New Roman"/>
          <w:sz w:val="20"/>
          <w:szCs w:val="22"/>
          <w:lang w:val="en-GB"/>
        </w:rPr>
      </w:pPr>
    </w:p>
    <w:p w14:paraId="61014EB1" w14:textId="6DC6887C" w:rsidR="00BF644E" w:rsidRPr="00AB5770" w:rsidRDefault="00273B1D" w:rsidP="00AB5770">
      <w:pPr>
        <w:pStyle w:val="Heading3"/>
        <w:ind w:left="567" w:hanging="567"/>
      </w:pPr>
      <w:r>
        <w:t>Il CESE accoglie con favore la legge europea sul clima, che stabilisce l'obiettivo comune giuridicamente vincolante in tutta l'UE di azzerare le emissioni nette di gas a effetto serra entro il 2050 e istituisce un quadro per raggiungere tale obiettivo. Il CESE ritiene pertanto che la proposta di una legge europea sul clima sia uno degli strumenti per contribuire all'auspicata e necessaria ricostruzione dell'economia europea</w:t>
      </w:r>
      <w:r w:rsidRPr="00AB5770">
        <w:rPr>
          <w:rStyle w:val="FootnoteReference"/>
          <w:sz w:val="24"/>
          <w:szCs w:val="24"/>
          <w:lang w:val="en-GB"/>
        </w:rPr>
        <w:footnoteReference w:id="5"/>
      </w:r>
      <w:r>
        <w:t>. Entro settembre 2020 la Commissione intende presentare la revisione dell'obiettivo dell'Unione per il 2030 in materia di clima, alla luce dell'obiettivo della neutralità climatica, ed esaminare le opzioni per un nuovo obiettivo di riduzione delle emissioni del 50-55 % nel 2030 rispetto ai valori del 1990; essa intende inoltre presentare le proposte legislative corrispondenti entro la metà del 2021. Il CESE esorta la Commissione a optare per una riduzione minima del 55 % entro il 2030, con le corrispondenti proposte legislative, al fine di dare una sua risposta all'enorme necessità, a livello globale, di ridurre le emissioni</w:t>
      </w:r>
      <w:r w:rsidRPr="00AB5770">
        <w:rPr>
          <w:rStyle w:val="FootnoteReference"/>
          <w:sz w:val="24"/>
          <w:szCs w:val="24"/>
          <w:lang w:val="en-GB"/>
        </w:rPr>
        <w:footnoteReference w:id="6"/>
      </w:r>
      <w:r>
        <w:t>.</w:t>
      </w:r>
    </w:p>
    <w:p w14:paraId="0A34D0F8" w14:textId="77777777" w:rsidR="00BF644E" w:rsidRPr="00AB5770" w:rsidRDefault="00BF644E" w:rsidP="00AB5770">
      <w:pPr>
        <w:pStyle w:val="Heading3"/>
        <w:numPr>
          <w:ilvl w:val="0"/>
          <w:numId w:val="0"/>
        </w:numPr>
        <w:ind w:left="709"/>
        <w:rPr>
          <w:lang w:val="en-GB"/>
        </w:rPr>
      </w:pPr>
    </w:p>
    <w:p w14:paraId="62560F53" w14:textId="77777777" w:rsidR="00767932" w:rsidRPr="00AB5770" w:rsidRDefault="00E7130D" w:rsidP="00AB5770">
      <w:pPr>
        <w:pStyle w:val="Heading3"/>
        <w:ind w:left="567" w:hanging="567"/>
      </w:pPr>
      <w:r>
        <w:t>La partecipazione di tutti i cittadini, attraverso le organizzazioni, associazioni e reti della società civile, renderà veramente possibile il processo di riforma dell'economia e della società. Gli Stati membri e l'Unione europea devono quindi assicurarsi che in questo complesso processo nessuno sia lasciato indietro, in particolare le persone più vulnerabili.</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77777777" w:rsidR="00D0660E" w:rsidRPr="00AB5770" w:rsidRDefault="00767932" w:rsidP="00AB5770">
      <w:pPr>
        <w:pStyle w:val="Heading3"/>
        <w:ind w:left="567" w:hanging="567"/>
      </w:pPr>
      <w:r>
        <w:t>Gli impegni in materia di azione per il clima e di sostenibilità devono guidare la politica di ripresa e ricostruzione, che non può condannare l'Unione a un futuro ad alto tenore di carbonio.</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left="567" w:hanging="567"/>
      </w:pPr>
      <w:r>
        <w:t>Il quadro finanziario pluriennale (QFP) dovrà aumentare i finanziamenti e stanziarne un volume sufficiente per il fabbisogno di investimenti, al fine di realizzare una vera e profonda transizione verde. È altresì importante continuare ad attribuire la priorità ad altre questioni ambientali quale la tutela del suolo, del territorio e del mare che non deve passare in secondo piano in seguito alla crisi della Covid-19 e malgrado tale crisi.</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AB5770" w:rsidRDefault="001F713F" w:rsidP="00AB5770">
      <w:pPr>
        <w:pStyle w:val="Heading3"/>
        <w:ind w:left="567" w:hanging="567"/>
      </w:pPr>
      <w:r>
        <w:t xml:space="preserve">È necessario migliorare ulteriormente la sicurezza energetica a tutti i livelli e la resilienza della società, ad esempio attraverso la realizzazione di programmi di ristrutturazione degli edifici. </w:t>
      </w:r>
      <w:r>
        <w:lastRenderedPageBreak/>
        <w:t>Continuano a essere importanti la cooperazione energetica transfrontaliera e le interconnessioni in tutta l'UE, così come la necessità di promuovere una maggiore diversificazione delle fonti di approvvigionamento, per esempio disponendo di una più ampia gamma di energie rinnovabili e di soluzioni di stoccaggio dell'energia.</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63F1B4FE" w:rsidR="00240E4C" w:rsidRPr="00AB5770" w:rsidRDefault="002C7108" w:rsidP="00AB5770">
      <w:pPr>
        <w:pStyle w:val="Heading3"/>
        <w:ind w:left="567" w:hanging="567"/>
      </w:pPr>
      <w:r>
        <w:t xml:space="preserve"> Un'occasione per accelerare i progressi verso l'obiettivo della neutralità climatica dell'UE consiste nell'aumentare l'utilizzo di elettricità da fonti rinnovabili e a basse emissioni di carbonio, grazie all'elettrificazione di settori che attualmente si affidano ancora a fonti energetiche basate sui combustibili fossili. I piani nazionali sull'energia e sul clima costituiscono un passo importante per garantire l'Unione dell'energia e il Green Deal europeo.</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left="567" w:hanging="567"/>
      </w:pPr>
      <w:r>
        <w:t xml:space="preserve"> Nel contesto dell'obiettivo della neutralità climatica dell'UE entro il 2050, fissato dalla legge europea sul clima, occorre prestare particolare attenzione al settore dei trasporti. Le emissioni di CO</w:t>
      </w:r>
      <w:r>
        <w:rPr>
          <w:vertAlign w:val="subscript"/>
        </w:rPr>
        <w:t>2</w:t>
      </w:r>
      <w:r>
        <w:t xml:space="preserve"> provenienti da questo settore infatti continuano ad aumentare, ma per raggiungere l'obiettivo della neutralità climatica sarà necessario ridurre le emissioni dei trasporti del 90 % entro il 2050.</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AB5770" w:rsidRDefault="002C7108" w:rsidP="00AB5770">
      <w:pPr>
        <w:pStyle w:val="Heading3"/>
        <w:ind w:left="567" w:hanging="567"/>
      </w:pPr>
      <w:r>
        <w:t xml:space="preserve"> Il CESE ha chiesto che la strategia forestale dell'UE per il periodo successivo al 2020 sia aggiornata nel quadro del Green Deal europeo. La nuova strategia potrebbe realisticamente proiettarsi fino al 2050. L'importanza che le foreste, la silvicoltura e le industrie forestali rivestono nel raggiungimento di questi obiettivi dovrebbe essere riconosciuta in tutti i settori e portare a una cooperazione intersettoriale ottimizzata.</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25C371E6" w:rsidR="00043029" w:rsidRPr="00AB5770" w:rsidRDefault="002C7108" w:rsidP="00AB5770">
      <w:pPr>
        <w:pStyle w:val="Heading3"/>
        <w:ind w:left="567" w:hanging="567"/>
      </w:pPr>
      <w:r>
        <w:t xml:space="preserve"> Il CESE ritiene che misure di adattamento potrebbero contribuire in modo significativo a garantire che la transizione sostenibile e la ricostruzione post Covid-19 siano attuate in maniera più equa. Le comunità e le regioni interessate più della media dagli effetti negativi dei cambiamenti climatici dovrebbero ricevere un'assistenza che le aiuti nella risposta a tali impatti e ai rischi percepiti. Ciò vale in particolare per le comunità e le regioni che presentano, al momento presente e storicamente, emissioni di gas a effetto serra inferiori alla media</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left="567" w:hanging="567"/>
      </w:pPr>
      <w:r>
        <w:t xml:space="preserve"> Il CESE apprezza che nel programma di lavoro adattato 2020 della Commissione la tematica del Green Deal europeo sia trattata sufficientemente e presa in considerazione in modo piuttosto uniforme in tutte le sue sezioni principali. Evidenzia soprattutto l'attenzione prioritaria rivolta al finanziamento della transizione sostenibile, in particolare al piano di investimenti del Green Deal europeo e al Fondo per una transizione giusta. Anche gli altri temi d'interesse menzionati nel programma di lavoro adattato, ad esempio la mobilità sostenibile e intelligente, la produzione e il consumo sostenibili, la sostenibilità dei sistemi alimentari o la decarbonizzazione dell'energia, sono decisamente pertinenti come priorità per questo obiettivo. Il CESE ritiene che le priorità della Commissione si concentreranno su tali iniziative anche nel suo programma di lavoro per il 2021.</w:t>
      </w:r>
    </w:p>
    <w:p w14:paraId="5B93FF0E" w14:textId="77777777" w:rsidR="00246F6C" w:rsidRPr="00AB5770" w:rsidRDefault="00246F6C" w:rsidP="00AB5770">
      <w:pPr>
        <w:spacing w:line="288" w:lineRule="auto"/>
        <w:ind w:left="709" w:hanging="709"/>
        <w:jc w:val="both"/>
        <w:rPr>
          <w:rFonts w:ascii="Times New Roman" w:hAnsi="Times New Roman"/>
          <w:sz w:val="22"/>
          <w:szCs w:val="22"/>
          <w:lang w:val="en-GB"/>
        </w:rPr>
      </w:pPr>
    </w:p>
    <w:p w14:paraId="57ACB398" w14:textId="77777777" w:rsidR="00246F6C" w:rsidRPr="00AB5770" w:rsidRDefault="00246F6C" w:rsidP="00AB5770">
      <w:pPr>
        <w:pStyle w:val="Heading2"/>
        <w:keepNext/>
        <w:keepLines/>
        <w:ind w:left="567" w:hanging="567"/>
        <w:rPr>
          <w:b/>
        </w:rPr>
      </w:pPr>
      <w:r>
        <w:rPr>
          <w:b/>
        </w:rPr>
        <w:t>Le priorità di investimento</w:t>
      </w:r>
    </w:p>
    <w:p w14:paraId="1772C38F" w14:textId="77777777"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14:paraId="28C509A9" w14:textId="4DEF19F2" w:rsidR="00BE47F8" w:rsidRPr="00AB5770" w:rsidRDefault="00767932" w:rsidP="00AB5770">
      <w:pPr>
        <w:pStyle w:val="Heading3"/>
        <w:ind w:left="567" w:hanging="567"/>
      </w:pPr>
      <w:r>
        <w:t xml:space="preserve">Il denaro pubblico investito nei piani di ripresa dovrebbe contribuire non solo a far ripartire l'economia e la società europee, ma anche a ridurre drasticamente gli effetti di eventuali shock </w:t>
      </w:r>
      <w:r>
        <w:lastRenderedPageBreak/>
        <w:t xml:space="preserve">futuri grazie agli investimenti in un'economia resiliente, inclusiva e rispettosa del clima (la cosiddetta "economia del benessere"). </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AB5770" w:rsidRDefault="00E878C7" w:rsidP="00AB5770">
      <w:pPr>
        <w:pStyle w:val="Heading3"/>
        <w:ind w:left="567" w:hanging="567"/>
      </w:pPr>
      <w:r>
        <w:t>La tassonomia della finanza sostenibile dell'UE dovrebbe guidare gli investimenti pubblici e privati durante la ripresa al fine di accelerare la transizione dai settori inquinanti ai settori verdi.</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left="567" w:hanging="567"/>
      </w:pPr>
      <w:r>
        <w:t>È necessario garantire che il nuovo quadro finanziario pluriennale (QFP) stanzi risorse significative per attuare gli obiettivi di sviluppo sostenibile e affrontare i cambiamenti climatici, eliminando gradualmente i finanziamenti controproducenti (per esempio, nei combustibili fossili).</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AB5770" w:rsidRDefault="003D4B62" w:rsidP="00AB5770">
      <w:pPr>
        <w:pStyle w:val="Heading3"/>
        <w:ind w:left="567" w:hanging="567"/>
      </w:pPr>
      <w:r>
        <w:t>L'economia europea ha registrato una carenza di investimenti per gran parte del decennio successivo alla crisi del 2009. Per poter ottenere risultati sufficienti, è d'obbligo colmare la carenza d'investimenti. Per questo il CESE apprezza la proposta di un piano per la ripresa, rappresentato principalmente dal programma Next Generation EU e dai suoi pilastri, nonché dal QFP adattato per il 2021-2027. Next Generation EU può essere considerato un passo straordinario, ma anche necessario e urgente, al fine di migliorare il contesto degli investimenti nell'UE. Questa posizione è ulteriormente sviluppata, per esempio, nel parere del CESE ECO/523.</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AB5770" w:rsidRDefault="00572014" w:rsidP="00AB5770">
      <w:pPr>
        <w:pStyle w:val="Heading3"/>
        <w:ind w:left="567" w:hanging="567"/>
      </w:pPr>
      <w:r>
        <w:t>Il CESE osserva che gli investimenti non costituiscono un obiettivo politico della Commissione per il suo mandato fino al 2024 e inoltre, non figurano in misura adeguata nel programma di lavoro adattato per il 2020 per quanto riguarda le iniziative specifiche. Il CESE raccomanda pertanto alla Commissione di includere le iniziative basate sugli investimenti nel suo programma di lavoro per il 2021, anche sforzandosi di mobilitare investimenti privati a favore del futuro sviluppo economico sostenibile dell'UE.</w:t>
      </w:r>
    </w:p>
    <w:p w14:paraId="04B50F3F" w14:textId="2F7A5B0F" w:rsidR="00056526" w:rsidRDefault="00056526" w:rsidP="00AB5770">
      <w:pPr>
        <w:spacing w:line="288" w:lineRule="auto"/>
        <w:ind w:left="709" w:hanging="709"/>
        <w:jc w:val="both"/>
        <w:rPr>
          <w:sz w:val="16"/>
          <w:lang w:val="en-GB"/>
        </w:rPr>
      </w:pPr>
    </w:p>
    <w:p w14:paraId="040410EA" w14:textId="77777777" w:rsidR="007E12B4" w:rsidRPr="007E12B4" w:rsidRDefault="007E12B4" w:rsidP="00AB5770">
      <w:pPr>
        <w:spacing w:line="288" w:lineRule="auto"/>
        <w:ind w:left="709" w:hanging="709"/>
        <w:jc w:val="both"/>
        <w:rPr>
          <w:sz w:val="16"/>
          <w:lang w:val="en-GB"/>
        </w:rPr>
      </w:pPr>
    </w:p>
    <w:p w14:paraId="31169DF5" w14:textId="77777777" w:rsidR="00056526" w:rsidRPr="00AB5770" w:rsidRDefault="00CF7500">
      <w:pPr>
        <w:pStyle w:val="Heading1"/>
        <w:keepNext/>
        <w:keepLines/>
        <w:ind w:left="567" w:hanging="567"/>
        <w:rPr>
          <w:b/>
        </w:rPr>
      </w:pPr>
      <w:r>
        <w:rPr>
          <w:b/>
        </w:rPr>
        <w:t>Un'Europa pronta per l'era digitale</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ind w:left="567" w:hanging="567"/>
      </w:pPr>
      <w:r>
        <w:t>La crisi della Covid-19 rende evidente come la rivoluzione digitale contribuisca in misura rilevante ad accrescere la resilienza delle nostre società nei confronti delle crisi. È di capitale importanza investire nella digitalizzazione dei servizi essenziali e accrescere la capacità di amministratori, legislatori e istituzioni pubbliche di prestare i loro servizi durante le crisi. Nel contempo, dobbiamo acquisire consapevolezza del fatto che le tecnologie digitali sono uno strumento e non un fine in sé. Dobbiamo garantire il controllo pubblico del quadro delle tecnologie digitali e dirigerlo verso standard di elevata sostenibilità, assicurando robuste salvaguardie democratiche e tecnologiche e adottando misure di sostegno finanziario e formativo che non lascino indietro nessuno. Ciò comporta, in linea con l'Atto europeo sull'accessibilità, la necessità di far sì che la rivoluzione digitale garantisca l'accessibilità agli oltre 100 milioni di persone con disabilità che vivono nell'UE.</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7CE9ACC1" w:rsidR="001008D9" w:rsidRPr="00AB5770" w:rsidRDefault="001008D9" w:rsidP="00AB5770">
      <w:pPr>
        <w:pStyle w:val="Heading2"/>
        <w:ind w:left="567" w:hanging="567"/>
      </w:pPr>
      <w:r>
        <w:t xml:space="preserve">Ai fini della ripresa, la digitalizzazione rappresenta sia un'opportunità che un rischio. Da un lato, infatti, è proprio l'innovazione che può portare l'Unione europea a posizioni di primo piano: ad esempio, l'UE è leader nel campo della </w:t>
      </w:r>
      <w:r w:rsidRPr="00F66C1A">
        <w:rPr>
          <w:i/>
        </w:rPr>
        <w:t>blockchain</w:t>
      </w:r>
      <w:r>
        <w:t xml:space="preserve">, che, in quanto tecnologia (non per la sua applicazione ai </w:t>
      </w:r>
      <w:r w:rsidRPr="00F66C1A">
        <w:rPr>
          <w:i/>
        </w:rPr>
        <w:t>bitcoin</w:t>
      </w:r>
      <w:r>
        <w:t xml:space="preserve">), può essere portatrice di valori democratici, garantendo </w:t>
      </w:r>
      <w:r>
        <w:lastRenderedPageBreak/>
        <w:t>trasparenza e migliorando le strutture di governance. Dall'altro lato, però, occorre gestire i rischi che la digitalizzazione porta con sé, quali un aumento della disoccupazione, dell'emarginazione digitale e dell'esclusione sociale. Dobbiamo trovare un modo per riuscire a sfruttare queste opportunità e nel contempo neutralizzare questi rischi, in un contesto in cui l'UE cerca di rimanere competitiva a livello globale.</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ind w:left="567" w:hanging="567"/>
      </w:pPr>
      <w:r>
        <w:t>È importante preservare il modello europeo, in termini di diritti, standard e politiche di tutela dei consumatori. Questo è ciò che rende unica l'Unione europea. Ad esempio, nel settore della digitalizzazione, il codice etico dell'UE sull'intelligenza artificiale distingue nettamente la concezione dell'UE di "sorveglianza con controllo umano" (</w:t>
      </w:r>
      <w:r>
        <w:rPr>
          <w:i/>
        </w:rPr>
        <w:t>human-in-command</w:t>
      </w:r>
      <w:r>
        <w:t>) da quella di altre regioni del mondo. Questo approccio, basato sui diritti e sulle libertà fondamentali, è parte integrante del modello europeo e dovrebbe essere preservato, nonostante stia emergendo un clima di più accesa competizione.</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ind w:left="567" w:hanging="567"/>
      </w:pPr>
      <w:r>
        <w:t xml:space="preserve">Il CESE sottolinea l'importanza della digitalizzazione di tutti i settori della società, in particolare attraverso il lavoro a distanza e i servizi digitali, compresi il commercio elettronico e la sanità elettronica. </w:t>
      </w:r>
    </w:p>
    <w:p w14:paraId="44733F86" w14:textId="77777777" w:rsidR="004A5C2F" w:rsidRPr="007B4B7F" w:rsidRDefault="004A5C2F" w:rsidP="00AB5770">
      <w:pPr>
        <w:spacing w:line="288" w:lineRule="auto"/>
        <w:rPr>
          <w:rFonts w:ascii="Times New Roman" w:hAnsi="Times New Roman"/>
          <w:sz w:val="20"/>
          <w:szCs w:val="22"/>
          <w:lang w:val="en-GB"/>
        </w:rPr>
      </w:pPr>
    </w:p>
    <w:p w14:paraId="1458BEB7" w14:textId="09C72096" w:rsidR="004A5C2F" w:rsidRPr="00AB5770" w:rsidRDefault="004A5C2F" w:rsidP="00AB5770">
      <w:pPr>
        <w:pStyle w:val="Heading2"/>
        <w:ind w:left="567" w:hanging="567"/>
      </w:pPr>
      <w:r>
        <w:t>La pandemia ha dimostrato che la digitalizzazione dell'istruzione non è ugualmente accessibile per tutte le componenti della società e questo potrebbe provocare in futuro problemi per quanto riguarda i risultati scolastici e le opportunità in materia di istruzione. Pertanto, occorre introdurre misure a sostegno dei gruppi svantaggiati e in tal modo contribuire a prevenire la segregazione.</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ind w:left="567" w:hanging="567"/>
      </w:pPr>
      <w:r>
        <w:t>È necessario un aggiornamento costante del quadro giuridico per l'intelligenza artificiale e la digitalizzazione, per rimanere al passo col progresso tecnico e, in particolare, con l'aspetto della sicurezza delle comunicazioni digitali, sia in termini di reti che di contenuti.</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EF55169" w:rsidR="00402726" w:rsidRPr="00AB5770" w:rsidRDefault="009E3600" w:rsidP="00AB5770">
      <w:pPr>
        <w:pStyle w:val="Heading2"/>
        <w:ind w:left="567" w:hanging="567"/>
      </w:pPr>
      <w:r>
        <w:t xml:space="preserve">Il CESE prende atto che la Commissione rimanda al 2021 la proposta legislativa sull'impatto dell'intelligenza artificiale, anche in termini di sicurezza, responsabilità, diritti fondamentali e dati. Chiede alla Commissione di: i) promuovere il carattere multidisciplinare della ricerca, coinvolgendo altre materie come diritto, etica, filosofia, psicologia, scienze del lavoro, scienze umane, economia ecc. ii) coinvolgere le parti interessate pertinenti (sindacati, organizzazioni professionali, organizzazioni di categoria, organizzazioni di consumatori, ONG) nel dibattito sull'IA e, come partner su un piano di parità, nella ricerca finanziata dall'UE e in altri progetti come il partenariato pubblico-privati sull'IA, i dialoghi settoriali e il "programma di adozione dell'IA" nel settore pubblico nonché il centro di ricerca, innovazione e competenza di riferimento; e iii) continuare a educare e informare il vasto pubblico in merito alle opportunità e alle sfide poste dall'IA. Raccomanda inoltre alla Commissione di esaminare in maniera più approfondita l'impatto dell'IA sull'intero ventaglio dei diritti e delle libertà fondamentali, tra cui, in un elenco non esaustivo, il diritto a un ricorso effettivo e a un giudice imparziale, a elezioni eque e aperte, il diritto di riunirsi e manifestare nonché il diritto alla non discriminazione. Il CESE rimane contrario a introdurre qualsiasi forma di personalità giuridica per l'IA. In tal modo verrebbe infatti compromesso l'effetto di correzione preventiva della responsabilità giuridica, </w:t>
      </w:r>
      <w:r>
        <w:lastRenderedPageBreak/>
        <w:t>con gravi possibilità di azzardo morale, sia nello sviluppo che nell'impiego dell'IA, e conseguentemente di abusi</w:t>
      </w:r>
      <w:r w:rsidR="0040070F" w:rsidRPr="00AB5770">
        <w:rPr>
          <w:rStyle w:val="FootnoteReference"/>
          <w:sz w:val="24"/>
          <w:szCs w:val="24"/>
          <w:lang w:val="en-GB"/>
        </w:rPr>
        <w:footnoteReference w:id="7"/>
      </w:r>
      <w: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ind w:left="567" w:hanging="567"/>
      </w:pPr>
      <w:r>
        <w:t>A causa del crescente utilizzo degli smartphone e dell'introduzione delle reti 5G, riveste grande importanza la preoccupazione per l'interoperabilità tra applicazioni e reti in tutta l'Unione europea, in particolare in situazioni di emergenza.</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ind w:left="567" w:hanging="567"/>
      </w:pPr>
      <w:r>
        <w:t>Considerati gli sviluppi futuri della digitalizzazione e il suo crescente impatto sulla vita privata, sociale e lavorativa e su tutti i settori, è fondamentale insegnare le competenze digitali e agire per combattere contro il divario digitale tra i cittadini.</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ind w:left="567" w:hanging="567"/>
      </w:pPr>
      <w:r>
        <w:t>Molto giustamente, la preparazione dell'Europa all'era digitale è una priorità essenziale, presente in modo evidente anche nel programma di lavoro adattato per il 2020. Il CESE apprezza i notevoli sforzi compiuti dalla Commissione europea per fare progressi in settori quali l'intelligenza artificiale, i servizi digitali, la sicurezza informatica, i dispositivi e le soluzioni digitali per i consumatori, nonché la finanza digitale. Il CESE si compiace in particolare del forte profilo digitale della proposta relativa a Una nuova strategia industriale per l'Europa. La digitalizzazione figura ampiamente altresì nel pacchetto sui servizi aerei. Il CESE esprime inoltre il suo grande apprezzamento per il fatto che la digitalizzazione trovi posto nei settori prioritari proposti dello Spazio europeo della ricerca.</w:t>
      </w:r>
    </w:p>
    <w:p w14:paraId="1D4E8038" w14:textId="0662D6E8" w:rsidR="002E00BE" w:rsidRDefault="002E00BE" w:rsidP="00AB5770">
      <w:pPr>
        <w:spacing w:line="288" w:lineRule="auto"/>
        <w:rPr>
          <w:rFonts w:ascii="Times New Roman" w:hAnsi="Times New Roman"/>
          <w:sz w:val="16"/>
          <w:szCs w:val="22"/>
          <w:lang w:val="en-GB"/>
        </w:rPr>
      </w:pPr>
    </w:p>
    <w:p w14:paraId="18DB4053" w14:textId="77777777" w:rsidR="0066739F" w:rsidRPr="0066739F" w:rsidRDefault="0066739F" w:rsidP="00AB5770">
      <w:pPr>
        <w:spacing w:line="288" w:lineRule="auto"/>
        <w:rPr>
          <w:rFonts w:ascii="Times New Roman" w:hAnsi="Times New Roman"/>
          <w:sz w:val="16"/>
          <w:szCs w:val="22"/>
          <w:lang w:val="en-GB"/>
        </w:rPr>
      </w:pPr>
    </w:p>
    <w:p w14:paraId="6799A9CD" w14:textId="77777777" w:rsidR="00CF7500" w:rsidRPr="00AB5770" w:rsidRDefault="00CF7500">
      <w:pPr>
        <w:pStyle w:val="Heading1"/>
        <w:keepNext/>
        <w:keepLines/>
        <w:ind w:left="567" w:hanging="567"/>
        <w:rPr>
          <w:b/>
        </w:rPr>
      </w:pPr>
      <w:r>
        <w:rPr>
          <w:b/>
        </w:rPr>
        <w:t>Un'economia al servizio delle persone</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ind w:left="567" w:hanging="567"/>
      </w:pPr>
      <w:r>
        <w:t>Dobbiamo ricostruire la nostra governance economica sulla base di un sistema economico europeo resiliente, sostenibile e inclusivo. Vogliamo realizzare non solo una ripresa economica, ma piuttosto un cambiamento qualitativo della gestione e della governance della politica economica.</w:t>
      </w:r>
    </w:p>
    <w:p w14:paraId="74A67409" w14:textId="77777777" w:rsidR="001F713F" w:rsidRPr="006C5CB3" w:rsidRDefault="001F713F" w:rsidP="00AB5770">
      <w:pPr>
        <w:spacing w:line="288" w:lineRule="auto"/>
        <w:rPr>
          <w:rFonts w:ascii="Times New Roman" w:hAnsi="Times New Roman"/>
          <w:sz w:val="20"/>
          <w:szCs w:val="22"/>
          <w:lang w:val="en-GB"/>
        </w:rPr>
      </w:pPr>
    </w:p>
    <w:p w14:paraId="30BE80B2" w14:textId="26BAFBBF" w:rsidR="00CB75EF" w:rsidRPr="00AB5770" w:rsidRDefault="00CB75EF" w:rsidP="00AB5770">
      <w:pPr>
        <w:pStyle w:val="Heading2"/>
        <w:ind w:left="567" w:hanging="567"/>
      </w:pPr>
      <w:r>
        <w:t>L'impatto complessivo della crisi deve essere ancora determinato e la ricostruzione e la ripresa richiederanno notevoli sforzi. Pertanto, è urgente attuare rapidamente le proposte del maggio 2020 relative a uno strumento per la ripresa e a un quadro finanziario pluriennale (QFP) rafforzato. Dobbiamo inoltre essere pronti a porre in essere ulteriori misure ed emendamenti rispetto a quelli già adottati, se gli sviluppi della situazione lo giustificano.</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ind w:left="567" w:hanging="567"/>
      </w:pPr>
      <w:r>
        <w:t>La Commissione è invitata a continuare a utilizzare il semestre europeo come elemento propulsore della ripresa sulla base delle priorità di investimento e di riforma individuate nell'ambito del semestre stesso. Il Comitato accoglie con favore la recente enfasi su una maggiore inclusione delle questioni sociali e del Green Deal europeo, così come l'attuazione del dispositivo per la ripresa e la resilienza per mezzo del semestre. Nel corso del semestre, la Commissione dovrebbe aiutare gli Stati membri della zona euro ad adottare tutte le misure necessarie per garantire una maggiore convergenza e una maggiore integrazione in campo economico. Ciò include una politica di bilancio complessivamente positiva per l'intera zona euro al fine di poter uscire dalla crisi attuale.</w:t>
      </w:r>
    </w:p>
    <w:p w14:paraId="1D058377" w14:textId="77777777" w:rsidR="00D872BD" w:rsidRPr="00AB5770" w:rsidRDefault="00D872BD" w:rsidP="00AB5770">
      <w:pPr>
        <w:pStyle w:val="Heading2"/>
        <w:numPr>
          <w:ilvl w:val="0"/>
          <w:numId w:val="0"/>
        </w:numPr>
        <w:ind w:left="709"/>
        <w:rPr>
          <w:lang w:val="en-GB"/>
        </w:rPr>
      </w:pPr>
    </w:p>
    <w:p w14:paraId="77913AC1" w14:textId="59350EE4" w:rsidR="0056565F" w:rsidRPr="00AB5770" w:rsidRDefault="00174E57" w:rsidP="00AB5770">
      <w:pPr>
        <w:pStyle w:val="Heading2"/>
        <w:ind w:left="567" w:hanging="567"/>
      </w:pPr>
      <w:r>
        <w:t xml:space="preserve">Tutte le priorità e le azioni delineate negli altri settori politici summenzionati comporteranno la necessità di formulare un nuovo quadro di governance economica che sia all'altezza delle sfide dell'attuale situazione macroeconomica e consenta l'attuazione delle politiche strategiche in materia industriale, di competitività, sociale, ambientale e commerciale da parte dell'Unione e dei suoi Stati membri. All'inizio del 2020, la Commissione ha avviato un'ampia consultazione pubblica su questo tema, che tuttavia è stata interrotta a causa della crisi della Covid-19 e dell'applicazione della clausola generale di salvaguardia del patto di stabilità e crescita. Non è immaginabile che nel 2021 si possa tornare a un'applicazione automatica del patto. È opportuno che la Commissione faccia seguire nuove iniziative volte a promuovere una riforma del patto di stabilità e crescita con l'obiettivo di garantire contemporaneamente la stabilità e la crescita.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ind w:left="567" w:hanging="567"/>
      </w:pPr>
      <w:r>
        <w:t xml:space="preserve">In tale contesto, il CESE chiede un adeguamento macroeconomico più simmetrico, condiviso tanto dagli Stati membri con disavanzi che da quelli con avanzi. Tutti gli Stati membri devono poter essere in grado di investire di più nei servizi pubblici perché, come la crisi ha dimostrato, i servizi pubblici svolgono un ruolo cruciale nel salvare vite umane e contrastare la pandemia. Inoltre, al momento di applicare di nuovo le norme dell'UE in materia di bilancio, i leader europei dovrebbero considerare la cosiddetta regola d'oro, che consente di escludere alcuni investimenti pubblici dal calcolo del disavanzo e di tener conto della sostenibilità dei livelli di debito esistenti.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77777777" w:rsidR="003C3D16" w:rsidRPr="00AB5770" w:rsidRDefault="00D872BD" w:rsidP="00AB5770">
      <w:pPr>
        <w:pStyle w:val="Heading2"/>
        <w:ind w:left="567" w:hanging="567"/>
      </w:pPr>
      <w:r>
        <w:t>Infine, da tempo si invoca un meccanismo permanente di stabilizzazione dei bilanci della zona euro, in quanto darebbe un notevole sostegno alle politiche anticicliche dell'Unione in caso di shock futuri. Tale meccanismo contribuirebbe alla stabilità e alla sostenibilità a lungo termine delle finanze pubbliche nazionali e costituirebbe il passo successivo necessario verso l'approfondimento dell'Unione economica e monetaria dell'Europa.</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5B56BB72" w:rsidR="00CB75EF" w:rsidRPr="00AB5770" w:rsidRDefault="00CB75EF" w:rsidP="00AB5770">
      <w:pPr>
        <w:pStyle w:val="Heading2"/>
        <w:ind w:left="567" w:hanging="567"/>
      </w:pPr>
      <w:r>
        <w:t xml:space="preserve">La ripresa post Covid-19 dipenderà in larga misura dalla capacità dei mercati finanziari europei di garantire liquidità sufficiente. Il buon funzionamento dei mercati finanziari e un aumento della capacità di condividere i rischi finanziari sono anch'essi necessari per rafforzare la resilienza dell'economia europea. L'ulteriore armonizzazione e integrazione dei mercati finanziari europei dovrebbero pertanto proseguire senza indugio, compreso il completamento dell'Unione bancaria e il rafforzamento dell'Unione dei mercati dei capitali. In sede di revisione delle norme prudenziali bancarie, al fine di attuare i restanti accordi del quadro di Basilea, occorre tenere conto delle specificità del panorama bancario dell'UE. Inoltre, è essenziale che i mercati finanziari siano in grado di sostenere la trasformazione verde e digitale. Il CESE ritiene che siano necessari </w:t>
      </w:r>
      <w:r w:rsidR="00C13264">
        <w:t xml:space="preserve">maggiori sforzi per integrare </w:t>
      </w:r>
      <w:r>
        <w:t>sistematicamente la sostenib</w:t>
      </w:r>
      <w:r w:rsidR="00AD1A7B">
        <w:t>ilità nel settore finanziario. P</w:t>
      </w:r>
      <w:r>
        <w:t>ertanto il Comitato accoglie con favore l'obiettivo della Commissione di rinnovare la sua strategia per la finanza sostenibile.</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18698D">
      <w:pPr>
        <w:pStyle w:val="Heading2"/>
        <w:keepNext/>
        <w:keepLines/>
        <w:ind w:left="567" w:hanging="567"/>
      </w:pPr>
      <w:r>
        <w:lastRenderedPageBreak/>
        <w:t>Il CESE è fermamente convinto che, nel contesto della digitalizzazione dell'economia, ogni eventuale modifica delle norme sulla ripartizione dei diritti di imposizione fiscale tra i paesi debba essere coordinata a livello globale, pertanto si compiace della stretta cooperazione tra la Commissione, gli Stati membri e l'OCSE/G20 al fine di sostenere lo sviluppo di una soluzione internazionale. Qualora non si riuscisse a concordare una soluzione a livello internazionale, l'UE deve prendere in considerazione il fatto di procedere autonomamente. Si deve continuare ad attribuire la massima priorità nell'agenda politica alla lotta contro la frode fiscale e l'evasione fiscale, nonché contro il riciclaggio di denaro.</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AB5770" w:rsidRDefault="00CB75EF" w:rsidP="00AB5770">
      <w:pPr>
        <w:pStyle w:val="Heading2"/>
        <w:ind w:left="567" w:hanging="567"/>
      </w:pPr>
      <w:r>
        <w:t>La politica di coesione svolgerà un ruolo fondamentale nel garantire una ripresa equilibrata, promuovere la convergenza e assicurare che nessuno sia lasciato indietro. La flessibilità finanziaria è davvero essenziale per i programmi di coesione e darà la possibilità agli Stati membri di trasferire i fondi in base ai loro bisogni nell'affrontare la crisi. Il CESE ritiene opportuno fissare un calendario realistico in modo tale che i fondi vengano assegnati agli Stati membri il più presto possibile. Al centro della politica di coesione dell'UE nel 2021-2027 dovrebbe rimanere la competitività economica attraverso la ricerca e l'innovazione, la transizione digitale nonché l'agenda del Green Deal europeo e lo sviluppo sostenibile.</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ind w:left="567" w:hanging="567"/>
      </w:pPr>
      <w:r>
        <w:t>La crisi sanitaria ed economica causata dalla pandemia di Covid-19 ha esacerbato le disuguaglianze esistenti in materia di ricchezza e reddito e ha mostrato chiaramente la necessità di un nuovo modello di società che contribuisca maggiormente alla coesione economica e sociale, alla produttività e a una più equa distribuzione della ricchezza. Ora la Commissione deve urgentemente dare seguito alle precedenti proposte del CESE che aiuterebbero a invertire la tendenza alle crescenti disuguaglianze che sta creando un divario tra i diversi Stati membri e gruppi sociali e ha contribuito all'ascesa di movimenti e partiti estremisti. A tal fine, è necessaria un'azione decisiva dell'UE a integrazione degli sforzi degli Stati membri al fine di incentivare gli investimenti nelle infrastrutture sociali (istruzione e apprendimento permanente; sanità, assistenza a lungo termine e servizi sociali; alloggi a prezzi accessibili), sviluppare risorse pubbliche volte a colmare le lacune nel sistema di mercato, dirottare gradualmente le entrate fiscali dall'imposizione fiscale del lavoro a un regime d'imposizione fiscale basato più sul patrimonio; sviluppare un meccanismo trasparente per il monitoraggio e il consolidamento dei dati su tutti i redditi e i patrimoni; istituire un registro degli azionisti di società a livello europeo e così via.</w:t>
      </w:r>
    </w:p>
    <w:p w14:paraId="3453251E" w14:textId="77777777" w:rsidR="00D872BD" w:rsidRPr="00AB5770" w:rsidRDefault="00D872BD" w:rsidP="00AB5770">
      <w:pPr>
        <w:pStyle w:val="Heading2"/>
        <w:numPr>
          <w:ilvl w:val="0"/>
          <w:numId w:val="0"/>
        </w:numPr>
        <w:rPr>
          <w:lang w:val="en-GB"/>
        </w:rPr>
      </w:pPr>
    </w:p>
    <w:p w14:paraId="74C3BAC0" w14:textId="08B88218" w:rsidR="00D872BD" w:rsidRPr="00AB5770" w:rsidRDefault="00284DBE" w:rsidP="00AB5770">
      <w:pPr>
        <w:pStyle w:val="Heading2"/>
        <w:ind w:left="567" w:hanging="567"/>
      </w:pPr>
      <w:r>
        <w:t>Sullo sfondo della crisi della Covid-19, la Commissione dovrebbe altresì dare seguito alle iniziative precedenti per rafforzare e promuovere il ruolo dell'Europa come attore economico globale. Dovrebbe inoltre analizzare e proporre modalità e mezzi più specifici per rafforzare il ruolo internazionale dell'euro, diversificare le catene di approvvigionamento e promuovere norme e standard europei in alcuni settori strategici, garantire una risposta europea più resiliente alle sanzioni extraterritoriali da parte di paesi terzi e orientarsi gradualmente verso una rappresentanza europea unificata nelle sedi finanziarie internazionali.</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18698D">
      <w:pPr>
        <w:pStyle w:val="Heading2"/>
        <w:keepNext/>
        <w:keepLines/>
        <w:ind w:left="567" w:hanging="567"/>
      </w:pPr>
      <w:r>
        <w:lastRenderedPageBreak/>
        <w:t>Deve essere spezzato il legame tra prosperità economica e degrado ambientale e esaurimento sociale. Modelli come l'economia circolare, l'economia cooperativa e l'economia collaborativa offrono nuove opportunità in termini di occupazione, assetti proprietari e innovazione e trasformano i rapporti tra produttori, distributori e consumatori, rendendo tutti gli attori più resilienti alle crisi, a patto che sia prevista una regolamentazione adeguata. Oltre alla corretta attuazione del nuovo piano d'azione per l'economia circolare e alla prosecuzione dei lavori della Piattaforma europea delle parti interessate per l'economia circolare CESE/CE, tra le principali priorità figurano: promuovere una strategia globale per il consumo sostenibile, sviluppare nuovi indicatori per sostituire l'uso non corretto del PIL e adattare il patto di stabilità e crescita dell'UE affinché tenga conto della sostenibilità e del benessere.</w:t>
      </w:r>
    </w:p>
    <w:p w14:paraId="22C9EB7B" w14:textId="77777777" w:rsidR="00D872BD" w:rsidRPr="00AB5770" w:rsidRDefault="00D872BD" w:rsidP="00AB5770">
      <w:pPr>
        <w:pStyle w:val="Heading2"/>
        <w:numPr>
          <w:ilvl w:val="0"/>
          <w:numId w:val="0"/>
        </w:numPr>
        <w:ind w:left="709"/>
        <w:rPr>
          <w:lang w:val="en-GB"/>
        </w:rPr>
      </w:pPr>
    </w:p>
    <w:p w14:paraId="375B9EFB" w14:textId="5FFAA636" w:rsidR="00D872BD" w:rsidRPr="00A205A7" w:rsidRDefault="00A205A7" w:rsidP="00AB5770">
      <w:pPr>
        <w:pStyle w:val="Heading2"/>
        <w:ind w:left="567" w:hanging="567"/>
      </w:pPr>
      <w:r w:rsidRPr="00A205A7">
        <w:rPr>
          <w:iCs/>
        </w:rPr>
        <w:t>È necessario ricostruire una società con servizi di interesse generale migliori così come sancito dall'articolo 14 del TFUE, relativo ai servizi di interesse economico generale (SIEG), dal protocollo n. 26 sui servizi di interesse generale (SIG) allegato al TFUE e, in particolare, dal pilastro europeo dei diritti sociali, nonché basata sui servizi sanitari e sociali, sulle comunicazioni elettroniche, sui trasporti pubblici, sull'energia, sull'acqua e sulla raccolta dei rifiuti e su un programma di investimenti di accompagnamento</w:t>
      </w:r>
      <w:r w:rsidR="00240E4C" w:rsidRPr="00A205A7">
        <w:t>.</w:t>
      </w:r>
    </w:p>
    <w:p w14:paraId="50EEE018" w14:textId="77777777" w:rsidR="00D872BD" w:rsidRPr="00AB5770" w:rsidRDefault="00D872BD" w:rsidP="00AB5770">
      <w:pPr>
        <w:pStyle w:val="Heading2"/>
        <w:numPr>
          <w:ilvl w:val="0"/>
          <w:numId w:val="0"/>
        </w:numPr>
        <w:ind w:left="709"/>
        <w:rPr>
          <w:lang w:val="en-GB"/>
        </w:rPr>
      </w:pPr>
    </w:p>
    <w:p w14:paraId="7717DB8C" w14:textId="73B3B382" w:rsidR="00D872BD" w:rsidRPr="00AB5770" w:rsidRDefault="0059542A" w:rsidP="00AB5770">
      <w:pPr>
        <w:pStyle w:val="Heading2"/>
        <w:ind w:left="567" w:hanging="567"/>
      </w:pPr>
      <w:r>
        <w:t>Le concezioni moderne dello sviluppo economico si basano non solo su criteri di prosperità, redditività ed efficienza, ma anche sul rispetto dei requisiti sociali e ambientali e sull'eliminazione di tutti i tipi di esternalità negative e di fallimenti del mercato. Un insegnamento della recentissima crisi della Covid-19 è che l'economia deve essere anche resiliente e sufficientemente forte per affrontare gli shock futuri. A tal fine, è altamente auspicabile eliminare gli squilibri strutturali.</w:t>
      </w:r>
    </w:p>
    <w:p w14:paraId="694E7A1A" w14:textId="77777777" w:rsidR="00D872BD" w:rsidRPr="00AB5770" w:rsidRDefault="00D872BD" w:rsidP="00AB5770">
      <w:pPr>
        <w:pStyle w:val="Heading2"/>
        <w:numPr>
          <w:ilvl w:val="0"/>
          <w:numId w:val="0"/>
        </w:numPr>
        <w:ind w:left="709"/>
        <w:rPr>
          <w:lang w:val="en-GB"/>
        </w:rPr>
      </w:pPr>
    </w:p>
    <w:p w14:paraId="02AF152F" w14:textId="0A5614AD" w:rsidR="00D31597" w:rsidRPr="00AB5770" w:rsidRDefault="00D31597" w:rsidP="00AB5770">
      <w:pPr>
        <w:pStyle w:val="Heading2"/>
        <w:ind w:left="567" w:hanging="567"/>
      </w:pPr>
      <w:r>
        <w:t>L'economia moderna richiede altresì un corretto funzionamento del mercato in tutti i suoi segmenti, compresi quelli di recente creazione (economie virtuali, condivise, circolari e digitali). Per questo motivo, è anche opportuno un migliore funzionamento d</w:t>
      </w:r>
      <w:r w:rsidR="00A41483">
        <w:t>ell'intermediazione finanziaria:</w:t>
      </w:r>
      <w:r>
        <w:t xml:space="preserve"> nel contesto dell'UE ciò significa in particolare l'approfondimento dell'Unione dei mercati dei capitali e il completamento dell'Unione bancaria. Per sostenere maggiormente il passaggio a un'economia più sostenibile, bisogna anche prevedere l'adeguamento del sistema fiscale.</w:t>
      </w:r>
    </w:p>
    <w:p w14:paraId="11CC6878" w14:textId="77777777" w:rsidR="00240E4C" w:rsidRPr="0066739F" w:rsidRDefault="00240E4C" w:rsidP="00AB5770">
      <w:pPr>
        <w:spacing w:line="288" w:lineRule="auto"/>
        <w:ind w:left="709" w:hanging="709"/>
        <w:rPr>
          <w:rFonts w:ascii="Times New Roman" w:hAnsi="Times New Roman"/>
          <w:szCs w:val="22"/>
          <w:lang w:val="en-GB"/>
        </w:rPr>
      </w:pPr>
    </w:p>
    <w:p w14:paraId="69D08681" w14:textId="77777777" w:rsidR="00CF7500" w:rsidRPr="00AB5770" w:rsidRDefault="00CF7500">
      <w:pPr>
        <w:pStyle w:val="Heading2"/>
        <w:keepNext/>
        <w:keepLines/>
        <w:ind w:left="567" w:hanging="567"/>
        <w:rPr>
          <w:b/>
        </w:rPr>
      </w:pPr>
      <w:r>
        <w:rPr>
          <w:b/>
        </w:rPr>
        <w:t xml:space="preserve">Il mercato unico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left="567" w:hanging="567"/>
      </w:pPr>
      <w:r>
        <w:t>Il mercato unico è al centro del progetto europeo. Un mercato unico funzionante stimola la concorrenza, aumenta l'efficienza, migliora la qualità e contribuisce a ridurre i prezzi. Il mercato unico europeo è sicuramente uno dei maggiori successi dell'UE. È pertanto fondamentale esaminare in che modo il funzionamento del mercato interno possa stimolare o ostacolare la ripresa economica dopo la crisi sanitaria.</w:t>
      </w:r>
    </w:p>
    <w:p w14:paraId="25F5254F" w14:textId="77777777" w:rsidR="003467E2" w:rsidRPr="00AB5770" w:rsidRDefault="003467E2">
      <w:pPr>
        <w:pStyle w:val="Heading3"/>
        <w:numPr>
          <w:ilvl w:val="0"/>
          <w:numId w:val="0"/>
        </w:numPr>
        <w:ind w:left="709"/>
        <w:rPr>
          <w:lang w:val="en-GB"/>
        </w:rPr>
      </w:pPr>
    </w:p>
    <w:p w14:paraId="48A4FE66" w14:textId="16406571" w:rsidR="00445BD7" w:rsidRPr="00AB5770" w:rsidRDefault="003467E2" w:rsidP="00AB5770">
      <w:pPr>
        <w:pStyle w:val="Heading3"/>
        <w:ind w:left="567" w:hanging="567"/>
      </w:pPr>
      <w:r>
        <w:t xml:space="preserve">La coerenza e l'unità del mercato unico sono stati messi a dura prova durante la recente pandemia di Covid-19. Vi sono stati settori in cui il mercato unico è stato gravemente colpito e paralizzato, in particolare per quanto riguarda la libera circolazione delle persone. Anche la continuità delle catene di fornitura transfrontaliere ha risentito negativamente della pandemia. Il volume degli scambi transfrontalieri nell'UE ha registrato una diminuzione a due cifre su base </w:t>
      </w:r>
      <w:r>
        <w:lastRenderedPageBreak/>
        <w:t>annuale. Ma il loro nucleo centrale si è mantenuto ed è sopravvissuto. La principale sfida in questo momento per il settore è quella di ristabilire tutti i flussi transfrontalieri naturali all'interno dell'UE ed eliminare gli ostacoli esistenti al mercato unico, che negli ultimi hanno perfino cominciato ad aumentare, in seguito ad alcune strategie e idee su base nazionale attuate dopo la crisi precedente.</w:t>
      </w:r>
    </w:p>
    <w:p w14:paraId="7CC05975" w14:textId="77777777" w:rsidR="00445BD7" w:rsidRPr="00AB5770" w:rsidRDefault="00445BD7" w:rsidP="00AB5770">
      <w:pPr>
        <w:pStyle w:val="Heading3"/>
        <w:numPr>
          <w:ilvl w:val="0"/>
          <w:numId w:val="0"/>
        </w:numPr>
        <w:rPr>
          <w:lang w:val="en-GB"/>
        </w:rPr>
      </w:pPr>
    </w:p>
    <w:p w14:paraId="359B2467" w14:textId="51D71102" w:rsidR="008729CC" w:rsidRPr="00AB5770" w:rsidRDefault="008729CC" w:rsidP="00C52F01">
      <w:pPr>
        <w:pStyle w:val="Heading3"/>
        <w:keepNext/>
        <w:keepLines/>
        <w:ind w:left="567" w:hanging="567"/>
      </w:pPr>
      <w:r>
        <w:t>Ci si presenta l'opportunità di promuovere l'innovazione sociale come modello di ripresa attraverso la co-creazione, la co-progettazione e la co-produzione. In un panorama sociale complesso, segnato da enormi sfide per la società, l'unica via percorribile consiste nel mobilitare tutte le risorse della società, lavorando in modo trans-settoriale e multidisciplinare al fine di individuare soluzioni. La società civile organizzata è un catalizzatore dell'innovazione sociale, un movimento che ha contribuito a elaborare sistemi di protezione sociale che si sono tradotti in nuove politiche e strutture, in nuovi prodotti, servizi e metodi di lavoro. Oggi la partecipazione della società ci</w:t>
      </w:r>
      <w:r w:rsidR="0051679F">
        <w:t xml:space="preserve">vile è più necessaria che mai, </w:t>
      </w:r>
      <w:r>
        <w:t>ma un'autentica innovazione sociale è possibile solo col coinvolgimento della società civile organizzata.</w:t>
      </w:r>
    </w:p>
    <w:p w14:paraId="2126BAB7" w14:textId="146EC464" w:rsidR="008729CC" w:rsidRPr="00AB5770" w:rsidRDefault="008729CC">
      <w:pPr>
        <w:pStyle w:val="Heading3"/>
        <w:numPr>
          <w:ilvl w:val="0"/>
          <w:numId w:val="0"/>
        </w:numPr>
        <w:rPr>
          <w:lang w:val="en-GB"/>
        </w:rPr>
      </w:pPr>
    </w:p>
    <w:p w14:paraId="05DF7083" w14:textId="5374B9EE" w:rsidR="008729CC" w:rsidRPr="00AB5770" w:rsidRDefault="008729CC" w:rsidP="00AB5770">
      <w:pPr>
        <w:pStyle w:val="Heading3"/>
        <w:ind w:left="567" w:hanging="567"/>
      </w:pPr>
      <w:r>
        <w:t>La strategia per il mercato unico è al centro del progetto europeo, consentendo una più libera circolazione di persone, servizi, beni e capitali, e offrendo opportunità alle imprese, ai consumatori e ai lavoratori europei. Sono necessarie misure per sbloccare appieno il suo potenziale, eliminando le barriere. Inoltre, a seguito della crisi e di altri aspetti di un ambiente in evoluzione, come la digitalizzazione, il mercato unico deve adattarsi pienamente a nuove idee e a nuovi modelli aziendali. L'obiettivo è quindi ripristinare, rivitalizzare e ricostruire il mercato unico in quanto strumento nella ripresa. Tra le azioni a breve termine figura l'apertura immediata delle frontiere. Servono inoltre misure a breve termine articolate su due assi: affrontare le tensioni e far ripartire l'economia e la produttività</w:t>
      </w:r>
      <w:r w:rsidR="00886585">
        <w:t>.</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AB5770" w:rsidRDefault="008C08E0" w:rsidP="00AB5770">
      <w:pPr>
        <w:pStyle w:val="Heading3"/>
        <w:ind w:left="567" w:hanging="567"/>
      </w:pPr>
      <w:r>
        <w:t>Le condizioni di "disparità" che stanno emergendo sono causa di seria preoccupazione. I pacchetti di stimolo degli Stati membri sono estremamente differenti e (malgrado la buona intenzione di assorbire una parte dello shock sul versante della domanda) hanno causato condizioni di disparità tra Stati membri. Inoltre, la questione degli aiuti di Stato dev'essere affrontata e analizzata in una prospettiva settoriale, tenendo conto di come tali azioni distorceranno, nel breve e lungo periodo, la concorrenza e l'uniformità delle condizioni.</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AB5770" w:rsidRDefault="008729CC" w:rsidP="00AB5770">
      <w:pPr>
        <w:pStyle w:val="Heading3"/>
        <w:ind w:left="567" w:hanging="567"/>
      </w:pPr>
      <w:r>
        <w:t>Abbiamo bisogno di produttività nell'economia reale (ciò significa posti di lavoro, potere di acquisto e prodotti e servizi di base). Tale produttività può assumere una forma differente ed essere fornita da modelli aziendali diversi, ma dobbiamo agire in questo campo se vogliamo evitare un ulteriore aumento delle disuguaglianze. Tale avvio comporta pacchetti di sostegno e un contesto favorevole per le PMI e l'industria. Le PMI sono, come sappiamo, la spina dorsale dell'economia europea, e hanno bisogno di un sostegno specifico, ma senza oneri aggiuntivi o lungaggini burocratiche. Per le PMI la ripresa sarà possibile solo se verrà messo a disposizione un sostegno finanziario dell'UE e nazionale. A tal fine saranno essenziali sussidi, prestiti, garanzia di liquidità, incentivi fiscali, condizioni favorevoli per trattenere il personale ed assumerne di nuovo, una revisione delle norme sui fallimenti e altre forme di sostegno. Nel campo delle norme sui fallimenti, l'UE dovrebbe intervenire per via legislativa per fare in modo che le piccole imprese fallite a causa della Covid-19 siano in condizioni di riprendere rapidamente l'attività. Tali interventi dovrebbero essere limitati nel tempo.</w:t>
      </w:r>
    </w:p>
    <w:p w14:paraId="3A40BABD" w14:textId="77777777" w:rsidR="00CF7500" w:rsidRPr="0018698D" w:rsidRDefault="00CF7500" w:rsidP="00AB5770">
      <w:pPr>
        <w:spacing w:line="288" w:lineRule="auto"/>
        <w:ind w:hanging="709"/>
        <w:jc w:val="both"/>
        <w:rPr>
          <w:rFonts w:ascii="Times New Roman" w:hAnsi="Times New Roman"/>
          <w:sz w:val="20"/>
          <w:szCs w:val="22"/>
          <w:lang w:val="en-GB"/>
        </w:rPr>
      </w:pPr>
    </w:p>
    <w:p w14:paraId="6048CA30" w14:textId="77777777" w:rsidR="00CF7500" w:rsidRPr="00AB5770" w:rsidRDefault="00CF7500" w:rsidP="00C52F01">
      <w:pPr>
        <w:pStyle w:val="Heading2"/>
        <w:keepNext/>
        <w:keepLines/>
        <w:ind w:left="567" w:hanging="567"/>
        <w:rPr>
          <w:b/>
        </w:rPr>
      </w:pPr>
      <w:r>
        <w:rPr>
          <w:b/>
        </w:rPr>
        <w:t>Strategia industriale</w:t>
      </w:r>
    </w:p>
    <w:p w14:paraId="638171FF" w14:textId="77777777" w:rsidR="00CF7500" w:rsidRPr="00AB5770" w:rsidRDefault="00CF7500" w:rsidP="00C52F01">
      <w:pPr>
        <w:keepNext/>
        <w:keepLines/>
        <w:spacing w:line="288" w:lineRule="auto"/>
        <w:jc w:val="both"/>
        <w:rPr>
          <w:rFonts w:ascii="Times New Roman" w:hAnsi="Times New Roman"/>
          <w:sz w:val="22"/>
          <w:szCs w:val="22"/>
          <w:lang w:val="en-GB"/>
        </w:rPr>
      </w:pPr>
    </w:p>
    <w:p w14:paraId="77FF2650" w14:textId="6D55BCD5" w:rsidR="00445BD7" w:rsidRPr="00AB5770" w:rsidRDefault="00445BD7" w:rsidP="00C52F01">
      <w:pPr>
        <w:pStyle w:val="Heading3"/>
        <w:keepNext/>
        <w:keepLines/>
        <w:ind w:left="567" w:hanging="567"/>
      </w:pPr>
      <w:r>
        <w:t>Molti dei punti precedenti sono pienamente validi, in senso generale, anche per la strategia industriale. Tuttavia, l'industria europea si trova di fronte non solo a una sfida per il miglioramento del mercato unico, ma, a differenza del settore dei servizi, anche a cambiamenti strutturali di fondo, che sono rilevanti principalmente per l'industria del carbone e per le industrie ad alta intensità di carbonio.</w:t>
      </w:r>
    </w:p>
    <w:p w14:paraId="126DD3BC" w14:textId="77777777" w:rsidR="00445BD7" w:rsidRPr="00AB5770" w:rsidRDefault="00445BD7" w:rsidP="00AB5770">
      <w:pPr>
        <w:pStyle w:val="Heading3"/>
        <w:numPr>
          <w:ilvl w:val="0"/>
          <w:numId w:val="0"/>
        </w:numPr>
        <w:rPr>
          <w:lang w:val="en-GB"/>
        </w:rPr>
      </w:pPr>
    </w:p>
    <w:p w14:paraId="1A6092C4" w14:textId="0D3A271A" w:rsidR="00056526" w:rsidRPr="00AB5770" w:rsidRDefault="00445BD7" w:rsidP="00AB5770">
      <w:pPr>
        <w:pStyle w:val="Heading3"/>
        <w:ind w:left="567" w:hanging="567"/>
      </w:pPr>
      <w:r>
        <w:t>L'essenza della nuova strategia industriale per l'Europa consiste nel riuscire a far coesistere un'industria europea moderna e forte con le sfide derivanti dai requisiti climatici e ambientali. Il CESE è convinto che questa coesistenza sia realizzabile e che, se coronata da successo, possa comportare un vantaggio comparato globale per l'Europa. D'altro canto, il CESE è pienamente consapevole e rispettoso degli enormi costi connessi a questa transizione e sostiene misure di mitigazione e compensazione per i settori interessati, da attuare in modo adeguato e nel rispetto delle possibilità economiche.</w:t>
      </w:r>
    </w:p>
    <w:p w14:paraId="05EB16EA" w14:textId="77777777" w:rsidR="00F95DB1" w:rsidRPr="00C52F01" w:rsidRDefault="00F95DB1" w:rsidP="00AB5770">
      <w:pPr>
        <w:spacing w:line="288" w:lineRule="auto"/>
        <w:jc w:val="both"/>
        <w:rPr>
          <w:rFonts w:ascii="Times New Roman" w:hAnsi="Times New Roman"/>
          <w:szCs w:val="22"/>
          <w:lang w:val="en-GB"/>
        </w:rPr>
      </w:pPr>
    </w:p>
    <w:p w14:paraId="26DABAD8" w14:textId="77777777" w:rsidR="00F95DB1" w:rsidRPr="00AB5770" w:rsidRDefault="00F95DB1" w:rsidP="00A9750C">
      <w:pPr>
        <w:pStyle w:val="Heading2"/>
        <w:keepNext/>
        <w:keepLines/>
        <w:ind w:left="567" w:hanging="567"/>
        <w:rPr>
          <w:b/>
        </w:rPr>
      </w:pPr>
      <w:r>
        <w:rPr>
          <w:b/>
        </w:rPr>
        <w:t>I sistemi sanitari</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left="567" w:hanging="567"/>
      </w:pPr>
      <w:r>
        <w:t>Prima di ogni altra cosa, è importante sottolineare che una delle lezioni principali tratte dalla crisi è la necessità di rafforzare i sistemi sanitari di quasi ogni paese d'Europa, cominciando innanzitutto a prestare un'attenzione particolare alla prevenzione. L'impatto del coronavirus sta mettendo a dura prova i sistemi sanitari di tutta Europa. Se la responsabilità dell'assistenza sanitaria incombe agli Stati membri, la propagazione del virus non si arresta alle frontiere. Il coronavirus si è diffuso e si sta diffondendo in tutta Europa, sia all'interno che all'esterno dell'UE, con conseguenze sanitarie, sociali ed economiche tali da esigere risposte comuni a livello europeo.</w:t>
      </w:r>
    </w:p>
    <w:p w14:paraId="4C2FF357" w14:textId="77777777" w:rsidR="00FC4926" w:rsidRPr="00AB5770" w:rsidRDefault="00FC4926" w:rsidP="00AB5770">
      <w:pPr>
        <w:pStyle w:val="Heading3"/>
        <w:numPr>
          <w:ilvl w:val="0"/>
          <w:numId w:val="0"/>
        </w:numPr>
        <w:rPr>
          <w:lang w:val="en-GB"/>
        </w:rPr>
      </w:pPr>
    </w:p>
    <w:p w14:paraId="66972A71" w14:textId="503E11C9" w:rsidR="00FC4926" w:rsidRPr="00AB5770" w:rsidRDefault="00FC4926" w:rsidP="00AB5770">
      <w:pPr>
        <w:pStyle w:val="Heading3"/>
        <w:ind w:left="567" w:hanging="567"/>
      </w:pPr>
      <w:r>
        <w:t>La crisi della Covid-19 ha reso evidente la dipendenza dell'UE dalle importazioni di prodotti e dispositivi medici da paesi terzi. È dunque necessario investire nei servizi di protezione sanitaria, assistenza e assistenza di lunga durata, nella medicina preventiva e nelle politiche della salute e della sicurezza sul lavoro, secondo un approccio basato sul ciclo di vita; e occorre che le istituzioni europee sostengano tali investimenti.</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left="567" w:hanging="567"/>
      </w:pPr>
      <w:r>
        <w:t>La crisi della Covid-19 ha fatto emergere con chiarezza il grande potere delle multinazionali del settore farmaceutico. Al fine di accrescere l'indipendenza dell'industria farmaceutica, è imperativo creare un grande fondo europeo per la ricerca e lo sviluppo di nuovi medicinali e vaccini. Le istituzioni dell'UE dovrebbero disporre dell'autorità necessaria per coordinare, all'interno del mercato unico, l'approvvigionamento, la distribuzione e i prezzi delle attrezzature mediche e dei dispositivi di protezione essenziali.</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left="567" w:hanging="567"/>
      </w:pPr>
      <w:r>
        <w:t>Il CESE chiede una strategia per la sostenibilità che garantisca la tutela della salute umana e dell'ambiente, riducendo al minimo l'esposizione a sostanze chimiche pericolose. La nuova strategia dovrà essere pienamente coerente con il Green Deal europeo.</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3C4013">
      <w:pPr>
        <w:pStyle w:val="Heading3"/>
        <w:keepNext/>
        <w:keepLines/>
        <w:ind w:left="567" w:hanging="567"/>
      </w:pPr>
      <w:r>
        <w:lastRenderedPageBreak/>
        <w:t>È necessario ripristinare la fiducia dei passeggeri nei trasporti, con particolare riguardo al trasporto pubblico. Ciò comporta tra l'altro misure volte ad aumentare la sicurezza per la salute dei passeggeri (ad esempio, sistemi di condizionamento dell'aria, individuazione delle persone malate, misure di pulizia e disinfezione e così via). In questo contesto, è necessario altresì riesaminare persino rafforzare i diritti dei passeggeri (per esempio, rimborsandoli per i viaggi cancellati).</w:t>
      </w:r>
    </w:p>
    <w:p w14:paraId="6575967F" w14:textId="2F035E97" w:rsidR="00FC4926" w:rsidRDefault="00FC4926" w:rsidP="00AB5770">
      <w:pPr>
        <w:spacing w:line="288" w:lineRule="auto"/>
        <w:jc w:val="both"/>
        <w:rPr>
          <w:rFonts w:ascii="Times New Roman" w:hAnsi="Times New Roman"/>
          <w:sz w:val="16"/>
          <w:szCs w:val="22"/>
          <w:lang w:val="en-GB"/>
        </w:rPr>
      </w:pPr>
    </w:p>
    <w:p w14:paraId="2F50942F" w14:textId="77777777" w:rsidR="003C4013" w:rsidRPr="003C4013" w:rsidRDefault="003C4013" w:rsidP="00AB5770">
      <w:pPr>
        <w:spacing w:line="288" w:lineRule="auto"/>
        <w:jc w:val="both"/>
        <w:rPr>
          <w:rFonts w:ascii="Times New Roman" w:hAnsi="Times New Roman"/>
          <w:sz w:val="16"/>
          <w:szCs w:val="22"/>
          <w:lang w:val="en-GB"/>
        </w:rPr>
      </w:pPr>
    </w:p>
    <w:p w14:paraId="44364B3E" w14:textId="56B11F1C" w:rsidR="00B15CE1" w:rsidRPr="00AB5770" w:rsidRDefault="006C3B4C" w:rsidP="00AB5770">
      <w:pPr>
        <w:pStyle w:val="Heading1"/>
        <w:keepNext/>
        <w:ind w:left="567" w:hanging="567"/>
        <w:rPr>
          <w:b/>
          <w:bCs/>
          <w:iCs/>
        </w:rPr>
      </w:pPr>
      <w:r>
        <w:rPr>
          <w:b/>
        </w:rPr>
        <w:t>Un'Europa più forte nel mondo</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ind w:left="567" w:hanging="567"/>
      </w:pPr>
      <w:r>
        <w:t>L'UE deve rafforzare e sostenere la sua posizione globale in termini dell'assunzione di un ruolo più importante e strategico nell'economia e nella politica mondiale. Questa posizione si è indebolita nell'ultimo decennio. L'economia dell'UE ha il potenziale per sfruttare meglio i suoi vantaggi comparati nel mercato globale degli scambi commerciali e degli investimenti, in particolare nei settori manifatturieri e nei servizi innovativi, e per ambire a essere un leader mondiale. L'UE dovrebbe accompagnare tale sforzo con una sua migliore e più efficace presenza all'interno nelle principali organizzazioni mondiali dove deve esprimersi con una sola voce. Il CESE invita la Commissione europea a compiere uno sforzo rilevante per tener conto più specificamente della necessità di rafforzare la posizione globale dell'UE nel suo programma di lavoro per il 2021.</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ind w:left="567" w:hanging="567"/>
      </w:pPr>
      <w:r>
        <w:t>L'UE dovrebbe continuare a sostenere l'approccio multilaterale negli scambi commerciali. L'integrazione delle norme dell'OIL e dei principi dello sviluppo sostenibile</w:t>
      </w:r>
      <w:r w:rsidR="0012012B" w:rsidRPr="00AB5770">
        <w:rPr>
          <w:rStyle w:val="FootnoteReference"/>
          <w:sz w:val="24"/>
          <w:szCs w:val="24"/>
          <w:lang w:val="en-GB"/>
        </w:rPr>
        <w:footnoteReference w:id="8"/>
      </w:r>
      <w:r>
        <w:t xml:space="preserve"> nelle regole dell'OMC e di altre agenzie che fanno capo all'ONU potrebbe contribuire in modo sostanziale alla costruzione di un nuovo ordine economico equo e a una globalizzazione giusta e intelligente. Nel contempo, l'UE dovrebbe opporsi agli sforzi volti a creare nuovi ostacoli e restrizioni nell'economia mondiale.</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ind w:left="567" w:hanging="567"/>
      </w:pPr>
      <w:r>
        <w:t>Uno degli insegnamenti concreti della crisi della Covid-19 è che l'UE dovrebbe valutare più attentamente la protezione delle sue risorse e dei suoi investimenti strategici e rafforzare i controlli nei settori in cui vi è il rischio che si abusi politicamente di un'operazione di investimento in un'industria strategica.</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2FC49F3C" w:rsidR="00020E9D" w:rsidRPr="00AB5770" w:rsidRDefault="00020E9D" w:rsidP="00AB5770">
      <w:pPr>
        <w:pStyle w:val="Heading2"/>
        <w:ind w:left="567" w:hanging="567"/>
      </w:pPr>
      <w:r>
        <w:t>Dopo la Brexit, l'UE dovrebbe concentrarsi non solo sul rafforzamento della coerenza e dell'unità, ma nei casi pertinenti non dimenticare di proseguire il processo di allargamento che recentemente è stato piuttosto rallentato, nonostante alcuni progressi, in particolare per quanto riguarda l'adesione di alcuni paesi candidati dei Balcani occidentali. L'allargamento potrebbe contribuire in modo sostanziale ad eliminare le incertezze politiche ed economiche e ad aumentare la stabilità in questa parte dell'Europa.</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3C4013">
      <w:pPr>
        <w:pStyle w:val="Heading2"/>
        <w:keepNext/>
        <w:keepLines/>
        <w:ind w:left="567" w:hanging="567"/>
      </w:pPr>
      <w:r>
        <w:lastRenderedPageBreak/>
        <w:t>Nell'ultimo decennio la situazione geopolitica è peggiorata, fatto che riguarda anche i territori più vicini alle frontiere esterne dell'UE. Per sostenere la stabilità e migliorare le relazioni reciproche, è necessario proseguire l'iniziativa di un partenariato strategico e di una politica di vicinato inclusiva. Tale politica dovrebbe reagire in modo flessibile alle nuove circostanze e basarsi su un rispetto comune e sui vantaggi che ne derivano per entrambe le parti.</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AB5770" w:rsidRDefault="003E2FCB" w:rsidP="00AB5770">
      <w:pPr>
        <w:pStyle w:val="Heading2"/>
        <w:ind w:left="567" w:hanging="567"/>
      </w:pPr>
      <w:r>
        <w:t>L'evoluzione della situazione geopolitica e le conseguenze della recente crisi migratoria, nonché il deterioramento delle relazioni esterne nel mondo con numerosi nuovi fenomeni rischiosi, hanno anche fatto spostare la gamma degli aiuti e dell'assistenza allo sviluppo dell'UE. Il prossimo QFP prevede un notevole aumento delle risorse finanziarie a tal fine e si attende l'inclusione del Fondo europeo di sviluppo in tale quadro. Il CESE sostiene questa attività e sottolinea la necessità di prestare particolare attenzione all'Africa, al fine di aiutare il continente a superare una difficile situazione politica, economica, sociale e ambientale.</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415186B8" w:rsidR="00FA03A1" w:rsidRPr="00AB5770" w:rsidRDefault="00FA03A1" w:rsidP="00AB5770">
      <w:pPr>
        <w:pStyle w:val="Heading2"/>
        <w:ind w:left="567" w:hanging="567"/>
      </w:pPr>
      <w:r>
        <w:t>È necessario rilanciare il ruolo strategico dell'UE, dal punto di vista geopolitico, nel promuovere i processi di pace in tutto il mondo, in modo da riaprire opportunità di sviluppo economico nei terri</w:t>
      </w:r>
      <w:r w:rsidR="003C4013">
        <w:t>tori del vicinato dell'Unione (</w:t>
      </w:r>
      <w:r>
        <w:t>Balcani occidentali, partner me</w:t>
      </w:r>
      <w:r w:rsidR="003C4013">
        <w:t xml:space="preserve">diterranei, partner orientali) </w:t>
      </w:r>
      <w:r>
        <w:t>e in altre regioni del mondo dilaniate da conflitti.</w:t>
      </w:r>
    </w:p>
    <w:p w14:paraId="5A8EB034" w14:textId="554CCA78" w:rsidR="00FA03A1" w:rsidRDefault="00FA03A1" w:rsidP="00AB5770">
      <w:pPr>
        <w:spacing w:line="288" w:lineRule="auto"/>
        <w:rPr>
          <w:rFonts w:ascii="Times New Roman" w:hAnsi="Times New Roman"/>
          <w:sz w:val="16"/>
          <w:szCs w:val="22"/>
          <w:lang w:val="en-GB" w:eastAsia="en-US"/>
        </w:rPr>
      </w:pPr>
    </w:p>
    <w:p w14:paraId="7E004272" w14:textId="77777777" w:rsidR="003C4013" w:rsidRPr="003C4013" w:rsidRDefault="003C4013" w:rsidP="00AB5770">
      <w:pPr>
        <w:spacing w:line="288" w:lineRule="auto"/>
        <w:rPr>
          <w:rFonts w:ascii="Times New Roman" w:hAnsi="Times New Roman"/>
          <w:sz w:val="16"/>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t>Promozione del nostro stile di vita europeo</w:t>
      </w:r>
    </w:p>
    <w:p w14:paraId="4474360B" w14:textId="77777777" w:rsidR="003C005E" w:rsidRPr="003C4013" w:rsidRDefault="003C005E" w:rsidP="00AB5770">
      <w:pPr>
        <w:keepNext/>
        <w:spacing w:line="288" w:lineRule="auto"/>
        <w:rPr>
          <w:rFonts w:ascii="Times New Roman" w:hAnsi="Times New Roman"/>
          <w:sz w:val="20"/>
          <w:szCs w:val="22"/>
          <w:lang w:val="en-GB"/>
        </w:rPr>
      </w:pPr>
    </w:p>
    <w:p w14:paraId="394A2BFF" w14:textId="77777777" w:rsidR="00F95DB1" w:rsidRPr="00AB5770" w:rsidRDefault="00F95DB1" w:rsidP="00AB5770">
      <w:pPr>
        <w:pStyle w:val="Heading2"/>
        <w:keepNext/>
        <w:ind w:left="567" w:hanging="567"/>
        <w:rPr>
          <w:b/>
        </w:rPr>
      </w:pPr>
      <w:r>
        <w:rPr>
          <w:b/>
        </w:rPr>
        <w:t xml:space="preserve">Le misure sociali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2A5B7661" w:rsidR="00F95DB1" w:rsidRPr="00AB5770" w:rsidRDefault="00767932" w:rsidP="00C608DC">
      <w:pPr>
        <w:pStyle w:val="Heading3"/>
        <w:ind w:left="567" w:hanging="567"/>
      </w:pPr>
      <w:r>
        <w:t xml:space="preserve">Al di là delle questioni economiche e ambientali, il programma di lavoro dell'UE nel 2021 deve essere guidato dalla dimensione sociale. Ciò significa che il suo impegno per un'Europa sociale e sostenibile deve essere prioritario. A tale riguardo, anche le organizzazioni della società civile svolgono un ruolo importante. Ci si presenta l'opportunità di promuovere l'innovazione sociale come modello di ripresa attraverso la co-creazione, la co-progettazione e la co-produzione. In un panorama sociale complesso, segnato da enormi sfide per la società, l'unica via percorribile consiste nel mobilitare tutte le risorse della società, lavorando in modo trans-settoriale e multidisciplinare al fine di individuare soluzioni. La società civile organizzata è un catalizzatore dell'innovazione sociale.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left="567" w:hanging="567"/>
      </w:pPr>
      <w:r>
        <w:t>È necessario sviluppare una concezione più ampia della "giusta transizione" (oltre il carbone) e dare piena attuazione al pilastro europeo dei diritti sociali, portando avanti nel contempo le riforme dei sistemi di redistribuzione e promuovendo l'equilibrio tra attività professionale e vita familiare e la parità di genere.</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41A085E7" w:rsidR="008729CC" w:rsidRPr="00AB5770" w:rsidRDefault="008729CC" w:rsidP="00AB5770">
      <w:pPr>
        <w:pStyle w:val="Heading3"/>
        <w:ind w:left="567" w:hanging="567"/>
      </w:pPr>
      <w:r>
        <w:t xml:space="preserve">Attuare il pilastro europeo dei diritti sociali, a livello europeo e in tutti gli Stati membri, è un passo importante ai fini del concreto avvio di un processo di convergenza sociale verso l'alto. Gli orientamenti politici della Commissione hanno promesso una transizione equa per tutti verso un'economia sociale di mercato verde. In tale contesto, la Commissione ha presentato una tabella di marcia su "Un'Europa sociale forte per transizioni giuste", che ha avviato una discussione con paesi, regioni e partner dell'UE sugli impegni concreti volti ad attuare il pilastro per realizzare progressi a livello dell'UE, nazionale, regionale e locale che si svolgerà fino al </w:t>
      </w:r>
      <w:r>
        <w:lastRenderedPageBreak/>
        <w:t>novembre 2020</w:t>
      </w:r>
      <w:r w:rsidRPr="00AB5770">
        <w:rPr>
          <w:rStyle w:val="FootnoteReference"/>
          <w:sz w:val="24"/>
          <w:szCs w:val="24"/>
          <w:lang w:val="en-GB"/>
        </w:rPr>
        <w:footnoteReference w:id="9"/>
      </w:r>
      <w:r w:rsidR="00C565A9">
        <w:t xml:space="preserve">. </w:t>
      </w:r>
      <w:r>
        <w:t>Sulla base dei contributi ricevuti, all'inizio del 2021 la Commissione presenterà un piano d'azione per l'attuazione del pilastro sociale. Ulteriori proposte per il 2021 si trovano nell'allegato alla tabella di marcia. Queste includono una garanzia per l'infanzia, un piano d'azione per il settore dell'economia sociale, una strategia sulla disabilità e una visione a lungo termine per le zone rurali</w:t>
      </w:r>
      <w:r w:rsidRPr="00AB5770">
        <w:rPr>
          <w:rStyle w:val="FootnoteReference"/>
          <w:sz w:val="24"/>
          <w:szCs w:val="24"/>
          <w:lang w:val="en-GB"/>
        </w:rPr>
        <w:footnoteReference w:id="10"/>
      </w:r>
      <w: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left="567" w:hanging="567"/>
      </w:pPr>
      <w:r>
        <w:t>Nell'ambito della tabella di marcia, la Commissione ha avviato la prima fase e poi una seconda fase di consultazione delle parti sociali sul tema dei salari minimi dignitosi</w:t>
      </w:r>
      <w:r w:rsidRPr="00AB5770">
        <w:rPr>
          <w:rStyle w:val="FootnoteReference"/>
          <w:sz w:val="24"/>
          <w:szCs w:val="24"/>
          <w:lang w:val="en-GB"/>
        </w:rPr>
        <w:footnoteReference w:id="11"/>
      </w:r>
      <w:r>
        <w:t>. Il CESE attende un'eventuale prossima iniziativa giuridica della Commissione sui salari minimi adeguati e dignitosi. L'obiettivo dovrebbe essere quello di far sì che in tutti gli Stati membri dell'UE i salari minimi garantiscano a tutti i lavoratori un tenore di vita dignitoso. Il CESE accoglie con favore il riconoscimento, da parte della Commissione, del fatto che esiste un margine di azione dell'UE a favore della promozione del ruolo della contrattazione collettiva a sostegno dell'adeguatezza e della copertura dei salari minimi e che le misure a sostegno della contrattazione collettiva, in particolare a livello settoriale, dovrebbero essere incluse nell'azione dell'UE sui salari minimi</w:t>
      </w:r>
      <w:r w:rsidRPr="00AB5770">
        <w:rPr>
          <w:rStyle w:val="FootnoteReference"/>
          <w:sz w:val="24"/>
          <w:szCs w:val="24"/>
          <w:lang w:val="en-GB"/>
        </w:rPr>
        <w:footnoteReference w:id="12"/>
      </w:r>
      <w:r>
        <w:t>.</w:t>
      </w:r>
    </w:p>
    <w:p w14:paraId="67276C54" w14:textId="77777777" w:rsidR="008729CC" w:rsidRPr="00AB5770" w:rsidRDefault="008729CC" w:rsidP="00AB5770">
      <w:pPr>
        <w:pStyle w:val="Heading3"/>
        <w:numPr>
          <w:ilvl w:val="0"/>
          <w:numId w:val="0"/>
        </w:numPr>
        <w:ind w:left="709"/>
        <w:rPr>
          <w:lang w:val="en-GB"/>
        </w:rPr>
      </w:pPr>
    </w:p>
    <w:p w14:paraId="6E73B99D" w14:textId="2F5A8740" w:rsidR="008729CC" w:rsidRPr="00AB5770" w:rsidRDefault="008729CC" w:rsidP="00AB5770">
      <w:pPr>
        <w:pStyle w:val="Heading3"/>
        <w:ind w:left="567" w:hanging="567"/>
      </w:pPr>
      <w:r>
        <w:t>La complessità della dimensione sociale dell'UE è tale che il suo rafforzamento richiede la presenza di meccanismi di governance che consentano la risoluzione collettiva dei problemi da parte di vari attori in diversi settori. Il coinvolgimento delle parti sociali ne è un aspetto fondamentale. Una ripresa robusta sul piano sociale passa anche attraverso un accesso migliore alle organizzazioni sindacali e una migliore tutela. Sarebbe opportuno sostenere la contrattazione collettiva e la democrazia nei luoghi di lavoro. L'UE e gli Stati membri devono aiutare le parti sociali ad accrescere significativamente la copertura della contrattazione collettiva. È necessario rafforzare la rappresentatività, l'autonomia e i collegamenti tra il livello europeo e quello nazionale del dialogo sociale. Inoltre, occorre migliorare ulteriormente la capacità e il coinvolgimento delle parti sociali nella definizione delle politiche, nonché garantire un quadro stabile ed equilibrato per le relazioni industriali. Il CESE ritiene che la europeo della Commissione dovrebbe rivedere il quadro UE per la qualità nell'anticipazione dei cambiamenti e delle ristrutturazioni e proporre una base giuridica per condizioni quadro specifiche relative alla partecipazione dei lavoratori, senza interferire nelle competenze nazionali</w:t>
      </w:r>
      <w:r w:rsidRPr="00AB5770">
        <w:rPr>
          <w:rStyle w:val="FootnoteReference"/>
          <w:sz w:val="24"/>
          <w:szCs w:val="24"/>
          <w:lang w:val="en-GB"/>
        </w:rPr>
        <w:footnoteReference w:id="13"/>
      </w:r>
      <w:r>
        <w:t>, per migliorare il coinvolgimento dei lavoratori per ai fini della gestione delle sfide del Green Deal e del processo di trasformazione digitale.</w:t>
      </w:r>
    </w:p>
    <w:p w14:paraId="68A4B9D6" w14:textId="77777777" w:rsidR="008729CC" w:rsidRPr="00AB5770" w:rsidRDefault="008729CC" w:rsidP="00AB5770">
      <w:pPr>
        <w:pStyle w:val="Heading3"/>
        <w:numPr>
          <w:ilvl w:val="0"/>
          <w:numId w:val="0"/>
        </w:numPr>
        <w:ind w:left="709"/>
        <w:rPr>
          <w:lang w:val="en-GB"/>
        </w:rPr>
      </w:pPr>
    </w:p>
    <w:p w14:paraId="127A460C" w14:textId="436B7F6E" w:rsidR="008729CC" w:rsidRPr="00AB5770" w:rsidRDefault="008729CC" w:rsidP="00AB5770">
      <w:pPr>
        <w:pStyle w:val="Heading3"/>
        <w:tabs>
          <w:tab w:val="left" w:pos="567"/>
        </w:tabs>
        <w:ind w:left="567" w:hanging="568"/>
      </w:pPr>
      <w:r>
        <w:t xml:space="preserve">Il CESE esorta la Commissione a riformare la governance economica dell'Unione europea. Il CESE è persuaso che siano richiesti alcuni cambiamenti: a) nella governance, ossia sono necessari meccanismi di governance specifici per affrontare più rapidamente i problemi urgenti e risolvere le questioni complesse. Il ruolo di tali meccanismi consisterebbe nel collegare il livello dell'UE e quello degli Stati membri, senza sostituirsi all'azione di nessuno dei due; b) l'integrazione degli obiettivi di sviluppo sostenibile (OSS) nei processi di monitoraggio </w:t>
      </w:r>
      <w:r>
        <w:lastRenderedPageBreak/>
        <w:t>economico e sociale e di formazione del bilancio dell'UE. A tal riguardo, il semestre europeo potrebbe essere dotato di indicatori sociali, economici e ambientali nuovi, migliorati, misurabili e complementari, per monitorare e seguire tutti gli aspetti del pilastro europeo dei diritti sociali e i suoi principi come anche i 17 obiettivi di sviluppo sostenibile</w:t>
      </w:r>
      <w:r w:rsidRPr="00AB5770">
        <w:rPr>
          <w:rStyle w:val="FootnoteReference"/>
          <w:sz w:val="24"/>
          <w:szCs w:val="24"/>
          <w:lang w:val="en-GB"/>
        </w:rPr>
        <w:footnoteReference w:id="14"/>
      </w:r>
      <w:r>
        <w:t>.</w:t>
      </w:r>
    </w:p>
    <w:p w14:paraId="77DE0522" w14:textId="77777777" w:rsidR="008729CC" w:rsidRPr="00AB5770" w:rsidRDefault="008729CC" w:rsidP="00AB5770">
      <w:pPr>
        <w:pStyle w:val="Heading3"/>
        <w:numPr>
          <w:ilvl w:val="0"/>
          <w:numId w:val="0"/>
        </w:numPr>
        <w:ind w:left="709"/>
        <w:rPr>
          <w:lang w:val="en-GB"/>
        </w:rPr>
      </w:pPr>
    </w:p>
    <w:p w14:paraId="1B77F432" w14:textId="77777777" w:rsidR="008729CC" w:rsidRPr="00AB5770" w:rsidRDefault="008729CC" w:rsidP="00AB5770">
      <w:pPr>
        <w:pStyle w:val="Heading3"/>
        <w:ind w:left="567" w:hanging="568"/>
      </w:pPr>
      <w:r>
        <w:t>Il CESE accoglie con favore l'annuncio di un'iniziativa tesa a migliorare le condizioni di lavoro per i lavoratori delle piattaforme online nel 2021. Si rammarica però che la comunicazione della Commissione non affronti direttamente la sfida, assai più vasta, di una transizione inclusiva e giusta</w:t>
      </w:r>
      <w:r w:rsidRPr="00AB5770">
        <w:rPr>
          <w:rStyle w:val="FootnoteReference"/>
          <w:sz w:val="24"/>
          <w:szCs w:val="24"/>
          <w:lang w:val="en-GB"/>
        </w:rPr>
        <w:footnoteReference w:id="15"/>
      </w:r>
      <w:r>
        <w:t>. Insiste sulla necessità di un piano d'azione ambizioso per incoraggiare gli Stati membri a mantenere le loro promesse riguardo alla proclamazione del pilastro europeo dei diritti sociali</w:t>
      </w:r>
      <w:r w:rsidRPr="00AB5770">
        <w:rPr>
          <w:rStyle w:val="FootnoteReference"/>
          <w:sz w:val="24"/>
          <w:szCs w:val="24"/>
          <w:lang w:val="en-GB"/>
        </w:rPr>
        <w:footnoteReference w:id="16"/>
      </w:r>
      <w: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left="567" w:hanging="568"/>
      </w:pPr>
      <w:r>
        <w:t>Un nuovo quadro per il lavoro è di cruciale importanza nella fase di ripresa dalla crisi della Covid-19. Nel settore sanitario e dell'assistenza, sia pubblico che privato, la ricerca dell'aumento della produttività è andata a scapito della qualità del servizio e ha compromesso l'esperienza lavorativa, con conseguenze drammatiche durante la crisi sanitaria nella maggior parte dei paesi dell'UE. Il passaggio alle attività basate sui servizi condurrebbe a un'economia a più alta intensità di manodopera, compensando la precarietà dei posti di lavoro in questi settori, sostenendo livelli di occupazione più elevati, e ricreando posti di lavoro nell'economia reale. È pertanto essenziale attuare politiche di sostegno all'occupazione di qualità nei settori ad alta intensità di manodopera che forniscono servizi di elevata qualità.</w:t>
      </w:r>
    </w:p>
    <w:p w14:paraId="78A0A20E" w14:textId="77777777" w:rsidR="00304F95" w:rsidRPr="00AB5770" w:rsidRDefault="00304F95" w:rsidP="00AB5770">
      <w:pPr>
        <w:pStyle w:val="Heading3"/>
        <w:numPr>
          <w:ilvl w:val="0"/>
          <w:numId w:val="0"/>
        </w:numPr>
        <w:ind w:left="709"/>
        <w:rPr>
          <w:lang w:val="en-GB"/>
        </w:rPr>
      </w:pPr>
    </w:p>
    <w:p w14:paraId="4575E43A" w14:textId="77777777" w:rsidR="008729CC" w:rsidRPr="00AB5770" w:rsidRDefault="00304F95" w:rsidP="00AB5770">
      <w:pPr>
        <w:pStyle w:val="Heading3"/>
        <w:ind w:left="567" w:hanging="568"/>
      </w:pPr>
      <w:r>
        <w:t>Il CESE ribadisce la propria preoccupazione per il fatto che la povertà in generale e la povertà lavorativa rappresentino ancora un problema significativo in molti Stati membri. Oltre a migliorare i livelli salariali, è necessario un approccio globale a livello dell'UE e degli Stati membri, anche per garantire regimi di reddito minimo adeguati, norme minime comuni in materia di assicurazione contro la disoccupazione e regimi di inclusione attiva efficaci, sostenuti da servizi sociali essenziali e abilitanti. Sono necessari anche mercati del lavoro ben funzionanti, servizi pubblici per l'impiego e politiche attive del mercato del lavoro</w:t>
      </w:r>
      <w:r w:rsidRPr="00AB5770">
        <w:rPr>
          <w:rStyle w:val="FootnoteReference"/>
          <w:sz w:val="24"/>
          <w:szCs w:val="24"/>
          <w:lang w:val="en-GB"/>
        </w:rPr>
        <w:footnoteReference w:id="17"/>
      </w:r>
      <w: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AB5770" w:rsidRDefault="003C005E" w:rsidP="00AB5770">
      <w:pPr>
        <w:pStyle w:val="Heading3"/>
        <w:ind w:left="567" w:hanging="568"/>
      </w:pPr>
      <w:r>
        <w:t xml:space="preserve">Il CESE sostiene la strategia della Commissione per la parità di genere per il 2020-2025 e raccomanda alla Commissione di adottare strategie di integrazione della dimensione di genere in tutti gli organi di programmazione e di governance, nonché un approccio intersezionale alla parità di genere. Si dovrebbe attuare la strategia e parallelamente contrastare l'impatto della pandemia di Covid-19, tramite risposte strategiche ad hoc e mirate. Il Comitato prende atto dell'intenzione della Commissione di proporre un'iniziativa legislativa in materia di misure vincolanti sulla trasparenza retributiva. Nell'affrontare le disparità di genere retributive e di altro </w:t>
      </w:r>
      <w:r>
        <w:lastRenderedPageBreak/>
        <w:t>tipo, sarebbe opportuno conferire maggiore riconoscimento sociale e valore economico a quei lavori e settori in cui sono tradizionalmente occupate molte donne e che sono spesso sottopagati e sottovalutati.</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left="567" w:hanging="568"/>
      </w:pPr>
      <w:r>
        <w:t>È importante continuare a contrastare e mitigare le conseguenze socioeconomiche della pandemia, che sono particolarmente pronunciate nei settori chiave dei trasporti, dei viaggi e del turismo.</w:t>
      </w:r>
    </w:p>
    <w:p w14:paraId="257BAF0F" w14:textId="77777777" w:rsidR="004A5C2F" w:rsidRPr="00724D53"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ind w:left="567" w:hanging="567"/>
        <w:rPr>
          <w:b/>
        </w:rPr>
      </w:pPr>
      <w:r>
        <w:rPr>
          <w:b/>
        </w:rPr>
        <w:t>Le migrazioni e l'era post Covid-19</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1FE7C6BC" w:rsidR="003C005E" w:rsidRPr="00AB5770" w:rsidRDefault="003C005E">
      <w:pPr>
        <w:pStyle w:val="Heading3"/>
        <w:ind w:left="567" w:hanging="567"/>
      </w:pPr>
      <w:r>
        <w:t>Con l'arrivo della pandemia di Covid-19, l'immane tragedia che ne è conseguita per i sistemi sanitari nazionali ed il crollo dell'economia in tutti i paesi del mondo, la questione migratoria è sembrata uscire dalla ribalta per essere relegata sullo sfondo, nella relativa indifferenza dell'opinione pubblica. Tuttavia, la crisi attuale non può indurre ad abbandonare i richiedenti asilo al loro destino. I diritti fondamentali alla protezione sono il nucleo centrale dei valori europei e non possono essere rinnegati per motivi di opportunità.</w:t>
      </w:r>
    </w:p>
    <w:p w14:paraId="0FFE4FDA" w14:textId="6B908010" w:rsidR="003C005E" w:rsidRDefault="003C005E" w:rsidP="00AB5770">
      <w:pPr>
        <w:spacing w:line="288" w:lineRule="auto"/>
        <w:ind w:left="709" w:hanging="709"/>
        <w:jc w:val="both"/>
        <w:rPr>
          <w:rFonts w:ascii="Times New Roman" w:hAnsi="Times New Roman"/>
          <w:sz w:val="16"/>
          <w:szCs w:val="22"/>
          <w:lang w:val="en-GB"/>
        </w:rPr>
      </w:pPr>
    </w:p>
    <w:p w14:paraId="218DD742" w14:textId="77777777" w:rsidR="00EC4735" w:rsidRPr="00EC4735" w:rsidRDefault="00EC4735" w:rsidP="00AB5770">
      <w:pPr>
        <w:spacing w:line="288" w:lineRule="auto"/>
        <w:ind w:left="709" w:hanging="709"/>
        <w:jc w:val="both"/>
        <w:rPr>
          <w:rFonts w:ascii="Times New Roman" w:hAnsi="Times New Roman"/>
          <w:sz w:val="16"/>
          <w:szCs w:val="22"/>
          <w:lang w:val="en-GB"/>
        </w:rPr>
      </w:pPr>
    </w:p>
    <w:p w14:paraId="2A4A08E8" w14:textId="77777777" w:rsidR="003C005E" w:rsidRPr="00AB5770" w:rsidRDefault="00F95DB1" w:rsidP="00A9750C">
      <w:pPr>
        <w:pStyle w:val="Heading1"/>
        <w:keepNext/>
        <w:keepLines/>
        <w:ind w:left="567" w:hanging="567"/>
        <w:rPr>
          <w:b/>
        </w:rPr>
      </w:pPr>
      <w:r>
        <w:rPr>
          <w:b/>
        </w:rPr>
        <w:t>Un nuovo slancio per la democrazia europea</w:t>
      </w:r>
    </w:p>
    <w:p w14:paraId="5E2E03B6" w14:textId="77777777" w:rsidR="003C005E" w:rsidRPr="00AB5770" w:rsidRDefault="003C005E" w:rsidP="00A9750C">
      <w:pPr>
        <w:pStyle w:val="Heading1"/>
        <w:keepLines/>
        <w:numPr>
          <w:ilvl w:val="0"/>
          <w:numId w:val="0"/>
        </w:numPr>
        <w:rPr>
          <w:color w:val="000000" w:themeColor="text1"/>
          <w:lang w:val="en-GB"/>
        </w:rPr>
      </w:pPr>
    </w:p>
    <w:p w14:paraId="26514C3D" w14:textId="77777777" w:rsidR="00871571" w:rsidRPr="00AB5770" w:rsidRDefault="00102BE7">
      <w:pPr>
        <w:pStyle w:val="Heading2"/>
        <w:ind w:left="567" w:hanging="567"/>
      </w:pPr>
      <w:r>
        <w:t>L'Unione europea si basa su valori europei comuni che non sono negoziabili in nessuna circostanza: rispetto della dignità umana e dei diritti umani, libertà, democrazia, uguaglianza e Stato di diritto. Questi valori non possono essere dimenticati nel momento in cui l'UE e i suoi Stati membri si trovano di fronte a un'emergenza e alle relative conseguenze sul piano economico e sociale. Se la risposta alla crisi attuale dev'essere rapida, giustificando alcune misure eccezionali limitate nel tempo, tuttavia queste non possono essere contrarie allo Stato di diritto né mettere a repentaglio la democrazia, il principio della separazione dei poteri e i diritti fondamentali dei cittadini europei. Il CESE insiste affinché tutte le misure strategiche in questo contesto siano pienamente conformi ai nostri valori comuni, come sanciti dall'articolo 2 del TUE.</w:t>
      </w:r>
    </w:p>
    <w:p w14:paraId="17E681F3" w14:textId="77777777" w:rsidR="00871571" w:rsidRPr="00EC4735" w:rsidRDefault="00871571" w:rsidP="00AB5770">
      <w:pPr>
        <w:pStyle w:val="Heading3"/>
        <w:numPr>
          <w:ilvl w:val="0"/>
          <w:numId w:val="0"/>
        </w:numPr>
        <w:rPr>
          <w:sz w:val="20"/>
          <w:lang w:val="en-GB"/>
        </w:rPr>
      </w:pPr>
    </w:p>
    <w:p w14:paraId="01140D31" w14:textId="14D347B4" w:rsidR="009F6FB8" w:rsidRPr="00AB5770" w:rsidRDefault="00871571" w:rsidP="00AB5770">
      <w:pPr>
        <w:pStyle w:val="Heading2"/>
        <w:ind w:left="567" w:hanging="567"/>
      </w:pPr>
      <w:r>
        <w:t>In questo nuovo processo di ripresa e ricostruzione, il CESE auspica che l'imminente Conferenza sul futuro dell'Europa possa rappresentare un'opportunità per rafforzare e approfondire la struttura istituzionale dell'UE e per procedere a un autentico rilancio del progetto europeo, un progetto in grado di affrontare le sfide dei prossimi decenni.</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ind w:left="567" w:hanging="567"/>
      </w:pPr>
      <w:r>
        <w:t xml:space="preserve">La crisi della Covid-19 ha messo in evidenza i limiti e le carenze istituzionali dell'attuale Unione europea, mostrando nel contempo il bisogno urgente di realizzare un'Unione efficace ed efficiente. È necessaria una nuova organizzazione dell'Unione europea che vada al di là del mercato unico dell'UE per approdare a un'Europa più integrata, che abbia un'autentica capacità fiscale e il cui obiettivo principale sia quello di migliorare le condizioni di vita e di lavoro dei suoi cittadini. Per questi motivi, il CESE ritiene che il processo della Conferenza dovrebbe tener conto degli strumenti per la ripresa dell'UE già esistenti e della solidarietà già stabilita, garantendo al contempo la sostenibilità ecologica, lo sviluppo economico, il progresso sociale, la sicurezza e la democrazia. Il CESE sottolinea che, nonostante la pandemia, l'impegno diretto delle organizzazioni della società civile, delle parti sociali e dei rappresentanti eletti deve </w:t>
      </w:r>
      <w:r>
        <w:lastRenderedPageBreak/>
        <w:t>rimanere una priorità della Conferenza e ne attende con impazienza l'avvio così da poter costruire un'Unione più democratica, più efficace e più resiliente assieme a tutti i cittadini dell'UE. Il CESE ritiene che la Commissione dovrebbe tenere il campo d'azione della Conferenza aperto a tutti i risultati possibili, comprese le proposte legislative, l'avvio della modifica dei Trattati e altro ancora.</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19F957CC" w:rsidR="00871571" w:rsidRPr="00AB5770" w:rsidRDefault="00871571" w:rsidP="00AB5770">
      <w:pPr>
        <w:pStyle w:val="Heading2"/>
        <w:ind w:left="567" w:hanging="567"/>
      </w:pPr>
      <w:r>
        <w:t>Secondo il CESE, la disinformazione rappresenta una minaccia diretta non solo per la capacità dei cittadini di prendere decisioni politiche consapevoli, ma anche per il progetto di integrazione europea e quindi per l'unità e la prosperità dell'Unione e la sua influenza nel mondo. L'indebolimento delle capacità decisionali democratiche dell'UE è nell'interesse di tutta una serie di potenze straniere e di gruppi estremisti che si contrappongono alla cooperazione e a una maggiore coesione a livello europeo. Il CESE appoggia con vigore gli sforzi portati attualmente avanti dall'UE per contrastare la disinformazione, sia dall'esterno che dall'interno dell'Unione, ed esorta la Commissione a garantire la piena conformità e il seguito dell'azione normativa in relazione al codice di buone pratiche sulla disinformazione, l'ulteriore sviluppo del "sistema di allarme rapido" e delle unità di intelligence StratCom di recente istituzione, nonché il potenziamento delle azioni del Servizio europeo per l'azione esterna finalizzate a combattere la disinformazione, accompagnato da una sostanziale espansione dell'azione dell'UE contro la disinfor</w:t>
      </w:r>
      <w:r w:rsidR="005D3B26">
        <w:t>mazione all'interno dell'Unione</w:t>
      </w:r>
      <w:r w:rsidRPr="00AB5770">
        <w:rPr>
          <w:rStyle w:val="FootnoteReference"/>
          <w:sz w:val="24"/>
          <w:szCs w:val="24"/>
          <w:lang w:val="en-GB"/>
        </w:rPr>
        <w:footnoteReference w:id="18"/>
      </w:r>
      <w:r w:rsidR="005D3B26">
        <w:t>.</w:t>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2B93F411" w:rsidR="00871571" w:rsidRPr="00AB5770" w:rsidRDefault="00871571" w:rsidP="00AB5770">
      <w:pPr>
        <w:pStyle w:val="Heading2"/>
        <w:ind w:left="567" w:hanging="567"/>
      </w:pPr>
      <w:r>
        <w:t>Il CESE sostiene con forza la proposta della Commissione europea di elaborare un "piano d'azione per la democrazia europea", che dovrebbe essere globale e continuo, capace di produrre cambiamenti, ed essere garantito dal sostegno finanziario e dal coordinamento interistituzionale. Il piano d'azione per la democrazia europea e le iniziative future a esso collegate dovrebbero puntare a fare molto di più per pervenire a mezzi di informazione liberi e pluralisti, a un giornalismo indipendente e di qualità, a una regolamentazione efficace dei social media, in particolare per quanto riguarda la lotta alla disinformazione, la regolamentazione dei messaggi online di natura politica e la regolamentazione della responsabilità dei contenuti, a un processo elettorale modernizzato, all'inclusione delle categorie private dei loro diritti, tra cui in primo luogo le persone con disabilità, e a una diffusa educazione civica sull'Unione europea e sul suo processo democratico in tutti gli Stati membri. Il CESE rinnova la sua richiesta alla Commissione di proporre un'ambiziosa strategia di comunicazione, educazione e sensibilizzazione nei confronti dei cittadini in materia di diritti fondamentali, Stato di diritto e democrazia</w:t>
      </w:r>
      <w:r w:rsidRPr="00AB5770">
        <w:rPr>
          <w:rStyle w:val="FootnoteReference"/>
          <w:sz w:val="24"/>
          <w:szCs w:val="24"/>
          <w:lang w:val="en-GB"/>
        </w:rPr>
        <w:footnoteReference w:id="19"/>
      </w:r>
      <w:r>
        <w:t>.</w:t>
      </w:r>
    </w:p>
    <w:p w14:paraId="08E7DF85" w14:textId="77777777" w:rsidR="004A5C2F" w:rsidRPr="00EC4735" w:rsidRDefault="004A5C2F" w:rsidP="00AB5770">
      <w:pPr>
        <w:pStyle w:val="Heading1"/>
        <w:numPr>
          <w:ilvl w:val="0"/>
          <w:numId w:val="0"/>
        </w:numPr>
        <w:ind w:left="709" w:hanging="709"/>
        <w:rPr>
          <w:b/>
          <w:color w:val="000000" w:themeColor="text1"/>
          <w:sz w:val="20"/>
          <w:lang w:val="en-GB"/>
        </w:rPr>
      </w:pPr>
    </w:p>
    <w:p w14:paraId="4276A491" w14:textId="5613562A" w:rsidR="004A5C2F" w:rsidRPr="00AB5770" w:rsidRDefault="004A5C2F" w:rsidP="00AB5770">
      <w:pPr>
        <w:pStyle w:val="Heading2"/>
        <w:ind w:left="567" w:hanging="567"/>
        <w:rPr>
          <w:bCs/>
        </w:rPr>
      </w:pPr>
      <w:r>
        <w:t>Sono necessarie ulteriori azioni per conseguire la libertà e la pluralità dei media e un giornalismo indipendente e di qualità, nonché un'efficace regolamentazione dei social media, in particolare per combattere la disinformazione, compresa la regolamentazione della pubblicità politica online e la responsabilità dei contenuti.</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ind w:left="567" w:hanging="567"/>
        <w:rPr>
          <w:b/>
          <w:bCs/>
        </w:rPr>
      </w:pPr>
      <w:r>
        <w:rPr>
          <w:b/>
        </w:rPr>
        <w:lastRenderedPageBreak/>
        <w:t>Legiferare meglio e visione prospettica</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left="567" w:hanging="567"/>
      </w:pPr>
      <w:r>
        <w:t>Il CESE insiste a richiedere un'agenda riveduta per l'iniziativa "Legiferare meglio" che integri una "verifica della sostenibilità" per garantire che tutta la normativa e le politiche dell'UE contribuiscano all'attuazione degli obiettivi di sviluppo sostenibile.</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13332F60" w:rsidR="00871571" w:rsidRPr="00AB5770" w:rsidRDefault="008672DC" w:rsidP="00AB5770">
      <w:pPr>
        <w:pStyle w:val="Heading3"/>
        <w:ind w:left="567" w:hanging="567"/>
      </w:pPr>
      <w:r>
        <w:t>Il CESE si impegna a contribuire al successo della nuova piattaforma REFIT per il futuro (F4F) che sostituisce la piattaforma REFIT e accoglie con favore il potenziamento del ruolo del CESE nella F4F in termini di partecipazione, rappresentanza e contributo. Questa nuova piattaforma coinvolgerà gli Stati membri e i rappresentanti della società civile, impegnati a semplificare e ridurre gli oneri normativi eccessivi e a preparare l'Europa alle nuove sfide future come la digitalizzazione. La crisi della Covid-19 ha dimostrato l'importanza di progettare le politiche e rafforzare le capacità in modo tale da renderle idonee ad affrontare le incertezze del futuro.</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145281C6" w:rsidR="00871571" w:rsidRPr="00AB5770" w:rsidRDefault="00871571" w:rsidP="00AB5770">
      <w:pPr>
        <w:pStyle w:val="Heading3"/>
        <w:ind w:left="567" w:hanging="567"/>
      </w:pPr>
      <w:r>
        <w:t xml:space="preserve">Il CESE ricorda che il miglioramento della legislazione non può sostituirsi alle decisioni politiche e non può in alcun caso tradursi in una deregolamentazione o risolversi in un abbassamento del livello di protezione sociale, in una riduzione della tutela dell'ambiente e dei consumatori e in una restrizione dei diritti fondamentali. Il CESE invita la Commissione a rivedere gli orientamenti e i criteri degli strumenti per "Legiferare meglio" al fine di integrare nei processi di valutazione gli obiettivi di sviluppo sostenibile (OSS) di Horizon 2030. Tra gli strumenti (toolbox) per l'iniziativa "Legiferare meglio" dovrebbe essere esplicitamente inclusa una "verifica della sostenibilità". Il CESE reitera il suo appello affinché l'ecosistema europeo per l'analisi e la valutazione di impatto continui ad evolversi, in modo da migliorarne la qualità e favorire la partecipazione attiva della società civile organizzata alla concezione e all'attuazione della legislazione </w:t>
      </w:r>
      <w:r w:rsidR="0026674A">
        <w:t>europea</w:t>
      </w:r>
      <w:r w:rsidRPr="00AB5770">
        <w:rPr>
          <w:rStyle w:val="FootnoteReference"/>
          <w:sz w:val="24"/>
          <w:szCs w:val="24"/>
          <w:lang w:val="en-GB"/>
        </w:rPr>
        <w:footnoteReference w:id="20"/>
      </w:r>
      <w:r w:rsidR="0026674A">
        <w:t>.</w:t>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AB5770" w:rsidRDefault="00102BE7" w:rsidP="00AB5770">
      <w:pPr>
        <w:pStyle w:val="Heading3"/>
        <w:ind w:left="567" w:hanging="567"/>
      </w:pPr>
      <w:r>
        <w:t>Il CESE suggerisce alla Commissione di combinare le consultazioni pubbliche (viste le loro limitazioni) con tavole rotonde ad hoc delle parti interessate, come le parti sociali e la società civile organizzata, al fine di rafforzare la democrazia partecipativa.</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left="567" w:hanging="567"/>
      </w:pPr>
      <w:r>
        <w:t>Sarebbe opportuno rafforzare il coinvolgimento delle organizzazioni della società civile nella valutazione d'impatto e nella previsione strategica al fine di garantire che si tenga conto delle loro competenze e conoscenze acquisite sul campo in sede di concezione della legislazione e delle politiche future nel nuovo contesto post Covid-19.</w:t>
      </w:r>
    </w:p>
    <w:p w14:paraId="2B7CC6B8" w14:textId="77777777" w:rsidR="008672DC" w:rsidRPr="00AB5770" w:rsidRDefault="008672DC" w:rsidP="00AB5770">
      <w:pPr>
        <w:pStyle w:val="Heading3"/>
        <w:numPr>
          <w:ilvl w:val="0"/>
          <w:numId w:val="0"/>
        </w:numPr>
        <w:rPr>
          <w:lang w:val="en-GB"/>
        </w:rPr>
      </w:pPr>
    </w:p>
    <w:p w14:paraId="6CE046F9" w14:textId="2A643119" w:rsidR="00F95DB1" w:rsidRDefault="00E878C7" w:rsidP="0018698D">
      <w:pPr>
        <w:pStyle w:val="Heading3"/>
        <w:keepNext/>
        <w:keepLines/>
        <w:ind w:left="567" w:hanging="567"/>
      </w:pPr>
      <w:r>
        <w:lastRenderedPageBreak/>
        <w:t xml:space="preserve">Le stesse organizzazioni della società civile sono tra le vittime delle disuguaglianze e delle carenze del sistema. Il fatto che le risorse siano spesso limitate e soggette a fluttuazioni minaccia infatti la capacità attuale e futura di tali organizzazioni di rispondere ai bisogni della società. Questo problema deve essere affrontato garantendo meccanismi di finanziamento per le organizzazioni della società civile. Il programma di lavoro della Commissione per il 2021 a seguito della crisi rappresenta una grandissima opportunità per rivedere l'impegno dell'UE nei confronti delle organizzazioni della società civile in favore di un sostegno finanziario più sostenibile e strutturale invece di finanziamenti basati su progetti. </w:t>
      </w:r>
    </w:p>
    <w:p w14:paraId="60BC5F2D" w14:textId="4B5592B0" w:rsidR="00452DDA" w:rsidRPr="0018698D" w:rsidRDefault="00452DDA" w:rsidP="0018698D">
      <w:pPr>
        <w:keepNext/>
        <w:keepLines/>
        <w:rPr>
          <w:sz w:val="20"/>
          <w:lang w:val="en-GB" w:eastAsia="en-US"/>
        </w:rPr>
      </w:pPr>
    </w:p>
    <w:p w14:paraId="2CE93431" w14:textId="77777777" w:rsidR="00452DDA" w:rsidRPr="0018698D" w:rsidRDefault="00452DDA" w:rsidP="00452DDA">
      <w:pPr>
        <w:rPr>
          <w:sz w:val="20"/>
          <w:lang w:val="en-GB" w:eastAsia="en-US"/>
        </w:rPr>
      </w:pPr>
    </w:p>
    <w:p w14:paraId="7DD19626" w14:textId="54D01951" w:rsidR="00452DDA" w:rsidRDefault="00452DDA" w:rsidP="00452DDA">
      <w:pPr>
        <w:spacing w:line="288" w:lineRule="auto"/>
        <w:rPr>
          <w:rFonts w:ascii="Times New Roman" w:hAnsi="Times New Roman"/>
          <w:sz w:val="16"/>
        </w:rPr>
      </w:pPr>
      <w:bookmarkStart w:id="0" w:name="_GoBack"/>
      <w:bookmarkEnd w:id="0"/>
    </w:p>
    <w:p w14:paraId="4E682958" w14:textId="77777777" w:rsidR="0018698D" w:rsidRPr="0018698D" w:rsidRDefault="0018698D" w:rsidP="00452DDA">
      <w:pPr>
        <w:spacing w:line="288" w:lineRule="auto"/>
        <w:rPr>
          <w:rFonts w:ascii="Times New Roman" w:hAnsi="Times New Roman"/>
          <w:sz w:val="16"/>
        </w:rPr>
      </w:pPr>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74D88703"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3A2AFE">
      <w:rPr>
        <w:noProof/>
      </w:rPr>
      <w:t>1</w:t>
    </w:r>
    <w:r>
      <w:fldChar w:fldCharType="end"/>
    </w:r>
    <w:r>
      <w:t>/</w:t>
    </w:r>
    <w:fldSimple w:instr=" NUMPAGES ">
      <w:r w:rsidR="003A2AFE">
        <w:rPr>
          <w:noProof/>
        </w:rPr>
        <w:t>21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1779C15F"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3A2AFE">
      <w:rPr>
        <w:noProof/>
      </w:rPr>
      <w:t>21</w:t>
    </w:r>
    <w:r>
      <w:fldChar w:fldCharType="end"/>
    </w:r>
    <w:r>
      <w:t>/</w:t>
    </w:r>
    <w:fldSimple w:instr=" NUMPAGES ">
      <w:r w:rsidR="003A2AFE">
        <w:rPr>
          <w:noProof/>
        </w:rPr>
        <w:t>21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Risoluzione sul periodo successivo alla crisi della Covid-19</w:t>
        </w:r>
      </w:hyperlink>
      <w:r>
        <w:t>.</w:t>
      </w:r>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https://eur-lex.europa.eu/legal-content/IT/TXT/?qid=1590732521013&amp;uri=COM:2020:456:FIN</w:t>
        </w:r>
      </w:hyperlink>
      <w:r>
        <w:t>.</w:t>
      </w:r>
    </w:p>
  </w:footnote>
  <w:footnote w:id="4">
    <w:p w14:paraId="2975B739" w14:textId="1EC763B0" w:rsidR="00B15CE1" w:rsidRPr="00AB5770" w:rsidRDefault="00E823FE" w:rsidP="00740235">
      <w:pPr>
        <w:pStyle w:val="FootnoteText"/>
        <w:tabs>
          <w:tab w:val="left" w:pos="567"/>
        </w:tabs>
        <w:spacing w:after="40"/>
        <w:rPr>
          <w:rFonts w:ascii="Times New Roman" w:hAnsi="Times New Roman"/>
          <w:sz w:val="16"/>
        </w:rPr>
      </w:pPr>
      <w:r w:rsidRPr="00E823FE">
        <w:rPr>
          <w:rFonts w:ascii="Times New Roman" w:hAnsi="Times New Roman"/>
          <w:sz w:val="16"/>
        </w:rPr>
        <w:t>3</w:t>
      </w:r>
      <w:r>
        <w:tab/>
      </w:r>
      <w:hyperlink r:id="rId3" w:history="1">
        <w:r w:rsidR="00B15CE1">
          <w:rPr>
            <w:rStyle w:val="Hyperlink"/>
            <w:rFonts w:ascii="Times New Roman" w:hAnsi="Times New Roman"/>
            <w:sz w:val="16"/>
          </w:rPr>
          <w:t>https://eur-lex.europa.eu/legal-content/IT/TXT/?qid=1590574123338&amp;uri=CELEX%3A52020DC0380</w:t>
        </w:r>
      </w:hyperlink>
      <w:r w:rsidR="00B15CE1">
        <w:t>.</w:t>
      </w:r>
    </w:p>
  </w:footnote>
  <w:footnote w:id="5">
    <w:p w14:paraId="2402C4E0" w14:textId="71595C58"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NAT/784 – Legge europea sul clima, in corso di elaborazione.</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rPr>
        <w:t>NAT/784 – Legge europea sul clima, in corso di elaborazione.</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INT/894 Libro bianco sull'intelligenza artificiale, in corso di elaborazione.</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cfr., per esempio, </w:t>
      </w:r>
      <w:hyperlink r:id="rId4" w:history="1">
        <w:r>
          <w:rPr>
            <w:rStyle w:val="Hyperlink"/>
            <w:rFonts w:ascii="Times New Roman" w:hAnsi="Times New Roman"/>
            <w:sz w:val="16"/>
            <w:szCs w:val="16"/>
          </w:rPr>
          <w:t>https://www.ilo.org/global/standards/lang--en/index.htm.</w:t>
        </w:r>
      </w:hyperlink>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https://ec.europa.eu/commission/presscorner/detail/it/qanda_20_20</w:t>
        </w:r>
      </w:hyperlink>
      <w:r w:rsidRPr="007431F6">
        <w:rPr>
          <w:sz w:val="20"/>
        </w:rPr>
        <w:t>.</w:t>
      </w:r>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Un'Europa sociale forte per transizioni giuste</w:t>
        </w:r>
      </w:hyperlink>
      <w:r>
        <w:rPr>
          <w:rFonts w:ascii="Times New Roman" w:hAnsi="Times New Roman"/>
          <w:sz w:val="16"/>
        </w:rPr>
        <w:t>.</w:t>
      </w:r>
    </w:p>
  </w:footnote>
  <w:footnote w:id="11">
    <w:p w14:paraId="04CEB791" w14:textId="23DC83F7"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https://ec.europa.eu/social/main.jsp?langId=it&amp;catId=1226&amp;furtherNews=yes&amp;newsId=9696</w:t>
        </w:r>
      </w:hyperlink>
      <w:r w:rsidR="00114B48">
        <w:rPr>
          <w:rStyle w:val="Hyperlink"/>
          <w:rFonts w:ascii="Times New Roman" w:hAnsi="Times New Roman"/>
          <w:sz w:val="16"/>
          <w:szCs w:val="16"/>
        </w:rPr>
        <w:t>.</w:t>
      </w:r>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SOC/632 Salari minimi dignitosi in tutta Europa, in corso di elaborazione.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 Quadro UE per la qualità nell'anticipazione dei cambiamenti e delle ristrutturazioni</w:t>
        </w:r>
      </w:hyperlink>
      <w:r w:rsidRPr="007431F6">
        <w:rPr>
          <w:sz w:val="20"/>
        </w:rP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https://www.eesc.europa.eu/it/our-work/publications-other-work/publications/european-economic-and-social-committees-contribution-2020-european-commissions-work-programme-and-beyond</w:t>
        </w:r>
      </w:hyperlink>
      <w:r>
        <w:t>.</w:t>
      </w:r>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https://eur-lex.europa.eu/legal-content/IT/TXT/PDF/?uri=CELEX:52020DC0102&amp;from=EN</w:t>
        </w:r>
      </w:hyperlink>
      <w:r>
        <w:t>.</w:t>
      </w:r>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INT/897 Strategia industriale.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Parere del CESE SOC/632 Salari minimi dignitosi in tutta Europa, in corso di elaborazione e parere del CESE SOC/583: </w:t>
      </w:r>
      <w:hyperlink r:id="rId11" w:history="1">
        <w:r>
          <w:rPr>
            <w:rStyle w:val="Hyperlink"/>
            <w:rFonts w:ascii="Times New Roman" w:hAnsi="Times New Roman"/>
            <w:sz w:val="16"/>
            <w:szCs w:val="16"/>
          </w:rPr>
          <w:t>https://www.eesc.europa.eu/it/our-work/opinions-information-reports/opinions/common-minimum-standards-field-unemployment-insurance-eu-member-states-concrete-step-towards-effective-implementation</w:t>
        </w:r>
      </w:hyperlink>
      <w:r>
        <w:rPr>
          <w:rFonts w:ascii="Times New Roman" w:hAnsi="Times New Roman"/>
          <w:sz w:val="16"/>
          <w:szCs w:val="16"/>
        </w:rPr>
        <w:t xml:space="preserve"> e parere del CESE sul tema </w:t>
      </w:r>
      <w:hyperlink r:id="rId12">
        <w:r>
          <w:rPr>
            <w:rStyle w:val="InternetLink"/>
            <w:rFonts w:ascii="Times New Roman" w:hAnsi="Times New Roman"/>
            <w:sz w:val="16"/>
            <w:szCs w:val="16"/>
          </w:rPr>
          <w:t>Per una direttiva quadro europea in materia di reddito minimo</w:t>
        </w:r>
      </w:hyperlink>
      <w:r>
        <w:rPr>
          <w:rFonts w:ascii="Times New Roman" w:hAnsi="Times New Roman"/>
          <w:sz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SOC/630 - Gli effetti delle campagne sulla partecipazione al processo decisionale politico.</w:t>
      </w:r>
    </w:p>
  </w:footnote>
  <w:footnote w:id="19">
    <w:p w14:paraId="199FDAEA" w14:textId="3D26FA09"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GU C 282 del 20.8.2019, pag. 39</w:t>
        </w:r>
      </w:hyperlink>
      <w:r>
        <w:rPr>
          <w:rFonts w:ascii="Times New Roman" w:hAnsi="Times New Roman"/>
          <w:sz w:val="16"/>
          <w:szCs w:val="16"/>
        </w:rPr>
        <w:t>,</w:t>
      </w:r>
      <w:r>
        <w:rPr>
          <w:rFonts w:ascii="Times New Roman" w:hAnsi="Times New Roman"/>
          <w:sz w:val="16"/>
        </w:rPr>
        <w:t xml:space="preserve"> Comunicazione della Commissione al Parlamento europeo, al Consiglio europeo e al Consiglio Rafforzare lo Stato di diritto nell'Unione.</w:t>
      </w:r>
      <w:r>
        <w:rPr>
          <w:rFonts w:ascii="Times New Roman" w:hAnsi="Times New Roman"/>
          <w:sz w:val="16"/>
          <w:szCs w:val="16"/>
        </w:rPr>
        <w:t xml:space="preserve"> </w:t>
      </w:r>
      <w:r>
        <w:rPr>
          <w:rFonts w:ascii="Times New Roman" w:hAnsi="Times New Roman"/>
          <w:sz w:val="16"/>
        </w:rPr>
        <w:t>Il contesto attuale e possibili nuove iniziative, 3 aprile 2019.</w:t>
      </w:r>
    </w:p>
  </w:footnote>
  <w:footnote w:id="20">
    <w:p w14:paraId="249E0B64" w14:textId="4ACFC50C"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INT/886 Legiferare meglio/bilancio </w:t>
      </w:r>
      <w:hyperlink r:id="rId14" w:tgtFrame="_blank" w:tooltip="GU C 14 del 15.1.2020, pag. 72 - Il link si apre in una nuova finestra." w:history="1">
        <w:r>
          <w:rPr>
            <w:rFonts w:ascii="Times New Roman" w:hAnsi="Times New Roman"/>
            <w:color w:val="00AADB"/>
            <w:sz w:val="16"/>
            <w:u w:val="single"/>
            <w:shd w:val="clear" w:color="auto" w:fill="FFFFFF"/>
          </w:rPr>
          <w:t>GU C 14 del 15.1.2020, pag. 72</w:t>
        </w:r>
      </w:hyperlink>
      <w:r w:rsidR="0018698D">
        <w:rPr>
          <w:rFonts w:ascii="Times New Roman" w:hAnsi="Times New Roman"/>
          <w:color w:val="00AADB"/>
          <w:sz w:val="16"/>
          <w:u w:val="single"/>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A4D4D"/>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14B48"/>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8698D"/>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6674A"/>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5198"/>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2AFE"/>
    <w:rsid w:val="003A666E"/>
    <w:rsid w:val="003B18D8"/>
    <w:rsid w:val="003B254B"/>
    <w:rsid w:val="003B275B"/>
    <w:rsid w:val="003B4A44"/>
    <w:rsid w:val="003C005E"/>
    <w:rsid w:val="003C0F83"/>
    <w:rsid w:val="003C3D16"/>
    <w:rsid w:val="003C4013"/>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1679F"/>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3B26"/>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6739F"/>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C5CB3"/>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4D53"/>
    <w:rsid w:val="007278B6"/>
    <w:rsid w:val="007337FB"/>
    <w:rsid w:val="00740235"/>
    <w:rsid w:val="00742065"/>
    <w:rsid w:val="007431F6"/>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4B7F"/>
    <w:rsid w:val="007B53EF"/>
    <w:rsid w:val="007B67CC"/>
    <w:rsid w:val="007C471F"/>
    <w:rsid w:val="007D28F1"/>
    <w:rsid w:val="007D6DC4"/>
    <w:rsid w:val="007E12B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6585"/>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175B5"/>
    <w:rsid w:val="00920557"/>
    <w:rsid w:val="00924131"/>
    <w:rsid w:val="009249D5"/>
    <w:rsid w:val="00925FE9"/>
    <w:rsid w:val="00926AEF"/>
    <w:rsid w:val="00941DBA"/>
    <w:rsid w:val="009453BA"/>
    <w:rsid w:val="00945836"/>
    <w:rsid w:val="00951F11"/>
    <w:rsid w:val="00952C0F"/>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05A7"/>
    <w:rsid w:val="00A22A13"/>
    <w:rsid w:val="00A2306D"/>
    <w:rsid w:val="00A253AE"/>
    <w:rsid w:val="00A2709C"/>
    <w:rsid w:val="00A30CE2"/>
    <w:rsid w:val="00A3115A"/>
    <w:rsid w:val="00A31788"/>
    <w:rsid w:val="00A33296"/>
    <w:rsid w:val="00A35006"/>
    <w:rsid w:val="00A41483"/>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1A7B"/>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005A"/>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264"/>
    <w:rsid w:val="00C13CA7"/>
    <w:rsid w:val="00C14EF6"/>
    <w:rsid w:val="00C17BEB"/>
    <w:rsid w:val="00C20B21"/>
    <w:rsid w:val="00C2515E"/>
    <w:rsid w:val="00C27803"/>
    <w:rsid w:val="00C3195F"/>
    <w:rsid w:val="00C32518"/>
    <w:rsid w:val="00C4785E"/>
    <w:rsid w:val="00C52F01"/>
    <w:rsid w:val="00C5371F"/>
    <w:rsid w:val="00C54039"/>
    <w:rsid w:val="00C5627F"/>
    <w:rsid w:val="00C565A9"/>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23FE"/>
    <w:rsid w:val="00E87393"/>
    <w:rsid w:val="00E878C7"/>
    <w:rsid w:val="00E9739B"/>
    <w:rsid w:val="00EA7D8B"/>
    <w:rsid w:val="00EB1DC5"/>
    <w:rsid w:val="00EB571D"/>
    <w:rsid w:val="00EB5BF9"/>
    <w:rsid w:val="00EC2BF8"/>
    <w:rsid w:val="00EC3E59"/>
    <w:rsid w:val="00EC4735"/>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6C1A"/>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it-IT"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it-IT"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it-IT"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it-IT"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it-IT"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it-IT"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it-IT" w:eastAsia="en-US"/>
    </w:rPr>
  </w:style>
  <w:style w:type="character" w:customStyle="1" w:styleId="Heading2Char">
    <w:name w:val="Heading 2 Char"/>
    <w:link w:val="Heading2"/>
    <w:rsid w:val="00785C57"/>
    <w:rPr>
      <w:rFonts w:ascii="Times New Roman" w:eastAsia="Times New Roman" w:hAnsi="Times New Roman"/>
      <w:sz w:val="22"/>
      <w:szCs w:val="22"/>
      <w:lang w:val="it-IT" w:eastAsia="en-US"/>
    </w:rPr>
  </w:style>
  <w:style w:type="character" w:customStyle="1" w:styleId="Heading3Char">
    <w:name w:val="Heading 3 Char"/>
    <w:link w:val="Heading3"/>
    <w:rsid w:val="00785C57"/>
    <w:rPr>
      <w:rFonts w:ascii="Times New Roman" w:eastAsia="Times New Roman" w:hAnsi="Times New Roman"/>
      <w:sz w:val="22"/>
      <w:szCs w:val="22"/>
      <w:lang w:val="it-IT" w:eastAsia="en-US"/>
    </w:rPr>
  </w:style>
  <w:style w:type="character" w:customStyle="1" w:styleId="Heading4Char">
    <w:name w:val="Heading 4 Char"/>
    <w:link w:val="Heading4"/>
    <w:rsid w:val="00785C57"/>
    <w:rPr>
      <w:rFonts w:ascii="Times New Roman" w:eastAsia="Times New Roman" w:hAnsi="Times New Roman"/>
      <w:sz w:val="22"/>
      <w:szCs w:val="22"/>
      <w:lang w:val="it-IT" w:eastAsia="en-US"/>
    </w:rPr>
  </w:style>
  <w:style w:type="character" w:customStyle="1" w:styleId="Heading5Char">
    <w:name w:val="Heading 5 Char"/>
    <w:link w:val="Heading5"/>
    <w:rsid w:val="00785C57"/>
    <w:rPr>
      <w:rFonts w:ascii="Times New Roman" w:eastAsia="Times New Roman" w:hAnsi="Times New Roman"/>
      <w:sz w:val="22"/>
      <w:szCs w:val="22"/>
      <w:lang w:val="it-IT" w:eastAsia="en-US"/>
    </w:rPr>
  </w:style>
  <w:style w:type="character" w:customStyle="1" w:styleId="Heading6Char">
    <w:name w:val="Heading 6 Char"/>
    <w:link w:val="Heading6"/>
    <w:rsid w:val="00785C57"/>
    <w:rPr>
      <w:rFonts w:ascii="Times New Roman" w:eastAsia="Times New Roman" w:hAnsi="Times New Roman"/>
      <w:sz w:val="22"/>
      <w:szCs w:val="22"/>
      <w:lang w:val="it-IT" w:eastAsia="en-US"/>
    </w:rPr>
  </w:style>
  <w:style w:type="character" w:customStyle="1" w:styleId="Heading7Char">
    <w:name w:val="Heading 7 Char"/>
    <w:link w:val="Heading7"/>
    <w:rsid w:val="00785C57"/>
    <w:rPr>
      <w:rFonts w:ascii="Times New Roman" w:eastAsia="Times New Roman" w:hAnsi="Times New Roman"/>
      <w:sz w:val="22"/>
      <w:szCs w:val="22"/>
      <w:lang w:val="it-IT" w:eastAsia="en-US"/>
    </w:rPr>
  </w:style>
  <w:style w:type="character" w:customStyle="1" w:styleId="Heading8Char">
    <w:name w:val="Heading 8 Char"/>
    <w:link w:val="Heading8"/>
    <w:rsid w:val="00785C57"/>
    <w:rPr>
      <w:rFonts w:ascii="Times New Roman" w:eastAsia="Times New Roman" w:hAnsi="Times New Roman"/>
      <w:sz w:val="22"/>
      <w:szCs w:val="22"/>
      <w:lang w:val="it-IT" w:eastAsia="en-US"/>
    </w:rPr>
  </w:style>
  <w:style w:type="character" w:customStyle="1" w:styleId="Heading9Char">
    <w:name w:val="Heading 9 Char"/>
    <w:link w:val="Heading9"/>
    <w:rsid w:val="00785C57"/>
    <w:rPr>
      <w:rFonts w:ascii="Times New Roman" w:eastAsia="Times New Roman" w:hAnsi="Times New Roman"/>
      <w:sz w:val="22"/>
      <w:szCs w:val="22"/>
      <w:lang w:val="it-IT"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it-IT"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it-IT"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it/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IT:HTML" TargetMode="External"/><Relationship Id="rId3" Type="http://schemas.openxmlformats.org/officeDocument/2006/relationships/hyperlink" Target="https://eur-lex.europa.eu/legal-content/IT/TXT/?qid=1590574123338&amp;uri=CELEX:52020DC0380" TargetMode="External"/><Relationship Id="rId7" Type="http://schemas.openxmlformats.org/officeDocument/2006/relationships/hyperlink" Target="https://ec.europa.eu/social/main.jsp?langId=it&amp;catId=1226&amp;furtherNews=yes&amp;newsId=9696" TargetMode="External"/><Relationship Id="rId12" Type="http://schemas.openxmlformats.org/officeDocument/2006/relationships/hyperlink" Target="https://www.eesc.europa.eu/it/our-work/opinions-information-reports/opinions/european-framework-directive-minimum-income-own-initiative-opinion" TargetMode="External"/><Relationship Id="rId2" Type="http://schemas.openxmlformats.org/officeDocument/2006/relationships/hyperlink" Target="https://eur-lex.europa.eu/legal-content/IT/TXT/?qid=1590732521013&amp;uri=COM:2020:456:FIN" TargetMode="External"/><Relationship Id="rId1" Type="http://schemas.openxmlformats.org/officeDocument/2006/relationships/hyperlink" Target="https://www.eesc.europa.eu/it/news-media/press-releases/eesc-proposals-post-covid-19-recovery-and-reconstruction-towards-new-societal-model" TargetMode="External"/><Relationship Id="rId6" Type="http://schemas.openxmlformats.org/officeDocument/2006/relationships/hyperlink" Target="https://ec.europa.eu/commission/presscorner/detail/it/qanda_20_20" TargetMode="External"/><Relationship Id="rId11" Type="http://schemas.openxmlformats.org/officeDocument/2006/relationships/hyperlink" Target="https://www.eesc.europa.eu/it/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it/qanda_20_20" TargetMode="External"/><Relationship Id="rId10" Type="http://schemas.openxmlformats.org/officeDocument/2006/relationships/hyperlink" Target="https://eur-lex.europa.eu/legal-content/IT/TXT/PDF/?uri=CELEX:52020DC0102&amp;from=EN"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it/our-work/publications-other-work/publications/european-economic-and-social-committees-contribution-2020-european-commissions-work-programme-and-beyond" TargetMode="External"/><Relationship Id="rId14" Type="http://schemas.openxmlformats.org/officeDocument/2006/relationships/hyperlink" Target="https://eur-lex.europa.eu/legal-content/IT/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VV634QRNENMJ-762678085-1555</_dlc_DocId>
    <_dlc_DocIdUrl xmlns="cda99570-6012-4083-bfeb-7d32ad1ce1a3">
      <Url>http://dm2016/eesc/2020/_layouts/15/DocIdRedir.aspx?ID=VV634QRNENMJ-762678085-1555</Url>
      <Description>VV634QRNENMJ-762678085-1555</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0774613c-01ed-4e5d-a25d-11d2388de825</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EAEC7900-E976-44F6-96E4-3428CD39D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A8F007-D384-499E-BDC2-697D2DF3C6C5}">
  <ds:schemaRefs>
    <ds:schemaRef ds:uri="http://schemas.microsoft.com/sharepoint/events"/>
  </ds:schemaRefs>
</ds:datastoreItem>
</file>

<file path=customXml/itemProps3.xml><?xml version="1.0" encoding="utf-8"?>
<ds:datastoreItem xmlns:ds="http://schemas.openxmlformats.org/officeDocument/2006/customXml" ds:itemID="{46146213-6448-430A-BF1E-4297FAB560A2}">
  <ds:schemaRefs>
    <ds:schemaRef ds:uri="http://schemas.microsoft.com/sharepoint/v3/contenttype/forms"/>
  </ds:schemaRefs>
</ds:datastoreItem>
</file>

<file path=customXml/itemProps4.xml><?xml version="1.0" encoding="utf-8"?>
<ds:datastoreItem xmlns:ds="http://schemas.openxmlformats.org/officeDocument/2006/customXml" ds:itemID="{8302F373-F696-4D85-A7F2-2FFF2860B41B}">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9479</Words>
  <Characters>52136</Characters>
  <Application>Microsoft Office Word</Application>
  <DocSecurity>0</DocSecurity>
  <Lines>434</Lines>
  <Paragraphs>122</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
  <LinksUpToDate>false</LinksUpToDate>
  <CharactersWithSpaces>61493</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Proposte del CESE al programma di lavoro della Commissione europea per il 2021</dc:title>
  <dc:subject>Risoluzione</dc:subject>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34</cp:revision>
  <cp:lastPrinted>2020-07-07T07:28:00Z</cp:lastPrinted>
  <dcterms:created xsi:type="dcterms:W3CDTF">2020-07-17T06:52:00Z</dcterms:created>
  <dcterms:modified xsi:type="dcterms:W3CDTF">2020-07-20T07:24:00Z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80750423-352f-4f74-9ab1-fd0f858c9cd4</vt:lpwstr>
  </property>
  <property fmtid="{D5CDD505-2E9C-101B-9397-08002B2CF9AE}" pid="9"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10" name="DocumentType_0">
    <vt:lpwstr>RES|9e3e62eb-6858-4bc7-8a50-3453e395fd01</vt:lpwstr>
  </property>
  <property fmtid="{D5CDD505-2E9C-101B-9397-08002B2CF9AE}" pid="11" name="DocumentSource_0">
    <vt:lpwstr>EESC|422833ec-8d7e-4e65-8e4e-8bed07ffb729</vt:lpwstr>
  </property>
  <property fmtid="{D5CDD505-2E9C-101B-9397-08002B2CF9AE}" pid="12" name="ProductionDate">
    <vt:filetime>2020-07-17T12:00:00Z</vt:filetime>
  </property>
  <property fmtid="{D5CDD505-2E9C-101B-9397-08002B2CF9AE}" pid="13" name="FicheYear">
    <vt:i4>2020</vt:i4>
  </property>
  <property fmtid="{D5CDD505-2E9C-101B-9397-08002B2CF9AE}" pid="14" name="DocumentNumber">
    <vt:i4>3155</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ssierName">
    <vt:lpwstr/>
  </property>
  <property fmtid="{D5CDD505-2E9C-101B-9397-08002B2CF9AE}" pid="18" name="Confidentiality_0">
    <vt:lpwstr>Unrestricted|826e22d7-d029-4ec0-a450-0c28ff673572</vt:lpwstr>
  </property>
  <property fmtid="{D5CDD505-2E9C-101B-9397-08002B2CF9AE}" pid="19" name="Confidentiality">
    <vt:lpwstr>5;#Unrestricted|826e22d7-d029-4ec0-a450-0c28ff673572</vt:lpwstr>
  </property>
  <property fmtid="{D5CDD505-2E9C-101B-9397-08002B2CF9AE}" pid="20" name="OriginalLanguage">
    <vt:lpwstr>4;#EN|f2175f21-25d7-44a3-96da-d6a61b075e1b</vt:lpwstr>
  </property>
  <property fmtid="{D5CDD505-2E9C-101B-9397-08002B2CF9AE}" pid="21" name="MeetingName">
    <vt:lpwstr/>
  </property>
  <property fmtid="{D5CDD505-2E9C-101B-9397-08002B2CF9AE}" pid="22" name="TaxCatchAll">
    <vt:lpwstr>36;#MT|7df99101-6854-4a26-b53a-b88c0da02c26;#186;#RES|9e3e62eb-6858-4bc7-8a50-3453e395fd01;#1;#EESC|422833ec-8d7e-4e65-8e4e-8bed07ffb729;#30;#LT|a7ff5ce7-6123-4f68-865a-a57c31810414;#31;#CS|72f9705b-0217-4fd3-bea2-cbc7ed80e26e;#13;#IT|0774613c-01ed-4e5d-a</vt:lpwstr>
  </property>
  <property fmtid="{D5CDD505-2E9C-101B-9397-08002B2CF9AE}" pid="23" name="DocumentLanguage_0">
    <vt:lpwstr>IT|0774613c-01ed-4e5d-a25d-11d2388de825</vt:lpwstr>
  </property>
  <property fmtid="{D5CDD505-2E9C-101B-9397-08002B2CF9AE}" pid="24" name="VersionStatus_0">
    <vt:lpwstr>Final|ea5e6674-7b27-4bac-b091-73adbb394efe</vt:lpwstr>
  </property>
  <property fmtid="{D5CDD505-2E9C-101B-9397-08002B2CF9AE}" pid="25" name="VersionStatus">
    <vt:lpwstr>6;#Final|ea5e6674-7b27-4bac-b091-73adbb394efe</vt:lpwstr>
  </property>
  <property fmtid="{D5CDD505-2E9C-101B-9397-08002B2CF9AE}" pid="26" name="DocumentYear">
    <vt:i4>2020</vt:i4>
  </property>
  <property fmtid="{D5CDD505-2E9C-101B-9397-08002B2CF9AE}" pid="27" name="FicheNumber">
    <vt:i4>7855</vt:i4>
  </property>
  <property fmtid="{D5CDD505-2E9C-101B-9397-08002B2CF9AE}" pid="28" name="DocumentPart">
    <vt:i4>0</vt:i4>
  </property>
  <property fmtid="{D5CDD505-2E9C-101B-9397-08002B2CF9AE}" pid="29" name="DocumentSource">
    <vt:lpwstr>1;#EESC|422833ec-8d7e-4e65-8e4e-8bed07ffb729</vt:lpwstr>
  </property>
  <property fmtid="{D5CDD505-2E9C-101B-9397-08002B2CF9AE}" pid="30" name="AdoptionDate">
    <vt:filetime>2020-07-16T12:00:00Z</vt:filetime>
  </property>
  <property fmtid="{D5CDD505-2E9C-101B-9397-08002B2CF9AE}" pid="31" name="DocumentType">
    <vt:lpwstr>186;#RES|9e3e62eb-6858-4bc7-8a50-3453e395fd01</vt:lpwstr>
  </property>
  <property fmtid="{D5CDD505-2E9C-101B-9397-08002B2CF9AE}" pid="32" name="RequestingService">
    <vt:lpwstr>Coordination législative</vt:lpwstr>
  </property>
  <property fmtid="{D5CDD505-2E9C-101B-9397-08002B2CF9AE}" pid="33" name="MeetingName_0">
    <vt:lpwstr/>
  </property>
  <property fmtid="{D5CDD505-2E9C-101B-9397-08002B2CF9AE}" pid="34" name="DocumentLanguage">
    <vt:lpwstr>13;#IT|0774613c-01ed-4e5d-a25d-11d2388de825</vt:lpwstr>
  </property>
  <property fmtid="{D5CDD505-2E9C-101B-9397-08002B2CF9AE}" pid="35" name="AvailableTranslations_0">
    <vt:lpwstr>LT|a7ff5ce7-6123-4f68-865a-a57c31810414;CS|72f9705b-0217-4fd3-bea2-cbc7ed80e26e;DE|f6b31e5a-26fa-4935-b661-318e46daf27e;EL|6d4f4d51-af9b-4650-94b4-4276bee85c91;SV|c2ed69e7-a339-43d7-8f22-d93680a92aa0;ET|ff6c3f4c-b02c-4c3c-ab07-2c37995a7a0a;SK|46d9fce0-ef7</vt:lpwstr>
  </property>
  <property fmtid="{D5CDD505-2E9C-101B-9397-08002B2CF9AE}" pid="36" name="DocumentStatus_0">
    <vt:lpwstr>TRA|150d2a88-1431-44e6-a8ca-0bb753ab8672</vt:lpwstr>
  </property>
  <property fmtid="{D5CDD505-2E9C-101B-9397-08002B2CF9AE}" pid="37" name="OriginalLanguage_0">
    <vt:lpwstr>EN|f2175f21-25d7-44a3-96da-d6a61b075e1b</vt:lpwstr>
  </property>
  <property fmtid="{D5CDD505-2E9C-101B-9397-08002B2CF9AE}" pid="38" name="DossierName_0">
    <vt:lpwstr/>
  </property>
</Properties>
</file>