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7B79C232" w:rsidR="00AD5AAC" w:rsidRPr="00AB5770" w:rsidRDefault="00350378"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59881E6A" wp14:editId="45E09DB8">
            <wp:extent cx="1792605" cy="1239520"/>
            <wp:effectExtent l="0" t="0" r="0" b="0"/>
            <wp:docPr id="1" name="Picture 1" title="EESCLogo_E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091BFF7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ET</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RESOLUTSIOON</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952EC9C"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„Euroopa Majandus- ja Sotsiaalkomitee panus</w:t>
      </w:r>
      <w:r>
        <w:rPr>
          <w:rFonts w:ascii="Times New Roman" w:hAnsi="Times New Roman"/>
          <w:b/>
          <w:sz w:val="22"/>
          <w:szCs w:val="22"/>
        </w:rPr>
        <w:br/>
        <w:t>Euroopa Komisjoni 2021. aasta tööprogrammi“</w:t>
      </w:r>
      <w:r>
        <w:rPr>
          <w:rFonts w:ascii="Times New Roman" w:hAnsi="Times New Roman"/>
          <w:b/>
          <w:sz w:val="22"/>
          <w:szCs w:val="22"/>
        </w:rPr>
        <w:br/>
        <w:t>ajutise töörühma</w:t>
      </w:r>
      <w:r>
        <w:rPr>
          <w:rFonts w:ascii="Times New Roman" w:hAnsi="Times New Roman"/>
          <w:b/>
          <w:sz w:val="22"/>
          <w:szCs w:val="22"/>
        </w:rPr>
        <w:br/>
        <w:t>„Komitee panus Euroopa Komisjoni 2021. aasta tööprogrammi“ töö põhjal</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702B5AC1"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 xml:space="preserve">Raportöörid: </w:t>
      </w:r>
      <w:r>
        <w:rPr>
          <w:rFonts w:ascii="Times New Roman" w:hAnsi="Times New Roman"/>
          <w:b/>
          <w:sz w:val="22"/>
          <w:szCs w:val="22"/>
        </w:rPr>
        <w:t>Petr Zahradník (I rühm)</w:t>
      </w:r>
    </w:p>
    <w:p w14:paraId="62D1F206" w14:textId="24A50B0D"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Stefano Palmieri (II rühm)</w:t>
      </w:r>
    </w:p>
    <w:p w14:paraId="2B3EA8D2" w14:textId="0AF3F9C1"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Jan Dirx (III rühm)</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41EF9B1"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Vastu võetud Euroopa Majandus- ja Sotsiaalkomitees</w:t>
      </w:r>
      <w:r>
        <w:rPr>
          <w:rFonts w:ascii="Times New Roman" w:hAnsi="Times New Roman"/>
          <w:sz w:val="22"/>
          <w:szCs w:val="22"/>
        </w:rPr>
        <w:br/>
        <w:t>16. juulil 2020</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footerReference w:type="default" r:id="rId12"/>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Sissejuhatus</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rPr>
      </w:pPr>
      <w:r>
        <w:t>Nagu Euroopa Majandus- ja Sotsiaalkomitee märkis oma resolutsioonis „Euroopa Majandus- ja Sotsiaalkomitee ettepanekud COVID-19 kriisi järgse ülesehituse ja taastumise kohta“,</w:t>
      </w:r>
      <w:r w:rsidRPr="00AB5770">
        <w:rPr>
          <w:rFonts w:eastAsia="MS Mincho"/>
          <w:sz w:val="24"/>
          <w:szCs w:val="24"/>
          <w:vertAlign w:val="superscript"/>
          <w:lang w:val="en-GB" w:eastAsia="it-IT"/>
        </w:rPr>
        <w:footnoteReference w:id="2"/>
      </w:r>
      <w:r>
        <w:t xml:space="preserve"> kiidab ja toetab komitee täielikult Euroopa Komisjoni ettepanekuid taasterahastu „NextGenerationEU“ ja ELi 2021.–2027. aasta kogueelarve kohta. Komitee loodab ja ootab, et komisjoni 2021. aasta tööprogrammis arendatakse täielikult ja konkreetselt välja need suunad, mille komisjon on koroonaviiruse kriisi järgse taastumise ja ülesehitamise vajaduse tõttu neis ettepanekutes esitanud.</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Komitee seisukohast peaks tööprogrammi keskmes olema meie majanduse ja ühiskonna ümberkorraldamine ja parandamine, mis toetuks järgmistele põhimõtetele: sotsiaalsete ja inimõiguste ning demokraatlike väärtuste ja õigusriigi kaitsmine, ühtse turu potentsiaali täielik rakendamine, kestliku arengu eesmärkide saavutamine, ringmajanduse loomine ja ELis hiljemalt 2050. aastaks kliimaneutraalsuse saavutamine ning hea valitsemistava ja demokraatliku vastutuse tagamine.</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Komitee rõhutab, et komisjoni valitud kuus üldeesmärki (Euroopa roheline kokkulepe, digiajastule vastav Euroopa, inimeste hüvanguks toimiv majandus, Euroopa maailmapositsiooni tugevdamine, euroopaliku eluviisi edendamine ja uus hoog Euroopa demokraatiale) moodustavad võimsa raamistiku 2021. aasta tööprogrammi elluviimiseks. Võib-olla tuleks rohkem keskenduda investeeringutele ja vajadusele investeerimist kiirendada, seda ka praegu võetavate meetmete kaudu. Tulevase tööprogrammi mõned üksikasjad on esitatud komisjoni teatises Euroopa majanduse taastekava kohta</w:t>
      </w:r>
      <w:r w:rsidR="00C27803" w:rsidRPr="00AB5770">
        <w:rPr>
          <w:rStyle w:val="FootnoteReference"/>
          <w:rFonts w:ascii="Times New Roman" w:hAnsi="Times New Roman"/>
          <w:lang w:val="en-GB"/>
        </w:rPr>
        <w:footnoteReference w:id="3"/>
      </w:r>
      <w:r>
        <w:rPr>
          <w:rFonts w:ascii="Times New Roman" w:hAnsi="Times New Roman"/>
          <w:sz w:val="22"/>
          <w:szCs w:val="22"/>
        </w:rPr>
        <w:t xml:space="preserve"> ning uued ettepanekud kajastuvad komisjoni presidendi Ursula von der Leyeni septembris peetavas kõnes olukorrast Euroopa Liidus ning kavatsusavalduses Euroopa Parlamendile ja nõukogule. Komitee tunnustab ka 2020. aasta kohandatud tööprogrammi, milles reageeritakse COVID-19 kriisile ja mis võib viidata lähitulevikus toimuvale arengule.</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Komitee peab tervitatavaks seda, et Euroopa Komisjon kohandas oma 2020. aasta tööprogrammi, aitamaks kaasa Euroopa majanduse taastamisele, et reageerida koroonaviiruse pandeemiale. Komisjon suunas oma töö ümber ja seadis prioriteediks meetmed, mis on vajalikud Euroopa majanduse taastamiseks ja vastupidavuse suurendamiseks, võttes samas kohustuse viia ellu oma juhtalgatused, Euroopa rohelise kokkuleppe ja digistrateegia, sest need on võtmetähtsusega Euroopa majanduse taaskäivitamiseks ning vastupidavama, kestlikuma, õiglasema ja jõukama Euroopa ülesehitamiseks. Komitee võtab teadmiseks, et üheksa algatust on edasi lükatud 2021. aastasse.</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Eelkõige nüüd, kui kogeme riikide koostöö tähtsust kriisiajal, loodab komitee, et eelseisva Euroopa tulevikku käsitleva konverentsi tulemusel tugevdatakse ja süvendatakse ELi institutsioonilist struktuuri ning uuendatakse tõeliselt ELi projekti, mis suudaks toime tulla järgmiste kümnendite katsumustega. Komisjon võib seega loota komitee täielikule toetusele.</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Komitee on veendunud, et majanduse ja ühiskonna taastamise ja ülesehitamise protsess on võimalik ainult kodanikuühiskonna organisatsioonide ja sotsiaalpartnerite aktiivsel osalusel.</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Järgmistes peatükkides ja lõikudes sõnastab komitee 2021. aasta tööprogrammi kohta konkreetsed ettepanekud vastavalt komisjoni kuuele üldeesmärgile.</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Euroopa roheline kokkulepe</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Roheline kokkulepe</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pPr>
      <w:r>
        <w:t>ELi rohelist kokkulepet võib samuti pidada tõhusaks vahendiks majanduse kestlikuks taaskäivitamiseks ulatuslike investeeringute abil, mis toetavad vajalikke struktuurimuutusi, millega Euroopa silmitsi seisab. Sellest lähtudes võiks kokkulepet pidada võimaluseks toetada majanduse taastamist pikemas perspektiivis. Euroopas on vaja uut konsensust, et sel eesmärgil koondada piisavad avaliku ja erasektori rahastamisallikad ning hakata järgima uut juhtimisviisi, mille abil see praktikas edukalt ellu viia.</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pPr>
      <w:r>
        <w:t>Komitee toetab kindlalt üleminekut ringmajandusele. Oma tegevuse kaudu Euroopa ringmajanduse sidusrühmade platvormil on komitee seni selles valdkonnas aktiivselt toetanud julget poliitikat. Komitee kauaaegsed nõudmised komisjonile ressursitõhususe vallas hõlmavad üleskutset vaadata läbi ökodisainialased õigusaktid ja asjaomased tootepoliitika õigusaktid, lisada tootekujundusse järk-järgult kohustuslikud ressursitõhususe nõuded ning uued riigihankemenetlused, et soodustada ringluspõhiseid tooteid ja uusi ärimudeleid, võttes seejuures arvesse COVID-19-järgseid majandustingimusi ja muutuste tegelikku teostatavust.</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pPr>
      <w:r>
        <w:t>Komitee võtab teadmiseks, et muud kui finantsaruandlust käsitleva direktiivi läbivaatamine, mille eesmärk on parandada muu kui finantsteabe avalikustamise kvaliteeti ja ulatust, sh keskkonnaaspektide, näiteks elurikkuse osas, on edasi lükatud 2021. aastasse. Komitee leiab, et maksupoliitikat tuleks üldiselt reformida kooskõlas kliimaeesmärkidega ning et maksusüsteemid ja hinnakujundus peaksid kajastama keskkonnakulusid, sealhulgas elurikkuse vähenemist. See peaks toetama riikide maksusüsteemide muutmist nii, et liikmesriigid nihutavad maksukoormuse tööjõult saastamisele, liiga madala hinnaga ressurssidele ja muudele keskkonnaalastele välismõjudele. Et keskkonnaseisundi halvenemist vältida ja keskkonnaseisundit parandada, tuleb rakendada „kasutaja maksab“ ja „saastaja maksab“ põhimõtet.</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pPr>
      <w:r>
        <w:t>Komitee peab tervitatavaks asjaolu, et elurikkus integreeritakse kõikidesse poliitikavaldkondadesse, nagu on märgitud 2030. aasta elurikkuse strateegia teatises</w:t>
      </w:r>
      <w:r w:rsidRPr="00AB5770">
        <w:rPr>
          <w:rStyle w:val="FootnoteReference"/>
          <w:sz w:val="24"/>
          <w:szCs w:val="24"/>
          <w:lang w:val="en-GB"/>
        </w:rPr>
        <w:footnoteReference w:id="4"/>
      </w:r>
      <w:r>
        <w:t xml:space="preserve">. Komitee väljendab heameelt selle üle, et komisjon kehtestab uue Euroopa elurikkuse juhtimise raamistiku. See võimaldab kindlaks teha kohustused ja lubadused ning koostada tegevuskava nende elluviimiseks. Samuti tooks see kasu nii ühisele põllumajanduspoliitikale kui ka Euroopa toidusüsteemile ning võiks seega neid jätkuvalt kestlikumaks muuta. Elluviimisel kehtestab </w:t>
      </w:r>
      <w:r>
        <w:lastRenderedPageBreak/>
        <w:t>komisjon selgete kokkulepitud näitajatega seire- ja läbivaatamismehhanismi, mis võimaldab edusamme korrapäraselt hinnata ja vajaduse korral parandusmeetmeid võtta. See mehhanism peab aitama kaasa keskkonnapoliitika rakendamise läbivaatamisele ja Euroopa poolaasta protsessile.</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pPr>
      <w:r>
        <w:t>Komitee väljendab heameelt Euroopa kliimaseaduse üle, milles on sätestatud kogu ELi hõlmav õiguslikult siduv ühine eesmärk viia 2050. aastaks kasvuhoonegaaside netoheide nullini ja kehtestatud raamistik selle eesmärgi saavutamiseks. Seepärast peab komitee Euroopa kliimaseaduse ettepanekut üheks vahendiks, mis aitab kaasa Euroopa majanduse soovitud ja vajalikule taastamisele</w:t>
      </w:r>
      <w:r w:rsidRPr="00AB5770">
        <w:rPr>
          <w:rStyle w:val="FootnoteReference"/>
          <w:sz w:val="24"/>
          <w:szCs w:val="24"/>
          <w:lang w:val="en-GB"/>
        </w:rPr>
        <w:footnoteReference w:id="5"/>
      </w:r>
      <w:r>
        <w:t>. Komisjon soovib 2020. aasta septembriks läbi vaadata liidu 2030. aasta kliimaeesmärgi, võttes arvesse kliimaneutraalsuse eesmärki, uurida võimalusi seada 2030. aastaks uus eesmärk vähendada heidet 1990. aasta tasemega võrreldes 50–55 % ning esitada 2021. aasta keskpaigaks vastavad seadusandlikud ettepanekud. Komitee kutsub komisjoni üles taotlema heite vähemalt 55 %-list vähendamist aastaks 2030 ja esitama vastavad seadusandlikud ettepanekud, et reageerida omalt poolt tohutule ülemaailmsele vajadusele vähendada heitkoguseid</w:t>
      </w:r>
      <w:r w:rsidRPr="00AB5770">
        <w:rPr>
          <w:rStyle w:val="FootnoteReference"/>
          <w:sz w:val="24"/>
          <w:szCs w:val="24"/>
          <w:lang w:val="en-GB"/>
        </w:rPr>
        <w:footnoteReference w:id="6"/>
      </w:r>
      <w:r>
        <w:t>.</w:t>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pPr>
      <w:r>
        <w:t>Kõigi elanike osalemine kodanikuühiskonna organisatsioonide, ühenduste ja võrgustike kaudu teeb majanduse ja ühiskonna reformimise reaalselt võimalikuks. Seetõttu peavad liikmesriigid ja EL tagama, et selles keerulises protsessis ei jäeta kõrvale kedagi, eriti kõige ohustatumaid.</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pPr>
      <w:r>
        <w:t>Kliimameetmed ja kestliku arengu kohustused tuleb seada taastamis- ja ülesehituspoliitikas esiplaanile, et EL ei seoks oma tulevikku enam suure CO</w:t>
      </w:r>
      <w:r>
        <w:rPr>
          <w:vertAlign w:val="subscript"/>
        </w:rPr>
        <w:t>2</w:t>
      </w:r>
      <w:r>
        <w:t> heitega.</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pPr>
      <w:r>
        <w:t>Mitmeaastases finantsraamistikus tuleb suurendada ja eraldada piisavalt vahendeid investeerimisvajaduste täitmiseks, et saavutada tõeline ja põhjalik rohepööre. Samuti on oluline jätkuvalt prioriseerida muid keskkonnaküsimusi, nagu mulla-, maa ja mere kaitse, et nende seisukord pärast COVID-19 kriisi ja sellest hoolimata ei halveneks.</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pPr>
      <w:r>
        <w:t>Veelgi on vaja parandada energiajulgeolekut kõigil tasanditel ja ühiskonna vastupidavust, näiteks hoonete renoveerimise programmide kaudu. Piiriülene energiakoostöö ja piiriülesed energiaühendused kogu ELis on jätkuvalt olulised, nagu ka vajadus soodustada tarneallikate ulatuslikumat mitmekesistamist, näiteks pakkudes suuremat valikut taastuvaid energiaallikaid ja energia salvestamise lahendusi.</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pPr>
      <w:r>
        <w:t xml:space="preserve"> Üks võimalus kiirendada ELi kliimaneutraalsuse eesmärgi saavutamist on suurendada taastuvenergia ja vähese CO</w:t>
      </w:r>
      <w:r>
        <w:rPr>
          <w:vertAlign w:val="subscript"/>
        </w:rPr>
        <w:t>2</w:t>
      </w:r>
      <w:r>
        <w:t> heitega elektrienergia kasutamist praegu veel fossiilkütustepõhistest energiaallikatest sõltuvate sektorite elektrifitseerimise kaudu. Riiklikud energia- ja kliimakavad on oluline samm energialiidu ja Euroopa rohelise kokkuleppe tagamisel.</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3F802CCD" w:rsidR="00B677D6" w:rsidRPr="00AB5770" w:rsidRDefault="002C7108" w:rsidP="00AB5770">
      <w:pPr>
        <w:pStyle w:val="Heading3"/>
        <w:ind w:left="567" w:hanging="567"/>
      </w:pPr>
      <w:r>
        <w:lastRenderedPageBreak/>
        <w:t xml:space="preserve"> Seoses Euroopa kliimaseaduses sätestatud eesmärgiga saavutada ELis 2050. aastaks kliimaneutraalsus tuleb erilist tähelepanu pöörata transpordisektorile. Selle sektori CO</w:t>
      </w:r>
      <w:r>
        <w:rPr>
          <w:vertAlign w:val="subscript"/>
        </w:rPr>
        <w:t>2</w:t>
      </w:r>
      <w:r>
        <w:t> heide kasvab endiselt, kuid kliimaneutraalsuse eesmärgi saavutamiseks on vaja 2050. aastaks vähendada transpordisektori heitkoguseid 90 %.</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pPr>
      <w:r>
        <w:t xml:space="preserve"> Komitee on nõudnud ajakohastatud 2020. aasta järgset ELi metsastrateegiat, mis oleks Euroopa rohelise kokkuleppe osa. Uus strateegia võiks võimaluse korral ettevaatavalt ulatuda kuni aastani 2050. Metsade, metsanduse ja metsatööstuse tähtsust nimetatud eesmärkide täitmisel tuleks tunnistada kõigis sektorites ning see peaks tooma kaasa optimeeritud sektoriülese koostöö.</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pPr>
      <w:r>
        <w:t xml:space="preserve"> Komitee leiab, et kohanemismeetmed võivad aidata märkimisväärselt kaasa kestliku ülemineku ja COVID-19-järgse taastamise õiglasemale rakendamisele. Kogukondadel ja piirkondadel, mida kliimamuutuste kahjulik mõju keskmisest rohkem puudutab, tuleks aidata sellisele mõjule ja tuvastatud riskidele vastata. See kehtib eriti kogukondade ja piirkondade kohta, kus kasvuhoonegaaside heitkogused on nii praegu kui ka ajalooliselt olnud keskmisest väiksemad.</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pPr>
      <w:r>
        <w:t xml:space="preserve"> Komitee hindab seda, et komisjoni 2020. aasta kohandatud tööprogrammis käsitletakse Euroopa rohelise kokkuleppe teemat piisavalt ja see on üsna ühtlaselt integreeritud selle peamistesse osadesse. Eriti rõhutab komitee prioriteetset tähelepanu, mida on pööratud kestliku ülemineku rahastamisele, eelkõige Euroopa rohelise kokkuleppe investeerimiskavale ja õiglase ülemineku fondile. Ka muud kohandatud tööprogrammis nimetatud huvivaldkonnad, nagu säästev ja arukas liikuvus, säästev tootmine ja tarbimine, toidusüsteemide jätkusuutlikkus või energia CO</w:t>
      </w:r>
      <w:r>
        <w:rPr>
          <w:vertAlign w:val="subscript"/>
        </w:rPr>
        <w:t>2</w:t>
      </w:r>
      <w:r>
        <w:t> heite vähendamine, on selle eesmärgi saavutamiseks üsna olulised. Komitee usub, et ka komisjoni 2021. aasta tööprogrammi prioriteedid keskenduvad nendele algatustele.</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t>Investeerimisprioriteedid</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pPr>
      <w:r>
        <w:t xml:space="preserve">Taastekavadesse investeeritud avaliku sektori vahendid ei peaks mitte ainult aitama taastada Euroopa majandust ja ühiskonda, vaid aitama oluliselt vähendada ka tulevaste vapustuste mõju, investeerides vastupidavasse, kaasavasse ja kliimahoidlikku majandusse (nn heaolumajandus).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pPr>
      <w:r>
        <w:t>ELi kestliku rahanduse taksonoomia peaks suunama avaliku ja erasektori investeeringuid kogu majanduse taastamise ajal, et kiirendada üleminekut saastavatelt sektoritelt rohelistele sektoritele.</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pPr>
      <w:r>
        <w:t>Tuleb tagada, et uues mitmeaastases finantsraamistikus eraldataks piisavalt vahendeid kestliku arengu eesmärkide rakendamiseks ja kliimamuutustega võitlemiseks, kaotades samal ajal järk-järgult kahjuliku rahastamise (nt fossiilkütuste toetamine).</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pPr>
      <w:r>
        <w:t xml:space="preserve">Pärast 2009. aastat on Euroopa majandust suuremal osal kriisijärgsest aastakümnest iseloomustanud investeeringute puudujääk. Piisavate tulemuste saavutamiseks on hädavajalik investeeringute taastamine. Seepärast tunnustab komitee taastekava ettepanekut, mis koosneb peamiselt taasterahastu „NextGenerationEU“ programmist ja selle sammastest, ning 2021.–2027. aasta kohandatud mitmeaastast finantsraamistikku. Taasterahastut „NextGenerationEU“ </w:t>
      </w:r>
      <w:r>
        <w:lastRenderedPageBreak/>
        <w:t>võib pidada erakorraliseks, kuid ka vajalikuks ja kiireks sammuks ELi investeerimiskeskkonna parandamisel. Seda on täpsemalt käsitletud näiteks komitee arvamuses ECO/523.</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AB5770" w:rsidRDefault="00572014" w:rsidP="00AB5770">
      <w:pPr>
        <w:pStyle w:val="Heading3"/>
        <w:ind w:left="567" w:hanging="567"/>
      </w:pPr>
      <w:r>
        <w:t>Komitee märgib, et investeeringud ei kujuta endast komisjoni poliitilist eesmärki 2024. aastani ulatuval ametiajal, samuti ei ole investeeringud – konkreetsete algatuste puhul – 2020. aasta kohandatud tööprogrammis piisavalt esindatud. Seepärast soovitab komitee lisada 2021. aasta tööprogrammi investeeringutel põhinevad algatused, sealhulgas meetmed kaasata ELi tulevase kestliku majandusarengu huvides erainvesteeringuid.</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rPr>
      </w:pPr>
      <w:r>
        <w:rPr>
          <w:b/>
        </w:rPr>
        <w:t>Digitaalajastule vastav Euroopa</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pPr>
      <w:r>
        <w:t>Koroonaviiruse kriis näitas, et digipöördel on oluline osa meie kogukondade kriisitaluvusvõime suurendamises. Ülimalt tähtis on investeerida oluliste teenuste digiüleminekusse ning suurendada valitsuste, seadusandjate ja avaliku sektori asutuste suutlikkust osutada teenuseid kriisi ajal. Samas peame mõistma, et digitehnoloogia on vahend, mitte lõppeesmärk. Peame võtma digitehnoloogiat ümbritseva raamistiku avaliku sektori omandisse ja juhtima seda kõrgete kestlikkuse standardite, sealhulgas tugevate demokraatlike ja tehnoloogiliste kaitsemeetmete poole, millega kaasnevad kulud ja teadmisi toetavad meetmed, mis ei jäta kedagi kõrvale. Kooskõlas ELi ligipääsetavuse aktiga tähendab see vajadust tagada, et digipööre võimaldab ligipääsu ELis elavale rohkem kui 100 miljonile puuetega inimesele.</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pPr>
      <w:r>
        <w:t xml:space="preserve">Digiüleminek on taastumisele nii võimalus kui ka oht. Innovatsiooni valdkonnas võib Euroopa Liit tõusta esirinda, näiteks plokiahela valdkonnas, kus EL on juba juhtpositsioonil. Plokiahel kui tehnoloogia (mitte </w:t>
      </w:r>
      <w:r>
        <w:rPr>
          <w:i/>
        </w:rPr>
        <w:t>bitcoin</w:t>
      </w:r>
      <w:r>
        <w:t>) kannab demokraatlikke väärtusi, võimaldades läbipaistvust ja paremaid juhtimisstruktuure. Siiski tuleb juhtida digiüleminekuga kaasnevaid riske, nagu suurenev töötus, digitaalne marginaliseerumine ja sotsiaalne tõrjutus. Samuti tuleb leida viis, kuidas neid võimalusi ära kasutada ja samal ajal tasakaalustada riske maastikul, kus EL soovib jääda ülemaailmselt konkurentsivõimeliseks.</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pPr>
      <w:r>
        <w:t>Oluline on säilitada õiguste, standardite ja tarbijapoliitika Euroopa mudel. Just see muudab ELi ainulaadseks. Näiteks digiülemineku valdkonnas on ELi tehisintellekti eetikakoodeksis ELi seisukoht inimjuhitavuse põhimõtte kohta eristatud teiste piirkondade seisukohast. See lähenemisviis, mis rajaneb põhiõigustel ja -vabadustel, on osa ELi mudelist ning seda tuleks säilitada, hoolimata sellest, et konkurents praegu karmistub.</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pPr>
      <w:r>
        <w:t xml:space="preserve">Komitee rõhutab, kui tähtis on ühiskonna kõigi sektorite digiüleminek, eelkõige kaugtöö ja digitaalteenuste, sealhulgas e-kaubanduse ja e-tervise kaudu.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pPr>
      <w:r>
        <w:t>Pandeemia on näidanud, et digiüleminek hariduses ei ole ühiskonnas võrdselt kättesaadav, mis võib kaasa tuua edasisi probleeme haridustulemustes ja haridusvõimalustes. Seetõttu on vaja kehtestada meetmed, millega toetatakse ebasoodsas olukorras olevaid rühmi ja aidatakse seega vältida segregatsiooni.</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pPr>
      <w:r>
        <w:t>Tehisintellekti ja digiülemineku õigusraamistikku on vaja pidevalt ajakohastada, et pidada sammu tehnika arenguga ja eelkõige digitaalse teabevahetuse turvalisusega nii võrkude kui ka sisu osas.</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1EF55169" w:rsidR="00402726" w:rsidRPr="00AB5770" w:rsidRDefault="009E3600" w:rsidP="00AB5770">
      <w:pPr>
        <w:pStyle w:val="Heading2"/>
        <w:ind w:left="567" w:hanging="567"/>
      </w:pPr>
      <w:r>
        <w:t>Komitee võtab teadmiseks, et komisjon lükkab 2021. aastasse edasi seadusandliku ettepaneku tehisintellekti mõju kohta muu hulgas ohutusele, vastutusele, põhiõigustele ja andmetele. Komitee kutsub komisjoni üles i) edendama teadustöös multidistsiplinaarsust, kaasates teisi valdkondi, nagu õigus, eetika, filosoofia, psühholoogia, tööteadus, humanitaarteadused, majandusteadus jne; ii) kaasama asjaomaseid sidusrühmi (ametiühingud ning kutse-, tarbija- ja ettevõtlusorganisatsioonid, vabaühendused) arutellu tehisintellekti üle ja võrdsete partneritena ELi rahastatud teadusuuringutesse ja muudesse projektidesse, nagu tehisintellektialane avaliku ja erasektori partnerlus, valdkondlikud dialoogid ning avalikule sektorile suunatud programm „Võtame tehisintellekti kasutusele“ ja tippkeskus; ning iii) jätkama laiema avalikkuse harimist ja teavitamist tehisintellektiga seotud võimalustest ja probleemidest. Komitee soovitab samuti, et komisjon kaaluks põhjalikumalt tehisintellekti mõju kõigile põhiõigustele ja -vabadustele, sealhulgas – ent mitte üksnes – õigus õiglasele kohtumõistmisele, õigus õiglastele ja avatud valimistele ning õigus koguneda ja meelt avaldada, samuti õigus mittediskrimineerimisele. Komitee ei poolda jätkuvalt tehisintellekti jaoks mis tahes juriidilise isiku vormi kasutuselevõttu. Sellega kaotataks tsiviilvastutuse ennetav ja korrigeeriv mõju, tekib suur moraalne risk nii tehisintellekti arendamisel kui ka kasutamisel ning luuakse võimalused kuritarvitamiseks</w:t>
      </w:r>
      <w:r w:rsidR="0040070F" w:rsidRPr="00AB5770">
        <w:rPr>
          <w:rStyle w:val="FootnoteReference"/>
          <w:sz w:val="24"/>
          <w:szCs w:val="24"/>
          <w:lang w:val="en-GB"/>
        </w:rPr>
        <w:footnoteReference w:id="7"/>
      </w:r>
      <w:r>
        <w:t>.</w:t>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pPr>
      <w:r>
        <w:t>Nutitelefonide üha sageneva kasutuse ja 5G-võrkude kasutuselevõtu tõttu on rakenduste ja võrkude koostalitlusvõime kogu Euroopa Liidus väga oluline, eriti hädaolukordades.</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pPr>
      <w:r>
        <w:t>Arvestades digiülemineku edasist arengut ja selle kasvavat mõju era-, ühiskonna- ja tööelule ning kõigile sektoritele, on väga oluline õpetada digitaaloskusi ja võidelda elanike digitaalse lõhe vastu.</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pPr>
      <w:r>
        <w:t>Üsna õigesti on Euroopa valmisolek digitaalajastuks üks peamisi prioriteete, mis on nähtaval kohal ka 2020. aasta kohandatud tööprogrammis. Komitee hindab kõrgelt Euroopa Komisjoni suuri jõupingutusi sellistes valdkondades nagu tehisintellekt, digitaalteenused, küberturvalisus, digitaalsed seadmed ja tarbijate jaoks mõeldud lahendused, aga ka digitaalne rahandus. Komitee väljendab erilist heameelt tugeva digitaalse suuna üle kavandatavas Euroopa uues tööstusstrateegias. Digipööre on nähtav ka lennundusteenuste paketis. Komitee on samuti väga rahul sellega, et digiüleminek kajastub Euroopa teadusruumi kavandatud prioriteetsetes valdkondades.</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t>Inimeste hüvanguks toimiv majandus</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pPr>
      <w:r>
        <w:t>Peame oma majanduse juhtimise ümber kujundama vastupidava, kestliku ja kaasava Euroopa majandussüsteemi alusel. Meie eesmärk ei ole mitte ainult majanduse mehaaniline taastumine, vaid pigem kvalitatiivne muutus majanduspoliitika haldamises ja juhtimises.</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pPr>
      <w:r>
        <w:t xml:space="preserve">Kriisi kogumõju ei ole veel selge ning ülesehitustöö ja taastumine nõuavad märkimisväärseid jõupingutusi. Seetõttu on vaja kiiresti ellu viia 2020. aasta mais tehtud ettepanekud taasterahastu </w:t>
      </w:r>
      <w:r>
        <w:lastRenderedPageBreak/>
        <w:t>ja tugevdatud mitmeaastase finantsraamistiku kohta. Samuti peame olema valmis võtma lisameetmeid ja muutma juba vastu võetud meetmeid, kui see on muutuva olukorra tõttu õigustatud.</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pPr>
      <w:r>
        <w:t>Komitee palub komisjonil jätkata Euroopa poolaasta kasutamist majanduse taastamise tõukejõuna, tuginedes Euroopa poolaasta raames kindlaks määratud investeerimis- ja reformiprioriteetidele. Komiteel on hea meel, et hiljuti on rõhutatud sotsiaalküsimuste paremat kaasamist ja Euroopa rohelist kokkulepet, samuti taaste ja vastupidavuse rahastamisvahendi rakendamist Euroopa poolaasta kaudu. Komisjon peaks kogu Euroopa poolaasta kestel toetama euroala liikmesriike kõigi vajalike meetmete võtmisel, et kindlustada suurem majanduslik lähenemine ja integratsioon. See hõlmab koondatud positiivset eelarvepoliitikat euroalal tervikuna, et suuta väljuda praegusest kriisist.</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pPr>
      <w:r>
        <w:t xml:space="preserve">Kõik muude poliitikavaldkondade prioriteedid ja meetmed hõlmavad vajadust töötada välja uus majanduse juhtimise raamistik, mis vastab tänapäeva makromajandusliku olukorra probleemidele ning võimaldab liidul ja selle liikmesriikidel rakendada strateegilist tööstus-, konkurentsivõime-, sotsiaal-, keskkonna- ja kaubanduspoliitikat. 2020. aasta alguses algatas komisjon sellel teemal ulatusliku avaliku arutelu, kuid see peatati koroonaviiruse kriisi ning stabiilsuse ja kasvu pakti üldise vabastusklausli kohaldamise tõttu. Ei ole võimalik arvata, et saaksime 2021. aastal pöörduda tagasi pakti automaatse kohaldamise juurde. Seepärast peaks komisjon tegema uusi algatusi stabiilsuse ja kasvu pakti reformi edendamiseks, et tagada samal ajal stabiilsus ja majanduskasv.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pPr>
      <w:r>
        <w:t xml:space="preserve">Sellega seoses nõuab komitee sümmeetrilisemat makromajanduslikku kohandamist nii jooksevkonto puudujäägi kui ka ülejäägiga liikmesriikide puhul. Kõigil liikmesriikidel peab olema võimalik rohkem investeerida avalikesse teenustesse, sest nagu kriis näitas, on avalikel teenustel oluline roll inimeste elude päästmisel ja pandeemiaga võitlemisel. Lisaks peaksid Euroopa juhid kaaluma ELi eelarve-eeskirjade kohaldamisel tasakaalus eelarve nõuet, jättes avaliku sektori investeeringud eelarvepuudujäägi arvutamisel kõrvale ning võttes arvesse olemasoleva võlataseme jätkusuutlikkust.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pPr>
      <w:r>
        <w:t>Lisaks on pikka aega nõutud euroala alalist fiskaalstabiilsusmehhanismi, sest see toetaks tulevaste vapustuste korral tugevalt liidu antitsüklilist poliitikat. Selline mehhanism aitaks kaasa riikide rahanduse pikaajalisele stabiilsusele ja jätkusuutlikkusele ning tähistaks järgmist vajalikku sammu Euroopa majandus- ja rahaliidu süvendamisel.</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pPr>
      <w:r>
        <w:t>COVID-19-järgne taastumine sõltub olulisel määral Euroopa finantsturgude suutlikkusest tagada piisav likviidsus. Finantsturgude nõuetekohane toimimine ja parem finantsriskide jagamise suutlikkus on samuti vajalikud, et suurendada Euroopa majanduse vastupanuvõimet. Seetõttu tuleks viivitamata jätkata Euroopa finantsturgude edasist ühtlustamist ja integreerimist, sealhulgas pangandusliidu väljakujundamist ja kapitaliturgude liidu tugevdamist. Pankade usaldatavusnõuete läbivaatamisel Baseli raamistiku ülejäänud kokkulepete rakendamiseks tuleb arvesse võtta ELi panganduse eripära. Lisaks on oluline, et finantsturud suudaksid toetada rohepööret ja digiüleminekut. Komitee leiab, et finantssektori jätkusuutlikkuse süvalaiendamiseks on vaja rohkem pingutada, mistõttu toetab komitee komisjoni eesmärki uuendada kestliku rahanduse strateegiat.</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pPr>
      <w:r>
        <w:t>Komitee on kindlal arvamusel, et majanduse digipöörde kontekstis peavad mis tahes muutused riikide vahel kasumi maksustamisõiguste jaotamises olema ülemaailmselt kooskõlastatud, ja väljendab seepärast heameelt komisjoni, liikmesriikide, OECD/G20 koostöö üle rahvusvahelise lahenduse väljatöötamisel. Kui ei ole võimalik leida rahvusvahelist lahendust, peab EL kaaluma iseseisvalt tegutsemist. Võitlus maksupettuse, maksudest kõrvalehoidumise ja rahapesu vastu peab jääma tegevuskavas esmatähtsaks.</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pPr>
      <w:r>
        <w:t>Ühtekuuluvuspoliitikal on oluline roll majanduse tasakaalustatud taastamisel, lähenemise soodustamisel ja selle tagamisel, et kedagi ei jäetaks kõrvale. Finantspaindlikkus on ühtekuuluvusprogrammide jaoks väga oluline ja annab liikmesriikidele võimaluse kanda vahendeid üle vastavalt oma vajadusele kriisiga toime tulla. Komitee arvates tuleks kehtestada realistlik ajakava, et rahalised vahendid eraldataks liikmesriikidele võimalikult kiiresti. ELi ühtekuuluvuspoliitika peaks aastatel 2021–2027 jätkuvalt keskenduma majanduslikule konkurentsivõimele teadusuuringute ja innovatsiooni, digiülemineku ning Euroopa rohelise kokkuleppe tegevuskava ja kestliku arengu kaudu.</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pPr>
      <w:r>
        <w:t>COVID-19 pandeemia põhjustatud tervise- ja majanduskriis süvendas praegust jõukuse ja tulu ebavõrdset jaotust ning näitas selgelt vajadust uue ühiskonnamudeli järele, mis aitab rohkem kaasa majanduslikule ja sotsiaalsele ühtekuuluvusele, tootlikkusele ja jõukuse õiglasemale jaotumisele. Komisjon peaks nüüd kiiresti tegutsema komitee varasemate ettepanekute kohaselt, mis aitaksid pöörata ümber kasvava ebavõrdsuse suundumuse, mis tekitab lõhe eri liikmesriikide ja ühiskonnarühmade vahel ning on aidanud kaasa äärmuslike liikumiste ja parteide kasvule. Selleks on vaja otsustavaid ELi meetmeid, mis täiendavad liikmesriikide jõupingutusi, et suurendada investeeringuid sotsiaalsesse taristusse (haridus ja elukestev õpe; tervishoid, pikaajaline hooldus ja sotsiaalhooldus; taskukohane eluase), arendada avalikke hüvesid turusüsteemi lünkade täitmiseks, nihutada maksutulu raskuskese järk-järgult tööjõumaksudelt varamaksude suunas; töötada välja läbipaistev mehhanism kogu tulu ja jõukust käsitlevate andmete jälgimiseks ja koondamiseks; luua Euroopa tasandil äriühingutest aktsionäride register jne.</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pPr>
      <w:r>
        <w:t>COVID-19 kriisi taustal peaks komisjon jätkama ka varasemaid algatusi, mille eesmärk on tugevdada ja edendada Euroopa rolli maailmamajanduses. Komisjon peaks täiendavalt analüüsima ja pakkuma välja konkreetsemaid viise ja vahendeid, et tugevdada euro rahvusvahelist rolli, mitmekesistada tarneahelaid ja edendada Euroopa eeskirju ja standardeid teatavates strateegilistes sektorites, muuta Euroopa kolmandate riikide eksterritoriaalsete sanktsioonide suhtes vastupidavamaks ning liikuda järk-järgult Euroopa ühtse esindatuse poole rahvusvahelistel finantsfoorumitel.</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pPr>
      <w:r>
        <w:t xml:space="preserve">Majanduslik jõukus tuleb lahutada keskkonnaseisundi halvenemisest ja ühiskondlikust tüdimusest. Sellised mudelid nagu ringmajandus, koostöö- ja jagamismajandus pakuvad uusi tööhõive-, omandi- ja innovatsioonivõimalusi ning muudavad tootjate, turustajate ja tarbijate suhteid, muutes – nõuetekohase reguleerimise korral – kõik osalejad kriisidele vastupidavamaks. Lisaks uue ringmajanduse tegevuskava nõuetekohasele rakendamisele ning Euroopa Majandus- ja Sotsiaalkomitee ja Euroopa Komisjoni loodud Euroopa ringmajanduse sidusrühmade platvormi jätkamisele on peamiste prioriteetide hulgas edendada säästva </w:t>
      </w:r>
      <w:r>
        <w:lastRenderedPageBreak/>
        <w:t>tarbimise kõikehõlmavat strateegiat, töötada välja uued näitajad, et asendada SKP sobimatu kasutamine, ning kohandada ELi stabiilsuse ja kasvu pakti nii, et see hõlmaks kestlikkust ja heaolu.</w:t>
      </w:r>
    </w:p>
    <w:p w14:paraId="22C9EB7B" w14:textId="77777777" w:rsidR="00D872BD" w:rsidRPr="00AB5770" w:rsidRDefault="00D872BD" w:rsidP="00AB5770">
      <w:pPr>
        <w:pStyle w:val="Heading2"/>
        <w:numPr>
          <w:ilvl w:val="0"/>
          <w:numId w:val="0"/>
        </w:numPr>
        <w:ind w:left="709"/>
        <w:rPr>
          <w:lang w:val="en-GB"/>
        </w:rPr>
      </w:pPr>
    </w:p>
    <w:p w14:paraId="375B9EFB" w14:textId="4B2F02EF" w:rsidR="00D872BD" w:rsidRPr="00AB5770" w:rsidRDefault="00240E4C" w:rsidP="00AB5770">
      <w:pPr>
        <w:pStyle w:val="Heading2"/>
        <w:ind w:left="567" w:hanging="567"/>
      </w:pPr>
      <w:r>
        <w:t>Nagu on sätestatud Euroopa Liidu toimimise lepingu artiklis 14, mis käsitleb üldist majandushuvi pakkuvaid teenuseid, Euroopa Liidu toimimise lepingule lisatud protokollis nr 26 üldhuviteenuste kohta ning Euroopa sotsiaalõiguste sambas, tuleb üles ehitada tugevamate üldhuviteenustega ühiskond, eelkõige aga tervishoiu- ja sotsiaalteenused, elektrooniline side, ühistransport, energeetika, vesi ja jäätmekogumine ning toetavate investeeringute programm.</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pPr>
      <w:r>
        <w:t>Kaasaegsed majandusarengu kontseptsioonid ei põhine mitte ainult jõukuse, kasumlikkuse ja tõhususe kriteeriumidel, vaid ka sotsiaalsete ja keskkonnanõuete järgimisel ning igat liiki negatiivsete välismõjude ja turutõrgete kõrvaldamisel. Hiljutise COVID-19 kriisi õppetund näitab, et ka majandus peab olema tulevaste vapustustega toimetulekuks piisavalt vastupidav ja tugev. Seetõttu soovitab komitee tungivalt kõrvaldada struktuurse tasakaalustamatuse.</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pPr>
      <w:r>
        <w:t>Nüüdisaegne majandus nõuab ka turu sujuvat toimimist kõigis turusegmentides, sealhulgas üsna hiljutistes (virtuaal-, jagamis-, ring-, digitaalmajandus). Seetõttu on asjakohane ka finantsvahenduse parem toimimine. ELi kontekstis tähendab see eelkõige kapitaliturgude liidu süvendamist ja pangandusliidu väljakujundamist. Selleks et rohkem toetada üleminekut kestlikumale majandusele, tuleb kohandada ka maksusüsteemi.</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Ühtne turg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C608DC">
      <w:pPr>
        <w:pStyle w:val="Heading3"/>
        <w:ind w:left="567" w:hanging="567"/>
      </w:pPr>
      <w:r>
        <w:t>Ühtne turg on Euroopa projekti süda. Toimiv ühtne turg stimuleerib konkurentsi, parandab tõhusust ja kvaliteeti ja aitab alandada hindu. Euroopa ühtne turg on kindlasti üks ELi suurimaid saavutusi. Seepärast on väga oluline uurida, kuidas siseturu toimimine võib stimuleerida või takistada majanduse taastumist pärast tervishoiukriisi.</w:t>
      </w:r>
    </w:p>
    <w:p w14:paraId="25F5254F" w14:textId="77777777" w:rsidR="003467E2" w:rsidRPr="00AB5770" w:rsidRDefault="003467E2">
      <w:pPr>
        <w:pStyle w:val="Heading3"/>
        <w:numPr>
          <w:ilvl w:val="0"/>
          <w:numId w:val="0"/>
        </w:numPr>
        <w:ind w:left="709"/>
        <w:rPr>
          <w:lang w:val="en-GB"/>
        </w:rPr>
      </w:pPr>
    </w:p>
    <w:p w14:paraId="48A4FE66" w14:textId="16406571" w:rsidR="00445BD7" w:rsidRPr="00AB5770" w:rsidRDefault="003467E2" w:rsidP="00AB5770">
      <w:pPr>
        <w:pStyle w:val="Heading3"/>
        <w:ind w:left="567" w:hanging="567"/>
      </w:pPr>
      <w:r>
        <w:t>Ühtse turu sidusus ja ühtsus on hiljutise COVIDi pandeemia käigus tugevalt proovile pandud. Ilmnesid mõned valdkonnad, kus ühtne turg oli tõsiselt löögi all ja halvatud, eelkõige isikute vaba liikumise osas. Samuti mõjutas pandeemia negatiivselt piiriüleste tarneahelate järjepidevust. Piiriülese kaubanduse maht ELis vähenes kahekohaliste arvude võrra eelmise aasta sama perioodiga võrreldes. Ent selle põhiosa pidas vastu ja jäi püsima. Praegu on ühtse turu peamine ülesanne taastada kõik ELi-sisesed tavapärased piiriülesed kaubavood ja kõrvaldada ühtsel turul valitsevad tõkked, mis on hiljuti isegi kasvanud seoses teatavate riiklike strateegiate ja käsituste rakendamisega pärast eelmist kriisi.</w:t>
      </w:r>
    </w:p>
    <w:p w14:paraId="7CC05975" w14:textId="77777777" w:rsidR="00445BD7" w:rsidRPr="00AB5770" w:rsidRDefault="00445BD7" w:rsidP="00AB5770">
      <w:pPr>
        <w:pStyle w:val="Heading3"/>
        <w:numPr>
          <w:ilvl w:val="0"/>
          <w:numId w:val="0"/>
        </w:numPr>
        <w:rPr>
          <w:lang w:val="en-GB"/>
        </w:rPr>
      </w:pPr>
    </w:p>
    <w:p w14:paraId="359B2467" w14:textId="2AA7B6B8" w:rsidR="008729CC" w:rsidRPr="00AB5770" w:rsidRDefault="008729CC" w:rsidP="00AB5770">
      <w:pPr>
        <w:pStyle w:val="Heading3"/>
        <w:ind w:left="567" w:hanging="567"/>
      </w:pPr>
      <w:r>
        <w:t xml:space="preserve">Sotsiaalset innovatsiooni kui taastumise mudelit on võimalik edendada ühisloomise, -kavandamise ja -tootmise kaudu. Keerulisel sotsiaalsel maastikul, kus esineb suuri ühiskondlikke probleeme, on ainus viis lahenduste leidmiseks mobiliseerida kõik ühiskonna ressursid ning töötada valdkonnaüleselt ja multidistsiplinaarselt. Organiseeritud kodanikuühiskond on sotsiaalse innovatsiooni katalüsaator. Tegemist on liikumisega, mis on aidanud kujundada hoolekandesüsteeme, andes tulemuseks uued poliitikameetmed, struktuurid, tooted, teenused ja töömeetodid. Kodanikuühiskonna osalus on praegu vajalikum kui kunagi </w:t>
      </w:r>
      <w:r>
        <w:lastRenderedPageBreak/>
        <w:t>varem, ent tõeline sotsiaalne innovatsioon toimub üksnes siis, kui kaasatud on organiseeritud kodanikuühiskond.</w:t>
      </w:r>
    </w:p>
    <w:p w14:paraId="2126BAB7" w14:textId="146EC464" w:rsidR="008729CC" w:rsidRPr="00AB5770" w:rsidRDefault="008729CC">
      <w:pPr>
        <w:pStyle w:val="Heading3"/>
        <w:numPr>
          <w:ilvl w:val="0"/>
          <w:numId w:val="0"/>
        </w:numPr>
        <w:rPr>
          <w:lang w:val="en-GB"/>
        </w:rPr>
      </w:pPr>
    </w:p>
    <w:p w14:paraId="05DF7083" w14:textId="2A6E05AF" w:rsidR="008729CC" w:rsidRPr="00AB5770" w:rsidRDefault="008729CC" w:rsidP="00AB5770">
      <w:pPr>
        <w:pStyle w:val="Heading3"/>
        <w:ind w:left="567" w:hanging="567"/>
      </w:pPr>
      <w:r>
        <w:t>Ühtse turu strateegia on Euroopa projekti keskmes, võimaldades inimestel, teenustel, kaupadel ja kapitalil vabalt liikuda ning pakkudes võimalusi Euroopa ettevõtjatele, tarbijatele ja töötajatele. Selle potentsiaali täielikuks ärakasutamiseks on vaja meetmeid tõkete kõrvaldamiseks. Lisaks peab ühtne turg pärast kriisi ja lähtuvalt muutuva keskkonna muudest aspektidest, nagu digiüleminek, täielikult kohanema uute ideede ja ärimudelitega. Eesmärk on seega taastada, taaselustada ja ülesehitada ühtne turg kui majanduse taastevahend. Lühiajalised meetmed hõlmavad ka piiride viivitamatut avamist. Lisaks vajame lühiajalisi meetmeid kahes suunas – pingete lahendamiseks ning majanduse ja tootlikkuse käivitamiseks.</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C75EBFD" w:rsidR="008729CC" w:rsidRPr="00AB5770" w:rsidRDefault="008C08E0" w:rsidP="00AB5770">
      <w:pPr>
        <w:pStyle w:val="Heading3"/>
        <w:ind w:left="567" w:hanging="567"/>
      </w:pPr>
      <w:r>
        <w:t>Praegu väljajoonistuvad ebavõrdsed tingimused tekitavad tõsist muret. Liikmesriikides rakendatavad toetuspaketid on väga erinevad ja on (vaatamata headele kavatsustele nõudlusšokki veidigi leevendada) toonud kaasa ebavõrdsed tingimused liikmesriikide vahel. Lisaks tuleb riigiabi andmist käsitleda ja analüüsida sektoripõhiselt, uurides, kuidas need meetmed moonutavad lühi- ja pikaajalises perspektiivis konkurentsi ja võrdseid tingimusi.</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AB5770">
      <w:pPr>
        <w:pStyle w:val="Heading3"/>
        <w:ind w:left="567" w:hanging="567"/>
      </w:pPr>
      <w:r>
        <w:t>Me vajame tootlikkust reaalmajanduses (see tähendab töökohti, ostujõudu ning põhitooteid ja -teenuseid). Tootlikkuse vorm võib olla erinev ja lähtuda erinevatest ärimudelitest, kuid ebavõrdsuse edasise suurenemise vältimiseks peame selles valdkonnas meetmeid võtma. See käivitamine tähendab VKEdele ja tööstusele toetuspakettide ning soodsa keskkonna võimaldamist. Nagu me teame, moodustavad VKEd Euroopa majanduse selgroo ja vajavad eritoetust, kuid sellega ei tohiks kaasneda lisakoormus või bürokraatia. VKEde taastumine on võimalik üksnes siis, kui neile tehakse kättesaadavaks ELi ja riiklik rahaline toetus. Siinkohal on otsustava tähtsusega toetused, laenud, likviidsuse tagamine, maksusoodustused, soodsad tingimused töötajate tööl hoidmiseks ja värbamiseks, pankrotiseaduste läbivaatamine ja muu toetus. Pankrotiõiguse valdkonnas peaks EL võtma seadusandlikke meetmeid, et COVID-19 tõttu pankrotistunud väikeettevõtjatel oleks kiiresti võimalik oma tegevust taasalustada. Need meetmed peaksid olema ajaliselt piiratud.</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t>Tööstusstrateegia</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6D55BCD5" w:rsidR="00445BD7" w:rsidRPr="00AB5770" w:rsidRDefault="00445BD7">
      <w:pPr>
        <w:pStyle w:val="Heading3"/>
        <w:ind w:left="567" w:hanging="567"/>
      </w:pPr>
      <w:r>
        <w:t>Paljud eelnimetatud punktid kehtivad üldises mõttes ka täielikult tööstusstrateegia puhul. Euroopa tööstus seisab aga silmitsi mitte üksnes ühtse turu parandamise väljakutsega, vaid teenuste asemel ka oluliste struktuurimuutustega, mis on olulised peamiselt söekaevanduse ja väga CO</w:t>
      </w:r>
      <w:r>
        <w:rPr>
          <w:vertAlign w:val="subscript"/>
        </w:rPr>
        <w:t>2</w:t>
      </w:r>
      <w:r>
        <w:t>-mahukate tööstusharude jaoks.</w:t>
      </w:r>
    </w:p>
    <w:p w14:paraId="126DD3BC" w14:textId="77777777" w:rsidR="00445BD7" w:rsidRPr="00AB5770" w:rsidRDefault="00445BD7" w:rsidP="00AB5770">
      <w:pPr>
        <w:pStyle w:val="Heading3"/>
        <w:numPr>
          <w:ilvl w:val="0"/>
          <w:numId w:val="0"/>
        </w:numPr>
        <w:rPr>
          <w:lang w:val="en-GB"/>
        </w:rPr>
      </w:pPr>
    </w:p>
    <w:p w14:paraId="1A6092C4" w14:textId="0D3A271A" w:rsidR="00056526" w:rsidRPr="00AB5770" w:rsidRDefault="00445BD7" w:rsidP="00AB5770">
      <w:pPr>
        <w:pStyle w:val="Heading3"/>
        <w:ind w:left="567" w:hanging="567"/>
      </w:pPr>
      <w:r>
        <w:t>Euroopa uue tööstusstrateegia sisu seisneb ajakohase ja tugeva Euroopa tööstuse ning kliima- ja keskkonnanõuetest tulenevate väljakutsete kooseksisteerimisvõimaluste leidmises. Komitee on veendunud, et selline kooseksisteerimine on teostatav ja edu korral võib see anda Euroopale ülemaailmse suhtelise eelise. Teisest küljest on komitee täiesti teadlik selle üleminekuga seotud hiiglaslikest kuludest, võtab neid arvesse ning toetab nende asjakohast leevendamist ja hüvitamist ning majanduslike võimaluste arvesse võtmist.</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lastRenderedPageBreak/>
        <w:t>Tervishoiusüsteemid</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AFABD55" w:rsidR="00FC4926" w:rsidRPr="00AB5770" w:rsidRDefault="00FC4926">
      <w:pPr>
        <w:pStyle w:val="Heading3"/>
        <w:ind w:left="567" w:hanging="567"/>
      </w:pPr>
      <w:r>
        <w:t>Kõige olulisem on see, et koroonaviiruse kriisi üks peamisi õppetunde näitas vajadust tugevdada peaaegu iga Euroopa riigi tervishoiusüsteeme, keskendudes esmajoones ennetustegevusele. Koroonaviiruse mõju seab tervishoiusüsteemid kogu Euroopas tohutu surve alla. Kuigi tervishoiu eest vastutavad liikmesriigid, ei takista piirid viiruse levikut. See puudutab kogu Euroopat nii meie piiride sees kui ka neist väljaspool ning selle tervishoiualased, sotsiaalsed ja majanduslikud tagajärjed nõuavad ühist reageerimist Euroopa tasandil.</w:t>
      </w:r>
    </w:p>
    <w:p w14:paraId="4C2FF357" w14:textId="77777777" w:rsidR="00FC4926" w:rsidRPr="00AB5770" w:rsidRDefault="00FC4926" w:rsidP="00AB5770">
      <w:pPr>
        <w:pStyle w:val="Heading3"/>
        <w:numPr>
          <w:ilvl w:val="0"/>
          <w:numId w:val="0"/>
        </w:numPr>
        <w:rPr>
          <w:lang w:val="en-GB"/>
        </w:rPr>
      </w:pPr>
    </w:p>
    <w:p w14:paraId="66972A71" w14:textId="503E11C9" w:rsidR="00FC4926" w:rsidRPr="00AB5770" w:rsidRDefault="00FC4926" w:rsidP="00AB5770">
      <w:pPr>
        <w:pStyle w:val="Heading3"/>
        <w:ind w:left="567" w:hanging="567"/>
      </w:pPr>
      <w:r>
        <w:t>Koroonaviiruse kriis on näidanud ELi sõltuvust meditsiinitoodete impordist kolmandatest riikidest. Vaja on investeeringuid tervisekaitse-, hooldus- ja pikaajalise hoolduse teenustesse, ennetava tervishoiu ning töötervishoiu ja tööohutuse meetmetesse – elutsüklipõhise lähenemisviisi kohaselt – ning neid peavad toetama ELi institutsioonid.</w:t>
      </w:r>
    </w:p>
    <w:p w14:paraId="50442916" w14:textId="77777777" w:rsidR="00FC4926" w:rsidRPr="00AB5770" w:rsidRDefault="00FC4926" w:rsidP="00AB5770">
      <w:pPr>
        <w:pStyle w:val="Heading3"/>
        <w:numPr>
          <w:ilvl w:val="0"/>
          <w:numId w:val="0"/>
        </w:numPr>
        <w:rPr>
          <w:lang w:val="en-GB"/>
        </w:rPr>
      </w:pPr>
    </w:p>
    <w:p w14:paraId="61E90A61" w14:textId="783D36CA" w:rsidR="00FC4926" w:rsidRPr="00AB5770" w:rsidRDefault="00FC4926" w:rsidP="00AB5770">
      <w:pPr>
        <w:pStyle w:val="Heading3"/>
        <w:ind w:left="567" w:hanging="567"/>
      </w:pPr>
      <w:r>
        <w:t>Koroonaviiruse kriis näitab selgelt, et hargmaistel farmaatsiaettevõtetel on suur võim. Farmaatsiatööstuse sõltumatuse suurendamiseks tuleb luua ka ulatuslik Euroopa teadusfond uute ravimite ja vaktsiinide väljatöötamiseks. ELi institutsioonidel peaksid olema vajalikud volitused oluliste meditsiini- ja kaitsevahendite tarnimise, jaotamise ja hinnastamise kooskõlastamiseks ühtsel turul.</w:t>
      </w:r>
    </w:p>
    <w:p w14:paraId="44401FD4" w14:textId="77777777" w:rsidR="00FC4926" w:rsidRPr="00AB5770" w:rsidRDefault="00FC4926" w:rsidP="00AB5770">
      <w:pPr>
        <w:pStyle w:val="Heading3"/>
        <w:numPr>
          <w:ilvl w:val="0"/>
          <w:numId w:val="0"/>
        </w:numPr>
        <w:rPr>
          <w:lang w:val="en-GB"/>
        </w:rPr>
      </w:pPr>
    </w:p>
    <w:p w14:paraId="6B11D3C4" w14:textId="5F6BDD5D" w:rsidR="00056526" w:rsidRPr="00AB5770" w:rsidRDefault="00FC4926" w:rsidP="00AB5770">
      <w:pPr>
        <w:pStyle w:val="Heading3"/>
        <w:ind w:left="567" w:hanging="567"/>
      </w:pPr>
      <w:r>
        <w:t>Komitee kutsub üles koostama kestlikkust toetava kemikaalide strateegia, mis tagaks inimeste tervise ja keskkonna kaitse, minimeerides samal ajal kokkupuudet ohtlike kemikaalidega. Uus strateegia peab olema täielikult kooskõlas Euroopa rohelise kokkuleppega.</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62A5A6B8" w:rsidR="00B677D6" w:rsidRPr="00AB5770" w:rsidRDefault="007F5D9C" w:rsidP="00AB5770">
      <w:pPr>
        <w:pStyle w:val="Heading3"/>
        <w:ind w:left="567" w:hanging="567"/>
      </w:pPr>
      <w:r>
        <w:t>Vaja on taastada reisijate usaldus transpordi vastu, pöörates erilist tähelepanu ühistranspordile. See hõlmab muu hulgas reisijate terviseohutust suurendavaid meetmeid (nt kliimaseadmed, haigete tuvastamine, puhastus- ja desinfitseerimismeetmed jne). Sellega seoses tuleb uuesti käsitleda ja isegi tugevdada ka reisijate õigusi (nt tühistatud reiside hüvitamine).</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t>Euroopa maailmapositsiooni tugevdamine</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pPr>
      <w:r>
        <w:t>EL peab tugevdama ja toetama oma ülemaailmset positsiooni, täites tähtsamat ja strateegilisemat rolli maailma majanduses ja poliitikas. See positsioon on viimase kümnendi jooksul nõrgenenud. ELi majandusel on potentsiaali kasutada paremini ära oma suhtelisi eeliseid ülemaailmsel kaubandus- ja investeerimisturul, eelkõige kõrgtehnoloogilise tootmise ja innovatiivsete teenuste vallas, samuti saadab teda soov olla maailmas juhtpositsioonil. Selle jõupingutusega peaks kaasnema ELi parem ja tõhusam esindatus peamistes ülemaailmsetes organisatsioonides ning vajadus kõneleda seal ühel häälel. Komitee kutsub Euroopa Komisjoni üles tegema asjakohaseid jõupingutusi, et kajastada oma 2021. aasta tööprogrammis konkreetsemalt vajadust tugevdada ELi ülemaailmset positsiooni.</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pPr>
      <w:r>
        <w:t>EL peaks veelgi toetama mitmepoolset lähenemisviisi kaubandusele. Sotsiaalsete, töö- ja kestliku arengu standardite</w:t>
      </w:r>
      <w:r w:rsidR="0012012B" w:rsidRPr="00AB5770">
        <w:rPr>
          <w:rStyle w:val="FootnoteReference"/>
          <w:sz w:val="24"/>
          <w:szCs w:val="24"/>
          <w:lang w:val="en-GB"/>
        </w:rPr>
        <w:footnoteReference w:id="8"/>
      </w:r>
      <w:r>
        <w:t xml:space="preserve"> lisamine WTO ja teiste ÜROga seotud ametite eeskirjadesse võib </w:t>
      </w:r>
      <w:r>
        <w:lastRenderedPageBreak/>
        <w:t>oluliselt kaasa aidata uue, õiglase majandus- ja kaubanduskorra loomisele ning õiglasele ja arukale üleilmastumisele. Samal ajal peaks EL olema vastu jõupingutustele luua maailmamajanduses uusi tõkkeid ja piiranguid.</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pPr>
      <w:r>
        <w:t>COVIDi kriisi ühe konkreetse õppetunnina peaks EL tähelepanelikumalt kaaluma oma strateegiliste varade ja investeeringute kaitsmist ning tugevdama taustauuringuid valdkondades, kus on oht, et investeerimistehinguid kasutatakse strateegilises tööstusharus poliitiliselt vääriti.</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pPr>
      <w:r>
        <w:t>Pärast Brexitit ei peaks EL keskenduma üksnes oma sidususe ja ühtsuse tugevdamisele, vaid asjakohastel juhtudel ei tohiks unustada jätkata laienemisprotsessi, mis on viimasel ajal mõnevõrra viibinud, vaatamata teatavatele edusammudele iseäranis mõnede Lääne-Balkani kandidaatriikide ühinemisel. Laienemine võib oluliselt aidata kõrvaldada poliitilist ja majanduslikku ebakindlust kõrvaldamisele ning suurendada stabiilsust selles Euroopa osas.</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pPr>
      <w:r>
        <w:t>Viimasel kümnendil on geopoliitiline olukord halvenenud, mis puudutab ka ELi välispiirile lähemal asuvaid territooriume. Stabiilsuse toetamiseks ja ELiga vastastikuste suhete parandamiseks tuleb jätkata strateegilise partnerluse ja kaasava naabruspoliitika algatust. See peaks uutele oludele paindlikult reageerima ning põhinema vastastikusel austusel ja hüvedel, mida see mõlemale poolele annab.</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pPr>
      <w:r>
        <w:t>Muutuv geopoliitiline olukord ja hiljutise rändekriisi tagajärjed ning välissuhete halvenemine maailmas koos paljude uute ohtlike nähtustega on samuti muutnud ELi arenguabi ja toetuse spektrit. Järgmises mitmeaastases finantsraamistikus suurendatakse märkimisväärselt selleks otstarbeks eraldatavaid rahalisi vahendeid ning oodatakse Euroopa Arengufondi lisamist raamistikku. Komitee toetab seda tegevust ja rõhutab vajadust pöörata eritähelepanu Aafrikale, et aidata sellel mandril ületada keeruline poliitiline, majanduslik, sotsiaalne ja keskkonnaolukord.</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pPr>
      <w:r>
        <w:t>EL peab uuesti hakkama täitma strateegilist geopoliitilist rolli ülemaailmsete rahuprotsesside edendamisel, et taastada majandusarengu võimalused ELi naaberriikides – Lääne-Balkani, Euromedi ja idapartnerluse riikides – ning teistes konfliktidest räsitud piirkondades.</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t>Euroopaliku eluviisi edendamine</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Sotsiaalmeetmed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pPr>
      <w:r>
        <w:t xml:space="preserve">Lisaks majandus- ja keskkonnaküsimustele peab ELi 2021. aasta tööprogramm lähtuma sotsiaalsest mõõtmest. See tähendab, et ELi pühendumine sotsiaalsele ja kestlikule Euroopale on prioriteet. Selles on oluline roll ka kodanikuühiskonna organisatsioonidel. Sotsiaalset innovatsiooni kui taastumise mudelit on võimalik edendada ühisloomise, -kavandamise ja -tootmise kaudu. Keerulisel sotsiaalsel maastikul, kus esineb suuri ühiskondlikke probleeme, on ainus viis lahenduste leidmiseks mobiliseerida kõik ühiskonna ressursid ning töötada valdkonnaüleselt ja multidistsiplinaarselt. Organiseeritud kodanikuühiskond on sotsiaalse innovatsiooni katalüsaator.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pPr>
      <w:r>
        <w:lastRenderedPageBreak/>
        <w:t>Vaja on jõuda õiglase ülemineku laiema mõistmiseni (minnes kaugemale kivisöe kasutamise lõpetamisest) ja viia täielikult ellu Euroopa sotsiaalõiguste sammas, reformides samas ümberjagamissüsteeme, töö ja eraelu tasakaalu ning soolist võrdõiguslikkust.</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pPr>
      <w:r>
        <w:t>Euroopa sotsiaalõiguste samba rakendamine Euroopa tasandil ja kõigis liikmesriikides on oluline samm, et alustada proaktiivselt ülespoole suunatud sotsiaalse lähenemise protsessi. Komisjoni poliitilistes suunistes lubati kõigile õiglast üleminekut keskkonnahoidlikule sotsiaalsele turumajandusele. Sellega seoses esitas komisjon tegevuskava „Tugev sotsiaalne Euroopa õiglaste üleminekute jaoks“, millega algatati 2020. aasta novembrini kestev arutelu ELi riikide, piirkondade ja partneritega konkreetsete kohustuste üle samba rakendamiseks, et saavutada edu ELi, riiklikul, piirkondlikul ja kohalikul tasandil</w:t>
      </w:r>
      <w:r w:rsidRPr="00AB5770">
        <w:rPr>
          <w:rStyle w:val="FootnoteReference"/>
          <w:sz w:val="24"/>
          <w:szCs w:val="24"/>
          <w:lang w:val="en-GB"/>
        </w:rPr>
        <w:footnoteReference w:id="9"/>
      </w:r>
      <w:r>
        <w:t>. Saadud panuste põhjal esitab komisjon 2021. aasta alguses tegevuskava sotsiaalõiguste samba rakendamiseks. Täiendavad ettepanekud 2021. aastaks on esitatud tegevuskava lisas. Nende hulka kuuluvad lastegarantii, sotsiaalmajanduse tegevuskava, puuetega inimeste strateegia ja pikaajaline visioon maapiirkondade jaoks</w:t>
      </w:r>
      <w:r w:rsidRPr="00AB5770">
        <w:rPr>
          <w:rStyle w:val="FootnoteReference"/>
          <w:sz w:val="24"/>
          <w:szCs w:val="24"/>
          <w:lang w:val="en-GB"/>
        </w:rPr>
        <w:footnoteReference w:id="10"/>
      </w:r>
      <w:r>
        <w:t>.</w:t>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pPr>
      <w:r>
        <w:t>Tegevuskava raames algatas komisjon esimese etapi ja seejärel teise etapi konsultatsioonid sotsiaalpartneritega õiglase miinimumpalga teemal</w:t>
      </w:r>
      <w:r w:rsidRPr="00AB5770">
        <w:rPr>
          <w:rStyle w:val="FootnoteReference"/>
          <w:sz w:val="24"/>
          <w:szCs w:val="24"/>
          <w:lang w:val="en-GB"/>
        </w:rPr>
        <w:footnoteReference w:id="11"/>
      </w:r>
      <w:r>
        <w:t>. Komitee ootab komisjoni võimalikku tulevast seadusandlikku algatust inimväärse ja õiglase miinimumpalga kohta. Eesmärk peaks olema, et miinimumpalk tagab kõigis ELi liikmesriikides kõigile töötajatele inimväärse elatustaseme. Komitee tunnustab komisjoni tõdemust, et ELi meetmete abil on võimalik edendada kollektiivläbirääkimiste rolli piisava miinimumpalga ja sellega kaetuse toetuseks ning et kollektiivläbirääkimisi toetavad meetmed – iseäranis valdkondlikul tasandil – tuleks lisada miinimumpalka käsitlevatesse ELi meetmetesse</w:t>
      </w:r>
      <w:r w:rsidRPr="00AB5770">
        <w:rPr>
          <w:rStyle w:val="FootnoteReference"/>
          <w:sz w:val="24"/>
          <w:szCs w:val="24"/>
          <w:lang w:val="en-GB"/>
        </w:rPr>
        <w:footnoteReference w:id="12"/>
      </w:r>
      <w:r>
        <w:t>.</w:t>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pPr>
      <w:r>
        <w:t>ELi sotsiaalne mõõde on nii keerukas, et selle tugevdamiseks on vaja juhtimismehhanisme, mis võimaldavad eri sektorite erinevatel osalejatel probleeme ühiselt lahendada. Sotsiaaldialoogi roll on võtmetähtsusega. Tugev sotsiaalne taastumine tähendab ka paremat juurdepääsu ametiühingutele ja paremat kaitset. Toetada tuleks kollektiivläbirääkimisi ja töökoha demokraatiat. EL ja liikmesriigid peavad toetama sotsiaalpartnereid kollektiivläbirääkimiste ulatuse märkimisväärsel suurendamisel. Vaja on tugevdada representatiivsust ja autonoomiat ning sidemeid Euroopa ja liikmesriikide tasandi sotsiaaldialoogi vahel. Lisaks on vaja veelgi parandada sotsiaalpartnerite suutlikkust ja osalemist poliitika kujundamisel ning tagada stabiilne ja tasakaalustatud töösuhete raamistik. Komitee on seisukohal, et Euroopa Komisjon peaks vaatama läbi muutusteks ja restruktureerimiseks valmisolekut käsitleva ELi kvaliteediraamistiku ning pakkuma välja õigusliku aluse töötajate osalemise konkreetsete raamtingimuste jaoks, kahjustamata riiklikku pädevust</w:t>
      </w:r>
      <w:r w:rsidRPr="00AB5770">
        <w:rPr>
          <w:rStyle w:val="FootnoteReference"/>
          <w:sz w:val="24"/>
          <w:szCs w:val="24"/>
          <w:lang w:val="en-GB"/>
        </w:rPr>
        <w:footnoteReference w:id="13"/>
      </w:r>
      <w:r>
        <w:t>, et tõhustada töötajate osalemist rohelise kokkuleppe ja digiülemineku protsessiga seotud probleemide lahendamisel.</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pPr>
      <w:r>
        <w:lastRenderedPageBreak/>
        <w:t>Komitee kutsub komisjoni üles reformima Euroopa Liidu majanduse juhtimist. Komitee on veendunud, et vajalikud on mõningased muudatused a) juhtimises, st on vaja sihtotstarbelisi juhtimismehhanisme pakiliste probleemide kiiremaks lahendamiseks ja keeruliste küsimustega tegelemiseks. Selliste mehhanismide ülesanne oleks ühendada ELi ja liikmesriikide tasandit, mitte asendada kummaski tegutsemist; b) selles, kuidas integreerida kestliku arengu eesmärgid ELi majandus- ja sotsiaalseire- ning eelarvemenetlustesse. Selleks võiks Euroopa poolaastasse lisada uued, täiustatud, mõõdetavad ja vastastikku täiendavad sotsiaal-, majandus- ja keskkonnanäitajad, et jälgida ja pidada silmas Euroopa sotsiaalõiguste samba kõiki aspekte ja põhimõtteid, samuti 17 kestliku arengu eesmärki</w:t>
      </w:r>
      <w:r w:rsidRPr="00AB5770">
        <w:rPr>
          <w:rStyle w:val="FootnoteReference"/>
          <w:sz w:val="24"/>
          <w:szCs w:val="24"/>
          <w:lang w:val="en-GB"/>
        </w:rPr>
        <w:footnoteReference w:id="14"/>
      </w:r>
      <w:r>
        <w:t>.</w:t>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pPr>
      <w:r>
        <w:t>Komitee kiidab heaks ettepaneku platvormitöötajate töötingimuste parandamise kohta 2021. aastal. Komitee peab aga kahetsusväärseks, et komisjoni teatises ei ole otseselt käsitletud palju ulatuslikumat ülesannet, mida kujutab endast kaasav ja õiglane üleminek</w:t>
      </w:r>
      <w:r w:rsidRPr="00AB5770">
        <w:rPr>
          <w:rStyle w:val="FootnoteReference"/>
          <w:sz w:val="24"/>
          <w:szCs w:val="24"/>
          <w:lang w:val="en-GB"/>
        </w:rPr>
        <w:footnoteReference w:id="15"/>
      </w:r>
      <w:r>
        <w:t>. Komitee rõhutab vajadust ambitsioonika tegevuskava järele, et julgustada liikmesriike täitma oma lubadusi seoses Euroopa sotsiaalõiguste samba väljakuulutamisega</w:t>
      </w:r>
      <w:r w:rsidRPr="00AB5770">
        <w:rPr>
          <w:rStyle w:val="FootnoteReference"/>
          <w:sz w:val="24"/>
          <w:szCs w:val="24"/>
          <w:lang w:val="en-GB"/>
        </w:rPr>
        <w:footnoteReference w:id="16"/>
      </w:r>
      <w:r>
        <w:t>.</w:t>
      </w:r>
    </w:p>
    <w:p w14:paraId="63DFEBF7" w14:textId="77777777" w:rsidR="008729CC" w:rsidRPr="00AB5770" w:rsidRDefault="008729CC" w:rsidP="00AB5770">
      <w:pPr>
        <w:pStyle w:val="Heading3"/>
        <w:numPr>
          <w:ilvl w:val="0"/>
          <w:numId w:val="0"/>
        </w:numPr>
        <w:ind w:left="709"/>
        <w:rPr>
          <w:lang w:val="en-GB"/>
        </w:rPr>
      </w:pPr>
    </w:p>
    <w:p w14:paraId="206C5FB7" w14:textId="6E42422F" w:rsidR="00304F95" w:rsidRPr="00AB5770" w:rsidRDefault="008729CC" w:rsidP="00AB5770">
      <w:pPr>
        <w:pStyle w:val="Heading3"/>
        <w:ind w:left="567" w:hanging="568"/>
      </w:pPr>
      <w:r>
        <w:t>Äärmiselt tähtis on COVID-19 kriisist taastumise etapis tööd uuesti mõtestada. Tööviljakuse kasvu taotlemine nii era- kui ka avalik-õiguslikel alustel toimivas tervishoiu- ja hooldussektoris kahjustas teenuse kvaliteeti ja halvendas töökogemust, põhjustades tervishoiukriisi ajal ulatuslikke tagajärgi enamikus ELi riikides. Tegevuse teenusekesksemaks muutumine viiks töömahukama majanduseni, mis tasakaalustaks töökohtade ebakindlust nendes sektorites, toetades suuremat tööhõivet ja tuues töökohad reaalmajandusse tagasi. Seepärast on hädasti vaja poliitikat, millega toetada kvaliteetset tööd tööjõumahukates ja kvaliteetseid teenuseid pakkuvates sektorites.</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pPr>
      <w:r>
        <w:t>Komitee on jätkuvalt mures selle pärast, et vaesus üldiselt ja palgavaesus on paljudes liikmesriikides endiselt suur probleem. Lisaks palgatasemete parandamisele on ELi ja liikmesriikide tasandil vaja terviklikku lähenemisviisi, mis hõlmab meetmeid piisava miinimumsissetuleku kavade, töötuskindlustuse ühiste miinimumstandardite ja tõhusate aktiivse kaasamise kavade tagamiseks, mida toetavad olulised ja võimalusi pakkuvad sotsiaalteenused. Samuti on vaja hästi toimivaid tööturge, riiklikke tööturuasutusi ja aktiivset tööturupoliitikat</w:t>
      </w:r>
      <w:r w:rsidRPr="00AB5770">
        <w:rPr>
          <w:rStyle w:val="FootnoteReference"/>
          <w:sz w:val="24"/>
          <w:szCs w:val="24"/>
          <w:lang w:val="en-GB"/>
        </w:rPr>
        <w:footnoteReference w:id="17"/>
      </w:r>
      <w:r>
        <w:t>.</w:t>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AB5770">
      <w:pPr>
        <w:pStyle w:val="Heading3"/>
        <w:ind w:left="567" w:hanging="568"/>
      </w:pPr>
      <w:r>
        <w:t xml:space="preserve">Komitee toetab komisjoni soolise võrdõiguslikkuse strateegiat aastateks 2020–2025 ja soovitab komisjonil võtta vastu soolise võrdõiguslikkuse süvalaiendamise strateegiad kogu programmitöös ja kõigis juhtorganites, samuti valdkonnaülese lähenemisviisi soolisele võrdõiguslikkusele. Strateegia rakendamisel tuleks arvesse võtta COVID-19 mõjuga tegelemist, kasutades selleks kohandatud ja sihipäraseid poliitikameetmeid. Komitee võtab teadmiseks komisjoni kavatsuse esitada seadusandlik algatus palkade läbipaistvuse siduvate meetmete </w:t>
      </w:r>
      <w:r>
        <w:lastRenderedPageBreak/>
        <w:t>kohta. Palgaerinevuste ja muude sooliste lõhedega tegelemisel tuleks suuremat sotsiaalset tunnustust ja majanduslikku väärtust omistada töökohtadele ja sektoritele, kus traditsiooniliselt töötab palju naisi ning mis on sageli alatasustatud ja alaväärtustatud.</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AB5770">
      <w:pPr>
        <w:pStyle w:val="Heading3"/>
        <w:ind w:left="567" w:hanging="568"/>
      </w:pPr>
      <w:r>
        <w:t>Oluline on jätkata tegelemist pandeemia sotsiaal-majanduslike tagajärgedega, mis on erakordselt tugevad transpordi-, reisi- ja turismivaldkonnas, ning neid tagajärgi leevendada.</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A9750C">
      <w:pPr>
        <w:pStyle w:val="Heading2"/>
        <w:keepLines/>
        <w:ind w:left="567" w:hanging="567"/>
        <w:rPr>
          <w:b/>
        </w:rPr>
      </w:pPr>
      <w:r>
        <w:rPr>
          <w:b/>
        </w:rPr>
        <w:t>Ränne ja COVID-19-järgne ajastu</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1FE7C6BC" w:rsidR="003C005E" w:rsidRPr="00AB5770" w:rsidRDefault="003C005E">
      <w:pPr>
        <w:pStyle w:val="Heading3"/>
        <w:ind w:left="567" w:hanging="567"/>
      </w:pPr>
      <w:r>
        <w:t>COVID-19 pandeemia saabumisega, sellest tuleneva tohutu tragöödiaga riiklike tervishoiusüsteemide jaoks ja majanduse kokkuvarisemisega kõigis riikides tundus, et rände küsimus kaob päevakorrast ja vajub tagaplaanile, kusjuures avalik arvamus jääb selle suhtes mõnevõrra ükskõikseks. Varjupaigataotlejaid ei saa praeguse kriisi tõttu hüljata. Põhilised kaitseõigused on Euroopa väärtuste tuum ja neid ei saa üle parda heita, kui need osutuvad ebamugavaks.</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A9750C">
      <w:pPr>
        <w:pStyle w:val="Heading1"/>
        <w:keepNext/>
        <w:keepLines/>
        <w:ind w:left="567" w:hanging="567"/>
        <w:rPr>
          <w:b/>
        </w:rPr>
      </w:pPr>
      <w:r>
        <w:rPr>
          <w:b/>
        </w:rPr>
        <w:t>Uus hoog Euroopa demokraatiale</w:t>
      </w:r>
    </w:p>
    <w:p w14:paraId="5E2E03B6" w14:textId="77777777" w:rsidR="003C005E" w:rsidRPr="00AB5770" w:rsidRDefault="003C005E" w:rsidP="00A9750C">
      <w:pPr>
        <w:pStyle w:val="Heading1"/>
        <w:keepLines/>
        <w:numPr>
          <w:ilvl w:val="0"/>
          <w:numId w:val="0"/>
        </w:numPr>
        <w:rPr>
          <w:color w:val="000000" w:themeColor="text1"/>
          <w:lang w:val="en-GB"/>
        </w:rPr>
      </w:pPr>
    </w:p>
    <w:p w14:paraId="26514C3D" w14:textId="77777777" w:rsidR="00871571" w:rsidRPr="00AB5770" w:rsidRDefault="00102BE7">
      <w:pPr>
        <w:pStyle w:val="Heading2"/>
        <w:ind w:left="567" w:hanging="567"/>
      </w:pPr>
      <w:r>
        <w:t>Euroopa Liit põhineb ühistel Euroopa väärtustel, mis ei ole mingil juhul läbiräägitavad: inimväärikuse ja inimõiguste austamine, vabadus, demokraatia, võrdsus ja õigusriik. EL ja selle liikmesriigid ei tohi hädaolukorra ning selle majanduslike ja sotsiaalsete tagajärgedega silmitsi seistes neid väärtusi unustada. Kuigi praegusele kriisile tuleb reageerida kiiresti ja see nõuab teatavaid erakorralisi ja ajaliselt piiratud meetmeid, ei tohi need minna vastuollu õigusriigi põhimõttega ega ohustada demokraatiat, võimude lahusust ja Euroopa kodanike põhiõigusi. Komitee rõhutab, et kõik sellega seotud poliitikameetmed peavad olema täielikult kooskõlas meie ühiste väärtustega, nagu on sätestatud Euroopa Liidu lepingu artiklis 2.</w:t>
      </w:r>
    </w:p>
    <w:p w14:paraId="17E681F3" w14:textId="77777777" w:rsidR="00871571" w:rsidRPr="00AB5770" w:rsidRDefault="00871571" w:rsidP="00AB5770">
      <w:pPr>
        <w:pStyle w:val="Heading3"/>
        <w:numPr>
          <w:ilvl w:val="0"/>
          <w:numId w:val="0"/>
        </w:numPr>
        <w:rPr>
          <w:lang w:val="en-GB"/>
        </w:rPr>
      </w:pPr>
    </w:p>
    <w:p w14:paraId="01140D31" w14:textId="14D347B4" w:rsidR="009F6FB8" w:rsidRPr="00AB5770" w:rsidRDefault="00871571" w:rsidP="00AB5770">
      <w:pPr>
        <w:pStyle w:val="Heading2"/>
        <w:ind w:left="567" w:hanging="567"/>
      </w:pPr>
      <w:r>
        <w:t>Uue taaste- ja ülesehitusprotsessi käigus loodab komitee, et eelseisev Euroopa tulevikku käsitlev konverents võiks anda võimaluse tugevdada ja süvendada ELi institutsioonilist struktuuri ning tõeliselt uuendada ELi projekti, mis suudaks toime tulla järgmiste kümnendite katsumustega.</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617F5006" w:rsidR="00121CF4" w:rsidRPr="00AB5770" w:rsidRDefault="00871571" w:rsidP="00AB5770">
      <w:pPr>
        <w:pStyle w:val="Heading2"/>
        <w:ind w:left="567" w:hanging="567"/>
      </w:pPr>
      <w:r>
        <w:t>COVID-19 kriis on toonud esile praeguse Euroopa Liidu institutsionaalsed piirid ja puudused, näidates samas pakilist vajadust tulemusliku ja tõhusa liidu järele. Vaja on Euroopa Liidu uut ülesehitust, mis läheb kaugemale ELi ühtsest turust, et saavutada reaalse fiskaalvõimekusega integreeritum Euroopa, ja mille peamine eesmärk on parandada oma elanike elu- ja töötingimusi. Seepärast on komitee seisukohal, et konverentsi protsessis tuleks arvesse võtta ELi olemasolevaid majanduse taastamise vahendeid ja juba kujunenud solidaarsust, tagades samal ajal ökoloogilise kestlikkuse, majandusarengu, sotsiaalse arengu, julgeoleku ja demokraatia. Komitee rõhutab, et hoolimata pandeemiast peab kodanikuühiskonna organisatsioonide, sotsiaalpartnerite ja valitud esindajate otsene kaasamine jääma konverentsi prioriteediks, ning ootab huviga konverentsi algust, et luua koos kõigi ELi elanikega demokraatlikum, tõhusam ja vastupidavam liit. Komitee leiab, et komisjon peaks hoidma konverentsi ulatuse avatuna kõigile võimalikele tulemustele, sealhulgas seadusandlikud ettepanekud, millega algatatakse aluslepingute muutmine või tehakse muid muudatusi.</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08727F8D" w:rsidR="00871571" w:rsidRPr="00AB5770" w:rsidRDefault="00871571" w:rsidP="00AB5770">
      <w:pPr>
        <w:pStyle w:val="Heading2"/>
        <w:ind w:left="567" w:hanging="567"/>
      </w:pPr>
      <w:r>
        <w:lastRenderedPageBreak/>
        <w:t>Komitee arvates kujutab väärinfo endast otsest ohtu nii inimeste võimalusele teha teadlikke poliitilisi otsuseid kui ka Euroopa integratsiooniprojektile ning seega Euroopa Liidu ühtsusele, õitsengule ja ülemaailmsele mõjule. ELi demokraatliku otsustusvõime nõrgendamine on paljude välisriikide, aga ka Euroopa koostöö ja tugevama ühtekuuluvuse vastu seisvate äärmusrühmituste huvides. Komitee väljendab kindlat toetust ELi praegustele jõupingutustele – nii liidust endast kui ka mujalt – pärit väärinfo vastu võitlemisel ning nõuab, et komisjon tagaks väärinfot käsitleva tegevusjuhendi täieliku järgimise ja sellest johtuvad regulatiivsed järelmeetmed, arendaks edasi vast loodud varajase hoiatamise süsteemi ja STRATCOMi luureüksuseid ning avardaks Euroopa välisteenistuse tegevust väärinfo vastu, laiendades samal ajal märkimisväärselt ELi meetmeid liidusisese väärinfo vastu võitlemisel</w:t>
      </w:r>
      <w:r w:rsidRPr="00AB5770">
        <w:rPr>
          <w:rStyle w:val="FootnoteReference"/>
          <w:sz w:val="24"/>
          <w:szCs w:val="24"/>
          <w:lang w:val="en-GB"/>
        </w:rPr>
        <w:footnoteReference w:id="18"/>
      </w:r>
      <w:r>
        <w:t>.</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2B93F411" w:rsidR="00871571" w:rsidRPr="00AB5770" w:rsidRDefault="00871571" w:rsidP="00AB5770">
      <w:pPr>
        <w:pStyle w:val="Heading2"/>
        <w:ind w:left="567" w:hanging="567"/>
      </w:pPr>
      <w:r>
        <w:t>Komitee toetab kindlalt Euroopa Komisjoni ettepanekut töötada välja Euroopa demokraatia tegevuskava, mis peaks olema kõikehõlmav, järjepidev ja suuteline muutusi ellu viima, mida toetab rahaline tugi ja institutsioonidevaheline koordineerimine. Euroopa demokraatia tegevuskava ja sellega seotud tulevaste algatuste abil peaks püüdma palju rohkem ära teha, et saavutada vaba ja mitmekesine meedia ning kvaliteetne sõltumatu ajakirjandus, sotsiaalmeedia tõhus reguleerimine (eelkõige väärinfo vastu võitlemiseks ning vastutuse reguleerimiseks poliitilise internetireklaami ja teabesisu eest), nüüdisajastatud valimisprotsess, tõrjutud rühmade, peamiselt puuetega inimeste kaasamine ning ulatuslik kodanikuharidus Euroopa Liidu ja selle demokraatliku protsessi kohta kõigis liikmesriikides. Komitee tuletab meelde oma ettepanekut luua ELi kaugelevaatav teabevahetus-, haridus- ja kodanike teadlikkuse suurendamise strateegia põhiõiguste, õigusriigi põhimõtte ja demokraatia valdkonnas</w:t>
      </w:r>
      <w:r w:rsidRPr="00AB5770">
        <w:rPr>
          <w:rStyle w:val="FootnoteReference"/>
          <w:sz w:val="24"/>
          <w:szCs w:val="24"/>
          <w:lang w:val="en-GB"/>
        </w:rPr>
        <w:footnoteReference w:id="19"/>
      </w:r>
      <w:r>
        <w:t>.</w:t>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5613562A" w:rsidR="004A5C2F" w:rsidRPr="00AB5770" w:rsidRDefault="004A5C2F" w:rsidP="00AB5770">
      <w:pPr>
        <w:pStyle w:val="Heading2"/>
        <w:ind w:left="567" w:hanging="567"/>
        <w:rPr>
          <w:bCs/>
        </w:rPr>
      </w:pPr>
      <w:r>
        <w:t>Vaja on täiendavaid meetmeid, et saavutada vaba ja pluralistlik meedia ning kvaliteetne sõltumatu ajakirjandus, samuti sotsiaalmeedia tõhus reguleerimine, eelkõige väärinfo vastu võitlemiseks ning vastutuse reguleerimiseks poliitilise internetireklaami ja teabesisu eest.</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524941">
      <w:pPr>
        <w:pStyle w:val="Heading2"/>
        <w:keepNext/>
        <w:keepLines/>
        <w:ind w:left="567" w:hanging="567"/>
        <w:rPr>
          <w:b/>
          <w:bCs/>
        </w:rPr>
      </w:pPr>
      <w:r>
        <w:rPr>
          <w:b/>
        </w:rPr>
        <w:t>Parem õigusloome ja prognoos</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77777777" w:rsidR="00102BE7" w:rsidRPr="00AB5770" w:rsidRDefault="00102BE7" w:rsidP="00AB5770">
      <w:pPr>
        <w:pStyle w:val="Heading3"/>
        <w:ind w:left="567" w:hanging="567"/>
      </w:pPr>
      <w:r>
        <w:t>Komitee jääb kindlaks üleskutsele vaadata läbi parema õigusloome tegevuskava, mis hõlmab kestlikkuse kontrolli, et kõik ELi õigusaktid ja poliitikameetmed aitaksid kaasa kestliku arengu eesmärkide rakendamisele.</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13332F60" w:rsidR="00871571" w:rsidRPr="00AB5770" w:rsidRDefault="008672DC" w:rsidP="00AB5770">
      <w:pPr>
        <w:pStyle w:val="Heading3"/>
        <w:ind w:left="567" w:hanging="567"/>
      </w:pPr>
      <w:r>
        <w:t>Komitee on pühendunud REFITi platvormi asendava uue tulevikukindluse platvormi edule kaasa aitamisele ning tunnustab komitee suuremat rolli tulevikukindluse platvormis osalemise, esindatuse ja panuse osas. See uus platvorm kaasab liikmesriike ja kodanikuühiskonna esindajaid töösse lihtsustamise ja tarbetu regulatiivse koormuse vähendamise nimel ning valmistama Euroopat ette tulevasteks uuteks väljakutseteks, nagu digiüleminek. COVID-19 kriis on näidanud, kui oluline on kujundada meetmeid ja tugevdada võimeid nii, et need sobiksid tuleviku ebakindluse käsitlemiseks.</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14224EE6" w:rsidR="00871571" w:rsidRPr="00AB5770" w:rsidRDefault="00871571" w:rsidP="00AB5770">
      <w:pPr>
        <w:pStyle w:val="Heading3"/>
        <w:ind w:left="567" w:hanging="567"/>
      </w:pPr>
      <w:r>
        <w:lastRenderedPageBreak/>
        <w:t>Komitee kordab, et parem õigusloome ei saa asendada poliitilisi otsuseid ega tohi mingil juhul viia dereguleerimiseni või vähendada sotsiaal-, keskkonna- ja tarbijakaitset ning põhiõiguste kaitset. Komitee kutsub komisjoni üles vaatama läbi parema õigusloome vahendite suunised ja kriteeriumid, eesmärgiga integreerida 2030. aastani ulatuvas tegevuskavas seatud kestliku arengu eesmärgid hindamisprotsessi. Parema õigusloome tegevuskava vahenditesse tuleb selgelt lisada kestlikkuse kontroll. Komitee kordab oma üleskutset jätkata mõjuhindamise ja pideva hindamise Euroopa ökosüsteemi arendamist, et parandada selle kvaliteeti ning julgustada organiseeritud kodanikuühiskonna aktiivset osalemist õigusaktide väljatöötamises ja rakendamises</w:t>
      </w:r>
      <w:r w:rsidRPr="00AB5770">
        <w:rPr>
          <w:rStyle w:val="FootnoteReference"/>
          <w:sz w:val="24"/>
          <w:szCs w:val="24"/>
          <w:lang w:val="en-GB"/>
        </w:rPr>
        <w:footnoteReference w:id="20"/>
      </w:r>
      <w:r>
        <w:t>.</w:t>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40BA8045" w:rsidR="008672DC" w:rsidRPr="00AB5770" w:rsidRDefault="00102BE7" w:rsidP="00AB5770">
      <w:pPr>
        <w:pStyle w:val="Heading3"/>
        <w:ind w:left="567" w:hanging="567"/>
      </w:pPr>
      <w:r>
        <w:t>Komitee soovitab komisjonil ühendada avalikud konsultatsioonid (nende piirangute tõttu) sihtotstarbeliste ümarlaudadega, kus kohtuvad asjaomased sidusrühmad, nagu sotsiaalpartnerid ja organiseeritud kodanikuühiskond, et tugevdada osalusdemokraatiat.</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6451C0FB" w:rsidR="008672DC" w:rsidRPr="00AB5770" w:rsidRDefault="008672DC" w:rsidP="00AB5770">
      <w:pPr>
        <w:pStyle w:val="Heading3"/>
        <w:ind w:left="567" w:hanging="567"/>
      </w:pPr>
      <w:r>
        <w:t>Kodanikuühiskonna organisatsioonide osalemist mõju hindamisel ja strateegilisel prognoosimisel tuleks tugevdada, et tagada nende eksperditeadmiste ja kohapealsete teadmiste arvessevõtmine tulevaste õigusaktide ja poliitikameetmete kujundamisel uues, COVID-19 pandeemia järgses kontekstis.</w:t>
      </w:r>
    </w:p>
    <w:p w14:paraId="2B7CC6B8" w14:textId="77777777" w:rsidR="008672DC" w:rsidRPr="00AB5770" w:rsidRDefault="008672DC" w:rsidP="00AB5770">
      <w:pPr>
        <w:pStyle w:val="Heading3"/>
        <w:numPr>
          <w:ilvl w:val="0"/>
          <w:numId w:val="0"/>
        </w:numPr>
        <w:rPr>
          <w:lang w:val="en-GB"/>
        </w:rPr>
      </w:pPr>
    </w:p>
    <w:p w14:paraId="6CE046F9" w14:textId="2A643119" w:rsidR="00F95DB1" w:rsidRDefault="00E878C7" w:rsidP="00AB5770">
      <w:pPr>
        <w:pStyle w:val="Heading3"/>
        <w:ind w:left="567" w:hanging="567"/>
      </w:pPr>
      <w:r>
        <w:t xml:space="preserve">Kodanikuühiskonna organisatsioonid ise on süsteemi ebavõrdsuse ja nõrkuse ohvrid. Nende praegust ja tulevast suutlikkust vajadustele reageerida ohustavad sageli napid ja kõikuvad ressursid. Seda probleemi tuleb käsitleda kodanikuühiskonna organisatsioonide rahastamismehhanismide abil. Komisjoni 2021. aasta tööprogramm pärast kriisi on suurepärane võimalus vaadata läbi kodanikuühiskonna organisatsioonide suhtes võetud ELi kohustused, mis puudutavad kestlikumat ja struktuursemat rahalist toetust </w:t>
      </w:r>
      <w:r>
        <w:rPr>
          <w:i/>
        </w:rPr>
        <w:t>vs</w:t>
      </w:r>
      <w:r>
        <w:t xml:space="preserve">. projektipõhist rahastamist. </w:t>
      </w:r>
    </w:p>
    <w:p w14:paraId="60BC5F2D" w14:textId="4B5592B0" w:rsidR="00452DDA" w:rsidRDefault="00452DDA" w:rsidP="00452DDA">
      <w:pPr>
        <w:rPr>
          <w:lang w:val="en-GB" w:eastAsia="en-US"/>
        </w:rPr>
      </w:pPr>
    </w:p>
    <w:p w14:paraId="2CE93431" w14:textId="77777777" w:rsidR="00452DDA" w:rsidRPr="00452DDA" w:rsidRDefault="00452DDA" w:rsidP="00452DDA">
      <w:pPr>
        <w:rPr>
          <w:lang w:val="en-GB" w:eastAsia="en-US"/>
        </w:rPr>
      </w:pPr>
    </w:p>
    <w:p w14:paraId="7DD19626" w14:textId="77777777" w:rsidR="00452DDA" w:rsidRPr="00452DDA" w:rsidRDefault="00452DDA" w:rsidP="00452DDA">
      <w:pPr>
        <w:spacing w:line="288" w:lineRule="auto"/>
        <w:rPr>
          <w:rFonts w:ascii="Times New Roman" w:hAnsi="Times New Roman"/>
          <w:sz w:val="22"/>
        </w:rPr>
      </w:pPr>
      <w:bookmarkStart w:id="0" w:name="_GoBack"/>
      <w:bookmarkEnd w:id="0"/>
    </w:p>
    <w:p w14:paraId="7C66C848" w14:textId="4383FB64"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r>
        <w:rPr>
          <w:rFonts w:ascii="Times New Roman" w:hAnsi="Times New Roman"/>
          <w:sz w:val="22"/>
          <w:szCs w:val="22"/>
        </w:rPr>
        <w:t>_____________</w:t>
      </w:r>
    </w:p>
    <w:sectPr w:rsidR="00597B5F" w:rsidRPr="008402F0" w:rsidSect="00C608DC">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117D22A5"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0546CE">
      <w:rPr>
        <w:noProof/>
      </w:rPr>
      <w:t>1</w:t>
    </w:r>
    <w:r>
      <w:fldChar w:fldCharType="end"/>
    </w:r>
    <w:r>
      <w:t>/</w:t>
    </w:r>
    <w:fldSimple w:instr=" NUMPAGES ">
      <w:r w:rsidR="000546CE">
        <w:rPr>
          <w:noProof/>
        </w:rPr>
        <w:t>18</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055D06E0"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0546CE">
      <w:rPr>
        <w:noProof/>
      </w:rPr>
      <w:t>18</w:t>
    </w:r>
    <w:r>
      <w:fldChar w:fldCharType="end"/>
    </w:r>
    <w:r>
      <w:t>/</w:t>
    </w:r>
    <w:fldSimple w:instr=" NUMPAGES ">
      <w:r w:rsidR="000546CE">
        <w:rPr>
          <w:noProof/>
        </w:rPr>
        <w:t>18</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Pr>
            <w:rStyle w:val="Hyperlink"/>
            <w:rFonts w:ascii="Times New Roman" w:hAnsi="Times New Roman"/>
            <w:sz w:val="16"/>
          </w:rPr>
          <w:t>Resolutsioon COVID-19 kriisi järgse aja kohta</w:t>
        </w:r>
      </w:hyperlink>
      <w:r>
        <w:rPr>
          <w:rFonts w:ascii="Times New Roman" w:hAnsi="Times New Roman"/>
          <w:sz w:val="16"/>
        </w:rPr>
        <w:t>.</w:t>
      </w:r>
    </w:p>
  </w:footnote>
  <w:footnote w:id="3">
    <w:p w14:paraId="76D02058" w14:textId="6D4D982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Pr>
            <w:rStyle w:val="Hyperlink"/>
            <w:rFonts w:ascii="Times New Roman" w:hAnsi="Times New Roman"/>
            <w:sz w:val="16"/>
          </w:rPr>
          <w:t>https://eur-lex.europa.eu/legal-content/ET/TXT/?qid=1590732521013&amp;uri=COM:2020:456:FIN</w:t>
        </w:r>
      </w:hyperlink>
      <w:r>
        <w:t>.</w:t>
      </w:r>
    </w:p>
  </w:footnote>
  <w:footnote w:id="4">
    <w:p w14:paraId="2975B739" w14:textId="54D2173C" w:rsidR="00B15CE1" w:rsidRPr="00AB5770" w:rsidRDefault="00B15CE1" w:rsidP="00740235">
      <w:pPr>
        <w:pStyle w:val="FootnoteText"/>
        <w:tabs>
          <w:tab w:val="left" w:pos="567"/>
        </w:tabs>
        <w:spacing w:after="40"/>
        <w:rPr>
          <w:rFonts w:ascii="Times New Roman" w:hAnsi="Times New Roman"/>
          <w:sz w:val="16"/>
        </w:rPr>
      </w:pPr>
      <w:r>
        <w:rPr>
          <w:rStyle w:val="FootnoteReference"/>
          <w:rFonts w:ascii="Times New Roman" w:hAnsi="Times New Roman"/>
        </w:rPr>
        <w:footnoteRef/>
      </w:r>
      <w:r>
        <w:tab/>
      </w:r>
      <w:hyperlink r:id="rId3" w:history="1">
        <w:r>
          <w:rPr>
            <w:rStyle w:val="Hyperlink"/>
            <w:rFonts w:ascii="Times New Roman" w:hAnsi="Times New Roman"/>
            <w:sz w:val="16"/>
          </w:rPr>
          <w:t>https://eur-lex.europa.eu/legal-content/ET/TXT/?qid=1590574123338&amp;uri=CELEX%3A52020DC0380</w:t>
        </w:r>
      </w:hyperlink>
      <w:r>
        <w:t>.</w:t>
      </w:r>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tab/>
      </w:r>
      <w:r>
        <w:rPr>
          <w:rFonts w:ascii="Times New Roman" w:hAnsi="Times New Roman"/>
          <w:sz w:val="16"/>
        </w:rPr>
        <w:t>Koostamisel olev arvamus NAT/784, „Euroopa kliimaseadus“.</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sidRPr="00A37162">
        <w:rPr>
          <w:rFonts w:ascii="Times New Roman" w:hAnsi="Times New Roman"/>
          <w:sz w:val="16"/>
          <w:szCs w:val="16"/>
        </w:rPr>
        <w:t>Koostamisel olev arvamus NAT/784, „Euroopa kliimaseadus“.</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szCs w:val="16"/>
        </w:rPr>
        <w:t>Koostamisel olev arvamus INT/894 „Valge raamat tehisintellekti kohta“.</w:t>
      </w:r>
    </w:p>
  </w:footnote>
  <w:footnote w:id="8">
    <w:p w14:paraId="4E72A4A2" w14:textId="42939075" w:rsidR="00B15CE1" w:rsidRPr="00A37162" w:rsidRDefault="00B15CE1" w:rsidP="00AF282B">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Vt näiteks </w:t>
      </w:r>
      <w:hyperlink r:id="rId4" w:history="1">
        <w:r>
          <w:rPr>
            <w:rStyle w:val="Hyperlink"/>
            <w:rFonts w:ascii="Times New Roman" w:hAnsi="Times New Roman"/>
            <w:sz w:val="16"/>
            <w:szCs w:val="16"/>
          </w:rPr>
          <w:t>https://www.ilo.org/global/standards/lang--en/index.htm</w:t>
        </w:r>
      </w:hyperlink>
      <w:r w:rsidR="00A37162">
        <w:rPr>
          <w:rStyle w:val="Hyperlink"/>
          <w:rFonts w:ascii="Times New Roman" w:hAnsi="Times New Roman"/>
          <w:sz w:val="16"/>
          <w:szCs w:val="16"/>
          <w:u w:val="none"/>
        </w:rPr>
        <w:t>.</w:t>
      </w:r>
    </w:p>
  </w:footnote>
  <w:footnote w:id="9">
    <w:p w14:paraId="1F22AEED" w14:textId="0BFBF3C1"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Pr>
            <w:rStyle w:val="Hyperlink"/>
            <w:rFonts w:ascii="Times New Roman" w:hAnsi="Times New Roman"/>
            <w:sz w:val="16"/>
            <w:szCs w:val="16"/>
          </w:rPr>
          <w:t>https://ec.europa.eu/commission/presscorner/detail/et/qanda_20_20</w:t>
        </w:r>
      </w:hyperlink>
      <w:r w:rsidRPr="00A37162">
        <w:rPr>
          <w:sz w:val="16"/>
          <w:szCs w:val="16"/>
        </w:rPr>
        <w:t>.</w:t>
      </w:r>
    </w:p>
  </w:footnote>
  <w:footnote w:id="10">
    <w:p w14:paraId="109D7CF0" w14:textId="0AE5469C"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r>
      <w:hyperlink r:id="rId6" w:history="1">
        <w:r>
          <w:rPr>
            <w:rStyle w:val="Hyperlink"/>
            <w:rFonts w:ascii="Times New Roman" w:hAnsi="Times New Roman"/>
            <w:sz w:val="16"/>
            <w:szCs w:val="16"/>
          </w:rPr>
          <w:t>Strong Social Europe for Just Transitions</w:t>
        </w:r>
      </w:hyperlink>
      <w:r w:rsidRPr="00A37162">
        <w:rPr>
          <w:sz w:val="16"/>
          <w:szCs w:val="16"/>
        </w:rPr>
        <w:t>.</w:t>
      </w:r>
    </w:p>
  </w:footnote>
  <w:footnote w:id="11">
    <w:p w14:paraId="04CEB791" w14:textId="5904F5A1" w:rsidR="00B15CE1" w:rsidRPr="00A37162"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7" w:history="1">
        <w:r>
          <w:rPr>
            <w:rStyle w:val="Hyperlink"/>
            <w:rFonts w:ascii="Times New Roman" w:hAnsi="Times New Roman"/>
            <w:sz w:val="16"/>
            <w:szCs w:val="16"/>
          </w:rPr>
          <w:t>https://ec.europa.eu/social/main.jsp?langId=en&amp;catId=1226&amp;furtherNews=yes&amp;newsId=9696</w:t>
        </w:r>
      </w:hyperlink>
      <w:r w:rsidR="00A37162">
        <w:rPr>
          <w:rStyle w:val="Hyperlink"/>
          <w:rFonts w:ascii="Times New Roman" w:hAnsi="Times New Roman"/>
          <w:sz w:val="16"/>
          <w:szCs w:val="16"/>
          <w:u w:val="none"/>
        </w:rPr>
        <w:t>.</w:t>
      </w:r>
    </w:p>
  </w:footnote>
  <w:footnote w:id="12">
    <w:p w14:paraId="0964E7E2" w14:textId="261F54B9"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Koostamisel olev Euroopa Majandus- ja Sotsiaalkomitee arvamus SOC/632, „Inimväärne miinimumpalk kogu Euroopas“.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8" w:history="1">
        <w:r>
          <w:rPr>
            <w:rStyle w:val="Hyperlink"/>
            <w:rFonts w:ascii="Times New Roman" w:hAnsi="Times New Roman"/>
            <w:sz w:val="16"/>
          </w:rPr>
          <w:t>CCMI/124, „Muutusteks ja restruktureerimiseks valmisolekut käsitlev ELi kvaliteediraamistik“</w:t>
        </w:r>
      </w:hyperlink>
      <w:r w:rsidRPr="00A37162">
        <w:rPr>
          <w:sz w:val="16"/>
          <w:szCs w:val="16"/>
        </w:rPr>
        <w:t>.</w:t>
      </w:r>
    </w:p>
  </w:footnote>
  <w:footnote w:id="14">
    <w:p w14:paraId="1A9D5F5B" w14:textId="59688FC6" w:rsidR="00B15CE1" w:rsidRPr="00AB5770" w:rsidRDefault="00B15CE1" w:rsidP="00740235">
      <w:pPr>
        <w:pStyle w:val="FootnoteText"/>
        <w:tabs>
          <w:tab w:val="left" w:pos="567"/>
        </w:tabs>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Pr>
            <w:rStyle w:val="Hyperlink"/>
            <w:rFonts w:ascii="Times New Roman" w:hAnsi="Times New Roman"/>
            <w:sz w:val="16"/>
            <w:szCs w:val="16"/>
          </w:rPr>
          <w:t>Euroopa Majandus- ja Sotsiaalkomitee panus Euroopa Komisjoni 2020. aasta tööprogrammi ja edaspidi</w:t>
        </w:r>
      </w:hyperlink>
      <w:r w:rsidRPr="00A37162">
        <w:rPr>
          <w:sz w:val="16"/>
          <w:szCs w:val="16"/>
        </w:rPr>
        <w:t>.</w:t>
      </w:r>
    </w:p>
  </w:footnote>
  <w:footnote w:id="15">
    <w:p w14:paraId="225FEDEB" w14:textId="1B6095C5"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10" w:history="1">
        <w:r>
          <w:rPr>
            <w:rStyle w:val="Hyperlink"/>
            <w:rFonts w:ascii="Times New Roman" w:hAnsi="Times New Roman"/>
            <w:sz w:val="16"/>
          </w:rPr>
          <w:t>https://eur-lex.europa.eu/legal-content/ET/TXT/PDF/?uri=CELEX:52020DC0102&amp;from=ET</w:t>
        </w:r>
      </w:hyperlink>
      <w:r w:rsidRPr="00A37162">
        <w:rPr>
          <w:sz w:val="16"/>
          <w:szCs w:val="16"/>
        </w:rPr>
        <w:t>.</w:t>
      </w:r>
    </w:p>
  </w:footnote>
  <w:footnote w:id="16">
    <w:p w14:paraId="55370B44" w14:textId="34F47B8A"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INT/897 „Tööstusstrateegia“. </w:t>
      </w:r>
    </w:p>
  </w:footnote>
  <w:footnote w:id="17">
    <w:p w14:paraId="3BB800B4" w14:textId="635E5D30" w:rsidR="00B15CE1" w:rsidRPr="00AB5770" w:rsidRDefault="00B15CE1" w:rsidP="00740235">
      <w:pPr>
        <w:pStyle w:val="FootnoteText"/>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r w:rsidRPr="00A37162">
        <w:rPr>
          <w:rFonts w:ascii="Times New Roman" w:hAnsi="Times New Roman"/>
          <w:sz w:val="16"/>
          <w:szCs w:val="16"/>
        </w:rPr>
        <w:t xml:space="preserve">Koostamisel olev Euroopa Majandus- ja Sotsiaalkomitee arvamus SOC/632, „Inimväärne miinimumpalk kogu Euroopas“ ja arvamus SOC/583, </w:t>
      </w:r>
      <w:hyperlink r:id="rId11" w:history="1">
        <w:r w:rsidRPr="00A37162">
          <w:rPr>
            <w:rStyle w:val="Hyperlink"/>
            <w:rFonts w:ascii="Times New Roman" w:hAnsi="Times New Roman"/>
            <w:sz w:val="16"/>
            <w:szCs w:val="16"/>
          </w:rPr>
          <w:t>„Ühtsed töötuskindlustuse miinimumstandardid ELi liikmesriikides: konkreetne samm Euroopa sotsiaalõiguste samba tõhusaks rakendamiseks“</w:t>
        </w:r>
      </w:hyperlink>
      <w:r w:rsidRPr="00A37162">
        <w:rPr>
          <w:rFonts w:ascii="Times New Roman" w:hAnsi="Times New Roman"/>
          <w:sz w:val="16"/>
          <w:szCs w:val="16"/>
        </w:rPr>
        <w:t xml:space="preserve"> ja Euroopa Majandus- ja Sotsiaalkomitee arvamus </w:t>
      </w:r>
      <w:hyperlink r:id="rId12">
        <w:r w:rsidRPr="00A37162">
          <w:rPr>
            <w:rStyle w:val="InternetLink"/>
            <w:rFonts w:ascii="Times New Roman" w:hAnsi="Times New Roman"/>
            <w:sz w:val="16"/>
            <w:szCs w:val="16"/>
          </w:rPr>
          <w:t>„Euroopa raamdirektiiv piisava miinimumsissetuleku tagamiseks“</w:t>
        </w:r>
      </w:hyperlink>
      <w:r w:rsidRPr="00A37162">
        <w:rPr>
          <w:rFonts w:ascii="Times New Roman" w:hAnsi="Times New Roman"/>
          <w:sz w:val="16"/>
          <w:szCs w:val="16"/>
        </w:rPr>
        <w:t>.</w:t>
      </w:r>
    </w:p>
  </w:footnote>
  <w:footnote w:id="18">
    <w:p w14:paraId="1CFFBA6E" w14:textId="2CC0D4E4"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SOC/630, „Kampaaniate mõju poliitilises otsustusprotsessis osalemisele“.</w:t>
      </w:r>
    </w:p>
  </w:footnote>
  <w:footnote w:id="19">
    <w:p w14:paraId="199FDAEA" w14:textId="3D26FA09"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hyperlink r:id="rId13" w:history="1">
        <w:r>
          <w:rPr>
            <w:rStyle w:val="Hyperlink"/>
            <w:rFonts w:ascii="Times New Roman" w:hAnsi="Times New Roman"/>
            <w:sz w:val="16"/>
            <w:szCs w:val="16"/>
          </w:rPr>
          <w:t>ELT C 282, 20.8.2019, lk 39</w:t>
        </w:r>
      </w:hyperlink>
      <w:r>
        <w:rPr>
          <w:rFonts w:ascii="Times New Roman" w:hAnsi="Times New Roman"/>
          <w:sz w:val="16"/>
        </w:rPr>
        <w:t>, komisjoni teatis Euroopa Parlamendile, Euroopa Ülemkogule ja nõukogule „Õigusriigi edasine tugevdamine liidus. Hetkeseis ja võimalikud edasised sammud“, 3. aprill 2019.</w:t>
      </w:r>
    </w:p>
  </w:footnote>
  <w:footnote w:id="20">
    <w:p w14:paraId="249E0B64" w14:textId="1AEB2C2E" w:rsidR="00B15CE1" w:rsidRPr="00AB5770" w:rsidRDefault="00B15CE1" w:rsidP="001A0D81">
      <w:pPr>
        <w:pStyle w:val="FootnoteText"/>
        <w:tabs>
          <w:tab w:val="left" w:pos="567"/>
        </w:tabs>
        <w:rPr>
          <w:rFonts w:ascii="Times New Roman" w:hAnsi="Times New Roman"/>
          <w:sz w:val="16"/>
        </w:rPr>
      </w:pPr>
      <w:r>
        <w:rPr>
          <w:rStyle w:val="FootnoteReference"/>
          <w:rFonts w:ascii="Times New Roman" w:hAnsi="Times New Roman"/>
        </w:rPr>
        <w:footnoteRef/>
      </w:r>
      <w:r>
        <w:tab/>
      </w:r>
      <w:r w:rsidRPr="00A37162">
        <w:rPr>
          <w:rFonts w:ascii="Times New Roman" w:hAnsi="Times New Roman"/>
          <w:sz w:val="16"/>
          <w:szCs w:val="16"/>
        </w:rPr>
        <w:t xml:space="preserve">INT/886 „Parem õigusloome: kokkuvõtete tegemine ja pingutuste jätkamine“, </w:t>
      </w:r>
      <w:hyperlink r:id="rId14" w:tgtFrame="_blank" w:tooltip="ELT C 14, 15.1.2020, lk 72 (link avaneb uues aknas)" w:history="1">
        <w:r w:rsidRPr="00A37162">
          <w:rPr>
            <w:rFonts w:ascii="Times New Roman" w:hAnsi="Times New Roman"/>
            <w:color w:val="00AADB"/>
            <w:sz w:val="16"/>
            <w:szCs w:val="16"/>
            <w:u w:val="single"/>
            <w:shd w:val="clear" w:color="auto" w:fill="FFFFFF"/>
          </w:rPr>
          <w:t>ELT C 14, 15.1.2020, lk 72</w:t>
        </w:r>
      </w:hyperlink>
      <w:r w:rsidRPr="00A37162">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46CE"/>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378"/>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37162"/>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DFC43E4"/>
  <w14:defaultImageDpi w14:val="30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t-EE"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et-EE"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et-EE"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et-EE"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et-EE"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et-EE"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et-EE" w:eastAsia="en-US"/>
    </w:rPr>
  </w:style>
  <w:style w:type="character" w:customStyle="1" w:styleId="Heading2Char">
    <w:name w:val="Heading 2 Char"/>
    <w:link w:val="Heading2"/>
    <w:rsid w:val="00785C57"/>
    <w:rPr>
      <w:rFonts w:ascii="Times New Roman" w:eastAsia="Times New Roman" w:hAnsi="Times New Roman"/>
      <w:sz w:val="22"/>
      <w:szCs w:val="22"/>
      <w:lang w:val="et-EE" w:eastAsia="en-US"/>
    </w:rPr>
  </w:style>
  <w:style w:type="character" w:customStyle="1" w:styleId="Heading3Char">
    <w:name w:val="Heading 3 Char"/>
    <w:link w:val="Heading3"/>
    <w:rsid w:val="00785C57"/>
    <w:rPr>
      <w:rFonts w:ascii="Times New Roman" w:eastAsia="Times New Roman" w:hAnsi="Times New Roman"/>
      <w:sz w:val="22"/>
      <w:szCs w:val="22"/>
      <w:lang w:val="et-EE" w:eastAsia="en-US"/>
    </w:rPr>
  </w:style>
  <w:style w:type="character" w:customStyle="1" w:styleId="Heading4Char">
    <w:name w:val="Heading 4 Char"/>
    <w:link w:val="Heading4"/>
    <w:rsid w:val="00785C57"/>
    <w:rPr>
      <w:rFonts w:ascii="Times New Roman" w:eastAsia="Times New Roman" w:hAnsi="Times New Roman"/>
      <w:sz w:val="22"/>
      <w:szCs w:val="22"/>
      <w:lang w:val="et-EE" w:eastAsia="en-US"/>
    </w:rPr>
  </w:style>
  <w:style w:type="character" w:customStyle="1" w:styleId="Heading5Char">
    <w:name w:val="Heading 5 Char"/>
    <w:link w:val="Heading5"/>
    <w:rsid w:val="00785C57"/>
    <w:rPr>
      <w:rFonts w:ascii="Times New Roman" w:eastAsia="Times New Roman" w:hAnsi="Times New Roman"/>
      <w:sz w:val="22"/>
      <w:szCs w:val="22"/>
      <w:lang w:val="et-EE" w:eastAsia="en-US"/>
    </w:rPr>
  </w:style>
  <w:style w:type="character" w:customStyle="1" w:styleId="Heading6Char">
    <w:name w:val="Heading 6 Char"/>
    <w:link w:val="Heading6"/>
    <w:rsid w:val="00785C57"/>
    <w:rPr>
      <w:rFonts w:ascii="Times New Roman" w:eastAsia="Times New Roman" w:hAnsi="Times New Roman"/>
      <w:sz w:val="22"/>
      <w:szCs w:val="22"/>
      <w:lang w:val="et-EE" w:eastAsia="en-US"/>
    </w:rPr>
  </w:style>
  <w:style w:type="character" w:customStyle="1" w:styleId="Heading7Char">
    <w:name w:val="Heading 7 Char"/>
    <w:link w:val="Heading7"/>
    <w:rsid w:val="00785C57"/>
    <w:rPr>
      <w:rFonts w:ascii="Times New Roman" w:eastAsia="Times New Roman" w:hAnsi="Times New Roman"/>
      <w:sz w:val="22"/>
      <w:szCs w:val="22"/>
      <w:lang w:val="et-EE" w:eastAsia="en-US"/>
    </w:rPr>
  </w:style>
  <w:style w:type="character" w:customStyle="1" w:styleId="Heading8Char">
    <w:name w:val="Heading 8 Char"/>
    <w:link w:val="Heading8"/>
    <w:rsid w:val="00785C57"/>
    <w:rPr>
      <w:rFonts w:ascii="Times New Roman" w:eastAsia="Times New Roman" w:hAnsi="Times New Roman"/>
      <w:sz w:val="22"/>
      <w:szCs w:val="22"/>
      <w:lang w:val="et-EE" w:eastAsia="en-US"/>
    </w:rPr>
  </w:style>
  <w:style w:type="character" w:customStyle="1" w:styleId="Heading9Char">
    <w:name w:val="Heading 9 Char"/>
    <w:link w:val="Heading9"/>
    <w:rsid w:val="00785C57"/>
    <w:rPr>
      <w:rFonts w:ascii="Times New Roman" w:eastAsia="Times New Roman" w:hAnsi="Times New Roman"/>
      <w:sz w:val="22"/>
      <w:szCs w:val="22"/>
      <w:lang w:val="et-EE"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et-EE"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et-EE"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et/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ET:HTML" TargetMode="External"/><Relationship Id="rId3" Type="http://schemas.openxmlformats.org/officeDocument/2006/relationships/hyperlink" Target="https://eur-lex.europa.eu/legal-content/ET/TXT/?qid=1590574123338&amp;uri=CELEX:52020DC0380" TargetMode="External"/><Relationship Id="rId7" Type="http://schemas.openxmlformats.org/officeDocument/2006/relationships/hyperlink" Target="https://ec.europa.eu/social/main.jsp?langId=en&amp;catId=1226&amp;furtherNews=yes&amp;newsId=9696" TargetMode="External"/><Relationship Id="rId12" Type="http://schemas.openxmlformats.org/officeDocument/2006/relationships/hyperlink" Target="https://www.eesc.europa.eu/et/our-work/opinions-information-reports/opinions/european-framework-directive-minimum-income-own-initiative-opinion" TargetMode="External"/><Relationship Id="rId2" Type="http://schemas.openxmlformats.org/officeDocument/2006/relationships/hyperlink" Target="https://eur-lex.europa.eu/legal-content/ET/TXT/?qid=1590732521013&amp;uri=COM:2020:456:FIN" TargetMode="External"/><Relationship Id="rId1" Type="http://schemas.openxmlformats.org/officeDocument/2006/relationships/hyperlink" Target="https://www.eesc.europa.eu/et/news-media/press-releases/eesc-proposals-post-covid-19-recovery-and-reconstruction-towards-new-societal-model" TargetMode="External"/><Relationship Id="rId6" Type="http://schemas.openxmlformats.org/officeDocument/2006/relationships/hyperlink" Target="https://ec.europa.eu/commission/presscorner/detail/et/qanda_20_20" TargetMode="External"/><Relationship Id="rId11" Type="http://schemas.openxmlformats.org/officeDocument/2006/relationships/hyperlink" Target="https://www.eesc.europa.eu/et/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et/qanda_20_20" TargetMode="External"/><Relationship Id="rId10" Type="http://schemas.openxmlformats.org/officeDocument/2006/relationships/hyperlink" Target="https://eur-lex.europa.eu/legal-content/ET/TXT/PDF/?uri=CELEX:52020DC0102&amp;from=ET"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et/node/74305" TargetMode="External"/><Relationship Id="rId14" Type="http://schemas.openxmlformats.org/officeDocument/2006/relationships/hyperlink" Target="https://eur-lex.europa.eu/legal-content/ET/ALL/?uri=CELEX: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VV634QRNENMJ-762678085-1558</_dlc_DocId>
    <_dlc_DocIdUrl xmlns="cda99570-6012-4083-bfeb-7d32ad1ce1a3">
      <Url>http://dm2016/eesc/2020/_layouts/15/DocIdRedir.aspx?ID=VV634QRNENMJ-762678085-1558</Url>
      <Description>VV634QRNENMJ-762678085-1558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36</Value>
      <Value>186</Value>
      <Value>1</Value>
      <Value>31</Value>
      <Value>32</Value>
      <Value>9</Value>
      <Value>39</Value>
      <Value>43</Value>
      <Value>24</Value>
      <Value>13</Value>
      <Value>11</Value>
      <Value>10</Value>
      <Value>46</Value>
      <Value>41</Value>
      <Value>44</Value>
      <Value>6</Value>
      <Value>5</Value>
      <Value>4</Value>
      <Value>40</Value>
      <Value>2</Value>
      <Value>38</Value>
      <Value>47</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8B69CE49-B7E2-4DFE-9D26-2DED7AF42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431D-AF58-401A-A6CA-84496AC7227C}">
  <ds:schemaRefs>
    <ds:schemaRef ds:uri="http://schemas.microsoft.com/sharepoint/events"/>
  </ds:schemaRefs>
</ds:datastoreItem>
</file>

<file path=customXml/itemProps3.xml><?xml version="1.0" encoding="utf-8"?>
<ds:datastoreItem xmlns:ds="http://schemas.openxmlformats.org/officeDocument/2006/customXml" ds:itemID="{D512C778-E053-4933-88EE-91780FD3B696}">
  <ds:schemaRefs>
    <ds:schemaRef ds:uri="http://schemas.microsoft.com/sharepoint/v3/contenttype/forms"/>
  </ds:schemaRefs>
</ds:datastoreItem>
</file>

<file path=customXml/itemProps4.xml><?xml version="1.0" encoding="utf-8"?>
<ds:datastoreItem xmlns:ds="http://schemas.openxmlformats.org/officeDocument/2006/customXml" ds:itemID="{428D07B2-21E4-4871-BF2D-793D24893110}">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7839</Words>
  <Characters>43118</Characters>
  <Application>Microsoft Office Word</Application>
  <DocSecurity>0</DocSecurity>
  <Lines>359</Lines>
  <Paragraphs>101</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50856</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 Majandus- ja Sotsiaalkomitee panus Euroopa Komisjoni 2021.aasta tööprogrammi</dc:title>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9</cp:revision>
  <cp:lastPrinted>2020-07-07T07:28:00Z</cp:lastPrinted>
  <dcterms:created xsi:type="dcterms:W3CDTF">2020-07-17T06:52:00Z</dcterms:created>
  <dcterms:modified xsi:type="dcterms:W3CDTF">2020-07-17T13:23:00Z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a45c40c9-3e23-4516-8c21-3bf073f287e3</vt:lpwstr>
  </property>
  <property fmtid="{D5CDD505-2E9C-101B-9397-08002B2CF9AE}" pid="9" name="AvailableTranslations">
    <vt:lpwstr>31;#CS|72f9705b-0217-4fd3-bea2-cbc7ed80e26e;#10;#DE|f6b31e5a-26fa-4935-b661-318e46daf27e;#38;#EL|6d4f4d51-af9b-4650-94b4-4276bee85c91;#40;#SV|c2ed69e7-a339-43d7-8f22-d93680a92aa0;#47;#ET|ff6c3f4c-b02c-4c3c-ab07-2c37995a7a0a;#46;#SK|46d9fce0-ef79-4f71-b89b</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CS|72f9705b-0217-4fd3-bea2-cbc7ed80e26e;DE|f6b31e5a-26fa-4935-b661-318e46daf27e;EL|6d4f4d51-af9b-4650-94b4-4276bee85c91;SK|46d9fce0-ef79-4f71-b89b-cd6aa82426b8;FR|d2afafd3-4c81-4f60-8f52-ee33f2f54ff3;HU|6b229040-c589-4408-b4c1-4285663d20a8;BG|1a1b3951-782</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36;#MT|7df99101-6854-4a26-b53a-b88c0da02c26;#186;#RES|9e3e62eb-6858-4bc7-8a50-3453e395fd01;#1;#EESC|422833ec-8d7e-4e65-8e4e-8bed07ffb729;#31;#CS|72f9705b-0217-4fd3-bea2-cbc7ed80e26e;#32;#DA|5d49c027-8956-412b-aa16-e85a0f96ad0e;#39;#HU|6b229040-c589-4408-b</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47;#ET|ff6c3f4c-b02c-4c3c-ab07-2c37995a7a0a</vt:lpwstr>
  </property>
</Properties>
</file>