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1B63E" w14:textId="798C2995" w:rsidR="00AD5AAC" w:rsidRPr="00AB5770" w:rsidRDefault="007034A9" w:rsidP="00AB5770">
      <w:pPr>
        <w:spacing w:line="288" w:lineRule="auto"/>
        <w:jc w:val="center"/>
        <w:rPr>
          <w:rFonts w:ascii="Times New Roman" w:hAnsi="Times New Roman"/>
          <w:sz w:val="22"/>
          <w:szCs w:val="22"/>
        </w:rPr>
      </w:pPr>
      <w:r>
        <w:rPr>
          <w:rFonts w:ascii="Times New Roman" w:hAnsi="Times New Roman"/>
          <w:noProof/>
          <w:sz w:val="22"/>
          <w:szCs w:val="22"/>
          <w:lang w:val="fr-BE" w:eastAsia="fr-BE"/>
        </w:rPr>
        <w:drawing>
          <wp:inline distT="0" distB="0" distL="0" distR="0" wp14:anchorId="0ABA5BC8" wp14:editId="5D2C85FD">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0647">
        <w:rPr>
          <w:rFonts w:ascii="Times New Roman" w:hAnsi="Times New Roman"/>
          <w:noProof/>
          <w:sz w:val="22"/>
          <w:szCs w:val="22"/>
          <w:lang w:val="fr-BE" w:eastAsia="fr-BE"/>
        </w:rPr>
        <mc:AlternateContent>
          <mc:Choice Requires="wps">
            <w:drawing>
              <wp:anchor distT="0" distB="0" distL="114300" distR="114300" simplePos="0" relativeHeight="251659264" behindDoc="1" locked="0" layoutInCell="0" allowOverlap="1" wp14:anchorId="5FE9305F" wp14:editId="1124328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25E1" w14:textId="77777777" w:rsidR="00B15CE1" w:rsidRPr="00260E65" w:rsidRDefault="00B15CE1" w:rsidP="00AD5AAC">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9305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7A4125E1" w14:textId="77777777" w:rsidR="00B15CE1" w:rsidRPr="00260E65" w:rsidRDefault="00B15CE1" w:rsidP="00AD5AAC">
                      <w:pPr>
                        <w:jc w:val="center"/>
                        <w:rPr>
                          <w:rFonts w:ascii="Arial" w:hAnsi="Arial" w:cs="Arial"/>
                          <w:b/>
                          <w:bCs/>
                          <w:sz w:val="48"/>
                        </w:rPr>
                      </w:pPr>
                      <w:r>
                        <w:rPr>
                          <w:rFonts w:ascii="Arial" w:hAnsi="Arial"/>
                          <w:b/>
                          <w:bCs/>
                          <w:sz w:val="48"/>
                        </w:rPr>
                        <w:t>DA</w:t>
                      </w:r>
                    </w:p>
                  </w:txbxContent>
                </v:textbox>
                <w10:wrap anchorx="page" anchory="page"/>
              </v:shape>
            </w:pict>
          </mc:Fallback>
        </mc:AlternateContent>
      </w:r>
    </w:p>
    <w:p w14:paraId="63D95072" w14:textId="77777777" w:rsidR="00AD5AAC" w:rsidRPr="00AB5770" w:rsidRDefault="00AD5AAC" w:rsidP="00AB5770">
      <w:pPr>
        <w:spacing w:line="288" w:lineRule="auto"/>
        <w:rPr>
          <w:rFonts w:ascii="Times New Roman" w:hAnsi="Times New Roman"/>
          <w:sz w:val="22"/>
          <w:szCs w:val="22"/>
          <w:lang w:val="en-GB"/>
        </w:rPr>
      </w:pPr>
    </w:p>
    <w:p w14:paraId="7183F435" w14:textId="77777777" w:rsidR="00AD5AAC" w:rsidRPr="00AB5770" w:rsidRDefault="00AD5AAC" w:rsidP="00AB5770">
      <w:pPr>
        <w:spacing w:line="288" w:lineRule="auto"/>
        <w:rPr>
          <w:rFonts w:ascii="Times New Roman" w:hAnsi="Times New Roman"/>
          <w:sz w:val="22"/>
          <w:szCs w:val="22"/>
          <w:lang w:val="en-GB"/>
        </w:rPr>
      </w:pPr>
    </w:p>
    <w:p w14:paraId="6E3C7F6D" w14:textId="77777777" w:rsidR="00AD5AAC" w:rsidRPr="00AB5770" w:rsidRDefault="00AD5AAC" w:rsidP="00AB5770">
      <w:pPr>
        <w:spacing w:line="288" w:lineRule="auto"/>
        <w:rPr>
          <w:rFonts w:ascii="Times New Roman" w:hAnsi="Times New Roman"/>
          <w:sz w:val="22"/>
          <w:szCs w:val="22"/>
          <w:lang w:val="en-GB"/>
        </w:rPr>
      </w:pPr>
    </w:p>
    <w:p w14:paraId="21F16146" w14:textId="77777777" w:rsidR="00AD5AAC" w:rsidRPr="00AB5770" w:rsidRDefault="00AD5AAC" w:rsidP="00AB5770">
      <w:pPr>
        <w:spacing w:line="288" w:lineRule="auto"/>
        <w:rPr>
          <w:rFonts w:ascii="Times New Roman" w:hAnsi="Times New Roman"/>
          <w:sz w:val="22"/>
          <w:szCs w:val="22"/>
          <w:lang w:val="en-GB"/>
        </w:rPr>
      </w:pPr>
    </w:p>
    <w:p w14:paraId="442D8AD4" w14:textId="77777777" w:rsidR="00B8563A" w:rsidRPr="00AB5770" w:rsidRDefault="00B8563A" w:rsidP="00AB5770">
      <w:pPr>
        <w:spacing w:line="288" w:lineRule="auto"/>
        <w:rPr>
          <w:rFonts w:ascii="Times New Roman" w:hAnsi="Times New Roman"/>
          <w:sz w:val="22"/>
          <w:szCs w:val="22"/>
          <w:lang w:val="en-GB"/>
        </w:rPr>
      </w:pPr>
    </w:p>
    <w:p w14:paraId="2233BD09" w14:textId="77777777" w:rsidR="00B8563A" w:rsidRPr="00AB5770" w:rsidRDefault="00B8563A" w:rsidP="00AB5770">
      <w:pPr>
        <w:spacing w:line="288" w:lineRule="auto"/>
        <w:rPr>
          <w:rFonts w:ascii="Times New Roman" w:hAnsi="Times New Roman"/>
          <w:sz w:val="22"/>
          <w:szCs w:val="22"/>
          <w:lang w:val="en-GB"/>
        </w:rPr>
      </w:pPr>
    </w:p>
    <w:p w14:paraId="35E7C9D4" w14:textId="77777777" w:rsidR="00AD5AAC" w:rsidRPr="00AB5770" w:rsidRDefault="00AD5AAC" w:rsidP="00AB5770">
      <w:pPr>
        <w:spacing w:line="288" w:lineRule="auto"/>
        <w:rPr>
          <w:rFonts w:ascii="Times New Roman" w:hAnsi="Times New Roman"/>
          <w:b/>
          <w:sz w:val="22"/>
          <w:szCs w:val="22"/>
          <w:lang w:val="en-GB"/>
        </w:rPr>
      </w:pPr>
    </w:p>
    <w:p w14:paraId="18368F67" w14:textId="77777777" w:rsidR="00AD5AAC" w:rsidRPr="00AB5770" w:rsidRDefault="00AD5AAC" w:rsidP="00AB5770">
      <w:pPr>
        <w:spacing w:line="288" w:lineRule="auto"/>
        <w:jc w:val="center"/>
        <w:rPr>
          <w:rFonts w:ascii="Times New Roman" w:eastAsia="Times New Roman" w:hAnsi="Times New Roman"/>
          <w:b/>
          <w:sz w:val="28"/>
          <w:szCs w:val="28"/>
        </w:rPr>
      </w:pPr>
      <w:r>
        <w:rPr>
          <w:rFonts w:ascii="Times New Roman" w:hAnsi="Times New Roman"/>
          <w:b/>
          <w:sz w:val="28"/>
          <w:szCs w:val="28"/>
        </w:rPr>
        <w:t>RESOLUTION</w:t>
      </w:r>
    </w:p>
    <w:p w14:paraId="00281D8A" w14:textId="77777777" w:rsidR="00AD5AAC" w:rsidRPr="00AB5770" w:rsidRDefault="00AD5AAC" w:rsidP="00AB5770">
      <w:pPr>
        <w:spacing w:line="288" w:lineRule="auto"/>
        <w:jc w:val="center"/>
        <w:rPr>
          <w:rFonts w:ascii="Times New Roman" w:hAnsi="Times New Roman"/>
          <w:b/>
          <w:sz w:val="22"/>
          <w:szCs w:val="22"/>
          <w:lang w:val="en-GB"/>
        </w:rPr>
      </w:pPr>
    </w:p>
    <w:p w14:paraId="016B93A5" w14:textId="4952EC9C" w:rsidR="00856067" w:rsidRPr="00AB5770" w:rsidRDefault="00812462" w:rsidP="00AB5770">
      <w:pPr>
        <w:spacing w:line="288" w:lineRule="auto"/>
        <w:jc w:val="center"/>
        <w:rPr>
          <w:rFonts w:ascii="Times New Roman" w:eastAsia="Times New Roman" w:hAnsi="Times New Roman"/>
          <w:b/>
          <w:sz w:val="22"/>
          <w:szCs w:val="22"/>
        </w:rPr>
      </w:pPr>
      <w:r>
        <w:rPr>
          <w:rFonts w:ascii="Times New Roman" w:hAnsi="Times New Roman"/>
          <w:b/>
          <w:sz w:val="22"/>
          <w:szCs w:val="22"/>
        </w:rPr>
        <w:t>Det Europæiske Økonomiske og Sociale Udvalgs bidrag</w:t>
      </w:r>
      <w:r>
        <w:rPr>
          <w:rFonts w:ascii="Times New Roman" w:hAnsi="Times New Roman"/>
          <w:b/>
          <w:sz w:val="22"/>
          <w:szCs w:val="22"/>
        </w:rPr>
        <w:br/>
        <w:t>til Kommissionens arbejdsprogram for 2021 baseret på arbejdet i</w:t>
      </w:r>
      <w:r>
        <w:rPr>
          <w:rFonts w:ascii="Times New Roman" w:hAnsi="Times New Roman"/>
          <w:b/>
          <w:sz w:val="22"/>
          <w:szCs w:val="22"/>
        </w:rPr>
        <w:br/>
        <w:t>ad hoc-gruppen "EØSU's bidrag til Kommissionens arbejdsprogram for 2021"</w:t>
      </w:r>
    </w:p>
    <w:p w14:paraId="170BCCA1" w14:textId="77777777" w:rsidR="0056313A" w:rsidRPr="00AB5770" w:rsidRDefault="0056313A" w:rsidP="00AB5770">
      <w:pPr>
        <w:spacing w:line="288" w:lineRule="auto"/>
        <w:jc w:val="center"/>
        <w:rPr>
          <w:rFonts w:ascii="Times New Roman" w:hAnsi="Times New Roman"/>
          <w:b/>
          <w:sz w:val="22"/>
          <w:szCs w:val="22"/>
          <w:lang w:val="en-GB"/>
        </w:rPr>
      </w:pPr>
    </w:p>
    <w:p w14:paraId="3AB5EBFF" w14:textId="77777777" w:rsidR="0056313A" w:rsidRPr="00AB5770" w:rsidRDefault="0056313A" w:rsidP="00AB5770">
      <w:pPr>
        <w:overflowPunct w:val="0"/>
        <w:autoSpaceDE w:val="0"/>
        <w:autoSpaceDN w:val="0"/>
        <w:adjustRightInd w:val="0"/>
        <w:spacing w:line="288" w:lineRule="auto"/>
        <w:jc w:val="center"/>
        <w:textAlignment w:val="baseline"/>
        <w:rPr>
          <w:rFonts w:ascii="Times New Roman" w:eastAsia="Times New Roman" w:hAnsi="Times New Roman"/>
          <w:sz w:val="22"/>
          <w:szCs w:val="22"/>
        </w:rPr>
      </w:pPr>
      <w:r>
        <w:rPr>
          <w:rFonts w:ascii="Times New Roman" w:hAnsi="Times New Roman"/>
          <w:sz w:val="22"/>
          <w:szCs w:val="22"/>
        </w:rPr>
        <w:t>_____________</w:t>
      </w:r>
    </w:p>
    <w:p w14:paraId="6C3636D4" w14:textId="77777777" w:rsidR="00B8563A" w:rsidRPr="00AB5770" w:rsidRDefault="00B8563A" w:rsidP="00AB5770">
      <w:pPr>
        <w:overflowPunct w:val="0"/>
        <w:autoSpaceDE w:val="0"/>
        <w:autoSpaceDN w:val="0"/>
        <w:adjustRightInd w:val="0"/>
        <w:spacing w:line="288" w:lineRule="auto"/>
        <w:jc w:val="center"/>
        <w:textAlignment w:val="baseline"/>
        <w:rPr>
          <w:rFonts w:ascii="Times New Roman" w:hAnsi="Times New Roman"/>
          <w:sz w:val="22"/>
          <w:szCs w:val="22"/>
          <w:lang w:val="en-GB"/>
        </w:rPr>
      </w:pPr>
    </w:p>
    <w:p w14:paraId="76E24DDC" w14:textId="48B11781" w:rsidR="0056313A" w:rsidRPr="00AB5770" w:rsidRDefault="0056313A" w:rsidP="00524941">
      <w:pPr>
        <w:tabs>
          <w:tab w:val="left" w:pos="3969"/>
        </w:tabs>
        <w:spacing w:line="288" w:lineRule="auto"/>
        <w:jc w:val="center"/>
        <w:rPr>
          <w:rFonts w:ascii="Times New Roman" w:eastAsia="Times New Roman" w:hAnsi="Times New Roman"/>
          <w:sz w:val="22"/>
          <w:szCs w:val="22"/>
        </w:rPr>
      </w:pPr>
      <w:r>
        <w:rPr>
          <w:rFonts w:ascii="Times New Roman" w:hAnsi="Times New Roman"/>
          <w:sz w:val="22"/>
          <w:szCs w:val="22"/>
        </w:rPr>
        <w:t xml:space="preserve">Ordførere: </w:t>
      </w:r>
      <w:r>
        <w:rPr>
          <w:rFonts w:ascii="Times New Roman" w:hAnsi="Times New Roman"/>
          <w:b/>
          <w:sz w:val="22"/>
          <w:szCs w:val="22"/>
        </w:rPr>
        <w:t>Petr Zahradnik (Gr. I)</w:t>
      </w:r>
    </w:p>
    <w:p w14:paraId="62D1F206" w14:textId="78C51F16" w:rsidR="0056313A" w:rsidRPr="00AB5770" w:rsidRDefault="00783633" w:rsidP="00524941">
      <w:pPr>
        <w:spacing w:line="288" w:lineRule="auto"/>
        <w:ind w:left="3828"/>
        <w:rPr>
          <w:rFonts w:ascii="Times New Roman" w:eastAsia="Times New Roman" w:hAnsi="Times New Roman"/>
          <w:b/>
          <w:sz w:val="22"/>
          <w:szCs w:val="22"/>
        </w:rPr>
      </w:pPr>
      <w:r>
        <w:rPr>
          <w:rFonts w:ascii="Times New Roman" w:hAnsi="Times New Roman"/>
          <w:b/>
          <w:sz w:val="22"/>
          <w:szCs w:val="22"/>
        </w:rPr>
        <w:t xml:space="preserve">  </w:t>
      </w:r>
      <w:r w:rsidR="0056313A">
        <w:rPr>
          <w:rFonts w:ascii="Times New Roman" w:hAnsi="Times New Roman"/>
          <w:b/>
          <w:sz w:val="22"/>
          <w:szCs w:val="22"/>
        </w:rPr>
        <w:t>Stefano Palmieri (Gr. II)</w:t>
      </w:r>
    </w:p>
    <w:p w14:paraId="2B3EA8D2" w14:textId="7000E79F" w:rsidR="0056313A" w:rsidRPr="00AB5770" w:rsidRDefault="00783633" w:rsidP="00524941">
      <w:pPr>
        <w:spacing w:line="288" w:lineRule="auto"/>
        <w:ind w:left="3828"/>
        <w:rPr>
          <w:rFonts w:ascii="Times New Roman" w:eastAsia="Times New Roman" w:hAnsi="Times New Roman"/>
          <w:b/>
          <w:sz w:val="22"/>
          <w:szCs w:val="22"/>
        </w:rPr>
      </w:pPr>
      <w:r>
        <w:rPr>
          <w:rFonts w:ascii="Times New Roman" w:hAnsi="Times New Roman"/>
          <w:b/>
          <w:sz w:val="22"/>
          <w:szCs w:val="22"/>
        </w:rPr>
        <w:t xml:space="preserve">  </w:t>
      </w:r>
      <w:r w:rsidR="0056313A">
        <w:rPr>
          <w:rFonts w:ascii="Times New Roman" w:hAnsi="Times New Roman"/>
          <w:b/>
          <w:sz w:val="22"/>
          <w:szCs w:val="22"/>
        </w:rPr>
        <w:t>Jan Dirx (Gr. III)</w:t>
      </w:r>
    </w:p>
    <w:p w14:paraId="1DDF558F" w14:textId="77777777" w:rsidR="0056313A" w:rsidRPr="00AB5770" w:rsidRDefault="0056313A" w:rsidP="00AB5770">
      <w:pPr>
        <w:overflowPunct w:val="0"/>
        <w:autoSpaceDE w:val="0"/>
        <w:autoSpaceDN w:val="0"/>
        <w:adjustRightInd w:val="0"/>
        <w:spacing w:line="288" w:lineRule="auto"/>
        <w:jc w:val="center"/>
        <w:textAlignment w:val="baseline"/>
        <w:rPr>
          <w:rFonts w:ascii="Times New Roman" w:hAnsi="Times New Roman"/>
          <w:sz w:val="22"/>
          <w:szCs w:val="22"/>
          <w:lang w:val="en-GB"/>
        </w:rPr>
      </w:pPr>
    </w:p>
    <w:p w14:paraId="1BE21D8D" w14:textId="77777777" w:rsidR="0056313A" w:rsidRPr="00AB5770" w:rsidRDefault="0056313A" w:rsidP="00AB5770">
      <w:pPr>
        <w:overflowPunct w:val="0"/>
        <w:autoSpaceDE w:val="0"/>
        <w:autoSpaceDN w:val="0"/>
        <w:adjustRightInd w:val="0"/>
        <w:spacing w:line="288" w:lineRule="auto"/>
        <w:jc w:val="center"/>
        <w:textAlignment w:val="baseline"/>
        <w:rPr>
          <w:rFonts w:ascii="Times New Roman" w:eastAsia="Times New Roman" w:hAnsi="Times New Roman"/>
          <w:sz w:val="22"/>
          <w:szCs w:val="22"/>
        </w:rPr>
      </w:pPr>
      <w:r>
        <w:rPr>
          <w:rFonts w:ascii="Times New Roman" w:hAnsi="Times New Roman"/>
          <w:sz w:val="22"/>
          <w:szCs w:val="22"/>
        </w:rPr>
        <w:t>_____________</w:t>
      </w:r>
    </w:p>
    <w:p w14:paraId="4C947274" w14:textId="77777777" w:rsidR="0056313A" w:rsidRPr="00AB5770" w:rsidRDefault="0056313A" w:rsidP="00AB5770">
      <w:pPr>
        <w:spacing w:line="288" w:lineRule="auto"/>
        <w:rPr>
          <w:rFonts w:ascii="Times New Roman" w:hAnsi="Times New Roman"/>
          <w:sz w:val="22"/>
          <w:szCs w:val="22"/>
          <w:lang w:val="en-GB"/>
        </w:rPr>
      </w:pPr>
    </w:p>
    <w:p w14:paraId="75F7A9DF" w14:textId="241EF9B1" w:rsidR="0056313A" w:rsidRPr="0047549A" w:rsidRDefault="0056313A" w:rsidP="00AB5770">
      <w:pPr>
        <w:spacing w:line="288" w:lineRule="auto"/>
        <w:jc w:val="center"/>
        <w:rPr>
          <w:rFonts w:ascii="Times New Roman" w:eastAsia="Times New Roman" w:hAnsi="Times New Roman"/>
          <w:sz w:val="22"/>
          <w:szCs w:val="22"/>
        </w:rPr>
      </w:pPr>
      <w:r>
        <w:rPr>
          <w:rFonts w:ascii="Times New Roman" w:hAnsi="Times New Roman"/>
          <w:sz w:val="22"/>
          <w:szCs w:val="22"/>
        </w:rPr>
        <w:t>vedtaget af Det Europæiske Økonomiske og Sociale Udvalg</w:t>
      </w:r>
      <w:r>
        <w:rPr>
          <w:rFonts w:ascii="Times New Roman" w:hAnsi="Times New Roman"/>
          <w:sz w:val="22"/>
          <w:szCs w:val="22"/>
        </w:rPr>
        <w:br/>
        <w:t>den 16. juli 2020</w:t>
      </w:r>
    </w:p>
    <w:p w14:paraId="393CD922" w14:textId="77777777" w:rsidR="0056313A" w:rsidRPr="00AB5770" w:rsidRDefault="0056313A" w:rsidP="00AB5770">
      <w:pPr>
        <w:spacing w:line="288" w:lineRule="auto"/>
        <w:jc w:val="center"/>
        <w:rPr>
          <w:rFonts w:ascii="Times New Roman" w:hAnsi="Times New Roman"/>
          <w:sz w:val="22"/>
          <w:szCs w:val="22"/>
          <w:lang w:val="en-GB"/>
        </w:rPr>
      </w:pPr>
    </w:p>
    <w:p w14:paraId="6E62B069" w14:textId="77777777" w:rsidR="0056313A" w:rsidRPr="00AB5770" w:rsidRDefault="0056313A" w:rsidP="00AB5770">
      <w:pPr>
        <w:overflowPunct w:val="0"/>
        <w:autoSpaceDE w:val="0"/>
        <w:autoSpaceDN w:val="0"/>
        <w:adjustRightInd w:val="0"/>
        <w:spacing w:line="288" w:lineRule="auto"/>
        <w:jc w:val="center"/>
        <w:textAlignment w:val="baseline"/>
        <w:rPr>
          <w:rFonts w:ascii="Times New Roman" w:eastAsia="Times New Roman" w:hAnsi="Times New Roman"/>
          <w:sz w:val="22"/>
          <w:szCs w:val="22"/>
        </w:rPr>
      </w:pPr>
      <w:r>
        <w:rPr>
          <w:rFonts w:ascii="Times New Roman" w:hAnsi="Times New Roman"/>
          <w:sz w:val="22"/>
          <w:szCs w:val="22"/>
        </w:rPr>
        <w:t>_____________</w:t>
      </w:r>
    </w:p>
    <w:p w14:paraId="5B169BC9" w14:textId="77777777" w:rsidR="0056313A" w:rsidRPr="00AB5770" w:rsidRDefault="0056313A" w:rsidP="00AB5770">
      <w:pPr>
        <w:spacing w:line="288" w:lineRule="auto"/>
        <w:rPr>
          <w:rFonts w:ascii="Times New Roman" w:hAnsi="Times New Roman"/>
          <w:sz w:val="22"/>
          <w:szCs w:val="22"/>
          <w:lang w:val="en-GB"/>
        </w:rPr>
      </w:pPr>
    </w:p>
    <w:p w14:paraId="0D6360BD" w14:textId="77777777" w:rsidR="00476BAC" w:rsidRPr="00AB5770" w:rsidRDefault="00476BAC" w:rsidP="00AB5770">
      <w:pPr>
        <w:spacing w:line="288" w:lineRule="auto"/>
        <w:jc w:val="center"/>
        <w:rPr>
          <w:rFonts w:ascii="Times New Roman" w:hAnsi="Times New Roman"/>
          <w:b/>
          <w:i/>
          <w:sz w:val="22"/>
          <w:szCs w:val="22"/>
          <w:lang w:val="en-GB"/>
        </w:rPr>
        <w:sectPr w:rsidR="00476BAC" w:rsidRPr="00AB5770" w:rsidSect="00C608DC">
          <w:footerReference w:type="default" r:id="rId12"/>
          <w:pgSz w:w="11900" w:h="16840"/>
          <w:pgMar w:top="1417" w:right="1417" w:bottom="1417" w:left="1417" w:header="709" w:footer="709" w:gutter="0"/>
          <w:pgNumType w:start="1"/>
          <w:cols w:space="708"/>
          <w:docGrid w:linePitch="360"/>
        </w:sectPr>
      </w:pPr>
    </w:p>
    <w:p w14:paraId="3882E9A9" w14:textId="531FE645" w:rsidR="00597B5F" w:rsidRPr="00AB5770" w:rsidRDefault="00597B5F" w:rsidP="00120294">
      <w:pPr>
        <w:pStyle w:val="Heading1"/>
        <w:ind w:left="567" w:hanging="567"/>
        <w:rPr>
          <w:b/>
        </w:rPr>
      </w:pPr>
      <w:r>
        <w:rPr>
          <w:b/>
        </w:rPr>
        <w:lastRenderedPageBreak/>
        <w:t>Indledning</w:t>
      </w:r>
    </w:p>
    <w:p w14:paraId="114AB850" w14:textId="77777777" w:rsidR="00597B5F" w:rsidRPr="00AB5770" w:rsidRDefault="00597B5F" w:rsidP="00120294">
      <w:pPr>
        <w:spacing w:line="288" w:lineRule="auto"/>
        <w:ind w:left="709" w:hanging="709"/>
        <w:rPr>
          <w:rFonts w:ascii="Times New Roman" w:hAnsi="Times New Roman"/>
          <w:sz w:val="22"/>
          <w:szCs w:val="22"/>
          <w:lang w:val="en-GB"/>
        </w:rPr>
      </w:pPr>
    </w:p>
    <w:p w14:paraId="4331D0B1" w14:textId="5323AB48" w:rsidR="00597B5F" w:rsidRPr="00AB5770" w:rsidRDefault="00597B5F" w:rsidP="00120294">
      <w:pPr>
        <w:pStyle w:val="Heading2"/>
        <w:ind w:left="567" w:hanging="567"/>
        <w:rPr>
          <w:rFonts w:eastAsia="MS Mincho"/>
        </w:rPr>
      </w:pPr>
      <w:r>
        <w:t>Som EØSU påpegede i sin resolution "EØSU's forslag til genopbygning og genopretning efter covid-19-krisen"</w:t>
      </w:r>
      <w:r w:rsidRPr="00AB5770">
        <w:rPr>
          <w:rFonts w:eastAsia="MS Mincho"/>
          <w:sz w:val="24"/>
          <w:szCs w:val="24"/>
          <w:vertAlign w:val="superscript"/>
          <w:lang w:val="en-GB" w:eastAsia="it-IT"/>
        </w:rPr>
        <w:footnoteReference w:id="2"/>
      </w:r>
      <w:r>
        <w:t>, glæder EØSU sig meget over og støtter Kommissionens forslag Next Generation EU og det samlede EU-budget for perioden 2021-2027. Udvalget håber og forventer, at de linjer, som Kommissionen har udstukket i disse planer, som følge af behovet for genopretning og genopbygning efter covid-19-krisen fuldt ud og konkret vil blive udvidet i Kommissionens arbejdsprogram for 2021.</w:t>
      </w:r>
    </w:p>
    <w:p w14:paraId="691FDFE1" w14:textId="77777777" w:rsidR="00597B5F" w:rsidRPr="00AB5770" w:rsidRDefault="00597B5F" w:rsidP="00120294">
      <w:pPr>
        <w:spacing w:line="288" w:lineRule="auto"/>
        <w:ind w:left="709" w:hanging="709"/>
        <w:jc w:val="both"/>
        <w:rPr>
          <w:rFonts w:ascii="Times New Roman" w:hAnsi="Times New Roman"/>
          <w:sz w:val="22"/>
          <w:szCs w:val="22"/>
          <w:lang w:val="en-GB"/>
        </w:rPr>
      </w:pPr>
    </w:p>
    <w:p w14:paraId="06DCA2D1" w14:textId="471E246F" w:rsidR="00597B5F" w:rsidRPr="00AB5770" w:rsidRDefault="00597B5F" w:rsidP="00120294">
      <w:pPr>
        <w:numPr>
          <w:ilvl w:val="1"/>
          <w:numId w:val="1"/>
        </w:numPr>
        <w:spacing w:line="288" w:lineRule="auto"/>
        <w:ind w:left="567" w:hanging="567"/>
        <w:jc w:val="both"/>
        <w:outlineLvl w:val="1"/>
      </w:pPr>
      <w:r>
        <w:rPr>
          <w:rFonts w:ascii="Times New Roman" w:hAnsi="Times New Roman"/>
          <w:sz w:val="22"/>
          <w:szCs w:val="22"/>
        </w:rPr>
        <w:t>EØSU mener, at arbejdsprogrammet bør lægge vægt på, at omstrukturering og forbedringer af vores økonomi og samfund skal baseres på følgende principper: beskyttelse af menneskerettigheder og sociale rettigheder, demokratiske værdier og retsstatsprincippet, udnyttelse af det indre markeds fulde potentiale, opfyldelse af verdensmålene for bæredygtig udvikling, skabelse af en cirkulær økonomi og opnåelse af klimaneutralitet i EU senest i 2050 samt sikring af god forvaltning og demokratisk ansvarlighed.</w:t>
      </w:r>
    </w:p>
    <w:p w14:paraId="595EEADD" w14:textId="77777777" w:rsidR="00597B5F" w:rsidRPr="00AB5770" w:rsidRDefault="00597B5F" w:rsidP="00120294">
      <w:pPr>
        <w:spacing w:line="288" w:lineRule="auto"/>
        <w:ind w:left="709" w:hanging="709"/>
        <w:jc w:val="both"/>
        <w:rPr>
          <w:rFonts w:ascii="Times New Roman" w:hAnsi="Times New Roman"/>
          <w:sz w:val="22"/>
          <w:szCs w:val="22"/>
          <w:lang w:val="en-GB"/>
        </w:rPr>
      </w:pPr>
    </w:p>
    <w:p w14:paraId="2965104E" w14:textId="733A53AC" w:rsidR="00C27803" w:rsidRPr="00AB5770" w:rsidRDefault="00597B5F" w:rsidP="00120294">
      <w:pPr>
        <w:numPr>
          <w:ilvl w:val="1"/>
          <w:numId w:val="1"/>
        </w:numPr>
        <w:spacing w:line="288" w:lineRule="auto"/>
        <w:ind w:left="567" w:hanging="567"/>
        <w:jc w:val="both"/>
        <w:outlineLvl w:val="1"/>
      </w:pPr>
      <w:r>
        <w:rPr>
          <w:rFonts w:ascii="Times New Roman" w:hAnsi="Times New Roman"/>
          <w:sz w:val="22"/>
          <w:szCs w:val="22"/>
        </w:rPr>
        <w:t>EØSU understreger, at de overordnede ambitioner, som Kommissionen har valgt (En europæisk grøn pagt, Et Europa klar til den digitale tidsalder, En økonomi, der tjener alle, Et stærkere Europa i verden, Fremme af vores europæiske levevis og Et nyt skub i det europæiske demokrati), fastsætter en stærk ramme for udarbejdelse af arbejdsprogrammet for 2021. Måske kunne der være mere udtrykkeligt fokus på investeringer og behovet for at fremskynde dem bl.a. ved hjælp af de foranstaltninger, der er ved at blive vedtaget. Enkelte detaljer om det fremtidige arbejdsprogram kan ses i Kommissionens meddelelse om Europas genopretningsplan</w:t>
      </w:r>
      <w:r w:rsidR="00C27803" w:rsidRPr="00AB5770">
        <w:rPr>
          <w:rStyle w:val="FootnoteReference"/>
          <w:rFonts w:ascii="Times New Roman" w:hAnsi="Times New Roman"/>
          <w:lang w:val="en-GB"/>
        </w:rPr>
        <w:footnoteReference w:id="3"/>
      </w:r>
      <w:r>
        <w:rPr>
          <w:rFonts w:ascii="Times New Roman" w:hAnsi="Times New Roman"/>
          <w:sz w:val="22"/>
          <w:szCs w:val="22"/>
        </w:rPr>
        <w:t>, og nye forslag vil komme til udtryk i kommissionsformand Ursula von der Leyens tale om Unionens tilstand i september og i hend</w:t>
      </w:r>
      <w:r w:rsidR="00120294">
        <w:rPr>
          <w:rFonts w:ascii="Times New Roman" w:hAnsi="Times New Roman"/>
          <w:sz w:val="22"/>
          <w:szCs w:val="22"/>
        </w:rPr>
        <w:t>es hensigtserklæring til Europa</w:t>
      </w:r>
      <w:r w:rsidR="00120294">
        <w:rPr>
          <w:rFonts w:ascii="Times New Roman" w:hAnsi="Times New Roman"/>
          <w:sz w:val="22"/>
          <w:szCs w:val="22"/>
        </w:rPr>
        <w:noBreakHyphen/>
      </w:r>
      <w:r>
        <w:rPr>
          <w:rFonts w:ascii="Times New Roman" w:hAnsi="Times New Roman"/>
          <w:sz w:val="22"/>
          <w:szCs w:val="22"/>
        </w:rPr>
        <w:t>Parlamentet og Rådet. EØSU påskønner også det ændrede arbejdsprogram for 2020, som er en reaktion på covidkrisen og kan give fingerpeg om udviklingen i den nærmeste fremtid.</w:t>
      </w:r>
    </w:p>
    <w:p w14:paraId="252F4905" w14:textId="77777777" w:rsidR="00C27803" w:rsidRPr="00AB5770" w:rsidRDefault="00C27803" w:rsidP="00120294">
      <w:pPr>
        <w:spacing w:line="288" w:lineRule="auto"/>
        <w:ind w:left="709" w:hanging="709"/>
        <w:jc w:val="both"/>
        <w:rPr>
          <w:rFonts w:ascii="Times New Roman" w:hAnsi="Times New Roman"/>
          <w:sz w:val="22"/>
          <w:szCs w:val="22"/>
          <w:lang w:val="en-GB"/>
        </w:rPr>
      </w:pPr>
    </w:p>
    <w:p w14:paraId="2210FFA3" w14:textId="5FB7C230" w:rsidR="00597B5F" w:rsidRPr="00AB5770" w:rsidRDefault="00C27803" w:rsidP="00120294">
      <w:pPr>
        <w:numPr>
          <w:ilvl w:val="1"/>
          <w:numId w:val="1"/>
        </w:numPr>
        <w:spacing w:line="288" w:lineRule="auto"/>
        <w:ind w:left="567" w:hanging="567"/>
        <w:jc w:val="both"/>
        <w:outlineLvl w:val="1"/>
      </w:pPr>
      <w:r>
        <w:rPr>
          <w:rFonts w:ascii="Times New Roman" w:hAnsi="Times New Roman"/>
          <w:sz w:val="22"/>
          <w:szCs w:val="22"/>
        </w:rPr>
        <w:t>EØSU glæder sig over, at Kommissionen tilpassede sit arbejdsprogram for 2020 som en del af Europas genopretning med det sigte at reagerer på covid-19-pandemien. Den omprioriterede sit arbejde og prioriterede de foranstaltninger, der er nødvendige for genopretningen og modstandsdygtigheden, men fastholder sine tilsagn vedrørende flagskibsinitiativer – den europæiske grønne pagt og den digitale strategi, da de er nøglen til at genstarte den europæiske økonomi og opbygge et mere modstandsdygtigt, bæredygtigt, retfærdigt og velstående Europa. EØSU noterer sig, at ni initiativer er blevet udskudt til 2021.</w:t>
      </w:r>
    </w:p>
    <w:p w14:paraId="012BDA40" w14:textId="77777777" w:rsidR="00C27803" w:rsidRPr="00AB5770" w:rsidRDefault="00C27803" w:rsidP="00120294">
      <w:pPr>
        <w:spacing w:line="288" w:lineRule="auto"/>
        <w:ind w:left="709" w:hanging="709"/>
        <w:jc w:val="both"/>
        <w:rPr>
          <w:rFonts w:ascii="Times New Roman" w:hAnsi="Times New Roman"/>
          <w:sz w:val="22"/>
          <w:szCs w:val="22"/>
          <w:lang w:val="en-GB"/>
        </w:rPr>
      </w:pPr>
    </w:p>
    <w:p w14:paraId="0A60680D" w14:textId="6D049903" w:rsidR="00597B5F" w:rsidRPr="00AB5770" w:rsidRDefault="00597B5F" w:rsidP="00120294">
      <w:pPr>
        <w:keepNext/>
        <w:keepLines/>
        <w:numPr>
          <w:ilvl w:val="1"/>
          <w:numId w:val="1"/>
        </w:numPr>
        <w:spacing w:line="288" w:lineRule="auto"/>
        <w:ind w:left="567" w:hanging="567"/>
        <w:jc w:val="both"/>
        <w:outlineLvl w:val="1"/>
      </w:pPr>
      <w:r>
        <w:rPr>
          <w:rFonts w:ascii="Times New Roman" w:hAnsi="Times New Roman"/>
          <w:sz w:val="22"/>
          <w:szCs w:val="22"/>
        </w:rPr>
        <w:lastRenderedPageBreak/>
        <w:t>Især nu hvor vi i disse krisetider oplever, hvor vigtigt samarbejdet mellem landene er, håber EØSU, at den kommende konference om Europas fremtid vil styrke og uddybe EU's institutionelle struktur og føre til en reel fornyelse af EU-projektet, så Unionen bliver i stand til at håndtere de kommende årtiers udfordringer. Kommissionen kan derfor regne med udvalgets fulde støtte.</w:t>
      </w:r>
    </w:p>
    <w:p w14:paraId="2F8460F0" w14:textId="77777777" w:rsidR="00597B5F" w:rsidRPr="00AB5770" w:rsidRDefault="00597B5F" w:rsidP="00120294">
      <w:pPr>
        <w:spacing w:line="288" w:lineRule="auto"/>
        <w:ind w:left="709" w:hanging="709"/>
        <w:jc w:val="both"/>
        <w:rPr>
          <w:rFonts w:ascii="Times New Roman" w:hAnsi="Times New Roman"/>
          <w:sz w:val="22"/>
          <w:szCs w:val="22"/>
          <w:lang w:val="en-GB"/>
        </w:rPr>
      </w:pPr>
    </w:p>
    <w:p w14:paraId="0487AE98" w14:textId="77777777" w:rsidR="00597B5F" w:rsidRPr="00AB5770" w:rsidRDefault="00597B5F" w:rsidP="00120294">
      <w:pPr>
        <w:numPr>
          <w:ilvl w:val="1"/>
          <w:numId w:val="1"/>
        </w:numPr>
        <w:spacing w:line="288" w:lineRule="auto"/>
        <w:ind w:left="567" w:hanging="567"/>
        <w:jc w:val="both"/>
        <w:outlineLvl w:val="1"/>
      </w:pPr>
      <w:r>
        <w:rPr>
          <w:rFonts w:ascii="Times New Roman" w:hAnsi="Times New Roman"/>
          <w:sz w:val="22"/>
          <w:szCs w:val="22"/>
        </w:rPr>
        <w:t>EØSU er overbevist om, at det kun vil være muligt at genoprette og genopbygge økonomien og samfundet med aktiv deltagelse af civilsamfundsorganisationer og arbejdsmarkedets parter.</w:t>
      </w:r>
    </w:p>
    <w:p w14:paraId="6441BF6A" w14:textId="77777777" w:rsidR="00597B5F" w:rsidRPr="00AB5770" w:rsidRDefault="00597B5F" w:rsidP="00120294">
      <w:pPr>
        <w:spacing w:line="288" w:lineRule="auto"/>
        <w:ind w:left="709" w:hanging="709"/>
        <w:jc w:val="both"/>
        <w:rPr>
          <w:rFonts w:ascii="Times New Roman" w:hAnsi="Times New Roman"/>
          <w:sz w:val="22"/>
          <w:szCs w:val="22"/>
          <w:lang w:val="en-GB"/>
        </w:rPr>
      </w:pPr>
    </w:p>
    <w:p w14:paraId="495944EC" w14:textId="77777777" w:rsidR="00597B5F" w:rsidRPr="00AB5770" w:rsidRDefault="00597B5F" w:rsidP="00120294">
      <w:pPr>
        <w:numPr>
          <w:ilvl w:val="1"/>
          <w:numId w:val="1"/>
        </w:numPr>
        <w:spacing w:line="288" w:lineRule="auto"/>
        <w:ind w:left="567" w:hanging="567"/>
        <w:jc w:val="both"/>
        <w:outlineLvl w:val="1"/>
      </w:pPr>
      <w:r>
        <w:rPr>
          <w:rFonts w:ascii="Times New Roman" w:hAnsi="Times New Roman"/>
          <w:sz w:val="22"/>
          <w:szCs w:val="22"/>
        </w:rPr>
        <w:t>I nedenstående kapitler og afsnit har udvalget formuleret sine konkrete forslag til arbejdsprogrammet for 2021 i overensstemmelse med Kommissionens seks overordnede ambitioner.</w:t>
      </w:r>
    </w:p>
    <w:p w14:paraId="00B5FA30" w14:textId="77777777" w:rsidR="00597B5F" w:rsidRPr="00AB5770" w:rsidRDefault="00597B5F" w:rsidP="00120294">
      <w:pPr>
        <w:spacing w:line="288" w:lineRule="auto"/>
        <w:ind w:left="709" w:hanging="709"/>
        <w:rPr>
          <w:rFonts w:ascii="Times New Roman" w:hAnsi="Times New Roman"/>
          <w:sz w:val="22"/>
          <w:szCs w:val="22"/>
          <w:lang w:val="en-GB"/>
        </w:rPr>
      </w:pPr>
    </w:p>
    <w:p w14:paraId="604BBEDB" w14:textId="77777777" w:rsidR="00246F6C" w:rsidRPr="00AB5770" w:rsidRDefault="00246F6C" w:rsidP="00120294">
      <w:pPr>
        <w:pStyle w:val="Heading1"/>
        <w:keepNext/>
        <w:keepLines/>
        <w:ind w:left="567" w:hanging="567"/>
        <w:rPr>
          <w:b/>
        </w:rPr>
      </w:pPr>
      <w:r>
        <w:rPr>
          <w:b/>
        </w:rPr>
        <w:t>En europæisk grøn pagt</w:t>
      </w:r>
    </w:p>
    <w:p w14:paraId="0B0FD07A" w14:textId="77777777" w:rsidR="00246F6C" w:rsidRPr="00AB5770" w:rsidRDefault="00246F6C" w:rsidP="00120294">
      <w:pPr>
        <w:keepNext/>
        <w:keepLines/>
        <w:spacing w:line="288" w:lineRule="auto"/>
        <w:ind w:left="709" w:hanging="709"/>
        <w:jc w:val="both"/>
        <w:rPr>
          <w:rFonts w:ascii="Times New Roman" w:hAnsi="Times New Roman"/>
          <w:sz w:val="22"/>
          <w:szCs w:val="22"/>
          <w:lang w:val="en-GB"/>
        </w:rPr>
      </w:pPr>
    </w:p>
    <w:p w14:paraId="78BD9FE0" w14:textId="77777777" w:rsidR="00246F6C" w:rsidRPr="00AB5770" w:rsidRDefault="00246F6C" w:rsidP="00120294">
      <w:pPr>
        <w:pStyle w:val="Heading2"/>
        <w:keepNext/>
        <w:keepLines/>
        <w:ind w:left="567" w:hanging="567"/>
        <w:rPr>
          <w:b/>
        </w:rPr>
      </w:pPr>
      <w:r>
        <w:rPr>
          <w:b/>
        </w:rPr>
        <w:t>Den grønne pagt</w:t>
      </w:r>
    </w:p>
    <w:p w14:paraId="1DAB4020" w14:textId="77777777" w:rsidR="00246F6C" w:rsidRPr="00AB5770" w:rsidRDefault="00246F6C" w:rsidP="00120294">
      <w:pPr>
        <w:keepNext/>
        <w:keepLines/>
        <w:spacing w:line="288" w:lineRule="auto"/>
        <w:jc w:val="both"/>
        <w:rPr>
          <w:rFonts w:ascii="Times New Roman" w:hAnsi="Times New Roman"/>
          <w:sz w:val="22"/>
          <w:szCs w:val="22"/>
          <w:lang w:val="en-GB"/>
        </w:rPr>
      </w:pPr>
    </w:p>
    <w:p w14:paraId="4DC7C6E5" w14:textId="2F9E136C" w:rsidR="00CB71A1" w:rsidRPr="00AB5770" w:rsidRDefault="00CB71A1" w:rsidP="00120294">
      <w:pPr>
        <w:pStyle w:val="Heading3"/>
        <w:ind w:left="567" w:hanging="567"/>
      </w:pPr>
      <w:r>
        <w:t>Den europæiske grønne pagt kan også opfattes som et effektivt redskab til at opnå en bæredygtig genstart af økonomien gennem store investeringer i de nødvendige strukturændringer, som Europa står over for. Set i dette perspektiv kan den opfattes som en mulighed for at støtte en langsigtet økonomisk genopretning. Hvis der skal afsættes tilstrækkelige offentlige og private finansieringskilder til dette formål, kræver det en ny konsensus i Europa, og en vellykket gennemførelse i praksis kræver, at der indføres en ny styring.</w:t>
      </w:r>
    </w:p>
    <w:p w14:paraId="04260CAC" w14:textId="77777777" w:rsidR="00CB71A1" w:rsidRPr="00AB5770" w:rsidRDefault="00CB71A1" w:rsidP="00120294">
      <w:pPr>
        <w:spacing w:line="288" w:lineRule="auto"/>
        <w:rPr>
          <w:rFonts w:ascii="Times New Roman" w:hAnsi="Times New Roman"/>
          <w:sz w:val="22"/>
          <w:szCs w:val="22"/>
          <w:lang w:val="en-GB"/>
        </w:rPr>
      </w:pPr>
    </w:p>
    <w:p w14:paraId="42C0CEEB" w14:textId="0B6A0178" w:rsidR="00BF644E" w:rsidRPr="00AB5770" w:rsidRDefault="00BF644E" w:rsidP="00120294">
      <w:pPr>
        <w:pStyle w:val="Heading3"/>
        <w:ind w:left="567" w:hanging="567"/>
      </w:pPr>
      <w:r>
        <w:t>EØSU er en stærk fortaler for omstillingen til den cirkulære økonomi. EØSU har med sin opbakning til en europæisk interessentplatform for cirkulær økonomi til dato været en stærk tilhænger af ambitiøse politikker på dette område. De gamle krav til Kommissionen vedrørende ressourceeffektivitet omfatter en opfordring til at revidere lovgivningen for miljøvenligt design og anden relevant lovgivning om produktudformning, med henblik på gradvis medtagelse af obligatoriske krav om ressourceeffektivt produktdesign og nye forretningsmodeller, idet der skal tages højde for de økonomiske omstændigheder efter covid og reelt banes vej for ændringer.</w:t>
      </w:r>
    </w:p>
    <w:p w14:paraId="79CEDC31" w14:textId="77777777" w:rsidR="00BF644E" w:rsidRPr="00AB5770" w:rsidRDefault="00BF644E" w:rsidP="00120294">
      <w:pPr>
        <w:spacing w:line="288" w:lineRule="auto"/>
        <w:rPr>
          <w:rFonts w:ascii="Times New Roman" w:hAnsi="Times New Roman"/>
          <w:sz w:val="22"/>
          <w:szCs w:val="22"/>
          <w:lang w:val="en-GB"/>
        </w:rPr>
      </w:pPr>
    </w:p>
    <w:p w14:paraId="0FE2474E" w14:textId="00115C65" w:rsidR="00273B1D" w:rsidRPr="00AB5770" w:rsidRDefault="00BF644E" w:rsidP="00120294">
      <w:pPr>
        <w:pStyle w:val="Heading3"/>
        <w:ind w:left="567" w:hanging="567"/>
      </w:pPr>
      <w:r>
        <w:t>EØSU noterer sig, at gennemgangen af direktivet om ikkefinansiel rapportering med henblik på at forbedre kvaliteten og omfanget af ikkefinansielle oplysninger, herunder om miljømæssige aspekter såsom biodiversitet, er blevet udskudt til 2021. EØSU mener, at skattepolitikker generelt bør reformeres i overensstemmelse med klimaambitionerne, og at skattesystemer og prisfastsættelse bør afspejle miljøomkostningerne, herunder tabet af biodiversitet. Dette burde tilskynde til ændringer i de nationale skattesystemer, så skattebyrden flyttes fra arbejde til forurening, for lavt prissatte ressourcer og andre eksterne miljømæssige omkostninger. "Brugeren betaler"-princippet og "forureneren betaler"-princippet skal anvendes for at forebygge og rette op på miljøforringelse.</w:t>
      </w:r>
    </w:p>
    <w:p w14:paraId="76D6266B" w14:textId="77777777" w:rsidR="00273B1D" w:rsidRPr="00AB5770" w:rsidRDefault="00273B1D" w:rsidP="00120294">
      <w:pPr>
        <w:spacing w:line="288" w:lineRule="auto"/>
        <w:rPr>
          <w:rFonts w:ascii="Times New Roman" w:hAnsi="Times New Roman"/>
          <w:sz w:val="22"/>
          <w:szCs w:val="22"/>
          <w:lang w:val="en-GB"/>
        </w:rPr>
      </w:pPr>
    </w:p>
    <w:p w14:paraId="108CC1B9" w14:textId="777DABC7" w:rsidR="00273B1D" w:rsidRPr="00AB5770" w:rsidRDefault="00273B1D" w:rsidP="00120294">
      <w:pPr>
        <w:pStyle w:val="Heading3"/>
        <w:ind w:left="567" w:hanging="567"/>
      </w:pPr>
      <w:r>
        <w:lastRenderedPageBreak/>
        <w:t>EØSU glæder sig over, at biodiversitet vil blive integreret i alle politiske områder som udtrykt i meddelelsen om EU's biodiversitetesstrategi for 2030</w:t>
      </w:r>
      <w:r w:rsidRPr="00AB5770">
        <w:rPr>
          <w:rStyle w:val="FootnoteReference"/>
          <w:sz w:val="24"/>
          <w:szCs w:val="24"/>
          <w:lang w:val="en-GB"/>
        </w:rPr>
        <w:footnoteReference w:id="4"/>
      </w:r>
      <w:r>
        <w:t>. EØSU glæder sig over, at Kommissionen vil indføre en ny europæisk forvaltningsramme for biodiversitet. Dette vil bidrage til at kortlægge forpligtelser og tilsagn og udarbejde en køreplan for gennemførelse heraf. Det vil også gavne både den fælles landbrugspolitik og det europæiske fødevaresystem og således fortsat kunne gøre dem mere bæredygtige. Som led i gennemførelsen heraf vil Kommissionen indføre en overvågnings- og revisionsmekanisme med et entydigt sæt af aftalte indikatorer, som vil gøre det muligt at foretage regelmæssige vurderinger af fremskridtene og om nødvendigt at angive korrigerende foranstaltninger. Denne mekanisme skal bruges om input i revisionen af gennemførelsen af miljøreglerne, og bidrage til det europæiske semester.</w:t>
      </w:r>
    </w:p>
    <w:p w14:paraId="02F08A96" w14:textId="77777777" w:rsidR="00273B1D" w:rsidRPr="00AB5770" w:rsidRDefault="00273B1D" w:rsidP="00120294">
      <w:pPr>
        <w:spacing w:line="288" w:lineRule="auto"/>
        <w:rPr>
          <w:rFonts w:ascii="Times New Roman" w:hAnsi="Times New Roman"/>
          <w:sz w:val="22"/>
          <w:szCs w:val="22"/>
          <w:lang w:val="en-GB"/>
        </w:rPr>
      </w:pPr>
    </w:p>
    <w:p w14:paraId="61014EB1" w14:textId="6DC6887C" w:rsidR="00BF644E" w:rsidRPr="00AB5770" w:rsidRDefault="00273B1D" w:rsidP="00120294">
      <w:pPr>
        <w:pStyle w:val="Heading3"/>
        <w:ind w:left="567" w:hanging="567"/>
      </w:pPr>
      <w:r>
        <w:t>EØSU glæder sig over den europæiske klimalov, som fastsætter et retligt bindende mål om drivhusgasneutralitet senest i 2050 og fastlægger en ramme for opnåelse af det mål. EØSU mener derfor, at forslaget om en europæisk klimalov er et af de instrumenter, som kan bidrage til denne efterspurgte og nødvendige genopbygning af den europæiske økonomi</w:t>
      </w:r>
      <w:r w:rsidRPr="00AB5770">
        <w:rPr>
          <w:rStyle w:val="FootnoteReference"/>
          <w:sz w:val="24"/>
          <w:szCs w:val="24"/>
          <w:lang w:val="en-GB"/>
        </w:rPr>
        <w:footnoteReference w:id="5"/>
      </w:r>
      <w:r>
        <w:t>. Senest i september 2020 ønsker Kommissionen at foretage en gennemgang af Unionens 2030-mål for klimaet og undersøge mulighederne for et nyt 2030-mål på 50-55 % reduktion af emissionerne sammenlignet med niveauerne i 1990 og fremsætte de tilsvarende lovgivningsforslag senest i midten af 2021. EØSU opfordrer Kommissionen til at gå efter en reduktion på mindst 55 % inden 2030 med de tilhørende forslag til lovgivning for at tage sin del af ansvaret for det enorme globale behov for faldende emissioner</w:t>
      </w:r>
      <w:r w:rsidRPr="00AB5770">
        <w:rPr>
          <w:rStyle w:val="FootnoteReference"/>
          <w:sz w:val="24"/>
          <w:szCs w:val="24"/>
          <w:lang w:val="en-GB"/>
        </w:rPr>
        <w:footnoteReference w:id="6"/>
      </w:r>
      <w:r>
        <w:t>.</w:t>
      </w:r>
    </w:p>
    <w:p w14:paraId="0A34D0F8" w14:textId="77777777" w:rsidR="00BF644E" w:rsidRPr="00AB5770" w:rsidRDefault="00BF644E" w:rsidP="00120294">
      <w:pPr>
        <w:pStyle w:val="Heading3"/>
        <w:numPr>
          <w:ilvl w:val="0"/>
          <w:numId w:val="0"/>
        </w:numPr>
        <w:ind w:left="709"/>
        <w:rPr>
          <w:lang w:val="en-GB"/>
        </w:rPr>
      </w:pPr>
    </w:p>
    <w:p w14:paraId="62560F53" w14:textId="77777777" w:rsidR="00767932" w:rsidRPr="00AB5770" w:rsidRDefault="00E7130D" w:rsidP="00120294">
      <w:pPr>
        <w:pStyle w:val="Heading3"/>
        <w:ind w:left="567" w:hanging="567"/>
      </w:pPr>
      <w:r>
        <w:t>Alle borgeres deltagelse gennem civilsamfundets organisationer, sammenslutninger og netværk vil virkelig gøre det muligt at reformere økonomien og samfundet. Medlemsstaterne og EU skal derfor sikre, at ingen lades i stikken i denne komplekse proces, især ikke de mest sårbare.</w:t>
      </w:r>
    </w:p>
    <w:p w14:paraId="1A96DA71" w14:textId="77777777" w:rsidR="00673F16" w:rsidRPr="00AB5770" w:rsidRDefault="00673F16" w:rsidP="00120294">
      <w:pPr>
        <w:spacing w:line="288" w:lineRule="auto"/>
        <w:rPr>
          <w:rFonts w:ascii="Times New Roman" w:hAnsi="Times New Roman"/>
          <w:sz w:val="22"/>
          <w:szCs w:val="22"/>
          <w:lang w:val="en-GB"/>
        </w:rPr>
      </w:pPr>
    </w:p>
    <w:p w14:paraId="2846DB1F" w14:textId="77777777" w:rsidR="00D0660E" w:rsidRPr="00AB5770" w:rsidRDefault="00767932" w:rsidP="00120294">
      <w:pPr>
        <w:pStyle w:val="Heading3"/>
        <w:ind w:left="567" w:hanging="567"/>
      </w:pPr>
      <w:r>
        <w:t>Klimaindsatsen og bæredygtighedsforpligtelserne bør indtage en fremtrædende plads i genopretnings- og genopbygningspolitikken, så EU ikke fastlåses endnu længere i en kulstofintensiv fremtid.</w:t>
      </w:r>
    </w:p>
    <w:p w14:paraId="41510556" w14:textId="77777777" w:rsidR="00FD4163" w:rsidRPr="00AB5770" w:rsidRDefault="00FD4163" w:rsidP="00120294">
      <w:pPr>
        <w:spacing w:line="288" w:lineRule="auto"/>
        <w:rPr>
          <w:rFonts w:ascii="Times New Roman" w:hAnsi="Times New Roman"/>
          <w:sz w:val="22"/>
          <w:szCs w:val="22"/>
          <w:lang w:val="en-GB" w:eastAsia="en-US"/>
        </w:rPr>
      </w:pPr>
    </w:p>
    <w:p w14:paraId="48EAD9C0" w14:textId="7AFEAC78" w:rsidR="00BE47F8" w:rsidRPr="00AB5770" w:rsidRDefault="00BE47F8" w:rsidP="00120294">
      <w:pPr>
        <w:pStyle w:val="Heading3"/>
        <w:ind w:left="567" w:hanging="567"/>
      </w:pPr>
      <w:r>
        <w:t>Finansieringen skal øges i FFR, og der skal afsættes tilstrækkelige midler til at dække investeringsbehovene for at skabe en reel og gennemgribende grøn omstilling. Det er også vigtigt fortsat at prioritere andre miljøspørgsmål såsom jordbunds-, areal- og havbeskyttelse, der ikke må nedgraderes efter og på trods af covid-19-krisen.</w:t>
      </w:r>
    </w:p>
    <w:p w14:paraId="74B08705" w14:textId="77777777" w:rsidR="00240E4C" w:rsidRPr="00AB5770" w:rsidRDefault="00240E4C" w:rsidP="00120294">
      <w:pPr>
        <w:spacing w:line="288" w:lineRule="auto"/>
        <w:ind w:left="709" w:hanging="709"/>
        <w:jc w:val="both"/>
        <w:rPr>
          <w:rFonts w:ascii="Times New Roman" w:hAnsi="Times New Roman"/>
          <w:sz w:val="22"/>
          <w:szCs w:val="22"/>
          <w:lang w:val="en-GB"/>
        </w:rPr>
      </w:pPr>
    </w:p>
    <w:p w14:paraId="3338B6B7" w14:textId="77777777" w:rsidR="00240E4C" w:rsidRPr="00AB5770" w:rsidRDefault="001F713F" w:rsidP="00120294">
      <w:pPr>
        <w:pStyle w:val="Heading3"/>
        <w:ind w:left="567" w:hanging="567"/>
      </w:pPr>
      <w:r>
        <w:t>Det er behov for en yderligere forbedring af energisikkerheden på alle niveauer og modstandsdygtigheden i samfundet, f.eks. gennem programmer for renovering af bygninger. Det grænseoverskridende energisamarbejde og forbindelser på tværs af EU er fortsat vigtige, og det samme gælder behovet for at fremme en større diversificering af forsyningskilder, f.eks. ved at have et større udvalg af vedvarende energi og energilagringsløsninger.</w:t>
      </w:r>
    </w:p>
    <w:p w14:paraId="21C6538A" w14:textId="77777777" w:rsidR="00240E4C" w:rsidRPr="00AB5770" w:rsidRDefault="00240E4C" w:rsidP="00120294">
      <w:pPr>
        <w:spacing w:line="288" w:lineRule="auto"/>
        <w:ind w:left="709" w:hanging="709"/>
        <w:jc w:val="both"/>
        <w:rPr>
          <w:rFonts w:ascii="Times New Roman" w:hAnsi="Times New Roman"/>
          <w:sz w:val="22"/>
          <w:szCs w:val="22"/>
          <w:lang w:val="en-GB"/>
        </w:rPr>
      </w:pPr>
    </w:p>
    <w:p w14:paraId="507F8C6E" w14:textId="63F1B4FE" w:rsidR="00240E4C" w:rsidRPr="00AB5770" w:rsidRDefault="002C7108" w:rsidP="00120294">
      <w:pPr>
        <w:pStyle w:val="Heading3"/>
        <w:ind w:left="567" w:hanging="567"/>
      </w:pPr>
      <w:r>
        <w:t xml:space="preserve"> En mulighed for at gøre hurtigere fremskridt hen imod EU's mål om klimaneutralitet er at øge brugen af vedvarende og kulstoffattig elektricitet via elektrificering af de sektorer, der på nuværende tidspunkt stadig er afhængige af fossile energikilder. De nationale energi- og klimaplaner udgør et vigtigt skridt med hensyn til at sikre energiunionen og den europæiske grønne pagt.</w:t>
      </w:r>
    </w:p>
    <w:p w14:paraId="483B33BF" w14:textId="77777777" w:rsidR="00B677D6" w:rsidRPr="00AB5770" w:rsidRDefault="00B677D6" w:rsidP="00120294">
      <w:pPr>
        <w:spacing w:line="288" w:lineRule="auto"/>
        <w:ind w:left="709" w:hanging="709"/>
        <w:jc w:val="both"/>
        <w:rPr>
          <w:rFonts w:ascii="Times New Roman" w:hAnsi="Times New Roman"/>
          <w:sz w:val="22"/>
          <w:szCs w:val="22"/>
          <w:lang w:val="en-GB"/>
        </w:rPr>
      </w:pPr>
    </w:p>
    <w:p w14:paraId="223D13C9" w14:textId="3F802CCD" w:rsidR="00B677D6" w:rsidRPr="00AB5770" w:rsidRDefault="002C7108" w:rsidP="00120294">
      <w:pPr>
        <w:pStyle w:val="Heading3"/>
        <w:ind w:left="567" w:hanging="567"/>
      </w:pPr>
      <w:r>
        <w:t xml:space="preserve"> I forbindelse med målet i den europæiske klimalov om, at EU skal være klimaneutral inden 2050, bør der være særlig fokus på transportsektoren. Således stiger CO</w:t>
      </w:r>
      <w:r>
        <w:rPr>
          <w:vertAlign w:val="subscript"/>
        </w:rPr>
        <w:t>2</w:t>
      </w:r>
      <w:r>
        <w:t>-udledningen fra denne sektor stadig, selv om udledningen fra transport skal i 2050 være reduceret med 90 % inden 2050 for at nå målet om klimaneutralitet.</w:t>
      </w:r>
    </w:p>
    <w:p w14:paraId="1C2CC0FE" w14:textId="77777777" w:rsidR="00BE47F8" w:rsidRPr="00AB5770" w:rsidRDefault="00BE47F8" w:rsidP="00120294">
      <w:pPr>
        <w:spacing w:line="288" w:lineRule="auto"/>
        <w:ind w:left="709" w:hanging="709"/>
        <w:jc w:val="both"/>
        <w:rPr>
          <w:rFonts w:ascii="Times New Roman" w:hAnsi="Times New Roman"/>
          <w:sz w:val="22"/>
          <w:szCs w:val="22"/>
          <w:lang w:val="en-GB"/>
        </w:rPr>
      </w:pPr>
    </w:p>
    <w:p w14:paraId="7BF481DF" w14:textId="485C1C8F" w:rsidR="00FC4926" w:rsidRPr="00AB5770" w:rsidRDefault="002C7108" w:rsidP="00120294">
      <w:pPr>
        <w:pStyle w:val="Heading3"/>
        <w:ind w:left="567" w:hanging="567"/>
      </w:pPr>
      <w:r>
        <w:t xml:space="preserve"> EØSU har efterlyst en opdateret EU-skovstrategi efter 2020 som et element i den europæiske grønne pagt. Den nye strategi kunne se fremad mod 2050. Skovene, skovbruget og de skovbaserede industriers betydning for opfyldelsen af disse mål bør anerkendes i alle sektorer og føre til et optimeret samarbejde på tværs af sektorer.</w:t>
      </w:r>
    </w:p>
    <w:p w14:paraId="6E2751A7" w14:textId="77777777" w:rsidR="00EB5BF9" w:rsidRPr="00AB5770" w:rsidRDefault="00EB5BF9" w:rsidP="00120294">
      <w:pPr>
        <w:spacing w:line="288" w:lineRule="auto"/>
        <w:ind w:left="709" w:hanging="709"/>
        <w:jc w:val="both"/>
        <w:rPr>
          <w:rFonts w:ascii="Times New Roman" w:hAnsi="Times New Roman"/>
          <w:sz w:val="22"/>
          <w:szCs w:val="22"/>
          <w:lang w:val="en-GB"/>
        </w:rPr>
      </w:pPr>
    </w:p>
    <w:p w14:paraId="7574676E" w14:textId="25C371E6" w:rsidR="00043029" w:rsidRPr="00AB5770" w:rsidRDefault="002C7108" w:rsidP="00120294">
      <w:pPr>
        <w:pStyle w:val="Heading3"/>
        <w:ind w:left="567" w:hanging="567"/>
      </w:pPr>
      <w:r>
        <w:t xml:space="preserve"> EØSU mener, at tilpasningsindsatsen i betydeligt omfang kan bidrage til at sikre, at den bæredygtige omstilling og genopbygningen efter covid-19-krisen bliver gennemført på en mere retfærdig måde. Lokalsamfund og regioner, som påvirkes mere end gennemsnittet af de negative effekter af klimaforandringerne, bør have hjælp til at bekæmpe disse effekter og formodede risici. Det bør især være tilfældet for de lokalsamfund og regioner, hvis aktuelle og historiske drivhusgasudledningen ligger under gennemsnittet.</w:t>
      </w:r>
    </w:p>
    <w:p w14:paraId="71E4987C" w14:textId="77777777" w:rsidR="00740235" w:rsidRPr="00AB5770" w:rsidRDefault="00740235" w:rsidP="00120294">
      <w:pPr>
        <w:spacing w:line="288" w:lineRule="auto"/>
        <w:rPr>
          <w:lang w:val="en-GB"/>
        </w:rPr>
      </w:pPr>
    </w:p>
    <w:p w14:paraId="548A600F" w14:textId="58F701D2" w:rsidR="00043029" w:rsidRPr="00AB5770" w:rsidRDefault="002C7108" w:rsidP="00120294">
      <w:pPr>
        <w:pStyle w:val="Heading3"/>
        <w:ind w:left="567" w:hanging="567"/>
      </w:pPr>
      <w:r>
        <w:t xml:space="preserve"> EØSU bifalder, at den europæiske grønne pagt i tilstrækkeligt omfang er medtænkt i Kommissionens tilpassede arbejdsprogram for 2020, og at der tages ligeligt højde for den i alle hovedområder. Især fremhæver EØSU prioriteringen af finansiering af den bæredygtige omstilling, især investeringsplanen for den europæiske grønne pagt og Fonden for Retfærdig Omstilling. De andre interesseområder, der nævnes i det tilpassede arbejdsprogram, f.eks. intelligent og bæredygtig mobilitet, bæredygtig produktion og forbrug, bæredygtighed af fødevaresystemer eller dekarbonisering af energi, er særligt relevante som prioriteter for dette mål. EØSU mener, at prioriteterne for Kommissionens arbejdsprogram for 2021 også vil være fokuseret på disse initiativer.</w:t>
      </w:r>
    </w:p>
    <w:p w14:paraId="5B93FF0E" w14:textId="77777777" w:rsidR="00246F6C" w:rsidRPr="00AB5770" w:rsidRDefault="00246F6C" w:rsidP="00120294">
      <w:pPr>
        <w:spacing w:line="288" w:lineRule="auto"/>
        <w:ind w:left="709" w:hanging="709"/>
        <w:jc w:val="both"/>
        <w:rPr>
          <w:rFonts w:ascii="Times New Roman" w:hAnsi="Times New Roman"/>
          <w:sz w:val="22"/>
          <w:szCs w:val="22"/>
          <w:lang w:val="en-GB"/>
        </w:rPr>
      </w:pPr>
    </w:p>
    <w:p w14:paraId="57ACB398" w14:textId="77777777" w:rsidR="00246F6C" w:rsidRPr="00AB5770" w:rsidRDefault="00246F6C" w:rsidP="00120294">
      <w:pPr>
        <w:pStyle w:val="Heading2"/>
        <w:keepNext/>
        <w:keepLines/>
        <w:ind w:left="567" w:hanging="567"/>
        <w:rPr>
          <w:b/>
        </w:rPr>
      </w:pPr>
      <w:r>
        <w:rPr>
          <w:b/>
        </w:rPr>
        <w:t>Investeringsprioriteterne</w:t>
      </w:r>
    </w:p>
    <w:p w14:paraId="1772C38F" w14:textId="77777777" w:rsidR="00246F6C" w:rsidRPr="00AB5770" w:rsidRDefault="00246F6C" w:rsidP="00120294">
      <w:pPr>
        <w:keepNext/>
        <w:keepLines/>
        <w:spacing w:line="288" w:lineRule="auto"/>
        <w:ind w:left="709" w:hanging="709"/>
        <w:jc w:val="both"/>
        <w:rPr>
          <w:rFonts w:ascii="Times New Roman" w:hAnsi="Times New Roman"/>
          <w:sz w:val="22"/>
          <w:szCs w:val="22"/>
          <w:lang w:val="en-GB"/>
        </w:rPr>
      </w:pPr>
    </w:p>
    <w:p w14:paraId="28C509A9" w14:textId="4DEF19F2" w:rsidR="00BE47F8" w:rsidRPr="00AB5770" w:rsidRDefault="00767932" w:rsidP="00120294">
      <w:pPr>
        <w:pStyle w:val="Heading3"/>
        <w:ind w:left="567" w:hanging="567"/>
      </w:pPr>
      <w:r>
        <w:t xml:space="preserve">Offentlige midler, der investeres i genopretningsplaner, bør ikke alene hjælpe med genopbygningen af den europæiske økonomi og det europæiske samfund, men også medvirke til at reducere effekten af yderligere chok betydeligt gennem investeringer i en modstandsdygtig, inkluderende og klimavenlig økonomi (en såkaldt "velfærdsøkonomi"). </w:t>
      </w:r>
    </w:p>
    <w:p w14:paraId="2A106187" w14:textId="77777777" w:rsidR="00BE47F8" w:rsidRPr="00AB5770" w:rsidRDefault="00BE47F8" w:rsidP="00120294">
      <w:pPr>
        <w:spacing w:line="288" w:lineRule="auto"/>
        <w:jc w:val="both"/>
        <w:rPr>
          <w:rFonts w:ascii="Times New Roman" w:hAnsi="Times New Roman"/>
          <w:sz w:val="22"/>
          <w:szCs w:val="22"/>
          <w:lang w:val="en-GB"/>
        </w:rPr>
      </w:pPr>
    </w:p>
    <w:p w14:paraId="517A364F" w14:textId="77777777" w:rsidR="00E878C7" w:rsidRPr="00AB5770" w:rsidRDefault="00E878C7" w:rsidP="00120294">
      <w:pPr>
        <w:pStyle w:val="Heading3"/>
        <w:ind w:left="567" w:hanging="567"/>
      </w:pPr>
      <w:r>
        <w:t>EU's klassifikationssystem for bæredygtig finansiering bør styre offentlige og private investeringer igennem hele genopretningen for at fremskynde omstillingen fra forurenende sektorer til grønne sektorer.</w:t>
      </w:r>
    </w:p>
    <w:p w14:paraId="58824C5D" w14:textId="77777777" w:rsidR="00E878C7" w:rsidRPr="00AB5770" w:rsidRDefault="00E878C7" w:rsidP="00120294">
      <w:pPr>
        <w:spacing w:line="288" w:lineRule="auto"/>
        <w:jc w:val="both"/>
        <w:rPr>
          <w:rFonts w:ascii="Times New Roman" w:hAnsi="Times New Roman"/>
          <w:sz w:val="22"/>
          <w:szCs w:val="22"/>
          <w:lang w:val="en-GB"/>
        </w:rPr>
      </w:pPr>
    </w:p>
    <w:p w14:paraId="19B8798F" w14:textId="5AAB896C" w:rsidR="003D4B62" w:rsidRPr="00AB5770" w:rsidRDefault="00046F63" w:rsidP="00120294">
      <w:pPr>
        <w:pStyle w:val="Heading3"/>
        <w:ind w:left="567" w:hanging="567"/>
      </w:pPr>
      <w:r>
        <w:lastRenderedPageBreak/>
        <w:t>Det er nødvendigt at sikre, at der i den nye FFR afsættes betydelige ressourcer til gennemførelsen af målene for bæredygtig udvikling og håndteringen af klimaforandringerne, og at uhensigtsmæssig finansiering (f.eks. af fossile brændstoffer) samtidig udfases.</w:t>
      </w:r>
    </w:p>
    <w:p w14:paraId="551C1A65" w14:textId="77777777" w:rsidR="003D4B62" w:rsidRPr="00AB5770" w:rsidRDefault="003D4B62" w:rsidP="00120294">
      <w:pPr>
        <w:spacing w:line="288" w:lineRule="auto"/>
        <w:rPr>
          <w:rFonts w:ascii="Times New Roman" w:hAnsi="Times New Roman"/>
          <w:sz w:val="22"/>
          <w:szCs w:val="22"/>
          <w:lang w:val="en-GB"/>
        </w:rPr>
      </w:pPr>
    </w:p>
    <w:p w14:paraId="322D7E6B" w14:textId="78BE2C33" w:rsidR="00572014" w:rsidRPr="00AB5770" w:rsidRDefault="003D4B62" w:rsidP="00120294">
      <w:pPr>
        <w:pStyle w:val="Heading3"/>
        <w:ind w:left="567" w:hanging="567"/>
      </w:pPr>
      <w:r>
        <w:t>Den europæiske økonomi har oplevet en investeringskløft i det meste af det årti, der er gået siden krisen i 2009. Opsvinget i investeringerne er nødvendigt for at opnå tilstrækkelige resultater. Dette er grunden til, at EØSU glæder sig over forslaget til en genopretningsplan, hovedsagligt repræsenteret af programmet Next Generation EU og søjlerne heri samt den tilpassede FFR for 2021-2027. Next Generation EU kan betragtes som et ekstraordinært, men også nødvendigt og presserende skridt i retning af at forbedre investeringsmiljøet i EU. Dette uddybes yderligere, bl.a. i EØSU's udtalelse ECO/523.</w:t>
      </w:r>
    </w:p>
    <w:p w14:paraId="16578DAA" w14:textId="77777777" w:rsidR="00572014" w:rsidRPr="00AB5770" w:rsidRDefault="00572014" w:rsidP="00120294">
      <w:pPr>
        <w:pStyle w:val="Heading3"/>
        <w:numPr>
          <w:ilvl w:val="0"/>
          <w:numId w:val="0"/>
        </w:numPr>
        <w:ind w:left="709"/>
        <w:rPr>
          <w:lang w:val="en-GB"/>
        </w:rPr>
      </w:pPr>
    </w:p>
    <w:p w14:paraId="37E26E7A" w14:textId="2DED20CA" w:rsidR="00246F6C" w:rsidRPr="00AB5770" w:rsidRDefault="00572014" w:rsidP="00120294">
      <w:pPr>
        <w:pStyle w:val="Heading3"/>
        <w:ind w:left="567" w:hanging="567"/>
      </w:pPr>
      <w:r>
        <w:t>EØSU noterer sig, at investeringer ikke udgør en målsætning for Kommissionen i mandatperioden frem til 2024, og at der heller ikke tages tilstrækkeligt højde herfor i de individuelle initiativer i det tilpassede arbejdsprogram for 2020. EØSU anbefaler derfor, at Kommissionen medtager investeringsbaserede initiativer i sit arbejdsprogram for 2021, herunder indsatsen for at rejse private investeringer til fremme af den fremtidige bæredygtige økonomiske udvikling i EU.</w:t>
      </w:r>
    </w:p>
    <w:p w14:paraId="04B50F3F" w14:textId="77777777" w:rsidR="00056526" w:rsidRPr="00AB5770" w:rsidRDefault="00056526" w:rsidP="00120294">
      <w:pPr>
        <w:spacing w:line="288" w:lineRule="auto"/>
        <w:ind w:left="709" w:hanging="709"/>
        <w:jc w:val="both"/>
        <w:rPr>
          <w:lang w:val="en-GB"/>
        </w:rPr>
      </w:pPr>
    </w:p>
    <w:p w14:paraId="31169DF5" w14:textId="77777777" w:rsidR="00056526" w:rsidRPr="00AB5770" w:rsidRDefault="00CF7500" w:rsidP="00120294">
      <w:pPr>
        <w:pStyle w:val="Heading1"/>
        <w:keepNext/>
        <w:keepLines/>
        <w:ind w:left="567" w:hanging="567"/>
        <w:rPr>
          <w:b/>
        </w:rPr>
      </w:pPr>
      <w:r>
        <w:rPr>
          <w:b/>
        </w:rPr>
        <w:t>Et Europa klar til den digitale tidsalder</w:t>
      </w:r>
    </w:p>
    <w:p w14:paraId="35E87446" w14:textId="77777777" w:rsidR="00056526" w:rsidRPr="00AB5770" w:rsidRDefault="00056526" w:rsidP="00120294">
      <w:pPr>
        <w:keepNext/>
        <w:keepLines/>
        <w:spacing w:line="288" w:lineRule="auto"/>
        <w:jc w:val="both"/>
        <w:rPr>
          <w:rFonts w:ascii="Times New Roman" w:hAnsi="Times New Roman"/>
          <w:sz w:val="22"/>
          <w:szCs w:val="22"/>
          <w:lang w:val="en-GB"/>
        </w:rPr>
      </w:pPr>
    </w:p>
    <w:p w14:paraId="31C16A43" w14:textId="433728BB" w:rsidR="00402726" w:rsidRPr="00AB5770" w:rsidRDefault="00402726" w:rsidP="00120294">
      <w:pPr>
        <w:pStyle w:val="Heading2"/>
        <w:ind w:left="567" w:hanging="567"/>
      </w:pPr>
      <w:r>
        <w:t>Coronaviruskrisen viser, at den digitale revolution er et vigtigt element i en styrkelse af vores samfunds modstandsdygtighed over for kriser. Det er helt afgørende, at der investeres i digitaliseringen af centrale tjenesteydelser og styrkelsen af myndighedernes, lovgivernes og de offentlige institutioners evne til at levere deres tjenester under en krise. Samtidig er det vigtigt at erkende, at digitale teknologier er et redskab ikke et slutmål. Der skal tages et offentligt ejerskab til den ramme, der omgiver digitale teknologier, og den bør styres i retning af en høj standard for bæredygtighed, herunder med stærke demokratiske og teknologiske sikkerhedsmekanismer, og ledsages af støttetiltag for omkostninger og viden, der ikke lader nogen i stikken. I overensstemmelse med EU's retsakt om tilgængelighed indebærer dette, at det er nødvendigt at sikre, at den digitale revolution sikrer tilgængelighed for EU's mere end 100 mio. personer med handicap.</w:t>
      </w:r>
    </w:p>
    <w:p w14:paraId="64165518" w14:textId="77777777" w:rsidR="00402726" w:rsidRPr="00AB5770" w:rsidRDefault="00402726" w:rsidP="00120294">
      <w:pPr>
        <w:spacing w:line="288" w:lineRule="auto"/>
        <w:rPr>
          <w:rFonts w:ascii="Times New Roman" w:hAnsi="Times New Roman"/>
          <w:sz w:val="22"/>
          <w:szCs w:val="22"/>
          <w:lang w:val="en-GB"/>
        </w:rPr>
      </w:pPr>
    </w:p>
    <w:p w14:paraId="47CB61DE" w14:textId="7CE9ACC1" w:rsidR="001008D9" w:rsidRPr="00AB5770" w:rsidRDefault="001008D9" w:rsidP="00120294">
      <w:pPr>
        <w:pStyle w:val="Heading2"/>
        <w:ind w:left="567" w:hanging="567"/>
      </w:pPr>
      <w:r>
        <w:t>Digitalisering er både en mulighed og en risiko for genopretningen. Det er innovation, der sikrer EU en plads i forreste række, f.eks. inden for blockchain, hvor EU indtager en førende position. Blockchain som en teknologi (ikke bitcoin) medfører demokratiske værdier ved at tilbyde gennemsigtighed og forbedrede forvaltningsstrukturer. Digitaliseringens iboende risici skal imidlertid håndteres, herunder yderligere arbejdsløshed, digital marginalisering og social udstødelse. Det skal afklares, hvordan vi kan udnytte mulighederne og samtidig afbalancere risiciene i en kontekst, hvor EU søger at forblive globalt konkurrencedygtig.</w:t>
      </w:r>
    </w:p>
    <w:p w14:paraId="60766DEB" w14:textId="77777777" w:rsidR="001008D9" w:rsidRPr="00AB5770" w:rsidRDefault="001008D9" w:rsidP="00120294">
      <w:pPr>
        <w:spacing w:line="288" w:lineRule="auto"/>
        <w:rPr>
          <w:rFonts w:ascii="Times New Roman" w:hAnsi="Times New Roman"/>
          <w:sz w:val="22"/>
          <w:szCs w:val="22"/>
          <w:lang w:val="en-GB"/>
        </w:rPr>
      </w:pPr>
    </w:p>
    <w:p w14:paraId="3A63BC45" w14:textId="384CDB71" w:rsidR="00402726" w:rsidRPr="00AB5770" w:rsidRDefault="00402726" w:rsidP="00120294">
      <w:pPr>
        <w:pStyle w:val="Heading2"/>
        <w:ind w:left="567" w:hanging="567"/>
      </w:pPr>
      <w:r>
        <w:t xml:space="preserve">Det er vigtigt at bevare den europæiske model for rettigheder, standarder og forbrugerpolitikker. Det er det, der gør EU unikt. Med hensyn til digitalisering adskiller den tilgang, EU har anlagt i sin etiske kodeks for kunstig intelligens, baseret på "menneskelig kontrol" sig eksempelvis fra andre regioners tilgang. Denne tilgang, som er baseret på grundlæggende rettigheder og </w:t>
      </w:r>
      <w:r>
        <w:lastRenderedPageBreak/>
        <w:t>frihedsrettigheder, er en del af EU-modellen og bør fastholdes trods de hårdere konkurrencevilkår, der er ved at trænge sig på.</w:t>
      </w:r>
    </w:p>
    <w:p w14:paraId="1F3A6C20" w14:textId="77777777" w:rsidR="00402726" w:rsidRPr="00AB5770" w:rsidRDefault="00402726" w:rsidP="00120294">
      <w:pPr>
        <w:pStyle w:val="Heading2"/>
        <w:numPr>
          <w:ilvl w:val="0"/>
          <w:numId w:val="0"/>
        </w:numPr>
        <w:ind w:left="709" w:hanging="709"/>
        <w:rPr>
          <w:lang w:val="en-GB"/>
        </w:rPr>
      </w:pPr>
    </w:p>
    <w:p w14:paraId="1F52BEED" w14:textId="63F0039A" w:rsidR="004A5C2F" w:rsidRPr="00AB5770" w:rsidRDefault="00402726" w:rsidP="00120294">
      <w:pPr>
        <w:pStyle w:val="Heading2"/>
        <w:ind w:left="567" w:hanging="567"/>
      </w:pPr>
      <w:r>
        <w:t xml:space="preserve">EØSU understreger betydningen af, at alle samfundssektorer digitaliseres, især gennem hjemmearbejde og digitale tjenesteydelser, herunder e-handel og e-sundhed. </w:t>
      </w:r>
    </w:p>
    <w:p w14:paraId="44733F86" w14:textId="77777777" w:rsidR="004A5C2F" w:rsidRPr="00AB5770" w:rsidRDefault="004A5C2F" w:rsidP="00120294">
      <w:pPr>
        <w:spacing w:line="288" w:lineRule="auto"/>
        <w:rPr>
          <w:rFonts w:ascii="Times New Roman" w:hAnsi="Times New Roman"/>
          <w:sz w:val="22"/>
          <w:szCs w:val="22"/>
          <w:lang w:val="en-GB"/>
        </w:rPr>
      </w:pPr>
    </w:p>
    <w:p w14:paraId="1458BEB7" w14:textId="09C72096" w:rsidR="004A5C2F" w:rsidRPr="00AB5770" w:rsidRDefault="004A5C2F" w:rsidP="00120294">
      <w:pPr>
        <w:pStyle w:val="Heading2"/>
        <w:ind w:left="567" w:hanging="567"/>
      </w:pPr>
      <w:r>
        <w:t>Pandemien har vist, at digitalisering inden for uddannelse ikke er lige let tilgængelig overalt i samfundet, hvilket kan føre til yderligere problemer med hensyn til præstationer i skolen og uddannelsesmuligheder. Det er derfor nødvendigt at indføre foranstaltninger, der støtter dårligt stillede grupper, og dermed hjælpe med at forhindre segregation.</w:t>
      </w:r>
    </w:p>
    <w:p w14:paraId="2B992D73" w14:textId="77777777" w:rsidR="00402726" w:rsidRPr="00AB5770" w:rsidRDefault="00402726" w:rsidP="00120294">
      <w:pPr>
        <w:spacing w:line="288" w:lineRule="auto"/>
        <w:rPr>
          <w:rFonts w:ascii="Times New Roman" w:hAnsi="Times New Roman"/>
          <w:sz w:val="22"/>
          <w:szCs w:val="22"/>
          <w:lang w:val="en-GB"/>
        </w:rPr>
      </w:pPr>
    </w:p>
    <w:p w14:paraId="2E716CBF" w14:textId="3739D4B6" w:rsidR="009E3600" w:rsidRPr="00AB5770" w:rsidRDefault="00402726" w:rsidP="00120294">
      <w:pPr>
        <w:pStyle w:val="Heading2"/>
        <w:ind w:left="567" w:hanging="567"/>
      </w:pPr>
      <w:r>
        <w:t>Der er behov for en løbende opdatering af de lovgivningsmæssige rammer for kunstig intelligens og digitalisering: for at være på forkant med den tekniske udvikling, især med hensyn til spørgsmålet om sikkerhed i forbindelse med digital kommunikation, både hvad angår netværk og indhold.</w:t>
      </w:r>
    </w:p>
    <w:p w14:paraId="5065984E" w14:textId="77777777" w:rsidR="009E3600" w:rsidRPr="00AB5770" w:rsidRDefault="009E3600" w:rsidP="00120294">
      <w:pPr>
        <w:spacing w:line="288" w:lineRule="auto"/>
        <w:rPr>
          <w:rFonts w:ascii="Times New Roman" w:hAnsi="Times New Roman"/>
          <w:sz w:val="22"/>
          <w:szCs w:val="22"/>
          <w:lang w:val="en-GB" w:eastAsia="en-US"/>
        </w:rPr>
      </w:pPr>
    </w:p>
    <w:p w14:paraId="6490B5A9" w14:textId="1EF55169" w:rsidR="00402726" w:rsidRPr="00AB5770" w:rsidRDefault="009E3600" w:rsidP="00120294">
      <w:pPr>
        <w:pStyle w:val="Heading2"/>
        <w:ind w:left="567" w:hanging="567"/>
      </w:pPr>
      <w:r>
        <w:t>EØSU bemærker, at Kommissionen udsætter lovgivningsforslaget om indvirkningen af kunstig intelligens, herunder på sikkerhed, ansvar, grundlæggende rettigheder og data, til 2021. Udvalget opfordrer Kommissionen til at: (i) fremme tværfagligheden på forskningsområdet ved at inddrage andre discipliner som f.eks. jura, etik, filosofi, psykologi, arbejdsvidenskab, humaniora, økonomi osv.; (ii) inddrage relevante aktører (fagforeninger, erhvervsorganisationer, forbrugerorganisationer, NGO'er) i drøftelserne om kunstig intelligens og som ligeværdige partnere inden for EU-finansieret forskning og andre projekter som f.eks. det offentlig-private partnerskab om kunstig intelligens, sektordialoger og "brug kunstig intelligens"-programmet inden for den offentlige sektor og fyrtårnet på området; samt (iii) fortsætte med at uddanne den brede offentlighed i og informere om de muligheder og udfordringer, der knytter sig til kunstig intelligens. Det anbefaler endvidere, at Kommissionen i højere grad tager højde for den indvirkning, kunstig intelligens har på hele spektrummet af grundlæggende rettigheder og friheder, herunder, men ikke udelukkende retten til en retfærdig rettergang, til retfærdige og åbne valg samt forsamlings- og demonstrationsfriheden foruden retten til ikke at blive forskelsbehandlet. EØSU gør fortsat indsigelse mod, at kunstig intelligens kan få tildelt nogen som helst form for juridisk personlighed. Dette ville udhule den forebyggende afhjælpende virkning af erstatningsretten og medføre en alvorlig moralsk risiko, både hvad angår udviklingen og anvendelsen af kunstig intelligens, i det omfang at der skabes muligheder for misbrug</w:t>
      </w:r>
      <w:r w:rsidR="0040070F" w:rsidRPr="00AB5770">
        <w:rPr>
          <w:rStyle w:val="FootnoteReference"/>
          <w:sz w:val="24"/>
          <w:szCs w:val="24"/>
          <w:lang w:val="en-GB"/>
        </w:rPr>
        <w:footnoteReference w:id="7"/>
      </w:r>
      <w:r>
        <w:t>.</w:t>
      </w:r>
    </w:p>
    <w:p w14:paraId="1E95FF9F" w14:textId="77777777" w:rsidR="00402726" w:rsidRPr="00AB5770" w:rsidRDefault="00402726" w:rsidP="00120294">
      <w:pPr>
        <w:spacing w:line="288" w:lineRule="auto"/>
        <w:rPr>
          <w:rFonts w:ascii="Times New Roman" w:hAnsi="Times New Roman"/>
          <w:sz w:val="22"/>
          <w:szCs w:val="22"/>
          <w:lang w:val="en-GB"/>
        </w:rPr>
      </w:pPr>
    </w:p>
    <w:p w14:paraId="7B7C2776" w14:textId="77777777" w:rsidR="00402726" w:rsidRPr="00AB5770" w:rsidRDefault="002E00BE" w:rsidP="00120294">
      <w:pPr>
        <w:pStyle w:val="Heading2"/>
        <w:ind w:left="567" w:hanging="567"/>
      </w:pPr>
      <w:r>
        <w:t>Den stigende brug af smartphones og indførelsen af 5G-netværk gør, at spørgsmålet om interoperabilitet af applikationer og netværk på tværs af EU, navnlig i nødsituationer, er yderst vigtigt.</w:t>
      </w:r>
    </w:p>
    <w:p w14:paraId="6502DC9D" w14:textId="77777777" w:rsidR="00402726" w:rsidRPr="00AB5770" w:rsidRDefault="00402726" w:rsidP="00120294">
      <w:pPr>
        <w:spacing w:line="288" w:lineRule="auto"/>
        <w:rPr>
          <w:rFonts w:ascii="Times New Roman" w:hAnsi="Times New Roman"/>
          <w:sz w:val="22"/>
          <w:szCs w:val="22"/>
          <w:lang w:val="en-GB"/>
        </w:rPr>
      </w:pPr>
    </w:p>
    <w:p w14:paraId="39D671E4" w14:textId="77777777" w:rsidR="00065415" w:rsidRPr="00AB5770" w:rsidRDefault="002E00BE" w:rsidP="00120294">
      <w:pPr>
        <w:pStyle w:val="Heading2"/>
        <w:keepNext/>
        <w:keepLines/>
        <w:ind w:left="567" w:hanging="567"/>
      </w:pPr>
      <w:r>
        <w:lastRenderedPageBreak/>
        <w:t>Set i lyset af den yderligere udvikling inden for digitalisering og dens øgede indvirkning på privatlivet, det sociale liv og arbejdslivet og på alle sektorer er det vigtigt at tage hånd om undervisningen i digitale færdigheder og træffe foranstaltninger over for den digitale kløft for borgerne.</w:t>
      </w:r>
    </w:p>
    <w:p w14:paraId="72DBFF28" w14:textId="77777777" w:rsidR="00065415" w:rsidRPr="00AB5770" w:rsidRDefault="00065415" w:rsidP="00120294">
      <w:pPr>
        <w:spacing w:line="288" w:lineRule="auto"/>
        <w:rPr>
          <w:rFonts w:ascii="Times New Roman" w:hAnsi="Times New Roman"/>
          <w:sz w:val="22"/>
          <w:szCs w:val="22"/>
          <w:lang w:val="en-GB"/>
        </w:rPr>
      </w:pPr>
    </w:p>
    <w:p w14:paraId="7CD89EBC" w14:textId="0FEBC754" w:rsidR="00F124C4" w:rsidRPr="00AB5770" w:rsidRDefault="00065415" w:rsidP="00120294">
      <w:pPr>
        <w:pStyle w:val="Heading2"/>
        <w:ind w:left="567" w:hanging="567"/>
      </w:pPr>
      <w:r>
        <w:t>Helt korrekt er Europas forberedelse på den digitale tidsalder en af de vigtigste prioriteter, hvilket fremgår klart og tydeligt af det tilpassede arbejdsprogram for 2020. EØSU sætter pris på Kommissionens store indsats for at gå videre på områder som kunstig intelligens, digitale tjenesteydelser, cybersikkerhed, digitale enheder og løsninger til forbrugerne, men også digital finans. EØSU glæder sig især over den stærke digitale linje i den foreslåede nye industrielle strategi for Europa. Digitalisering er også synlig i luftfartstjenstepakken. EØSU har endvidere stor respekt for, at digitalisering kommer til udtryk i de foreslåede prioriterede områder inden for det europæiske forskningsrum.</w:t>
      </w:r>
    </w:p>
    <w:p w14:paraId="1D4E8038" w14:textId="77777777" w:rsidR="002E00BE" w:rsidRPr="00AB5770" w:rsidRDefault="002E00BE" w:rsidP="00120294">
      <w:pPr>
        <w:spacing w:line="288" w:lineRule="auto"/>
        <w:rPr>
          <w:rFonts w:ascii="Times New Roman" w:hAnsi="Times New Roman"/>
          <w:sz w:val="22"/>
          <w:szCs w:val="22"/>
          <w:lang w:val="en-GB"/>
        </w:rPr>
      </w:pPr>
    </w:p>
    <w:p w14:paraId="6799A9CD" w14:textId="77777777" w:rsidR="00CF7500" w:rsidRPr="00AB5770" w:rsidRDefault="00CF7500" w:rsidP="00120294">
      <w:pPr>
        <w:pStyle w:val="Heading1"/>
        <w:keepNext/>
        <w:keepLines/>
        <w:ind w:left="567" w:hanging="567"/>
        <w:rPr>
          <w:b/>
        </w:rPr>
      </w:pPr>
      <w:r>
        <w:rPr>
          <w:b/>
        </w:rPr>
        <w:t>En økonomi, der tjener alle</w:t>
      </w:r>
    </w:p>
    <w:p w14:paraId="0D1405ED" w14:textId="77777777" w:rsidR="00CF7500" w:rsidRPr="00AB5770" w:rsidRDefault="00CF7500" w:rsidP="00120294">
      <w:pPr>
        <w:keepNext/>
        <w:keepLines/>
        <w:spacing w:line="288" w:lineRule="auto"/>
        <w:ind w:left="567" w:hanging="567"/>
        <w:rPr>
          <w:rFonts w:ascii="Times New Roman" w:hAnsi="Times New Roman"/>
          <w:sz w:val="22"/>
          <w:szCs w:val="22"/>
          <w:lang w:val="en-GB"/>
        </w:rPr>
      </w:pPr>
    </w:p>
    <w:p w14:paraId="4AD8A7B4" w14:textId="77777777" w:rsidR="003C3D16" w:rsidRPr="00AB5770" w:rsidRDefault="003C3D16" w:rsidP="00120294">
      <w:pPr>
        <w:pStyle w:val="Heading2"/>
        <w:ind w:left="567" w:hanging="567"/>
      </w:pPr>
      <w:r>
        <w:t>Vi skal genopbygge vores økonomiske styring på grundlag af et modstandsdygtigt, bæredygtigt og inkluderende europæisk økonomisk system. Vores mål er ikke en mekanisk økonomisk genopretning, men i stedet et kvalitativt skift i forvaltningen og styringen af den økonomiske politik.</w:t>
      </w:r>
    </w:p>
    <w:p w14:paraId="74A67409" w14:textId="77777777" w:rsidR="001F713F" w:rsidRPr="00AB5770" w:rsidRDefault="001F713F" w:rsidP="00120294">
      <w:pPr>
        <w:spacing w:line="288" w:lineRule="auto"/>
        <w:rPr>
          <w:rFonts w:ascii="Times New Roman" w:hAnsi="Times New Roman"/>
          <w:sz w:val="22"/>
          <w:szCs w:val="22"/>
          <w:lang w:val="en-GB"/>
        </w:rPr>
      </w:pPr>
    </w:p>
    <w:p w14:paraId="30BE80B2" w14:textId="26BAFBBF" w:rsidR="00CB75EF" w:rsidRPr="00AB5770" w:rsidRDefault="00CB75EF" w:rsidP="00120294">
      <w:pPr>
        <w:pStyle w:val="Heading2"/>
        <w:ind w:left="567" w:hanging="567"/>
      </w:pPr>
      <w:r>
        <w:t>Vi kender endnu ikke de samlede konsekvenser af krisen, og genopbygningen og genopretningen kommer til at kræve en væsentlig indsats. Der er således et presserende behov for en hurtig gennemførelse af forslagene fra maj 2020 om et genopretningsinstrument og om en styrket FFR. Vi er også nødt til at være parate til at træffe yderligere foranstaltninger og ændre dem, der allerede er vedtaget, hvis situationen berettiger dette.</w:t>
      </w:r>
    </w:p>
    <w:p w14:paraId="175BF738" w14:textId="77777777" w:rsidR="00CB75EF" w:rsidRPr="00AB5770" w:rsidRDefault="00CB75EF" w:rsidP="00120294">
      <w:pPr>
        <w:spacing w:line="288" w:lineRule="auto"/>
        <w:rPr>
          <w:rFonts w:ascii="Times New Roman" w:hAnsi="Times New Roman"/>
          <w:sz w:val="22"/>
          <w:szCs w:val="22"/>
          <w:lang w:val="en-GB"/>
        </w:rPr>
      </w:pPr>
    </w:p>
    <w:p w14:paraId="3E27EEEB" w14:textId="0022C5FE" w:rsidR="00D872BD" w:rsidRPr="00AB5770" w:rsidRDefault="003C3D16" w:rsidP="00120294">
      <w:pPr>
        <w:pStyle w:val="Heading2"/>
        <w:ind w:left="567" w:hanging="567"/>
      </w:pPr>
      <w:r>
        <w:t>Kommissionen opfordres til at fortsætte med at bruge semesteret som en drivkraft for genopretning baseret på de investerings- og reformprioriteter, der er identificeret som en del af det europæiske semester. Udvalget glæder sig over den vægt, der nu bliver lagt på at tage bedre hensyn til sociale forhold og den europæiske grønne pagt, og over gennemførelsen af genopretnings- og resiliensfaciliteten via semesteret. Gennem semesteret bør Kommissionen støtte medlemsstaterne i euroområdet i at træffe alle nødvendige foranstaltninger for at sikre mere konvergens og integration på det økonomiske område. Dette omfatter en positiv finanspolitisk kurs i euroområdet som helhed med henblik på at blive i stand til at vokse sig ud af den aktuelle krise.</w:t>
      </w:r>
    </w:p>
    <w:p w14:paraId="1D058377" w14:textId="77777777" w:rsidR="00D872BD" w:rsidRPr="00AB5770" w:rsidRDefault="00D872BD" w:rsidP="00120294">
      <w:pPr>
        <w:pStyle w:val="Heading2"/>
        <w:numPr>
          <w:ilvl w:val="0"/>
          <w:numId w:val="0"/>
        </w:numPr>
        <w:ind w:left="709"/>
        <w:rPr>
          <w:lang w:val="en-GB"/>
        </w:rPr>
      </w:pPr>
    </w:p>
    <w:p w14:paraId="77913AC1" w14:textId="59350EE4" w:rsidR="0056565F" w:rsidRPr="00AB5770" w:rsidRDefault="00174E57" w:rsidP="00120294">
      <w:pPr>
        <w:pStyle w:val="Heading2"/>
        <w:ind w:left="567" w:hanging="567"/>
      </w:pPr>
      <w:r>
        <w:t xml:space="preserve">Alle de prioriteter og aktioner, der er fastlagt under de andre politiske områder ovenfor, gør det nødvendigt at formulere en ny ramme for økonomisk styring, der kan løfte udfordringerne forbundet med den makroøkonomiske situation i dag og gør det muligt for EU og medlemsstaterne at gennemføre strategiske industripolitikker, politikker for konkurrenceevne, sociale politikker samt miljø- og handelspolitikker. I starten af 2020 indledte Kommissionen en stor offentlig høring om dette emne, men den er blevet sat i bero pga. coronaviruskrisen og anvendelsen af stabilitets- og vækstpagtens generelle undtagelsesklausul. Man kan ikke forestille sig, at vi i 2021 vender tilbage til automatisk anvendelse af pagten. Kommissionen bør </w:t>
      </w:r>
      <w:r>
        <w:lastRenderedPageBreak/>
        <w:t xml:space="preserve">derfor følge op med nye initiativer til fremme af en reform af stabilitets- og vækstpagten med det formål at sikre stabilitet og vækst samtidig. </w:t>
      </w:r>
    </w:p>
    <w:p w14:paraId="1987E5BE" w14:textId="77777777" w:rsidR="0056565F" w:rsidRPr="00AB5770" w:rsidRDefault="0056565F" w:rsidP="00120294">
      <w:pPr>
        <w:pStyle w:val="Heading2"/>
        <w:numPr>
          <w:ilvl w:val="0"/>
          <w:numId w:val="0"/>
        </w:numPr>
        <w:ind w:left="709"/>
        <w:rPr>
          <w:lang w:val="en-GB"/>
        </w:rPr>
      </w:pPr>
    </w:p>
    <w:p w14:paraId="0D856598" w14:textId="638929A7" w:rsidR="0056565F" w:rsidRPr="00AB5770" w:rsidRDefault="00D872BD" w:rsidP="00120294">
      <w:pPr>
        <w:pStyle w:val="Heading2"/>
        <w:ind w:left="567" w:hanging="567"/>
      </w:pPr>
      <w:r>
        <w:t xml:space="preserve">EØSU opfordrer i denne forbindelse til en mere symmetrisk makroøkonomisk tilpasning i både medlemsstater med underskud og medlemsstater med overskud. Alle medlemsstater skal kunne investere mere i offentlige tjenester, eftersom offentlige tjenester, således som krisen har vist, har en central rolle for at redde menneskers liv og håndtere pandemien. EU's ledere bør desuden overveje den såkaldte "gyldne regel", når EU's finanspolitiske regler igen bringes i anvendelse, således at visse offentlige investeringer ikke medtages i beregningerne af underskud, og der tages højde for holdbarheden af de eksisterende gældsniveauer. </w:t>
      </w:r>
    </w:p>
    <w:p w14:paraId="51973B34" w14:textId="77777777" w:rsidR="0056565F" w:rsidRPr="00AB5770" w:rsidRDefault="0056565F" w:rsidP="00120294">
      <w:pPr>
        <w:spacing w:line="288" w:lineRule="auto"/>
        <w:rPr>
          <w:rFonts w:ascii="Times New Roman" w:hAnsi="Times New Roman"/>
          <w:sz w:val="22"/>
          <w:szCs w:val="22"/>
          <w:lang w:val="en-GB" w:eastAsia="en-US"/>
        </w:rPr>
      </w:pPr>
    </w:p>
    <w:p w14:paraId="31C72291" w14:textId="77777777" w:rsidR="003C3D16" w:rsidRPr="00AB5770" w:rsidRDefault="00D872BD" w:rsidP="00120294">
      <w:pPr>
        <w:pStyle w:val="Heading2"/>
        <w:ind w:left="567" w:hanging="567"/>
      </w:pPr>
      <w:r>
        <w:t>Endelig har der længe været efterlyst en permanent stabiliseringsmekanisme for finanspolitikken i euroområdet, da en sådan i høj grad ville støtte EU's kontracykliske politikker i tilfælde af fremtidige chok. En sådan mekanisme vil bidrage til den langsigtede stabilitet og bæredygtighed af de nationale offentlige finanser og udgøre det nødvendige næste trin i uddybningen af Den Økonomiske og Monetære Union.</w:t>
      </w:r>
    </w:p>
    <w:p w14:paraId="3F85E500" w14:textId="77777777" w:rsidR="003C3D16" w:rsidRPr="00AB5770" w:rsidRDefault="003C3D16" w:rsidP="00120294">
      <w:pPr>
        <w:spacing w:line="288" w:lineRule="auto"/>
        <w:rPr>
          <w:rFonts w:ascii="Times New Roman" w:hAnsi="Times New Roman"/>
          <w:sz w:val="22"/>
          <w:szCs w:val="22"/>
          <w:lang w:val="en-GB"/>
        </w:rPr>
      </w:pPr>
    </w:p>
    <w:p w14:paraId="0EAF000D" w14:textId="6D86231A" w:rsidR="00CB75EF" w:rsidRPr="00AB5770" w:rsidRDefault="00CB75EF" w:rsidP="00120294">
      <w:pPr>
        <w:pStyle w:val="Heading2"/>
        <w:ind w:left="567" w:hanging="567"/>
      </w:pPr>
      <w:r>
        <w:t>Det bliver afgørende for genopretningen efter covid-19, at de europæiske finansielle markeder evner at sikre tilstrækkelig likviditet. Velfungerende finansielle markeder og større mulighed for at dele finansielle risici bliver også nødvendig for at øge den europæiske økonomis modstandsdygtighed. Yderligere harmonisering og integrering af de europæiske finansielle markeder bør derfor forsætte uden ophold, herunder med fuldførelse af bankunionen og styrkelse kapitalmarkedsunionen. Når banktilsynsreglerne gennemgås med henblik på at gennemføre de resterende aftaler i Baselrammen, bør der tages højde for EU-banksektorens særlige kendetegn. Det er endvidere vigtigt, at de finansielle markeder er i stand til at støtte den grønne og digitale omstilling. EØSU finder, at der er behov for yderligere bestræbelser for at integrere bæredygtighed i den finansielle sektor, og udvalget glæder sig derfor over, at det er Kommissionens mål at forny dens strategi for bæredygtig finansiering.</w:t>
      </w:r>
    </w:p>
    <w:p w14:paraId="6AA1BE66" w14:textId="77777777" w:rsidR="00D872BD" w:rsidRPr="00AB5770" w:rsidRDefault="00D872BD" w:rsidP="00120294">
      <w:pPr>
        <w:spacing w:line="288" w:lineRule="auto"/>
        <w:rPr>
          <w:rFonts w:ascii="Times New Roman" w:hAnsi="Times New Roman"/>
          <w:sz w:val="22"/>
          <w:szCs w:val="22"/>
          <w:lang w:val="en-GB"/>
        </w:rPr>
      </w:pPr>
    </w:p>
    <w:p w14:paraId="5A123A6D" w14:textId="10F191C9" w:rsidR="00CB75EF" w:rsidRPr="00AB5770" w:rsidRDefault="00347693" w:rsidP="00120294">
      <w:pPr>
        <w:pStyle w:val="Heading2"/>
        <w:ind w:left="567" w:hanging="567"/>
      </w:pPr>
      <w:r>
        <w:t>Set i lyset af økonomiens digitalisering er det EØSU's klare opfattelse, at alle ændringer af reglerne for fordeling af retten til beskatning af overskud mellem landene skal koordineres på globalt plan, og EØSU bifalder derfor det tætte samarbejde mellem Kommissionen, medlemsstaterne og OECD/G20 om at støtte udviklingen af en international løsning. Hvis det ikke lykkes at nå frem til en international løsning, er EU nødt til at overveje, om Unionen skal handle på egen hånd. Bekæmpelse af skattesvig, skatteunddragelse og hvidvaskning af penge må fortsat have højeste prioritet på dagsordenen.</w:t>
      </w:r>
    </w:p>
    <w:p w14:paraId="08584C9B" w14:textId="77777777" w:rsidR="00CB75EF" w:rsidRPr="00AB5770" w:rsidRDefault="00CB75EF" w:rsidP="00120294">
      <w:pPr>
        <w:spacing w:line="288" w:lineRule="auto"/>
        <w:jc w:val="both"/>
        <w:rPr>
          <w:rFonts w:ascii="Times New Roman" w:hAnsi="Times New Roman"/>
          <w:sz w:val="22"/>
          <w:szCs w:val="22"/>
          <w:lang w:val="en-GB"/>
        </w:rPr>
      </w:pPr>
    </w:p>
    <w:p w14:paraId="3E7F8417" w14:textId="7623C8D3" w:rsidR="00CB75EF" w:rsidRPr="00AB5770" w:rsidRDefault="00CB75EF" w:rsidP="00120294">
      <w:pPr>
        <w:pStyle w:val="Heading2"/>
        <w:ind w:left="567" w:hanging="567"/>
      </w:pPr>
      <w:r>
        <w:t>Samhørighedspolitikken bliver en af de afgørende faktorer for en afbalanceret genopretning, fremme af konvergens og sikring af, at ingen lades i stikken. Finansiel fleksibilitet er virkelig vigtig for samhørighedsprogrammerne og vil give medlemsstaterne mulighed for at overføre midler efter deres behov for at afhjælpe krisen. EØSU mener, at der bør fastsættes en realistisk tidsfrist, så midlerne kan tildeles medlemsstaterne hurtigst muligt. EU's samhørighedspolitik for 2021-2027 bør fortsat fokusere på økonomisk konkurrenceevne gennem forskning og innovation, digital omstilling samt den europæiske grønne pagts dagsorden og den bæredygtige udvikling.</w:t>
      </w:r>
    </w:p>
    <w:p w14:paraId="3CFB3F85" w14:textId="77777777" w:rsidR="00CB75EF" w:rsidRPr="00AB5770" w:rsidRDefault="00CB75EF" w:rsidP="00120294">
      <w:pPr>
        <w:pStyle w:val="Heading2"/>
        <w:numPr>
          <w:ilvl w:val="0"/>
          <w:numId w:val="0"/>
        </w:numPr>
        <w:ind w:left="709"/>
        <w:rPr>
          <w:lang w:val="en-GB"/>
        </w:rPr>
      </w:pPr>
    </w:p>
    <w:p w14:paraId="0DC0B101" w14:textId="2E9B60A8" w:rsidR="00D872BD" w:rsidRPr="00AB5770" w:rsidRDefault="00284DBE" w:rsidP="00120294">
      <w:pPr>
        <w:pStyle w:val="Heading2"/>
        <w:ind w:left="567" w:hanging="567"/>
      </w:pPr>
      <w:r>
        <w:lastRenderedPageBreak/>
        <w:t>Den sundhedsmæssige og økonomiske krise som følge af covid-19-udbruddet forværrede de eksisterende uligheder i velstand og indkomst og viste med al tydelighed behovet for en ny samfundsmodel, som bidrager til mere økonomisk og social samhørighed, produktivitet og en mere rimelig velstandsfordeling. Kommission må nu hurtigst mulige følge op på tidligere forslag fra EØSU, der vil hjælpe med at vende udviklingen mod voksende uligheder, som skaber splittelse mellem medlemsstaterne og sociale grupper og har bidraget til, at der er opstået ekstreme bevægelser og partier. Der er i den forbindelse behov for en konsekvent indsats fra EU's side som supplement til medlemsstaternes bestræbelser for at fremme investeringerne i social infrastruktur (uddannelse og livslang læring, sundhed, langtidspleje og sociale ydelser, prismæssigt overkommelige boliger), for at udvikle offentlige aktiver, der udfylder hullerne i markedssystemet, for gradvist at flytte skatteindtægterne fra arbejdsbaseret til formuebaserede beskatning, for at udvikle en gennemsigtig mekanisme for overvågning og konsoliderede data om al indkomst og formue, for at oprette et register over selskabsaktionærer på europæisk niveau osv.</w:t>
      </w:r>
    </w:p>
    <w:p w14:paraId="3453251E" w14:textId="77777777" w:rsidR="00D872BD" w:rsidRPr="00AB5770" w:rsidRDefault="00D872BD" w:rsidP="00120294">
      <w:pPr>
        <w:pStyle w:val="Heading2"/>
        <w:numPr>
          <w:ilvl w:val="0"/>
          <w:numId w:val="0"/>
        </w:numPr>
        <w:rPr>
          <w:lang w:val="en-GB"/>
        </w:rPr>
      </w:pPr>
    </w:p>
    <w:p w14:paraId="74C3BAC0" w14:textId="08B88218" w:rsidR="00D872BD" w:rsidRPr="00AB5770" w:rsidRDefault="00284DBE" w:rsidP="00120294">
      <w:pPr>
        <w:pStyle w:val="Heading2"/>
        <w:ind w:left="567" w:hanging="567"/>
      </w:pPr>
      <w:r>
        <w:t>På baggrund af covid-19-krisen bør Kommissionen også følge op på tidligere initiativer for at styrke og fremme Europas rolle som en global økonomisk aktør. Den bør analysere og foreslå mere konkrete måder og midler for at styrke euroens internationale rolle, diversificere forsyningskæder og fremme europæiske regler og standarder i visse strategiske sektorer, for at sikre en mere modstandsdygtig europæisk reaktion på ekstraterritoriale sanktioner fra tredjelandes side og gradvist at styre imod en fælles europæisk repræsentation i de internationale finansielle fora.</w:t>
      </w:r>
    </w:p>
    <w:p w14:paraId="13E04333" w14:textId="77777777" w:rsidR="00D872BD" w:rsidRPr="00AB5770" w:rsidRDefault="00D872BD" w:rsidP="00120294">
      <w:pPr>
        <w:pStyle w:val="Heading2"/>
        <w:numPr>
          <w:ilvl w:val="0"/>
          <w:numId w:val="0"/>
        </w:numPr>
        <w:rPr>
          <w:lang w:val="en-GB"/>
        </w:rPr>
      </w:pPr>
    </w:p>
    <w:p w14:paraId="1D7EC14A" w14:textId="77777777" w:rsidR="00D872BD" w:rsidRPr="00AB5770" w:rsidRDefault="000F38D2" w:rsidP="00120294">
      <w:pPr>
        <w:pStyle w:val="Heading2"/>
        <w:ind w:left="567" w:hanging="567"/>
      </w:pPr>
      <w:r>
        <w:t>Økonomisk velstand skal afkobles fra miljøforringelser og sociale begrænsninger. Modeller som f.eks. den cirkulære økonomi, deleøkonomien og den kollaborative økonomi åbner nye muligheder for beskæftigelse, ejerskab og innovation, og de ændrer relationerne mellem producenter, distributører og forbrugere, idet de gør alle aktører mere modstandsdygtige over for kriser, hvis de reguleres korrekt. Ud over den korrekte gennemførelse af den nye handlingsplan for den cirkulære økonomi og fortsættelsen af EØSU's/Kommissionens europæiske interessentplatform for cirkulær økonomi omfatter de centrale prioriteter: fremme af en omfattende strategi for bæredygtigt forbrug, udvikling af nye indikatorer til erstatning for den uhensigtsmæssige brug af BNP og tilpasning af EU's stabilitets- og vækstpagten, så den tager højde for bæredygtighed og trivsel.</w:t>
      </w:r>
    </w:p>
    <w:p w14:paraId="22C9EB7B" w14:textId="77777777" w:rsidR="00D872BD" w:rsidRPr="00AB5770" w:rsidRDefault="00D872BD" w:rsidP="00120294">
      <w:pPr>
        <w:pStyle w:val="Heading2"/>
        <w:numPr>
          <w:ilvl w:val="0"/>
          <w:numId w:val="0"/>
        </w:numPr>
        <w:ind w:left="709"/>
        <w:rPr>
          <w:lang w:val="en-GB"/>
        </w:rPr>
      </w:pPr>
    </w:p>
    <w:p w14:paraId="375B9EFB" w14:textId="4B2F02EF" w:rsidR="00D872BD" w:rsidRPr="00AB5770" w:rsidRDefault="00240E4C" w:rsidP="00120294">
      <w:pPr>
        <w:pStyle w:val="Heading2"/>
        <w:ind w:left="567" w:hanging="567"/>
      </w:pPr>
      <w:r>
        <w:t>Der er behov for at genopbygge et samfund med stærkere tjenesteydelser af almen interesse som fastlagt i artikel 14 TEUF, der omhandler tjenesteydelser af almen økonomisk interesse, protokol nr. 26 om tjenesteydelser af almen interesse, der er vedlagt som bilag til TEUF, og især den europæiske søjle for sociale rettigheder og på sundheds- og socialtjenester, elektronisk kommunikation, offentlig transport, energi, vand og affaldsindsamling og et ledsagende investeringsprogram.</w:t>
      </w:r>
    </w:p>
    <w:p w14:paraId="50EEE018" w14:textId="77777777" w:rsidR="00D872BD" w:rsidRPr="00AB5770" w:rsidRDefault="00D872BD" w:rsidP="00120294">
      <w:pPr>
        <w:pStyle w:val="Heading2"/>
        <w:numPr>
          <w:ilvl w:val="0"/>
          <w:numId w:val="0"/>
        </w:numPr>
        <w:ind w:left="709"/>
        <w:rPr>
          <w:lang w:val="en-GB"/>
        </w:rPr>
      </w:pPr>
    </w:p>
    <w:p w14:paraId="7717DB8C" w14:textId="73B3B382" w:rsidR="00D872BD" w:rsidRPr="00AB5770" w:rsidRDefault="0059542A" w:rsidP="00120294">
      <w:pPr>
        <w:pStyle w:val="Heading2"/>
        <w:ind w:left="567" w:hanging="567"/>
      </w:pPr>
      <w:r>
        <w:t>Moderne økonomiske udviklingskoncepter er ikke udelukkende baseret på kriterierne velstand, rentabilitet og effektivitet, men også på respekten for sociale og miljømæssige krav og afskaffelsen af enhver form for negative eksterne virkninger og markedssvigt. En lære af den seneste covidkrise er, at økonomien også skal være modstandsdygtig og stærk nok til at klare fremtidige chok. Til dette formål anbefales på det kraftigste at fjerne strukturelle ubalancer.</w:t>
      </w:r>
    </w:p>
    <w:p w14:paraId="694E7A1A" w14:textId="77777777" w:rsidR="00D872BD" w:rsidRPr="00AB5770" w:rsidRDefault="00D872BD" w:rsidP="00120294">
      <w:pPr>
        <w:pStyle w:val="Heading2"/>
        <w:numPr>
          <w:ilvl w:val="0"/>
          <w:numId w:val="0"/>
        </w:numPr>
        <w:ind w:left="709"/>
        <w:rPr>
          <w:lang w:val="en-GB"/>
        </w:rPr>
      </w:pPr>
    </w:p>
    <w:p w14:paraId="02AF152F" w14:textId="1B233DF9" w:rsidR="00D31597" w:rsidRPr="00AB5770" w:rsidRDefault="00D31597" w:rsidP="00120294">
      <w:pPr>
        <w:pStyle w:val="Heading2"/>
        <w:ind w:left="567" w:hanging="567"/>
      </w:pPr>
      <w:r>
        <w:t>Den moderne økonomi kræver også et velfungerende marked i alle segmenter, herunder de segmenter, der er blevet skabt for nylig (virtuelle, dele-, cirkulære, digitale økonomier). Derfor bør den finansielle formidling også fungere bedre. I EU-sammenhæng betyder dette især, at kapitalmarkedsunionen bør uddybes, og at bankunionen bør gennemføres. For i højere grad at støtte omlægningen til en mere bæredygtig økonomi bør skattesystemet også justeres, så det er med.</w:t>
      </w:r>
    </w:p>
    <w:p w14:paraId="11CC6878" w14:textId="77777777" w:rsidR="00240E4C" w:rsidRPr="00AB5770" w:rsidRDefault="00240E4C" w:rsidP="00120294">
      <w:pPr>
        <w:spacing w:line="288" w:lineRule="auto"/>
        <w:ind w:left="709" w:hanging="709"/>
        <w:rPr>
          <w:rFonts w:ascii="Times New Roman" w:hAnsi="Times New Roman"/>
          <w:sz w:val="22"/>
          <w:szCs w:val="22"/>
          <w:lang w:val="en-GB"/>
        </w:rPr>
      </w:pPr>
    </w:p>
    <w:p w14:paraId="69D08681" w14:textId="77777777" w:rsidR="00CF7500" w:rsidRPr="00AB5770" w:rsidRDefault="00CF7500" w:rsidP="00120294">
      <w:pPr>
        <w:pStyle w:val="Heading2"/>
        <w:keepNext/>
        <w:keepLines/>
        <w:ind w:left="567" w:hanging="567"/>
        <w:rPr>
          <w:b/>
        </w:rPr>
      </w:pPr>
      <w:r>
        <w:rPr>
          <w:b/>
        </w:rPr>
        <w:t xml:space="preserve">Det indre marked </w:t>
      </w:r>
    </w:p>
    <w:p w14:paraId="7FC4FB92" w14:textId="77777777" w:rsidR="00CF7500" w:rsidRPr="00AB5770" w:rsidRDefault="00CF7500" w:rsidP="00120294">
      <w:pPr>
        <w:keepNext/>
        <w:keepLines/>
        <w:spacing w:line="288" w:lineRule="auto"/>
        <w:jc w:val="both"/>
        <w:rPr>
          <w:rFonts w:ascii="Times New Roman" w:hAnsi="Times New Roman"/>
          <w:sz w:val="22"/>
          <w:szCs w:val="22"/>
          <w:lang w:val="en-GB"/>
        </w:rPr>
      </w:pPr>
    </w:p>
    <w:p w14:paraId="42F401C8" w14:textId="6B1045AB" w:rsidR="003467E2" w:rsidRPr="00AB5770" w:rsidRDefault="003467E2" w:rsidP="00120294">
      <w:pPr>
        <w:pStyle w:val="Heading3"/>
        <w:ind w:left="567" w:hanging="567"/>
      </w:pPr>
      <w:r>
        <w:t>Det indre marked er kernen i Den Europæiske Union. Et fungerende indre marked fremmer konkurrencen, forbedrer effektiviteten, øger kvaliteten og medvirker til at sænke priserne. EU's indre marked er uden tvivl en af Unionens største bedrifter. Det er derfor vigtigt at undersøge nærmere, hvordan det indre markeds funktionsmåde kan fremme eller hindre den økonomiske genopretning efter sundhedskrisen.</w:t>
      </w:r>
    </w:p>
    <w:p w14:paraId="25F5254F" w14:textId="77777777" w:rsidR="003467E2" w:rsidRPr="00AB5770" w:rsidRDefault="003467E2" w:rsidP="00120294">
      <w:pPr>
        <w:pStyle w:val="Heading3"/>
        <w:numPr>
          <w:ilvl w:val="0"/>
          <w:numId w:val="0"/>
        </w:numPr>
        <w:ind w:left="709"/>
        <w:rPr>
          <w:lang w:val="en-GB"/>
        </w:rPr>
      </w:pPr>
    </w:p>
    <w:p w14:paraId="48A4FE66" w14:textId="16406571" w:rsidR="00445BD7" w:rsidRPr="00AB5770" w:rsidRDefault="003467E2" w:rsidP="00120294">
      <w:pPr>
        <w:pStyle w:val="Heading3"/>
        <w:ind w:left="567" w:hanging="567"/>
      </w:pPr>
      <w:r>
        <w:t>Sammenhængen og enheden i det indre marked er for nylig under covidpandemien blevet sat på en hård prøve. Det blev klart, at det indre marked på visse områder blev meget hårdt ramt og lammet. Det gælder især den fri bevægelighed for personer. Kontinuiteten i grænseoverskridende leveringskæder blev også påvirket negativt. Den grænseoverskridende handel i EU faldt med tocifrede tal på årsbasis. Men dets kerne forblev intakt og overlevede. Den største udfordring lige nu er at genoprette alle de naturlige grænseoverskridende strømme inden for EU og at nedbryde de eksisterende hindringer for det indre marked, som der endda for helt nylig er blevet flere af med nogle nationalt baserede strategier og tanker, der er blevet gennemført siden den foregående krise.</w:t>
      </w:r>
    </w:p>
    <w:p w14:paraId="7CC05975" w14:textId="77777777" w:rsidR="00445BD7" w:rsidRPr="00AB5770" w:rsidRDefault="00445BD7" w:rsidP="00120294">
      <w:pPr>
        <w:pStyle w:val="Heading3"/>
        <w:numPr>
          <w:ilvl w:val="0"/>
          <w:numId w:val="0"/>
        </w:numPr>
        <w:rPr>
          <w:lang w:val="en-GB"/>
        </w:rPr>
      </w:pPr>
    </w:p>
    <w:p w14:paraId="359B2467" w14:textId="2AA7B6B8" w:rsidR="008729CC" w:rsidRPr="00AB5770" w:rsidRDefault="008729CC" w:rsidP="00120294">
      <w:pPr>
        <w:pStyle w:val="Heading3"/>
        <w:ind w:left="567" w:hanging="567"/>
      </w:pPr>
      <w:r>
        <w:t>Der er nu en chance for at fremme social innovation som en model for genopretning gennem fælles skabelse, fælles udformning og fælles fremstilling. På en kompleks social baggrund med massive samfundsmæssige udfordringer er den eneste udvej at mobilisere alle samfundets ressourcer og arbejde på tværsektorielt og tværfagligt for at finde løsninger. Det organiserede civilsamfund er en katalysator for social innovation og en bevægelse, der har bidraget til at udforme velfærdssystemer, der resulterer i nye politikker, strukturer, produkter, tjenesteydelser og arbejdsmetoder. Der er nu mere end nogensinde brug for, at civilsamfundet inddrages – men sand social innovation kan kun lykkes, hvis det organiserede civilsamfund er involveret.</w:t>
      </w:r>
    </w:p>
    <w:p w14:paraId="2126BAB7" w14:textId="146EC464" w:rsidR="008729CC" w:rsidRPr="00AB5770" w:rsidRDefault="008729CC" w:rsidP="00120294">
      <w:pPr>
        <w:pStyle w:val="Heading3"/>
        <w:numPr>
          <w:ilvl w:val="0"/>
          <w:numId w:val="0"/>
        </w:numPr>
        <w:rPr>
          <w:lang w:val="en-GB"/>
        </w:rPr>
      </w:pPr>
    </w:p>
    <w:p w14:paraId="05DF7083" w14:textId="2A6E05AF" w:rsidR="008729CC" w:rsidRPr="00AB5770" w:rsidRDefault="008729CC" w:rsidP="00120294">
      <w:pPr>
        <w:pStyle w:val="Heading3"/>
        <w:ind w:left="567" w:hanging="567"/>
      </w:pPr>
      <w:r>
        <w:t>Strategien for det indre marked er kernen i det europæiske projekt, som gør det muligt for mennesker, tjenesteydelser, varer og kapital at bevæge sig mere frit, og åbner muligheder for europæiske virksomheder, forbrugere og arbejdstagere. Der er behov for foranstaltninger for helt at frigøre strategiens fulde potentiale til at fjerne hindringer. I kølvandet på krisen og andre aspekter af et miljø i forandring, såsom digitalisering, er det desuden nødvendigt, at det indre marked fuldt ud tilpasser sig nye idéer og forretningsmodeller. Målet er derfor at gendanne, genoplive og rekonstruere det indre marked som et genopretningsinstrument. Kortsigtede foranstaltninger omfatter en øjeblikkelig åbning af grænserne. Derudover er der behov for kortsigtede foranstaltninger på to områder: håndtering af spændinger og kickstart af økonomien og produktiviteten.</w:t>
      </w:r>
    </w:p>
    <w:p w14:paraId="67EC0C68" w14:textId="77777777" w:rsidR="008C08E0" w:rsidRPr="00AB5770" w:rsidRDefault="008C08E0" w:rsidP="00120294">
      <w:pPr>
        <w:spacing w:line="288" w:lineRule="auto"/>
        <w:rPr>
          <w:rFonts w:ascii="Times New Roman" w:hAnsi="Times New Roman"/>
          <w:sz w:val="22"/>
          <w:szCs w:val="22"/>
          <w:lang w:val="en-GB"/>
        </w:rPr>
      </w:pPr>
    </w:p>
    <w:p w14:paraId="65A4E22C" w14:textId="5C75EBFD" w:rsidR="008729CC" w:rsidRPr="00AB5770" w:rsidRDefault="008C08E0" w:rsidP="00120294">
      <w:pPr>
        <w:pStyle w:val="Heading3"/>
        <w:ind w:left="567" w:hanging="567"/>
      </w:pPr>
      <w:r>
        <w:lastRenderedPageBreak/>
        <w:t>De ulige vilkår, der nu er ved at opstå, giver anledning til alvorlig bekymring. Medlemsstaternes støttepakker er meget forskellige og har (med den gode hensigt at afhjælpe nogle af efterspørgselsproblemerne) ført til ulige konkurrencevilkår mellem medlemsstaterne. Statsstøtten bør i øvrigt gennemgås og analyseres ud fra en sektorbestemt synsvinkel, og man bør se på, hvordan disse tiltag på kort og lang sigt vil forvride konkurrencen og de lige konkurrencevilkår.</w:t>
      </w:r>
    </w:p>
    <w:p w14:paraId="01859D83" w14:textId="0397FACB" w:rsidR="008C08E0" w:rsidRPr="00AB5770" w:rsidRDefault="008C08E0" w:rsidP="00120294">
      <w:pPr>
        <w:spacing w:line="288" w:lineRule="auto"/>
        <w:rPr>
          <w:rFonts w:ascii="Times New Roman" w:eastAsia="Times New Roman" w:hAnsi="Times New Roman"/>
          <w:sz w:val="22"/>
          <w:szCs w:val="22"/>
          <w:lang w:val="en-GB" w:eastAsia="en-US"/>
        </w:rPr>
      </w:pPr>
    </w:p>
    <w:p w14:paraId="7DF850CD" w14:textId="787CF87D" w:rsidR="00CF7500" w:rsidRPr="00AB5770" w:rsidRDefault="008729CC" w:rsidP="00120294">
      <w:pPr>
        <w:pStyle w:val="Heading3"/>
        <w:ind w:left="567" w:hanging="567"/>
      </w:pPr>
      <w:r>
        <w:t>Der er behov for produktivitet i realøkonomien (dvs. job, købekraft og grundlæggende produkter og tjenesteydelser). Produktiviteten kan antage en anden form og være baseret på forskellige forretningsmodeller, men der er brug for en indsats på dette område, hvis vi skal undgå at gøre ulighederne større. En sådan kickstart indebærer støttepakker og gunstige betingelser for SMV'er og industrien. SMV'er er som bekendt rygraden i den europæiske økonomi, og de har brug for særlig støtte, men uden at blive pålagt ekstra byrder og mere bureaukrati. En genopretning vil kun være mulig for SMV'er, hvis de modtager økonomisk støtte fra EU og medlemsstaterne. I den forbindelse vil det være afgørende med tilskud, lån, sikring af likviditet, skatteincitamenter, gunstige betingelser for at fastholde og ansætte personale, en revision af konkurslovgivningen og anden støtte. Med hensyn til konkurslovgivningen bør EU træffe lovgivningsmæssige foranstaltninger for at gøre det muligt for små virksomheder, der er gået konkurs som følge af covid-19, hurtigt at starte op igen. Disse foranstaltninger bør være tidsbegrænsede.</w:t>
      </w:r>
    </w:p>
    <w:p w14:paraId="3A40BABD" w14:textId="77777777" w:rsidR="00CF7500" w:rsidRPr="00AB5770" w:rsidRDefault="00CF7500" w:rsidP="00120294">
      <w:pPr>
        <w:spacing w:line="288" w:lineRule="auto"/>
        <w:ind w:hanging="709"/>
        <w:jc w:val="both"/>
        <w:rPr>
          <w:rFonts w:ascii="Times New Roman" w:hAnsi="Times New Roman"/>
          <w:sz w:val="22"/>
          <w:szCs w:val="22"/>
          <w:lang w:val="en-GB"/>
        </w:rPr>
      </w:pPr>
    </w:p>
    <w:p w14:paraId="6048CA30" w14:textId="77777777" w:rsidR="00CF7500" w:rsidRPr="00AB5770" w:rsidRDefault="00CF7500" w:rsidP="00120294">
      <w:pPr>
        <w:pStyle w:val="Heading2"/>
        <w:keepNext/>
        <w:keepLines/>
        <w:ind w:left="567" w:hanging="567"/>
        <w:rPr>
          <w:b/>
        </w:rPr>
      </w:pPr>
      <w:r>
        <w:rPr>
          <w:b/>
        </w:rPr>
        <w:t>Industriel strategi</w:t>
      </w:r>
    </w:p>
    <w:p w14:paraId="638171FF" w14:textId="77777777" w:rsidR="00CF7500" w:rsidRPr="00AB5770" w:rsidRDefault="00CF7500" w:rsidP="00120294">
      <w:pPr>
        <w:keepNext/>
        <w:keepLines/>
        <w:spacing w:line="288" w:lineRule="auto"/>
        <w:jc w:val="both"/>
        <w:rPr>
          <w:rFonts w:ascii="Times New Roman" w:hAnsi="Times New Roman"/>
          <w:sz w:val="22"/>
          <w:szCs w:val="22"/>
          <w:lang w:val="en-GB"/>
        </w:rPr>
      </w:pPr>
    </w:p>
    <w:p w14:paraId="77FF2650" w14:textId="6D55BCD5" w:rsidR="00445BD7" w:rsidRPr="00AB5770" w:rsidRDefault="00445BD7" w:rsidP="00120294">
      <w:pPr>
        <w:pStyle w:val="Heading3"/>
        <w:ind w:left="567" w:hanging="567"/>
      </w:pPr>
      <w:r>
        <w:t>Mange af de tidligere punkter gælder overordnet set også fuldt ud for den industrielle strategi. I modsætning til tjenesteydelsessektoren står den europæiske industri ikke alene over for en udfordring med hensyn til forbedringen af det indre marked, men også over for grundlæggende strukturelle ændringer, som især er relevante for kulminedrift og tunge kulstofintensive industrier.</w:t>
      </w:r>
    </w:p>
    <w:p w14:paraId="126DD3BC" w14:textId="77777777" w:rsidR="00445BD7" w:rsidRPr="00AB5770" w:rsidRDefault="00445BD7" w:rsidP="00120294">
      <w:pPr>
        <w:pStyle w:val="Heading3"/>
        <w:numPr>
          <w:ilvl w:val="0"/>
          <w:numId w:val="0"/>
        </w:numPr>
        <w:rPr>
          <w:lang w:val="en-GB"/>
        </w:rPr>
      </w:pPr>
    </w:p>
    <w:p w14:paraId="1A6092C4" w14:textId="0D3A271A" w:rsidR="00056526" w:rsidRPr="00AB5770" w:rsidRDefault="00445BD7" w:rsidP="00120294">
      <w:pPr>
        <w:pStyle w:val="Heading3"/>
        <w:ind w:left="567" w:hanging="567"/>
      </w:pPr>
      <w:r>
        <w:t>Kernen i den nye industrielle strategi for Europa består i at finde en sameksistens balance mellem en moderne og stærk europæisk industri og de udfordringer, der kommer fra de klima- og miljørelaterede krav. EØSU er overbevist om, at dette er muligt og, at det, hvis den lykkes, kan give Europa en global konkurrencefordel. På den anden side er EØSU fuldt ud bevidst om og respekterer de gigantiske omkostninger, der er forbundet med denne omstilling, og bakker op om, at de skal mindskes, og at der skal kompenseres for dem på en passende måde, hvor der tages højde for de økonomiske muligheder.</w:t>
      </w:r>
    </w:p>
    <w:p w14:paraId="05EB16EA" w14:textId="77777777" w:rsidR="00F95DB1" w:rsidRPr="00AB5770" w:rsidRDefault="00F95DB1" w:rsidP="00120294">
      <w:pPr>
        <w:spacing w:line="288" w:lineRule="auto"/>
        <w:jc w:val="both"/>
        <w:rPr>
          <w:rFonts w:ascii="Times New Roman" w:hAnsi="Times New Roman"/>
          <w:sz w:val="22"/>
          <w:szCs w:val="22"/>
          <w:lang w:val="en-GB"/>
        </w:rPr>
      </w:pPr>
    </w:p>
    <w:p w14:paraId="26DABAD8" w14:textId="77777777" w:rsidR="00F95DB1" w:rsidRPr="00AB5770" w:rsidRDefault="00F95DB1" w:rsidP="00120294">
      <w:pPr>
        <w:pStyle w:val="Heading2"/>
        <w:keepNext/>
        <w:keepLines/>
        <w:ind w:left="567" w:hanging="567"/>
        <w:rPr>
          <w:b/>
        </w:rPr>
      </w:pPr>
      <w:r>
        <w:rPr>
          <w:b/>
        </w:rPr>
        <w:t>Sundhedssystemer</w:t>
      </w:r>
    </w:p>
    <w:p w14:paraId="303EADE9" w14:textId="77777777" w:rsidR="00F95DB1" w:rsidRPr="00AB5770" w:rsidRDefault="00F95DB1" w:rsidP="00120294">
      <w:pPr>
        <w:keepNext/>
        <w:keepLines/>
        <w:spacing w:line="288" w:lineRule="auto"/>
        <w:jc w:val="both"/>
        <w:rPr>
          <w:rFonts w:ascii="Times New Roman" w:hAnsi="Times New Roman"/>
          <w:sz w:val="22"/>
          <w:szCs w:val="22"/>
          <w:lang w:val="en-GB"/>
        </w:rPr>
      </w:pPr>
    </w:p>
    <w:p w14:paraId="6FA29B62" w14:textId="0AFABD55" w:rsidR="00FC4926" w:rsidRPr="00AB5770" w:rsidRDefault="00FC4926" w:rsidP="00120294">
      <w:pPr>
        <w:pStyle w:val="Heading3"/>
        <w:ind w:left="567" w:hanging="567"/>
      </w:pPr>
      <w:r>
        <w:t>En af de vigtigste erfaringer fra coronaviruskrisen er, at sundhedssystemerne i næsten alle europæiske lande skal styrkes, primært ved at sætte fokus på forebyggelse. Coronavirussens virkninger sætter sundhedssystemerne i EU under et enormt pres. Ansvaret for sundhedssystemerne ligger hos medlemsstaterne, men virussens spredning kender ikke til grænser. Den berører hele EU på tværs af grænserne med sanitære, sociale og økonomiske konsekvenser, hvilket kalder på fælles svar på EU-niveau.</w:t>
      </w:r>
    </w:p>
    <w:p w14:paraId="4C2FF357" w14:textId="77777777" w:rsidR="00FC4926" w:rsidRPr="00AB5770" w:rsidRDefault="00FC4926" w:rsidP="00120294">
      <w:pPr>
        <w:pStyle w:val="Heading3"/>
        <w:numPr>
          <w:ilvl w:val="0"/>
          <w:numId w:val="0"/>
        </w:numPr>
        <w:rPr>
          <w:lang w:val="en-GB"/>
        </w:rPr>
      </w:pPr>
    </w:p>
    <w:p w14:paraId="66972A71" w14:textId="503E11C9" w:rsidR="00FC4926" w:rsidRPr="00AB5770" w:rsidRDefault="00FC4926" w:rsidP="00120294">
      <w:pPr>
        <w:pStyle w:val="Heading3"/>
        <w:ind w:left="567" w:hanging="567"/>
      </w:pPr>
      <w:r>
        <w:lastRenderedPageBreak/>
        <w:t>Coronaviruskrisen har blotlagt, at EU er afhængig af import af medicinske produkter fra tredjelande. Investeringer i sundhedsbeskyttelse, pleje og langtidsplejeydelser, forebyggende sundhedspleje og politikker for sundhed og sikkerhed på arbejdspladsen – med en livscyklustilgang – er nødvendige og skal støttes af EU-institutionerne.</w:t>
      </w:r>
    </w:p>
    <w:p w14:paraId="50442916" w14:textId="77777777" w:rsidR="00FC4926" w:rsidRPr="00AB5770" w:rsidRDefault="00FC4926" w:rsidP="00120294">
      <w:pPr>
        <w:pStyle w:val="Heading3"/>
        <w:numPr>
          <w:ilvl w:val="0"/>
          <w:numId w:val="0"/>
        </w:numPr>
        <w:rPr>
          <w:lang w:val="en-GB"/>
        </w:rPr>
      </w:pPr>
    </w:p>
    <w:p w14:paraId="61E90A61" w14:textId="783D36CA" w:rsidR="00FC4926" w:rsidRPr="00AB5770" w:rsidRDefault="00FC4926" w:rsidP="00120294">
      <w:pPr>
        <w:pStyle w:val="Heading3"/>
        <w:ind w:left="567" w:hanging="567"/>
      </w:pPr>
      <w:r>
        <w:t>Coronaviruskrisen viser, at multinationale lægemiddelproducenter har en betydelig magtposition. For at øge uafhængigheden af lægemiddelindustrien må der etableres en større europæisk forskningsfond for udvikling af nye lægemidler og vacciner. EU-institutionerne bør have den autoritet, der er nødvendig for at koordinere forsyninger, distribution og priser på vigtigt medicinsk udstyr og beskyttelsesudstyr i det indre marked.</w:t>
      </w:r>
    </w:p>
    <w:p w14:paraId="44401FD4" w14:textId="77777777" w:rsidR="00FC4926" w:rsidRPr="00AB5770" w:rsidRDefault="00FC4926" w:rsidP="00120294">
      <w:pPr>
        <w:pStyle w:val="Heading3"/>
        <w:numPr>
          <w:ilvl w:val="0"/>
          <w:numId w:val="0"/>
        </w:numPr>
        <w:rPr>
          <w:lang w:val="en-GB"/>
        </w:rPr>
      </w:pPr>
    </w:p>
    <w:p w14:paraId="6B11D3C4" w14:textId="5F6BDD5D" w:rsidR="00056526" w:rsidRPr="00AB5770" w:rsidRDefault="00FC4926" w:rsidP="00120294">
      <w:pPr>
        <w:pStyle w:val="Heading3"/>
        <w:ind w:left="567" w:hanging="567"/>
      </w:pPr>
      <w:r>
        <w:t>EØSU opfordrer til en kemikaliestrategi for bæredygtighed, der sikrer beskyttelsen af menneskers sundhed og miljøet og samtidig minimerer eksponeringen for farlige kemikalier. Den nye strategi skal være i fuld overensstemmelse med den europæiske grønne pagt.</w:t>
      </w:r>
    </w:p>
    <w:p w14:paraId="25F5F88C" w14:textId="77777777" w:rsidR="00B677D6" w:rsidRPr="00AB5770" w:rsidRDefault="00B677D6" w:rsidP="00120294">
      <w:pPr>
        <w:spacing w:line="288" w:lineRule="auto"/>
        <w:rPr>
          <w:rFonts w:ascii="Times New Roman" w:hAnsi="Times New Roman"/>
          <w:sz w:val="22"/>
          <w:szCs w:val="22"/>
          <w:lang w:val="en-GB"/>
        </w:rPr>
      </w:pPr>
    </w:p>
    <w:p w14:paraId="684CCD87" w14:textId="62A5A6B8" w:rsidR="00B677D6" w:rsidRPr="00AB5770" w:rsidRDefault="007F5D9C" w:rsidP="00120294">
      <w:pPr>
        <w:pStyle w:val="Heading3"/>
        <w:ind w:left="567" w:hanging="567"/>
      </w:pPr>
      <w:r>
        <w:t>Det er nødvendigt at genskabe passagerernes tillid til transport, især den offentlige transport. Dette indebærer bl.a. foranstaltninger, der øger sundhed og sikkerhed for passagerer (f.eks. klimaanlæg, identificering af syge personer, foranstaltninger til rengøring og desinficering osv.). I denne forbindelse bør passagernes rettigheder ligeledes genovervejes og styrkes (f.eks. med hensyn til godtgørelse for aflyste rejser).</w:t>
      </w:r>
    </w:p>
    <w:p w14:paraId="6575967F" w14:textId="77777777" w:rsidR="00FC4926" w:rsidRPr="00AB5770" w:rsidRDefault="00FC4926" w:rsidP="00120294">
      <w:pPr>
        <w:spacing w:line="288" w:lineRule="auto"/>
        <w:jc w:val="both"/>
        <w:rPr>
          <w:rFonts w:ascii="Times New Roman" w:hAnsi="Times New Roman"/>
          <w:sz w:val="22"/>
          <w:szCs w:val="22"/>
          <w:lang w:val="en-GB"/>
        </w:rPr>
      </w:pPr>
    </w:p>
    <w:p w14:paraId="44364B3E" w14:textId="56B11F1C" w:rsidR="00B15CE1" w:rsidRPr="00AB5770" w:rsidRDefault="006C3B4C" w:rsidP="00120294">
      <w:pPr>
        <w:pStyle w:val="Heading1"/>
        <w:keepNext/>
        <w:ind w:left="567" w:hanging="567"/>
        <w:rPr>
          <w:b/>
          <w:bCs/>
          <w:iCs/>
        </w:rPr>
      </w:pPr>
      <w:r>
        <w:rPr>
          <w:b/>
        </w:rPr>
        <w:t>Et stærkere Europa i verden</w:t>
      </w:r>
    </w:p>
    <w:p w14:paraId="6B1B79E6" w14:textId="64584A78" w:rsidR="004F076E" w:rsidRPr="00AB5770" w:rsidRDefault="004F076E" w:rsidP="00120294">
      <w:pPr>
        <w:pStyle w:val="Heading1"/>
        <w:keepNext/>
        <w:numPr>
          <w:ilvl w:val="0"/>
          <w:numId w:val="0"/>
        </w:numPr>
        <w:rPr>
          <w:b/>
          <w:bCs/>
          <w:iCs/>
          <w:lang w:val="en-GB"/>
        </w:rPr>
      </w:pPr>
    </w:p>
    <w:p w14:paraId="2CDF9855" w14:textId="07F9DCB4" w:rsidR="001B0FD1" w:rsidRPr="00AB5770" w:rsidRDefault="001B0FD1" w:rsidP="00120294">
      <w:pPr>
        <w:pStyle w:val="Heading2"/>
        <w:ind w:left="567" w:hanging="567"/>
      </w:pPr>
      <w:r>
        <w:t>EU skal styrke og fremme sin globale stilling, idet det skal spille en vigtigere og mere strategisk rolle i både verdensøkonomien og den internationale politik. Denne stilling er blevet svækket igennem de sidste ti år. EU's økonomi rummer potentiale for at udnytte den konkurrencemæssige fordel bedre i det globale handels- og investeringsmarked, især inden for avanceret produktion og innovative tjenester med en ambition om at blive førende i verden. Disse bestræbelser bør understøttes af bedre og mere effektiv repræsentation af EU i vigtige globale organisationer, ligesom der er behov for, at EU taler med én stemme i disse fora. EØSU opfordrer Kommissionen til at træffe relevante tiltag, således at behovet for at styrke EU's globale position afspejles mere udtrykkeligt i arbejdsprogrammet for 2021.</w:t>
      </w:r>
    </w:p>
    <w:p w14:paraId="18E3D1A5" w14:textId="77777777" w:rsidR="001B0FD1" w:rsidRPr="00AB5770" w:rsidRDefault="001B0FD1" w:rsidP="00120294">
      <w:pPr>
        <w:spacing w:line="288" w:lineRule="auto"/>
        <w:rPr>
          <w:rFonts w:ascii="Times New Roman" w:hAnsi="Times New Roman"/>
          <w:sz w:val="22"/>
          <w:szCs w:val="22"/>
          <w:lang w:val="en-GB"/>
        </w:rPr>
      </w:pPr>
    </w:p>
    <w:p w14:paraId="77C8FE3C" w14:textId="73F01217" w:rsidR="00227435" w:rsidRPr="00AB5770" w:rsidRDefault="001B0FD1" w:rsidP="00120294">
      <w:pPr>
        <w:pStyle w:val="Heading2"/>
        <w:ind w:left="567" w:hanging="567"/>
      </w:pPr>
      <w:r>
        <w:t>EU bør gøre mere for at støtte en multilateral tilgang inden for handel. Inklusion af sociale og arbejdsmarkedsmæssige standarder og standarder for bæredygtig udvikling</w:t>
      </w:r>
      <w:r w:rsidR="0012012B" w:rsidRPr="00AB5770">
        <w:rPr>
          <w:rStyle w:val="FootnoteReference"/>
          <w:sz w:val="24"/>
          <w:szCs w:val="24"/>
          <w:lang w:val="en-GB"/>
        </w:rPr>
        <w:footnoteReference w:id="8"/>
      </w:r>
      <w:r>
        <w:t xml:space="preserve"> i WTO's og andre FN-organers regelsæt vil kunne yde et væsentligt bidrag til, at der udvikler sig en ny og retfærdig økonomisk orden, og at globaliseringen bliver retfærdig og intelligent. Samtidig bør EU modarbejde bestræbelser for at etablere nye hindringer og restriktioner i den globale økonomi.</w:t>
      </w:r>
    </w:p>
    <w:p w14:paraId="74CE427F" w14:textId="77777777" w:rsidR="00227435" w:rsidRPr="00AB5770" w:rsidRDefault="00227435" w:rsidP="00120294">
      <w:pPr>
        <w:spacing w:line="288" w:lineRule="auto"/>
        <w:rPr>
          <w:rFonts w:ascii="Times New Roman" w:hAnsi="Times New Roman"/>
          <w:sz w:val="22"/>
          <w:szCs w:val="22"/>
          <w:lang w:val="en-GB"/>
        </w:rPr>
      </w:pPr>
    </w:p>
    <w:p w14:paraId="27DA0856" w14:textId="74335CB2" w:rsidR="004F076E" w:rsidRPr="00AB5770" w:rsidRDefault="00227435" w:rsidP="00120294">
      <w:pPr>
        <w:pStyle w:val="Heading2"/>
        <w:ind w:left="567" w:hanging="567"/>
      </w:pPr>
      <w:r>
        <w:t>Som en konkret lære af covidkrisen bør EU gøre sig nærmere overvejelser om at beskytte sine strategiske aktiver og investeringer og intensivere screeningen på områder, hvor der er en risiko for, at investeringstransaktioner i en strategisk industri kan misbruges politisk.</w:t>
      </w:r>
    </w:p>
    <w:p w14:paraId="727E8B01" w14:textId="77777777" w:rsidR="00020E9D" w:rsidRPr="00AB5770" w:rsidRDefault="00020E9D" w:rsidP="00120294">
      <w:pPr>
        <w:spacing w:line="288" w:lineRule="auto"/>
        <w:rPr>
          <w:rFonts w:ascii="Times New Roman" w:hAnsi="Times New Roman"/>
          <w:b/>
          <w:bCs/>
          <w:sz w:val="22"/>
          <w:szCs w:val="22"/>
          <w:lang w:val="en-GB" w:eastAsia="en-US"/>
        </w:rPr>
      </w:pPr>
    </w:p>
    <w:p w14:paraId="7BA7954E" w14:textId="2FC49F3C" w:rsidR="00020E9D" w:rsidRPr="00AB5770" w:rsidRDefault="00020E9D" w:rsidP="00120294">
      <w:pPr>
        <w:pStyle w:val="Heading2"/>
        <w:ind w:left="567" w:hanging="567"/>
      </w:pPr>
      <w:r>
        <w:t>Efter brexit bør EU ikke kun have fokus på at styrke sin sammenhæng og enhed. Hvor det er relevant, må det ikke glemme udvidelsesprocessen, der trods visse fremskridt på det seneste er blevet noget forsinket, især i forhold til kandidatlandene på Vestbalkan. Udvidelsen vil i høj grad kunne bidrage til at fjerne den politiske og økonomiske uvished og øge stabiliteten i den del af Europa.</w:t>
      </w:r>
    </w:p>
    <w:p w14:paraId="6717B98F" w14:textId="77777777" w:rsidR="00020E9D" w:rsidRPr="00AB5770" w:rsidRDefault="00020E9D" w:rsidP="00120294">
      <w:pPr>
        <w:spacing w:line="288" w:lineRule="auto"/>
        <w:jc w:val="both"/>
        <w:rPr>
          <w:rFonts w:ascii="Times New Roman" w:hAnsi="Times New Roman"/>
          <w:b/>
          <w:bCs/>
          <w:sz w:val="22"/>
          <w:szCs w:val="22"/>
          <w:lang w:val="en-GB" w:eastAsia="en-US"/>
        </w:rPr>
      </w:pPr>
    </w:p>
    <w:p w14:paraId="14369644" w14:textId="0B1B4234" w:rsidR="003E2FCB" w:rsidRPr="00AB5770" w:rsidRDefault="003E2FCB" w:rsidP="00120294">
      <w:pPr>
        <w:pStyle w:val="Heading2"/>
        <w:ind w:left="567" w:hanging="567"/>
      </w:pPr>
      <w:r>
        <w:t>I det seneste årti er den geopolitiske situation blevet forværret, herunder i områder tæt på EU's ydre grænser. For at fremme stabiliteten og forbedre de gensidige forbindelser med EU må initiativet vedrørende et strategisk partnerskab og en inklusiv naboskabspolitik videreføres. Initiativet bør reagere fleksibelt på nye omstændigheder og være baseret på fælles respekt og de fordele, det indebærer for begge parter.</w:t>
      </w:r>
    </w:p>
    <w:p w14:paraId="0D2F7716" w14:textId="77777777" w:rsidR="003E2FCB" w:rsidRPr="00AB5770" w:rsidRDefault="003E2FCB" w:rsidP="00120294">
      <w:pPr>
        <w:spacing w:line="288" w:lineRule="auto"/>
        <w:rPr>
          <w:rFonts w:ascii="Times New Roman" w:hAnsi="Times New Roman"/>
          <w:b/>
          <w:bCs/>
          <w:sz w:val="22"/>
          <w:szCs w:val="22"/>
          <w:lang w:val="en-GB" w:eastAsia="en-US"/>
        </w:rPr>
      </w:pPr>
    </w:p>
    <w:p w14:paraId="70F84C4C" w14:textId="2FC7870E" w:rsidR="0053443A" w:rsidRPr="00AB5770" w:rsidRDefault="003E2FCB" w:rsidP="00120294">
      <w:pPr>
        <w:pStyle w:val="Heading2"/>
        <w:ind w:left="567" w:hanging="567"/>
      </w:pPr>
      <w:r>
        <w:t>Den skiftende geopolitiske situation, konsekvenserne af den seneste migrationskrise og forværringen af de eksterne forbindelser i verden med mange nye risikofyldte udviklingstendenser har også flyttet fokus for EU's udviklingshjælp og -bistand. I FFR er der lagt op til en enorm stigning i de økonomiske ressourcer til dette område, og det forventes, at Den Europæiske Udviklingsfond inkluderes i rammen. EØSU støtter dette og understreger behovet for særlig fokus på Afrika med henblik på at hjælpe landene dér med at overvinde den vanskelige politiske, økonomiske, sociale og miljømæssige situation.</w:t>
      </w:r>
    </w:p>
    <w:p w14:paraId="0094007D" w14:textId="77777777" w:rsidR="00EE5DDB" w:rsidRPr="00AB5770" w:rsidRDefault="00EE5DDB" w:rsidP="00120294">
      <w:pPr>
        <w:spacing w:line="288" w:lineRule="auto"/>
        <w:rPr>
          <w:rFonts w:ascii="Times New Roman" w:hAnsi="Times New Roman"/>
          <w:sz w:val="22"/>
          <w:szCs w:val="22"/>
          <w:lang w:val="en-GB" w:eastAsia="en-US"/>
        </w:rPr>
      </w:pPr>
    </w:p>
    <w:p w14:paraId="48E37F12" w14:textId="77777777" w:rsidR="00FA03A1" w:rsidRPr="00AB5770" w:rsidRDefault="00FA03A1" w:rsidP="00120294">
      <w:pPr>
        <w:pStyle w:val="Heading2"/>
        <w:ind w:left="567" w:hanging="567"/>
      </w:pPr>
      <w:r>
        <w:t>Det er nødvendigt at relancere EU's strategiske geopolitiske rolle i forbindelse med fremme af globale fredsprocesser, så man kan få skabt nye muligheder for økonomisk udvikling i EU's nabolande: det vestlige Balkan, Euromed og de østlige partnere samt i andre konfliktramte områder.</w:t>
      </w:r>
    </w:p>
    <w:p w14:paraId="5A8EB034" w14:textId="77777777" w:rsidR="00FA03A1" w:rsidRPr="00AB5770" w:rsidRDefault="00FA03A1" w:rsidP="00120294">
      <w:pPr>
        <w:spacing w:line="288" w:lineRule="auto"/>
        <w:rPr>
          <w:rFonts w:ascii="Times New Roman" w:hAnsi="Times New Roman"/>
          <w:sz w:val="22"/>
          <w:szCs w:val="22"/>
          <w:lang w:val="en-GB" w:eastAsia="en-US"/>
        </w:rPr>
      </w:pPr>
    </w:p>
    <w:p w14:paraId="2F0A97F4" w14:textId="65D842CA" w:rsidR="00F95DB1" w:rsidRPr="00AB5770" w:rsidRDefault="00651A25" w:rsidP="00120294">
      <w:pPr>
        <w:pStyle w:val="Heading1"/>
        <w:keepNext/>
        <w:ind w:left="567" w:hanging="567"/>
        <w:rPr>
          <w:b/>
          <w:bCs/>
          <w:iCs/>
        </w:rPr>
      </w:pPr>
      <w:r>
        <w:rPr>
          <w:b/>
          <w:bCs/>
          <w:iCs/>
        </w:rPr>
        <w:t>Fremme af vores europæiske levevis</w:t>
      </w:r>
    </w:p>
    <w:p w14:paraId="4474360B" w14:textId="77777777" w:rsidR="003C005E" w:rsidRPr="00AB5770" w:rsidRDefault="003C005E" w:rsidP="00120294">
      <w:pPr>
        <w:keepNext/>
        <w:spacing w:line="288" w:lineRule="auto"/>
        <w:rPr>
          <w:rFonts w:ascii="Times New Roman" w:hAnsi="Times New Roman"/>
          <w:sz w:val="22"/>
          <w:szCs w:val="22"/>
          <w:lang w:val="en-GB"/>
        </w:rPr>
      </w:pPr>
    </w:p>
    <w:p w14:paraId="394A2BFF" w14:textId="77777777" w:rsidR="00F95DB1" w:rsidRPr="00AB5770" w:rsidRDefault="00F95DB1" w:rsidP="00120294">
      <w:pPr>
        <w:pStyle w:val="Heading2"/>
        <w:keepNext/>
        <w:ind w:left="567" w:hanging="567"/>
        <w:rPr>
          <w:b/>
        </w:rPr>
      </w:pPr>
      <w:r>
        <w:rPr>
          <w:b/>
        </w:rPr>
        <w:t xml:space="preserve">Sociale foranstaltninger </w:t>
      </w:r>
    </w:p>
    <w:p w14:paraId="6D86B3F8" w14:textId="77777777" w:rsidR="00F95DB1" w:rsidRPr="00AB5770" w:rsidRDefault="00F95DB1" w:rsidP="00120294">
      <w:pPr>
        <w:keepNext/>
        <w:spacing w:line="288" w:lineRule="auto"/>
        <w:jc w:val="both"/>
        <w:rPr>
          <w:rFonts w:ascii="Times New Roman" w:hAnsi="Times New Roman"/>
          <w:sz w:val="22"/>
          <w:szCs w:val="22"/>
          <w:lang w:val="en-GB"/>
        </w:rPr>
      </w:pPr>
    </w:p>
    <w:p w14:paraId="63B3253B" w14:textId="2A5B7661" w:rsidR="00F95DB1" w:rsidRPr="00AB5770" w:rsidRDefault="00767932" w:rsidP="00120294">
      <w:pPr>
        <w:pStyle w:val="Heading3"/>
        <w:ind w:left="567" w:hanging="567"/>
      </w:pPr>
      <w:r>
        <w:t xml:space="preserve">Ud over økonomiske og miljørelaterede spørgsmål bør EU's arbejdsprogram for 2021 styres af den social dimension. Det betyder, at tilsagnet om et socialt og bæredygtigt Europa bør prioriteres. I den forbindelse spiller civilsamfundsorganisationerne også en vigtig rolle. Der er nu en chance for at fremme social innovation som en model for genopretning gennem fælles skabelse, fælles udformning og fælles fremstilling. På en kompleks social baggrund af massive samfundsmæssige udfordringer er den eneste udvej at mobilisere alle samfundets ressourcer og arbejde tværsektorielt og tværfagligt for at finde løsninger. Det organiserede civilsamfund er en katalysator for social innovation. </w:t>
      </w:r>
    </w:p>
    <w:p w14:paraId="6AA83740" w14:textId="77777777" w:rsidR="00E878C7" w:rsidRPr="00AB5770" w:rsidRDefault="00E878C7" w:rsidP="00120294">
      <w:pPr>
        <w:spacing w:line="288" w:lineRule="auto"/>
        <w:jc w:val="both"/>
        <w:rPr>
          <w:rFonts w:ascii="Times New Roman" w:hAnsi="Times New Roman"/>
          <w:sz w:val="22"/>
          <w:szCs w:val="22"/>
          <w:lang w:val="en-GB"/>
        </w:rPr>
      </w:pPr>
    </w:p>
    <w:p w14:paraId="525C84E4" w14:textId="77777777" w:rsidR="008729CC" w:rsidRPr="00AB5770" w:rsidRDefault="004C2A16" w:rsidP="00120294">
      <w:pPr>
        <w:pStyle w:val="Heading3"/>
        <w:ind w:left="567" w:hanging="567"/>
      </w:pPr>
      <w:r>
        <w:t>Det er nødvendigt at udvikle en bredere forståelse af en "retfærdig omstilling" (for andet end kul) og fuldt ud at gennemføre den europæiske søjle for sociale rettigheder og samtidig fremme reformer af omfordelingssystemer, balance mellem arbejdsliv og privatliv og ligestilling mellem kønnene.</w:t>
      </w:r>
    </w:p>
    <w:p w14:paraId="4262F538" w14:textId="77777777" w:rsidR="008729CC" w:rsidRPr="00AB5770" w:rsidRDefault="008729CC" w:rsidP="00120294">
      <w:pPr>
        <w:spacing w:line="288" w:lineRule="auto"/>
        <w:rPr>
          <w:rFonts w:ascii="Times New Roman" w:hAnsi="Times New Roman"/>
          <w:sz w:val="22"/>
          <w:szCs w:val="22"/>
          <w:lang w:val="en-GB"/>
        </w:rPr>
      </w:pPr>
    </w:p>
    <w:p w14:paraId="69664FBD" w14:textId="53E22D9F" w:rsidR="008729CC" w:rsidRPr="00AB5770" w:rsidRDefault="008729CC" w:rsidP="00120294">
      <w:pPr>
        <w:pStyle w:val="Heading3"/>
        <w:keepNext/>
        <w:keepLines/>
        <w:ind w:left="567" w:hanging="567"/>
      </w:pPr>
      <w:r>
        <w:lastRenderedPageBreak/>
        <w:t>Gennemførelse af den europæiske søjle for sociale rettigheder på EU-niveau og i alle medlemsstater er et vigtigt skridt for proaktivt at sætte gang i udviklingen i retning af opadgående social konvergens. Kommissionens politiske retningslinjer gav tilsagn om en retfærdig omstilling for alle til en grøn social markedsøkonomi. I den forbindelse fremlagde Kommissionen en køreplan om "Et stærkt socialt Europa for retfærdig omstilling", der igangsatte drøftelser med EU's lande, regioner og partnere om konkrete forpligtelser med henblik på at gennemføre søjlen for at skabe resultater på EU-niveau samt nationalt, regionalt og lokalt niveau inden november 2020</w:t>
      </w:r>
      <w:r w:rsidRPr="00AB5770">
        <w:rPr>
          <w:rStyle w:val="FootnoteReference"/>
          <w:sz w:val="24"/>
          <w:szCs w:val="24"/>
          <w:lang w:val="en-GB"/>
        </w:rPr>
        <w:footnoteReference w:id="9"/>
      </w:r>
      <w:r>
        <w:t>. På grundlag af de modtagne bidrag vil Kommission i starten af 2021 præsentere en handlingsplan for gennemførelsen af den sociale søjle. Yderligere forslag til 2021 findes i bilaget til køreplanen. Der er bl.a. tale om en børnegaranti, en handlingsplan for den sociale økonomi, en handicapstrategi og en langsigtet vision for landdistrikterne</w:t>
      </w:r>
      <w:r w:rsidRPr="00AB5770">
        <w:rPr>
          <w:rStyle w:val="FootnoteReference"/>
          <w:sz w:val="24"/>
          <w:szCs w:val="24"/>
          <w:lang w:val="en-GB"/>
        </w:rPr>
        <w:footnoteReference w:id="10"/>
      </w:r>
      <w:r>
        <w:t>.</w:t>
      </w:r>
    </w:p>
    <w:p w14:paraId="150E032B" w14:textId="77777777" w:rsidR="008729CC" w:rsidRPr="00AB5770" w:rsidRDefault="008729CC" w:rsidP="00120294">
      <w:pPr>
        <w:pStyle w:val="Heading3"/>
        <w:numPr>
          <w:ilvl w:val="0"/>
          <w:numId w:val="0"/>
        </w:numPr>
        <w:ind w:left="709"/>
        <w:rPr>
          <w:lang w:val="en-GB"/>
        </w:rPr>
      </w:pPr>
    </w:p>
    <w:p w14:paraId="559C459D" w14:textId="1494E67A" w:rsidR="008729CC" w:rsidRPr="00AB5770" w:rsidRDefault="008729CC" w:rsidP="00120294">
      <w:pPr>
        <w:pStyle w:val="Heading3"/>
        <w:ind w:left="567" w:hanging="567"/>
      </w:pPr>
      <w:r>
        <w:t>I forbindelse med køreplanen indledte Kommissionen første og anden fase af konsultationen af arbejdsmarkedets parter om rimelig minimumsløn</w:t>
      </w:r>
      <w:r w:rsidRPr="00AB5770">
        <w:rPr>
          <w:rStyle w:val="FootnoteReference"/>
          <w:sz w:val="24"/>
          <w:szCs w:val="24"/>
          <w:lang w:val="en-GB"/>
        </w:rPr>
        <w:footnoteReference w:id="11"/>
      </w:r>
      <w:r>
        <w:t>. EØSU afventer et muligt kommende lovgivningsinitiativ fra Kommissionen om en anstændig og rimelig minimumsløn. Målet bør være at sikre, at minimumslønnen i alle EU-medlemsstater sikrer alle arbejdstagere en rimelig levestandard. EØSU glæder sig over, at Kommissionen anerkender, at der er mulighed for gennem EU-tiltag at fremme de kollektive forhandlingers rolle i at understøtte tilstrækkelige minimumslønninger og tilstrækkelig dækning, og at foranstaltninger til understøttelse af kollektive forhandlinger, især på sektorniveau, bør indgå i EU's tiltag vedrørende minimumslønninger</w:t>
      </w:r>
      <w:r w:rsidRPr="00AB5770">
        <w:rPr>
          <w:rStyle w:val="FootnoteReference"/>
          <w:sz w:val="24"/>
          <w:szCs w:val="24"/>
          <w:lang w:val="en-GB"/>
        </w:rPr>
        <w:footnoteReference w:id="12"/>
      </w:r>
      <w:r>
        <w:t>.</w:t>
      </w:r>
    </w:p>
    <w:p w14:paraId="67276C54" w14:textId="77777777" w:rsidR="008729CC" w:rsidRPr="00AB5770" w:rsidRDefault="008729CC" w:rsidP="00120294">
      <w:pPr>
        <w:pStyle w:val="Heading3"/>
        <w:numPr>
          <w:ilvl w:val="0"/>
          <w:numId w:val="0"/>
        </w:numPr>
        <w:ind w:left="709"/>
        <w:rPr>
          <w:lang w:val="en-GB"/>
        </w:rPr>
      </w:pPr>
    </w:p>
    <w:p w14:paraId="6E73B99D" w14:textId="2F5A8740" w:rsidR="008729CC" w:rsidRPr="00AB5770" w:rsidRDefault="008729CC" w:rsidP="00120294">
      <w:pPr>
        <w:pStyle w:val="Heading3"/>
        <w:ind w:left="567" w:hanging="567"/>
      </w:pPr>
      <w:r>
        <w:t>Kompleksiteten af EU's sociale dimension er af en sådan art, at den kun vil kunne styrkes, hvis der er en styringsmekanismer, som muliggør kollektiv problemløsning med inddragelse af forskellige aktører fra forskellige sektorer. Den sociale dialog spiller en vigtig rolle. En stærk social genopretning indebærer også bedre adgang til fagforeninger og bedre beskyttelse. Kollektive overenskomstforhandlinger og arbejdspladsdemokrati bør støttes. EU og medlemsstaterne skal hjælpe arbejdsmarkedets parter med at øge de kollektive overenskomsters dækning betydeligt. Der er behov for at styrke repræsentativiteten og autonomien og forbindelserne mellem de europæiske og nationale niveauer af den sociale dialog. Endvidere er der behov for at forbedre arbejdsmarkedets parters kapacitet og inddragelse i udformningen af politikker yderligere og at sikre en stabil og afbalanceret ramme for forholdet mellem arbejdsmarkedets parter. EØSU mener, at Kommissionen bør revidere EU-kvalitetsrammen for foregribelse af forandringer og omstruktureringer og foreslå et retligt grundlag for specifikke rammebetingelser vedrørende arbejdstagernes deltagelse, uden dog at gribe ind i de nationale kompetencer</w:t>
      </w:r>
      <w:r w:rsidRPr="00AB5770">
        <w:rPr>
          <w:rStyle w:val="FootnoteReference"/>
          <w:sz w:val="24"/>
          <w:szCs w:val="24"/>
          <w:lang w:val="en-GB"/>
        </w:rPr>
        <w:footnoteReference w:id="13"/>
      </w:r>
      <w:r>
        <w:t>, for at forbedre arbejdstagernes inddragelse med henblik på at imødegå udfordringerne i forbindelse med den grønne pagt og den digitale omstillingsproces.</w:t>
      </w:r>
    </w:p>
    <w:p w14:paraId="68A4B9D6" w14:textId="77777777" w:rsidR="008729CC" w:rsidRPr="00AB5770" w:rsidRDefault="008729CC" w:rsidP="00120294">
      <w:pPr>
        <w:pStyle w:val="Heading3"/>
        <w:numPr>
          <w:ilvl w:val="0"/>
          <w:numId w:val="0"/>
        </w:numPr>
        <w:ind w:left="709"/>
        <w:rPr>
          <w:lang w:val="en-GB"/>
        </w:rPr>
      </w:pPr>
    </w:p>
    <w:p w14:paraId="127A460C" w14:textId="436B7F6E" w:rsidR="008729CC" w:rsidRPr="00AB5770" w:rsidRDefault="008729CC" w:rsidP="00120294">
      <w:pPr>
        <w:pStyle w:val="Heading3"/>
        <w:tabs>
          <w:tab w:val="left" w:pos="567"/>
        </w:tabs>
        <w:ind w:left="567" w:hanging="568"/>
      </w:pPr>
      <w:r>
        <w:t>EØSU opfordrer kraftigt Kommissionen til at reformere EU's økonomiske styring. EØSU er overbevist om, at der er behov for visse ændringer i a) forvaltningen, dvs. der er brug for specifikke forvaltningsmekanismer til at løse presserende problemer og til at tackle komplekse problemstillinger. Disse forvaltningsmekanismer skal forbinde EU og medlemsstaterne og ikke træde i stedet for foranstaltninger, som træffes på de to niveauer, og b) integrationen af FN's mål for bæredygtig udvikling i EU's økonomiske og sociale overvågnings- og budgetprocesser. I den henseende kan der medtages nye, forbedrede, målbare og supplerende sociale, økonomiske og miljømæssige indikatorer i det europæiske semester for at overvåge og følge status for alle aspekter af den europæiske søjle for sociale rettigheder og dens principper samt de 17 mål for bæredygtig udvikling</w:t>
      </w:r>
      <w:r w:rsidRPr="00AB5770">
        <w:rPr>
          <w:rStyle w:val="FootnoteReference"/>
          <w:sz w:val="24"/>
          <w:szCs w:val="24"/>
          <w:lang w:val="en-GB"/>
        </w:rPr>
        <w:footnoteReference w:id="14"/>
      </w:r>
      <w:r>
        <w:t>.</w:t>
      </w:r>
    </w:p>
    <w:p w14:paraId="77DE0522" w14:textId="77777777" w:rsidR="008729CC" w:rsidRPr="00AB5770" w:rsidRDefault="008729CC" w:rsidP="00120294">
      <w:pPr>
        <w:pStyle w:val="Heading3"/>
        <w:numPr>
          <w:ilvl w:val="0"/>
          <w:numId w:val="0"/>
        </w:numPr>
        <w:ind w:left="709"/>
        <w:rPr>
          <w:lang w:val="en-GB"/>
        </w:rPr>
      </w:pPr>
    </w:p>
    <w:p w14:paraId="1B77F432" w14:textId="77777777" w:rsidR="008729CC" w:rsidRPr="00AB5770" w:rsidRDefault="008729CC" w:rsidP="00120294">
      <w:pPr>
        <w:pStyle w:val="Heading3"/>
        <w:ind w:left="567" w:hanging="568"/>
      </w:pPr>
      <w:r>
        <w:t>EØSU bifalder det bebudede forslag til forbedring af platformsarbejderes arbejdsvilkår i 2021. EØSU beklager dog, at den meget mere omfattende udfordring med en inklusiv og retfærdig omstilling ikke behandles direkte i Kommissionens meddelelse</w:t>
      </w:r>
      <w:r w:rsidRPr="00AB5770">
        <w:rPr>
          <w:rStyle w:val="FootnoteReference"/>
          <w:sz w:val="24"/>
          <w:szCs w:val="24"/>
          <w:lang w:val="en-GB"/>
        </w:rPr>
        <w:footnoteReference w:id="15"/>
      </w:r>
      <w:r>
        <w:t>. Udvalget understreger, at der er behov for en ambitiøs handlingsplan for at tilskynde medlemsstaterne til at opfylde deres løfter vedrørende proklamationen af den europæiske søjle for sociale rettigheder</w:t>
      </w:r>
      <w:r w:rsidRPr="00AB5770">
        <w:rPr>
          <w:rStyle w:val="FootnoteReference"/>
          <w:sz w:val="24"/>
          <w:szCs w:val="24"/>
          <w:lang w:val="en-GB"/>
        </w:rPr>
        <w:footnoteReference w:id="16"/>
      </w:r>
      <w:r>
        <w:t>.</w:t>
      </w:r>
    </w:p>
    <w:p w14:paraId="63DFEBF7" w14:textId="77777777" w:rsidR="008729CC" w:rsidRPr="00AB5770" w:rsidRDefault="008729CC" w:rsidP="00120294">
      <w:pPr>
        <w:pStyle w:val="Heading3"/>
        <w:numPr>
          <w:ilvl w:val="0"/>
          <w:numId w:val="0"/>
        </w:numPr>
        <w:ind w:left="709"/>
        <w:rPr>
          <w:lang w:val="en-GB"/>
        </w:rPr>
      </w:pPr>
    </w:p>
    <w:p w14:paraId="206C5FB7" w14:textId="6E42422F" w:rsidR="00304F95" w:rsidRPr="00AB5770" w:rsidRDefault="008729CC" w:rsidP="00120294">
      <w:pPr>
        <w:pStyle w:val="Heading3"/>
        <w:ind w:left="567" w:hanging="568"/>
      </w:pPr>
      <w:r>
        <w:t>Et nyt syn på arbejde er af central betydning i genopretningsfasen efter covid-19-krisen. I både den private og den offentlige sundheds- og plejesektor er forfølgelsen af produktivitetsvækst sket på bekostning af kvaliteten af tjenesterne, og de har været ødelæggende for arbejdsglæden, hvilket har haft dramatiske konsekvenser under sundhedskrisen i de fleste EU-lande. Et skifte til tjenestebaserede aktiviteter vil betyde, at der skabes en mere arbejdskraftintensiv økonomi som en modvægt til de usikre job i disse sektorer, hvilket vil understøtte højere beskæftigelse og få job tilbage i realøkonomien. Politikker, der fremmer kvalitetsbeskæftigelse i arbejdskraftintensive sektorer, der leverer tjenester af høj kvalitet, er derfor afgørende.</w:t>
      </w:r>
    </w:p>
    <w:p w14:paraId="78A0A20E" w14:textId="77777777" w:rsidR="00304F95" w:rsidRPr="00AB5770" w:rsidRDefault="00304F95" w:rsidP="00120294">
      <w:pPr>
        <w:pStyle w:val="Heading3"/>
        <w:numPr>
          <w:ilvl w:val="0"/>
          <w:numId w:val="0"/>
        </w:numPr>
        <w:ind w:left="709"/>
        <w:rPr>
          <w:lang w:val="en-GB"/>
        </w:rPr>
      </w:pPr>
    </w:p>
    <w:p w14:paraId="4575E43A" w14:textId="77777777" w:rsidR="008729CC" w:rsidRPr="00AB5770" w:rsidRDefault="00304F95" w:rsidP="00120294">
      <w:pPr>
        <w:pStyle w:val="Heading3"/>
        <w:ind w:left="567" w:hanging="568"/>
      </w:pPr>
      <w:r>
        <w:t>EØSU finder det fortsat bekymrende, at fattigdom generelt og fattigdom blandt personer i arbejde fortsat er et stort problem i mange medlemsstater. Ikke blot skal lønniveauerne hæves, der er også brug for en vidtspændende tilgang på EU-niveau og i medlemsstaterne, som bl.a. rummer tiltag for at garantere tilstrækkelige minimumslønordninger, fælles mindstestandarder inden for arbejdsløshedsforsikring og effektive ordninger for aktiv integration, der understøttes af vigtige og mulighedsskabende sociale tjenester. Velfungerende arbejdsmarkeder, offentlige arbejdsformidlinger og aktive arbejdsmarkedspolitikker er også nødvendige</w:t>
      </w:r>
      <w:r w:rsidRPr="00AB5770">
        <w:rPr>
          <w:rStyle w:val="FootnoteReference"/>
          <w:sz w:val="24"/>
          <w:szCs w:val="24"/>
          <w:lang w:val="en-GB"/>
        </w:rPr>
        <w:footnoteReference w:id="17"/>
      </w:r>
      <w:r>
        <w:t>.</w:t>
      </w:r>
    </w:p>
    <w:p w14:paraId="56C169B3" w14:textId="77777777" w:rsidR="003C005E" w:rsidRPr="00AB5770" w:rsidRDefault="003C005E" w:rsidP="00120294">
      <w:pPr>
        <w:spacing w:line="288" w:lineRule="auto"/>
        <w:ind w:left="709" w:hanging="709"/>
        <w:jc w:val="both"/>
        <w:rPr>
          <w:rFonts w:ascii="Times New Roman" w:hAnsi="Times New Roman"/>
          <w:sz w:val="22"/>
          <w:szCs w:val="22"/>
          <w:lang w:val="en-GB"/>
        </w:rPr>
      </w:pPr>
    </w:p>
    <w:p w14:paraId="5500CFB1" w14:textId="018049C4" w:rsidR="003C005E" w:rsidRPr="00AB5770" w:rsidRDefault="003C005E" w:rsidP="00120294">
      <w:pPr>
        <w:pStyle w:val="Heading3"/>
        <w:ind w:left="567" w:hanging="568"/>
      </w:pPr>
      <w:r>
        <w:t xml:space="preserve">EØSU støtter Kommissionens ligestillingsstrategi for perioden 2020-2025 og anbefaler, at Kommissionen vedtager strategier for integration af kønsaspektet i alle programmerings- og </w:t>
      </w:r>
      <w:r>
        <w:lastRenderedPageBreak/>
        <w:t>styringsorganer og en tværsektoriel tilgang til ligestilling mellem kønnene. Strategien bør gennemføres sideløbende med håndteringen af virkningerne af covid-19, gennem skræddersyede og målrettede politiske tiltag. Udvalget noterer sig Kommissionens intention om at foreslå et lovgivningsinitiativ vedrørende bindende løngennemsigtighedstiltag. I forbindelse med tiltag over for lønforskelle og andre kønsbestemte forskelle bør de job og sektorer, hvor der traditionelt er mange kvinder, og som ofte er underbetalte og undervurderede, tillægges større social anerkendelse og økonomisk værdi.</w:t>
      </w:r>
    </w:p>
    <w:p w14:paraId="1B2CA713" w14:textId="77777777" w:rsidR="00E16135" w:rsidRPr="00AB5770" w:rsidRDefault="00E16135" w:rsidP="00120294">
      <w:pPr>
        <w:spacing w:line="288" w:lineRule="auto"/>
        <w:ind w:left="709" w:hanging="709"/>
        <w:jc w:val="both"/>
        <w:rPr>
          <w:rFonts w:ascii="Times New Roman" w:hAnsi="Times New Roman"/>
          <w:sz w:val="22"/>
          <w:szCs w:val="22"/>
          <w:lang w:val="en-GB"/>
        </w:rPr>
      </w:pPr>
    </w:p>
    <w:p w14:paraId="1B123B5A" w14:textId="319AA5B1" w:rsidR="004A5C2F" w:rsidRPr="00AB5770" w:rsidRDefault="003448D1" w:rsidP="00120294">
      <w:pPr>
        <w:pStyle w:val="Heading3"/>
        <w:ind w:left="567" w:hanging="568"/>
      </w:pPr>
      <w:r>
        <w:t>Det er vigtigt fortsat at tackle og afbøde de socioøkonomiske konsekvenser af pandemien, som er ekstraordinært store på vigtige områder som transport, rejser og turisme.</w:t>
      </w:r>
    </w:p>
    <w:p w14:paraId="257BAF0F" w14:textId="77777777" w:rsidR="004A5C2F" w:rsidRPr="00AB5770" w:rsidRDefault="004A5C2F" w:rsidP="00120294">
      <w:pPr>
        <w:pStyle w:val="Heading2"/>
        <w:numPr>
          <w:ilvl w:val="0"/>
          <w:numId w:val="0"/>
        </w:numPr>
        <w:rPr>
          <w:b/>
          <w:lang w:val="en-GB"/>
        </w:rPr>
      </w:pPr>
    </w:p>
    <w:p w14:paraId="14F7913E" w14:textId="2AA53B7C" w:rsidR="00E16135" w:rsidRPr="00AB5770" w:rsidRDefault="00E16135" w:rsidP="00120294">
      <w:pPr>
        <w:pStyle w:val="Heading2"/>
        <w:keepLines/>
        <w:ind w:left="567" w:hanging="567"/>
        <w:rPr>
          <w:b/>
        </w:rPr>
      </w:pPr>
      <w:r>
        <w:rPr>
          <w:b/>
        </w:rPr>
        <w:t>Migration og tiden efter covid-19</w:t>
      </w:r>
    </w:p>
    <w:p w14:paraId="788BB33D" w14:textId="77777777" w:rsidR="00F95DB1" w:rsidRPr="00AB5770" w:rsidRDefault="00F95DB1" w:rsidP="00120294">
      <w:pPr>
        <w:keepLines/>
        <w:spacing w:line="288" w:lineRule="auto"/>
        <w:jc w:val="both"/>
        <w:rPr>
          <w:rFonts w:ascii="Times New Roman" w:hAnsi="Times New Roman"/>
          <w:sz w:val="22"/>
          <w:szCs w:val="22"/>
          <w:lang w:val="en-GB"/>
        </w:rPr>
      </w:pPr>
    </w:p>
    <w:p w14:paraId="22682273" w14:textId="1FE7C6BC" w:rsidR="003C005E" w:rsidRPr="00AB5770" w:rsidRDefault="003C005E" w:rsidP="00120294">
      <w:pPr>
        <w:pStyle w:val="Heading3"/>
        <w:ind w:left="567" w:hanging="567"/>
      </w:pPr>
      <w:r>
        <w:t>Med udbruddet af covid-19-pandemien, de enorme tragiske følger, den har haft for de nationale sundhedssystemer, og det økonomiske kollaps i alle lande syntes migrationsspørgsmålet at forsvinde fra dagsordenen og træde i baggrunden, med en vis ligegyldighed fra den offentlige menings side. Asylansøgere kan ikke lades i stikken som følge af den aktuelle krise. Grundlæggende beskyttelsesrettigheder er centrale for de europæiske værdier og kan ikke kastes over bord, når det ikke lige passer.</w:t>
      </w:r>
    </w:p>
    <w:p w14:paraId="0FFE4FDA" w14:textId="77777777" w:rsidR="003C005E" w:rsidRPr="00AB5770" w:rsidRDefault="003C005E" w:rsidP="00120294">
      <w:pPr>
        <w:spacing w:line="288" w:lineRule="auto"/>
        <w:ind w:left="709" w:hanging="709"/>
        <w:jc w:val="both"/>
        <w:rPr>
          <w:rFonts w:ascii="Times New Roman" w:hAnsi="Times New Roman"/>
          <w:sz w:val="22"/>
          <w:szCs w:val="22"/>
          <w:lang w:val="en-GB"/>
        </w:rPr>
      </w:pPr>
    </w:p>
    <w:p w14:paraId="2A4A08E8" w14:textId="77777777" w:rsidR="003C005E" w:rsidRPr="00AB5770" w:rsidRDefault="00F95DB1" w:rsidP="00120294">
      <w:pPr>
        <w:pStyle w:val="Heading1"/>
        <w:keepNext/>
        <w:keepLines/>
        <w:ind w:left="567" w:hanging="567"/>
        <w:rPr>
          <w:b/>
        </w:rPr>
      </w:pPr>
      <w:r>
        <w:rPr>
          <w:b/>
        </w:rPr>
        <w:t>Nyt skub i det europæiske demokrati</w:t>
      </w:r>
    </w:p>
    <w:p w14:paraId="5E2E03B6" w14:textId="77777777" w:rsidR="003C005E" w:rsidRPr="00AB5770" w:rsidRDefault="003C005E" w:rsidP="00120294">
      <w:pPr>
        <w:pStyle w:val="Heading1"/>
        <w:keepLines/>
        <w:numPr>
          <w:ilvl w:val="0"/>
          <w:numId w:val="0"/>
        </w:numPr>
        <w:rPr>
          <w:color w:val="000000" w:themeColor="text1"/>
          <w:lang w:val="en-GB"/>
        </w:rPr>
      </w:pPr>
    </w:p>
    <w:p w14:paraId="26514C3D" w14:textId="77777777" w:rsidR="00871571" w:rsidRPr="00AB5770" w:rsidRDefault="00102BE7" w:rsidP="00120294">
      <w:pPr>
        <w:pStyle w:val="Heading2"/>
        <w:ind w:left="567" w:hanging="567"/>
      </w:pPr>
      <w:r>
        <w:t>Den Europæiske Union er baseret på fælles europæiske værdier, som der ikke under nogen omstændigheder kan forhandles om: respekt for den menneskelige værdighed og menneskerettigheder, frihed, demokrati, lighed og retsstaten. Disse værdier må ikke glemmes, når EU og Unionens medlemsstater står over for en krise og konsekvenserne heraf i form af økonomiske og sociale udfordringer. Selv om reaktionen på den aktuelle krise skal være hurtig og berettiger visse ekstraordinære og tidsbegrænsede foranstaltninger, må disse ikke gå imod retsstaten, og de må ikke bringe demokratiet, magtens tredeling og de europæiske borgeres grundlæggende rettigheder i fare. EØSU insisterer på, at alle politiske foranstaltninger i den henseende fuldt og helt skal stemme overens med vores fælles værdier som fastsat i artikel 2 i TEU.</w:t>
      </w:r>
    </w:p>
    <w:p w14:paraId="17E681F3" w14:textId="77777777" w:rsidR="00871571" w:rsidRPr="00AB5770" w:rsidRDefault="00871571" w:rsidP="00120294">
      <w:pPr>
        <w:pStyle w:val="Heading3"/>
        <w:numPr>
          <w:ilvl w:val="0"/>
          <w:numId w:val="0"/>
        </w:numPr>
        <w:rPr>
          <w:lang w:val="en-GB"/>
        </w:rPr>
      </w:pPr>
    </w:p>
    <w:p w14:paraId="01140D31" w14:textId="14D347B4" w:rsidR="009F6FB8" w:rsidRPr="00AB5770" w:rsidRDefault="00871571" w:rsidP="00120294">
      <w:pPr>
        <w:pStyle w:val="Heading2"/>
        <w:ind w:left="567" w:hanging="567"/>
      </w:pPr>
      <w:r>
        <w:t>I denne nye genopretnings- og genopbygningsfase håber EØSU, at den kommende konference om Europas fremtid kan være en lejlighed til at styrke og uddybe EU's institutionelle struktur og gennemføre en reel fornyelse af EU-projektet, så Unionen bliver i stand til at håndtere de kommende årtiers udfordringer.</w:t>
      </w:r>
    </w:p>
    <w:p w14:paraId="794AAFF8" w14:textId="77777777" w:rsidR="009F6FB8" w:rsidRPr="00AB5770" w:rsidRDefault="009F6FB8" w:rsidP="00120294">
      <w:pPr>
        <w:spacing w:line="288" w:lineRule="auto"/>
        <w:rPr>
          <w:rFonts w:ascii="Times New Roman" w:hAnsi="Times New Roman"/>
          <w:sz w:val="22"/>
          <w:szCs w:val="22"/>
          <w:lang w:val="en-GB"/>
        </w:rPr>
      </w:pPr>
    </w:p>
    <w:p w14:paraId="414DAC83" w14:textId="617F5006" w:rsidR="00121CF4" w:rsidRPr="00AB5770" w:rsidRDefault="00871571" w:rsidP="00120294">
      <w:pPr>
        <w:pStyle w:val="Heading2"/>
        <w:ind w:left="567" w:hanging="567"/>
      </w:pPr>
      <w:r>
        <w:t xml:space="preserve">Covid-19-krisen har afsløret de institutionelle begrænsninger og mangler ved Den Europæiske Union, som den er nu, og samtidig vist, at der er et presserende behov for en effektiv og velfungerende Union. Der er behov for et nyt europæisk system, som går videre end det indre marked og skaber et mere integreret Europa med en reel finanspolitisk kapacitet, og hvis vigtigste mål er at forbedre leve- og arbejdsvilkårene for dets borgere. EØSU mener derfor, at konferencen bør tage højde for EU's eksisterende genopretningsinstrumenter og den solidaritet, der allerede er blevet etableret, og samtidig sikre økologisk bæredygtighed, økonomisk udvikling, sociale fremskridt, sikkerhed og demokrati. EØSU understreger, at direkte </w:t>
      </w:r>
      <w:r>
        <w:lastRenderedPageBreak/>
        <w:t>inddragelse af civilsamfundsorganisationer, arbejdsmarkedets parter og folkevalgte repræsentanter til trods for pandemien fortsat bør være en prioritet for konferencen og ser frem til at starte konferencen for sammen med alle EU's borgere at opbygge en mere demokratisk, effektiv og modstandsdygtig Union. EØSU mener, at Kommissionen bør holde konferencen åben for alle tænkelige udfald, herunder lovgivningsmæssige forslag, indledning af traktatændringer eller andet.</w:t>
      </w:r>
    </w:p>
    <w:p w14:paraId="5BE006DD" w14:textId="77777777" w:rsidR="00121CF4" w:rsidRPr="00AB5770" w:rsidRDefault="00121CF4" w:rsidP="00120294">
      <w:pPr>
        <w:spacing w:line="288" w:lineRule="auto"/>
        <w:rPr>
          <w:rFonts w:ascii="Times New Roman" w:hAnsi="Times New Roman"/>
          <w:sz w:val="22"/>
          <w:szCs w:val="22"/>
          <w:lang w:val="en-GB"/>
        </w:rPr>
      </w:pPr>
    </w:p>
    <w:p w14:paraId="3C742DFE" w14:textId="08727F8D" w:rsidR="00871571" w:rsidRPr="00AB5770" w:rsidRDefault="00871571" w:rsidP="00120294">
      <w:pPr>
        <w:pStyle w:val="Heading2"/>
        <w:ind w:left="567" w:hanging="567"/>
      </w:pPr>
      <w:r>
        <w:t>Efter EØSU's opfattelse udgør desinformation ikke kun en direkte trussel for borgernes evne til at træffe informerede politiske beslutninger, men også for den europæiske integration og derfor for EU's enhed, velstand og globale indflydelse. En række fremmede magter har en interesse i at svække EU's evne til at træffe demokratiske beslutninger, og det samme gælder ekstremistgrupper, der modarbejder det europæiske samarbejde og stærkere samhørighed. EØSU bakker kraftigt op om EU's aktuelle bestræbelser for at bekæmpe ekstern og intern desinformation og opfordrer Kommissionen til at sikre, at adfærdskodeksen om desinformation overholdes fuldt ud og følges op af lovgivningsmæssige tiltag. Det opfordrer endvidere til videreudvikling af det nyligt oprettede system for tidlig varsling og STRATCOM's efterretningsenheder og til, at EU-Udenrigstjenestens indsats over for desinformation udbygges og matches af en tilsvarende udbygning af EU's indsats over for intern desinformation.</w:t>
      </w:r>
      <w:r w:rsidRPr="00AB5770">
        <w:rPr>
          <w:rStyle w:val="FootnoteReference"/>
          <w:sz w:val="24"/>
          <w:szCs w:val="24"/>
          <w:lang w:val="en-GB"/>
        </w:rPr>
        <w:footnoteReference w:id="18"/>
      </w:r>
    </w:p>
    <w:p w14:paraId="50153DB8" w14:textId="77777777" w:rsidR="00C961D7" w:rsidRPr="00AB5770" w:rsidRDefault="00C961D7" w:rsidP="00120294">
      <w:pPr>
        <w:spacing w:line="288" w:lineRule="auto"/>
        <w:rPr>
          <w:rFonts w:ascii="Times New Roman" w:hAnsi="Times New Roman"/>
          <w:sz w:val="22"/>
          <w:szCs w:val="22"/>
          <w:lang w:val="en-GB"/>
        </w:rPr>
      </w:pPr>
    </w:p>
    <w:p w14:paraId="59ED8A84" w14:textId="2B93F411" w:rsidR="00871571" w:rsidRPr="00AB5770" w:rsidRDefault="00871571" w:rsidP="00120294">
      <w:pPr>
        <w:pStyle w:val="Heading2"/>
        <w:ind w:left="567" w:hanging="567"/>
      </w:pPr>
      <w:r>
        <w:t>EØSU støtter kraftigt Kommissionens forslag om at udvikle en "europæisk demokratihandlingsplan", som bør spænde vidt og være vedvarende og i stand til at frembringe ændringer, og som sikres med økonomisk støtte og interinstitutionel koordinering. Den europæiske demokratihandlingsplan og de dermed forbundne fremtidige initiativer bør i langt højere grad arbejde for at sikre frie og pluralistiske medier og uafhængig kvalitetsjournalistik, effektiv regulering af de sociale medier, navnlig med henblik på at bekæmpe desinformation, og herunder regulering af politisk reklame på internettet og ansvar for indhold, en moderniseret valgproces, inddragelse af grupper, der føler sig udelukket, først og fremmest personer med handicap, og udbredt folkeoplysning om EU og dets demokratiske proces i alle medlemsstater. EØSU minder om sit forslag om en ambitiøs strategi for kommunikation, uddannelse og borgerbevidsthed om grundlæggende rettigheder, retsstatsprincippet og demokrati.</w:t>
      </w:r>
      <w:r w:rsidRPr="00AB5770">
        <w:rPr>
          <w:rStyle w:val="FootnoteReference"/>
          <w:sz w:val="24"/>
          <w:szCs w:val="24"/>
          <w:lang w:val="en-GB"/>
        </w:rPr>
        <w:footnoteReference w:id="19"/>
      </w:r>
    </w:p>
    <w:p w14:paraId="08E7DF85" w14:textId="77777777" w:rsidR="004A5C2F" w:rsidRPr="00AB5770" w:rsidRDefault="004A5C2F" w:rsidP="00120294">
      <w:pPr>
        <w:pStyle w:val="Heading1"/>
        <w:numPr>
          <w:ilvl w:val="0"/>
          <w:numId w:val="0"/>
        </w:numPr>
        <w:ind w:left="709" w:hanging="709"/>
        <w:rPr>
          <w:b/>
          <w:color w:val="000000" w:themeColor="text1"/>
          <w:lang w:val="en-GB"/>
        </w:rPr>
      </w:pPr>
    </w:p>
    <w:p w14:paraId="4276A491" w14:textId="5613562A" w:rsidR="004A5C2F" w:rsidRPr="00AB5770" w:rsidRDefault="004A5C2F" w:rsidP="00120294">
      <w:pPr>
        <w:pStyle w:val="Heading2"/>
        <w:ind w:left="567" w:hanging="567"/>
        <w:rPr>
          <w:bCs/>
        </w:rPr>
      </w:pPr>
      <w:r>
        <w:t>Der er behov for yderligere foranstaltninger for at opnå frie og pluralistiske medier og uafhængig kvalitetsjournalistik samt en effektiv regulering af de sociale medier, især for at bekæmpe desinformation, og inklusive regulering af politisk reklame på internettet og ansvar for indhold.</w:t>
      </w:r>
    </w:p>
    <w:p w14:paraId="5C9431CE" w14:textId="77777777" w:rsidR="00102BE7" w:rsidRPr="00AB5770" w:rsidRDefault="00102BE7" w:rsidP="00120294">
      <w:pPr>
        <w:spacing w:line="288" w:lineRule="auto"/>
        <w:ind w:left="709" w:hanging="709"/>
        <w:jc w:val="both"/>
        <w:rPr>
          <w:rFonts w:ascii="Times New Roman" w:hAnsi="Times New Roman"/>
          <w:sz w:val="22"/>
          <w:szCs w:val="22"/>
          <w:lang w:val="en-GB"/>
        </w:rPr>
      </w:pPr>
    </w:p>
    <w:p w14:paraId="3C479197" w14:textId="77777777" w:rsidR="00F95DB1" w:rsidRPr="00AB5770" w:rsidRDefault="00871571" w:rsidP="00120294">
      <w:pPr>
        <w:pStyle w:val="Heading2"/>
        <w:keepNext/>
        <w:keepLines/>
        <w:ind w:left="567" w:hanging="567"/>
        <w:rPr>
          <w:b/>
          <w:bCs/>
        </w:rPr>
      </w:pPr>
      <w:r>
        <w:rPr>
          <w:b/>
        </w:rPr>
        <w:lastRenderedPageBreak/>
        <w:t>Bedre regulering og fremsyn</w:t>
      </w:r>
    </w:p>
    <w:p w14:paraId="20A91AF5" w14:textId="77777777" w:rsidR="00871571" w:rsidRPr="00AB5770" w:rsidRDefault="00871571" w:rsidP="00120294">
      <w:pPr>
        <w:keepNext/>
        <w:keepLines/>
        <w:spacing w:line="288" w:lineRule="auto"/>
        <w:rPr>
          <w:rFonts w:ascii="Times New Roman" w:hAnsi="Times New Roman"/>
          <w:sz w:val="22"/>
          <w:szCs w:val="22"/>
          <w:lang w:val="en-GB"/>
        </w:rPr>
      </w:pPr>
    </w:p>
    <w:p w14:paraId="127BFF53" w14:textId="77777777" w:rsidR="00102BE7" w:rsidRPr="00AB5770" w:rsidRDefault="00102BE7" w:rsidP="00120294">
      <w:pPr>
        <w:pStyle w:val="Heading3"/>
        <w:keepNext/>
        <w:keepLines/>
        <w:ind w:left="567" w:hanging="567"/>
      </w:pPr>
      <w:r>
        <w:t>EØSU fastholder sin opfordring til en revideret dagsorden for bedre regulering, hvori "kontrol af bæredygtighed" integreres for at sikre, at al EU-lovgivning og alle EU's politikker bidrager til gennemførelsen af målene for bæredygtig udvikling.</w:t>
      </w:r>
    </w:p>
    <w:p w14:paraId="39FED038" w14:textId="77777777" w:rsidR="00102BE7" w:rsidRPr="00AB5770" w:rsidRDefault="00102BE7" w:rsidP="00120294">
      <w:pPr>
        <w:spacing w:line="288" w:lineRule="auto"/>
        <w:jc w:val="both"/>
        <w:rPr>
          <w:rFonts w:ascii="Times New Roman" w:hAnsi="Times New Roman"/>
          <w:sz w:val="22"/>
          <w:szCs w:val="22"/>
          <w:lang w:val="en-GB"/>
        </w:rPr>
      </w:pPr>
    </w:p>
    <w:p w14:paraId="7F86CF9A" w14:textId="13332F60" w:rsidR="00871571" w:rsidRPr="00AB5770" w:rsidRDefault="008672DC" w:rsidP="00120294">
      <w:pPr>
        <w:pStyle w:val="Heading3"/>
        <w:ind w:left="567" w:hanging="567"/>
      </w:pPr>
      <w:r>
        <w:t>EØSU er fast besluttet på at bidrage til, at den nye Fit for Future-platform, som erstatter Refitplatfomen, bliver en succes og hilser det velkommen, at EØSU får en større rolle i platformen i forhold til deltagelse, repræsentation og input. Denne nye platform vil inddrage medlemsstaterne og repræsentanter for civilsamfundet i arbejdet med at forenkle og fjerne unødvendige byrder og forberede EU på nye udfordringer i fremtiden såsom digitalisering. Covid-19-krisen har vist, hvor vigtigt det er at udarbejde politikker og opbygge kapacitet, der egner sig til at håndtere fremtidige uvisheder.</w:t>
      </w:r>
    </w:p>
    <w:p w14:paraId="71D75049" w14:textId="77777777" w:rsidR="009171DB" w:rsidRPr="00AB5770" w:rsidRDefault="009171DB" w:rsidP="00120294">
      <w:pPr>
        <w:spacing w:line="288" w:lineRule="auto"/>
        <w:rPr>
          <w:rFonts w:ascii="Times New Roman" w:hAnsi="Times New Roman"/>
          <w:sz w:val="22"/>
          <w:szCs w:val="22"/>
          <w:lang w:val="en-GB"/>
        </w:rPr>
      </w:pPr>
    </w:p>
    <w:p w14:paraId="2BF0D1EB" w14:textId="14224EE6" w:rsidR="00871571" w:rsidRPr="00AB5770" w:rsidRDefault="00871571" w:rsidP="00120294">
      <w:pPr>
        <w:pStyle w:val="Heading3"/>
        <w:ind w:left="567" w:hanging="567"/>
      </w:pPr>
      <w:r>
        <w:t>EØSU minder om, at bedre regulering ikke kan erstatte politiske beslutninger og under ingen omstændigheder må føre til deregulering eller forringelse af den sociale beskyttelse, miljø- og forbrugerbeskyttelsen og de grundlæggende rettigheder. EØSU opfordrer Kommissionen til at revidere retningslinjerne og kriterierne i værktøjskassen for bedre regulering med henblik på at integrere 2030-dagsordenens mål for bæredygtig udvikling i evalueringsprocessen. En "bæredygtighedskontrol" bør udtrykkeligt indgå i værktøjskassen for bedre regulering. EØSU opfordrer igen til en videreudvikling af det europæiske økosystem for konsekvensanalyse og evaluering for at forbedre kvaliteten og fremme det organiserede civilsamfunds aktive deltagelse i udformningen og gennemførelsen af lovgivning</w:t>
      </w:r>
      <w:r w:rsidRPr="00AB5770">
        <w:rPr>
          <w:rStyle w:val="FootnoteReference"/>
          <w:sz w:val="24"/>
          <w:szCs w:val="24"/>
          <w:lang w:val="en-GB"/>
        </w:rPr>
        <w:footnoteReference w:id="20"/>
      </w:r>
      <w:r>
        <w:t>.</w:t>
      </w:r>
    </w:p>
    <w:p w14:paraId="50B1EBB4" w14:textId="77777777" w:rsidR="00102BE7" w:rsidRPr="00AB5770" w:rsidRDefault="00102BE7" w:rsidP="00120294">
      <w:pPr>
        <w:spacing w:line="288" w:lineRule="auto"/>
        <w:jc w:val="both"/>
        <w:rPr>
          <w:rFonts w:ascii="Times New Roman" w:hAnsi="Times New Roman"/>
          <w:sz w:val="22"/>
          <w:szCs w:val="22"/>
          <w:lang w:val="en-GB"/>
        </w:rPr>
      </w:pPr>
    </w:p>
    <w:p w14:paraId="54AC2F3B" w14:textId="40BA8045" w:rsidR="008672DC" w:rsidRPr="00AB5770" w:rsidRDefault="00102BE7" w:rsidP="00120294">
      <w:pPr>
        <w:pStyle w:val="Heading3"/>
        <w:ind w:left="567" w:hanging="567"/>
      </w:pPr>
      <w:r>
        <w:t>EØSU foreslår, at Kommissionen kombinerer offentlige høringer (pga. dens begrænsninger) med ad hoc-rundbordskonferencer med relevante interessenter såsom arbejdsmarkedets parter og det organiserede civilsamfund for at styrke deltagelsesdemokratiet.</w:t>
      </w:r>
    </w:p>
    <w:p w14:paraId="6C9CD847" w14:textId="77777777" w:rsidR="00102BE7" w:rsidRPr="00AB5770" w:rsidRDefault="00102BE7" w:rsidP="00120294">
      <w:pPr>
        <w:spacing w:line="288" w:lineRule="auto"/>
        <w:jc w:val="both"/>
        <w:rPr>
          <w:rFonts w:ascii="Times New Roman" w:hAnsi="Times New Roman"/>
          <w:sz w:val="22"/>
          <w:szCs w:val="22"/>
          <w:lang w:val="en-GB"/>
        </w:rPr>
      </w:pPr>
    </w:p>
    <w:p w14:paraId="58220092" w14:textId="6451C0FB" w:rsidR="008672DC" w:rsidRPr="00AB5770" w:rsidRDefault="008672DC" w:rsidP="00120294">
      <w:pPr>
        <w:pStyle w:val="Heading3"/>
        <w:ind w:left="567" w:hanging="567"/>
      </w:pPr>
      <w:r>
        <w:t>Inddragelsen af civilsamfundsorganisationer i konsekvensanalyser og strategisk fremsyn bør styrkes for at sikre, at der tages højde for deres ekspertise og viden om lokale forhold i forbindelse med udformningen af fremtidig lovgivning og fremtidige politikker i den nye situation efter covid-19.</w:t>
      </w:r>
    </w:p>
    <w:p w14:paraId="2B7CC6B8" w14:textId="77777777" w:rsidR="008672DC" w:rsidRPr="00AB5770" w:rsidRDefault="008672DC" w:rsidP="00120294">
      <w:pPr>
        <w:pStyle w:val="Heading3"/>
        <w:numPr>
          <w:ilvl w:val="0"/>
          <w:numId w:val="0"/>
        </w:numPr>
        <w:rPr>
          <w:lang w:val="en-GB"/>
        </w:rPr>
      </w:pPr>
    </w:p>
    <w:p w14:paraId="6CE046F9" w14:textId="2A643119" w:rsidR="00F95DB1" w:rsidRDefault="00E878C7" w:rsidP="00120294">
      <w:pPr>
        <w:pStyle w:val="Heading3"/>
        <w:keepNext/>
        <w:keepLines/>
        <w:ind w:left="567" w:hanging="567"/>
      </w:pPr>
      <w:r>
        <w:t xml:space="preserve">Civilsamfundsorganisationerne selv er nogle af dem, der mærker ulighederne og svaghederne i systemet. Deres nuværende og fremtidige evne til at tage hånd om borgernes behov trues af ofte begrænsede og svingende ressourcer. Dette skal afhjælpes ved at sikre, at der findes finansieringsmekanismer for civilsamfundsorganisationer. Kommissionens arbejdsprogram for 2021, der følger efter krisen, er en meget stor mulighed for at tage EU's engagement i civilsamfundsorganisationer op til revision hvad angår bæredygtig og strukturel økonomisk støtte fremfor projektbaseret finansiering. </w:t>
      </w:r>
    </w:p>
    <w:p w14:paraId="2CE93431" w14:textId="77777777" w:rsidR="00452DDA" w:rsidRPr="00120294" w:rsidRDefault="00452DDA" w:rsidP="00120294">
      <w:pPr>
        <w:keepNext/>
        <w:keepLines/>
        <w:spacing w:line="288" w:lineRule="auto"/>
        <w:rPr>
          <w:rFonts w:ascii="Times New Roman" w:hAnsi="Times New Roman"/>
          <w:lang w:val="en-GB" w:eastAsia="en-US"/>
        </w:rPr>
      </w:pPr>
    </w:p>
    <w:p w14:paraId="7C66C848" w14:textId="4383FB64" w:rsidR="00597B5F" w:rsidRPr="008402F0" w:rsidRDefault="000F6156" w:rsidP="00120294">
      <w:pPr>
        <w:overflowPunct w:val="0"/>
        <w:autoSpaceDE w:val="0"/>
        <w:autoSpaceDN w:val="0"/>
        <w:adjustRightInd w:val="0"/>
        <w:spacing w:line="288" w:lineRule="auto"/>
        <w:ind w:hanging="709"/>
        <w:jc w:val="center"/>
        <w:textAlignment w:val="baseline"/>
        <w:rPr>
          <w:rFonts w:ascii="Times New Roman" w:hAnsi="Times New Roman"/>
          <w:b/>
          <w:kern w:val="28"/>
          <w:sz w:val="22"/>
          <w:szCs w:val="22"/>
        </w:rPr>
      </w:pPr>
      <w:bookmarkStart w:id="0" w:name="_GoBack"/>
      <w:bookmarkEnd w:id="0"/>
      <w:r>
        <w:rPr>
          <w:rFonts w:ascii="Times New Roman" w:hAnsi="Times New Roman"/>
          <w:sz w:val="22"/>
          <w:szCs w:val="22"/>
        </w:rPr>
        <w:t>_____________</w:t>
      </w:r>
    </w:p>
    <w:sectPr w:rsidR="00597B5F" w:rsidRPr="008402F0" w:rsidSect="00C608DC">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D816" w16cex:dateUtc="2020-07-03T14:15:00Z"/>
  <w16cex:commentExtensible w16cex:durableId="22A9E29F" w16cex:dateUtc="2020-07-03T15:00:00Z"/>
  <w16cex:commentExtensible w16cex:durableId="22A9E3D7" w16cex:dateUtc="2020-07-03T15:05:00Z"/>
  <w16cex:commentExtensible w16cex:durableId="22AAD74F" w16cex:dateUtc="2020-07-04T08:24:00Z"/>
  <w16cex:commentExtensible w16cex:durableId="22A9E75C" w16cex:dateUtc="2020-07-03T15:20:00Z"/>
  <w16cex:commentExtensible w16cex:durableId="22AAE0D1" w16cex:dateUtc="2020-07-0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34A8B7" w16cid:durableId="22A9D816"/>
  <w16cid:commentId w16cid:paraId="20DD782E" w16cid:durableId="22A9E29F"/>
  <w16cid:commentId w16cid:paraId="13344CD5" w16cid:durableId="22A9E3D7"/>
  <w16cid:commentId w16cid:paraId="60355E4A" w16cid:durableId="22AAD74F"/>
  <w16cid:commentId w16cid:paraId="01108D96" w16cid:durableId="22A9E75C"/>
  <w16cid:commentId w16cid:paraId="6225C5CE" w16cid:durableId="22AAE0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CA84C" w14:textId="77777777" w:rsidR="003E55DA" w:rsidRDefault="003E55DA" w:rsidP="003F0290">
      <w:r>
        <w:separator/>
      </w:r>
    </w:p>
  </w:endnote>
  <w:endnote w:type="continuationSeparator" w:id="0">
    <w:p w14:paraId="32957673" w14:textId="77777777" w:rsidR="003E55DA" w:rsidRDefault="003E55DA" w:rsidP="003F0290">
      <w:r>
        <w:continuationSeparator/>
      </w:r>
    </w:p>
  </w:endnote>
  <w:endnote w:type="continuationNotice" w:id="1">
    <w:p w14:paraId="02CAC70D" w14:textId="77777777" w:rsidR="003E55DA" w:rsidRDefault="003E55DA" w:rsidP="00FD4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5C72" w14:textId="6B26DB4D" w:rsidR="00B15CE1" w:rsidRPr="00C608DC" w:rsidRDefault="00C608DC" w:rsidP="00C608DC">
    <w:pPr>
      <w:pStyle w:val="Footer"/>
    </w:pPr>
    <w:r>
      <w:t xml:space="preserve">EESC-2020-03155-00-00-RES-TRA (EN) </w:t>
    </w:r>
    <w:r>
      <w:fldChar w:fldCharType="begin"/>
    </w:r>
    <w:r>
      <w:instrText xml:space="preserve"> PAGE  \* Arabic  \* MERGEFORMAT </w:instrText>
    </w:r>
    <w:r>
      <w:fldChar w:fldCharType="separate"/>
    </w:r>
    <w:r w:rsidR="00E7262A">
      <w:rPr>
        <w:noProof/>
      </w:rPr>
      <w:t>1</w:t>
    </w:r>
    <w:r>
      <w:fldChar w:fldCharType="end"/>
    </w:r>
    <w:r>
      <w:t>/</w:t>
    </w:r>
    <w:fldSimple w:instr=" NUMPAGES ">
      <w:r w:rsidR="00E7262A">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A5D9" w14:textId="77777777" w:rsidR="00B15CE1" w:rsidRPr="00C608DC" w:rsidRDefault="00B15CE1" w:rsidP="00C60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2F0D" w14:textId="497AF933" w:rsidR="00B15CE1" w:rsidRPr="00C608DC" w:rsidRDefault="00C608DC" w:rsidP="00C608DC">
    <w:pPr>
      <w:pStyle w:val="Footer"/>
    </w:pPr>
    <w:r>
      <w:t xml:space="preserve">EESC-2020-03155-00-00-RES-TRA (EN) </w:t>
    </w:r>
    <w:r>
      <w:fldChar w:fldCharType="begin"/>
    </w:r>
    <w:r>
      <w:instrText xml:space="preserve"> PAGE  \* Arabic  \* MERGEFORMAT </w:instrText>
    </w:r>
    <w:r>
      <w:fldChar w:fldCharType="separate"/>
    </w:r>
    <w:r w:rsidR="00E7262A">
      <w:rPr>
        <w:noProof/>
      </w:rPr>
      <w:t>19</w:t>
    </w:r>
    <w:r>
      <w:fldChar w:fldCharType="end"/>
    </w:r>
    <w:r>
      <w:t>/</w:t>
    </w:r>
    <w:fldSimple w:instr=" NUMPAGES ">
      <w:r w:rsidR="00E7262A">
        <w:rPr>
          <w:noProof/>
        </w:rPr>
        <w:t>19</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B14E" w14:textId="77777777" w:rsidR="00B15CE1" w:rsidRPr="00C608DC" w:rsidRDefault="00B15CE1" w:rsidP="00C6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A8A4" w14:textId="77777777" w:rsidR="003E55DA" w:rsidRDefault="003E55DA" w:rsidP="003F0290">
      <w:r>
        <w:separator/>
      </w:r>
    </w:p>
  </w:footnote>
  <w:footnote w:type="continuationSeparator" w:id="0">
    <w:p w14:paraId="00D9703D" w14:textId="77777777" w:rsidR="003E55DA" w:rsidRDefault="003E55DA" w:rsidP="003F0290">
      <w:r>
        <w:continuationSeparator/>
      </w:r>
    </w:p>
  </w:footnote>
  <w:footnote w:type="continuationNotice" w:id="1">
    <w:p w14:paraId="7369FE3F" w14:textId="77777777" w:rsidR="003E55DA" w:rsidRDefault="003E55DA" w:rsidP="00FD4163"/>
  </w:footnote>
  <w:footnote w:id="2">
    <w:p w14:paraId="3F4FE34F" w14:textId="77777777" w:rsidR="00B15CE1" w:rsidRPr="00AB5770" w:rsidRDefault="00B15CE1" w:rsidP="00120294">
      <w:pPr>
        <w:pStyle w:val="FootnoteText"/>
        <w:tabs>
          <w:tab w:val="left" w:pos="567"/>
        </w:tabs>
        <w:spacing w:after="60"/>
        <w:rPr>
          <w:rFonts w:ascii="Times New Roman" w:hAnsi="Times New Roman"/>
          <w:sz w:val="16"/>
        </w:rPr>
      </w:pPr>
      <w:r>
        <w:rPr>
          <w:rStyle w:val="FootnoteReference"/>
          <w:rFonts w:ascii="Times New Roman" w:hAnsi="Times New Roman"/>
        </w:rPr>
        <w:footnoteRef/>
      </w:r>
      <w:r>
        <w:rPr>
          <w:rFonts w:ascii="Times New Roman" w:hAnsi="Times New Roman"/>
          <w:sz w:val="16"/>
        </w:rPr>
        <w:t xml:space="preserve"> </w:t>
      </w:r>
      <w:r>
        <w:rPr>
          <w:rFonts w:ascii="Times New Roman" w:hAnsi="Times New Roman"/>
          <w:sz w:val="16"/>
        </w:rPr>
        <w:tab/>
      </w:r>
      <w:hyperlink r:id="rId1" w:history="1">
        <w:r w:rsidRPr="00120294">
          <w:rPr>
            <w:rStyle w:val="Hyperlink"/>
            <w:rFonts w:ascii="Times New Roman" w:hAnsi="Times New Roman"/>
            <w:color w:val="0000FF"/>
            <w:sz w:val="16"/>
          </w:rPr>
          <w:t>Resolution om tiden efter COVID 19-krisen</w:t>
        </w:r>
      </w:hyperlink>
    </w:p>
  </w:footnote>
  <w:footnote w:id="3">
    <w:p w14:paraId="76D02058" w14:textId="6D4D9821" w:rsidR="00B15CE1" w:rsidRPr="00AB5770" w:rsidRDefault="00B15CE1" w:rsidP="00120294">
      <w:pPr>
        <w:pStyle w:val="FootnoteText"/>
        <w:tabs>
          <w:tab w:val="left" w:pos="567"/>
        </w:tabs>
        <w:spacing w:after="60"/>
        <w:rPr>
          <w:rFonts w:ascii="Times New Roman" w:hAnsi="Times New Roman"/>
          <w:sz w:val="16"/>
          <w:szCs w:val="16"/>
        </w:rPr>
      </w:pPr>
      <w:r>
        <w:rPr>
          <w:rStyle w:val="FootnoteReference"/>
          <w:rFonts w:ascii="Times New Roman" w:hAnsi="Times New Roman"/>
        </w:rPr>
        <w:footnoteRef/>
      </w:r>
      <w:r>
        <w:rPr>
          <w:rStyle w:val="FootnoteReference"/>
          <w:rFonts w:ascii="Times New Roman" w:hAnsi="Times New Roman"/>
        </w:rPr>
        <w:t xml:space="preserve"> </w:t>
      </w:r>
      <w:r>
        <w:tab/>
      </w:r>
      <w:hyperlink r:id="rId2" w:history="1">
        <w:r w:rsidRPr="00120294">
          <w:rPr>
            <w:rStyle w:val="Hyperlink"/>
            <w:rFonts w:ascii="Times New Roman" w:hAnsi="Times New Roman"/>
            <w:color w:val="0000FF"/>
            <w:sz w:val="16"/>
          </w:rPr>
          <w:t>https://eur-lex.europa.eu/legal-content/DA/TXT/?qid=1590732521013&amp;uri=COM:2020:456:FIN</w:t>
        </w:r>
      </w:hyperlink>
    </w:p>
  </w:footnote>
  <w:footnote w:id="4">
    <w:p w14:paraId="2975B739" w14:textId="54D2173C" w:rsidR="00B15CE1" w:rsidRPr="00AB5770" w:rsidRDefault="00B15CE1" w:rsidP="00120294">
      <w:pPr>
        <w:pStyle w:val="FootnoteText"/>
        <w:tabs>
          <w:tab w:val="left" w:pos="567"/>
        </w:tabs>
        <w:spacing w:after="60"/>
        <w:rPr>
          <w:rFonts w:ascii="Times New Roman" w:hAnsi="Times New Roman"/>
          <w:sz w:val="16"/>
        </w:rPr>
      </w:pPr>
      <w:r>
        <w:rPr>
          <w:rStyle w:val="FootnoteReference"/>
          <w:rFonts w:ascii="Times New Roman" w:hAnsi="Times New Roman"/>
        </w:rPr>
        <w:footnoteRef/>
      </w:r>
      <w:r>
        <w:tab/>
      </w:r>
      <w:hyperlink r:id="rId3" w:history="1">
        <w:r w:rsidRPr="00120294">
          <w:rPr>
            <w:rStyle w:val="Hyperlink"/>
            <w:rFonts w:ascii="Times New Roman" w:hAnsi="Times New Roman"/>
            <w:color w:val="0000FF"/>
            <w:sz w:val="16"/>
          </w:rPr>
          <w:t>https://eur-lex.europa.eu/legal-content/DA/TXT/?qid=1590574123338&amp;uri=CELEX%3A52020DC0380</w:t>
        </w:r>
      </w:hyperlink>
    </w:p>
  </w:footnote>
  <w:footnote w:id="5">
    <w:p w14:paraId="2402C4E0" w14:textId="71595C58" w:rsidR="00B15CE1" w:rsidRPr="00AB5770" w:rsidRDefault="00B15CE1" w:rsidP="00120294">
      <w:pPr>
        <w:pStyle w:val="FootnoteText"/>
        <w:tabs>
          <w:tab w:val="left" w:pos="567"/>
        </w:tabs>
        <w:spacing w:after="60"/>
        <w:rPr>
          <w:rFonts w:ascii="Times New Roman" w:hAnsi="Times New Roman"/>
          <w:sz w:val="16"/>
        </w:rPr>
      </w:pPr>
      <w:r>
        <w:rPr>
          <w:rStyle w:val="FootnoteReference"/>
          <w:rFonts w:ascii="Times New Roman" w:hAnsi="Times New Roman"/>
        </w:rPr>
        <w:footnoteRef/>
      </w:r>
      <w:r>
        <w:tab/>
      </w:r>
      <w:r>
        <w:rPr>
          <w:rFonts w:ascii="Times New Roman" w:hAnsi="Times New Roman"/>
          <w:sz w:val="16"/>
        </w:rPr>
        <w:t>NAT/784 – Europæisk klimalovgivning under udarbejdelse.</w:t>
      </w:r>
    </w:p>
  </w:footnote>
  <w:footnote w:id="6">
    <w:p w14:paraId="19477D93" w14:textId="03FA27F0" w:rsidR="00B15CE1" w:rsidRPr="00AB5770" w:rsidRDefault="00B15CE1" w:rsidP="00120294">
      <w:pPr>
        <w:pStyle w:val="FootnoteText"/>
        <w:tabs>
          <w:tab w:val="left" w:pos="567"/>
        </w:tabs>
        <w:spacing w:after="60"/>
        <w:rPr>
          <w:rFonts w:ascii="Times New Roman" w:hAnsi="Times New Roman"/>
          <w:sz w:val="16"/>
          <w:szCs w:val="16"/>
        </w:rPr>
      </w:pPr>
      <w:r>
        <w:rPr>
          <w:rStyle w:val="FootnoteReference"/>
          <w:rFonts w:ascii="Times New Roman" w:hAnsi="Times New Roman"/>
        </w:rPr>
        <w:footnoteRef/>
      </w:r>
      <w:r>
        <w:tab/>
      </w:r>
      <w:r>
        <w:rPr>
          <w:rFonts w:ascii="Times New Roman" w:hAnsi="Times New Roman"/>
          <w:sz w:val="16"/>
        </w:rPr>
        <w:t>NAT/784 – Europæisk klimalovgivning under udarbejdelse.</w:t>
      </w:r>
    </w:p>
  </w:footnote>
  <w:footnote w:id="7">
    <w:p w14:paraId="66A92CB8" w14:textId="1E7651D1" w:rsidR="00B15CE1" w:rsidRPr="00AB5770" w:rsidRDefault="00B15CE1" w:rsidP="00120294">
      <w:pPr>
        <w:pStyle w:val="FootnoteText"/>
        <w:tabs>
          <w:tab w:val="left" w:pos="567"/>
        </w:tabs>
        <w:spacing w:after="60"/>
        <w:rPr>
          <w:rFonts w:ascii="Times New Roman" w:hAnsi="Times New Roman"/>
          <w:sz w:val="16"/>
          <w:szCs w:val="16"/>
        </w:rPr>
      </w:pPr>
      <w:r>
        <w:rPr>
          <w:rStyle w:val="FootnoteReference"/>
          <w:rFonts w:ascii="Times New Roman" w:hAnsi="Times New Roman"/>
        </w:rPr>
        <w:footnoteRef/>
      </w:r>
      <w:r>
        <w:tab/>
      </w:r>
      <w:r>
        <w:rPr>
          <w:rFonts w:ascii="Times New Roman" w:hAnsi="Times New Roman"/>
          <w:sz w:val="16"/>
          <w:szCs w:val="16"/>
        </w:rPr>
        <w:t>INT/894 Hvidbog om kunstig intelligens under udarbejdelse.</w:t>
      </w:r>
    </w:p>
  </w:footnote>
  <w:footnote w:id="8">
    <w:p w14:paraId="4E72A4A2" w14:textId="1AD22C58" w:rsidR="00B15CE1" w:rsidRPr="002003E4" w:rsidRDefault="00B15CE1" w:rsidP="00120294">
      <w:pPr>
        <w:pStyle w:val="FootnoteText"/>
        <w:spacing w:after="60"/>
        <w:ind w:left="567" w:hanging="567"/>
        <w:rPr>
          <w:rFonts w:ascii="Times New Roman" w:hAnsi="Times New Roman"/>
          <w:sz w:val="16"/>
          <w:szCs w:val="16"/>
        </w:rPr>
      </w:pPr>
      <w:r>
        <w:rPr>
          <w:rStyle w:val="FootnoteReference"/>
          <w:rFonts w:ascii="Times New Roman" w:hAnsi="Times New Roman"/>
        </w:rPr>
        <w:footnoteRef/>
      </w:r>
      <w:r>
        <w:rPr>
          <w:rFonts w:ascii="Times New Roman" w:hAnsi="Times New Roman"/>
          <w:sz w:val="16"/>
          <w:szCs w:val="16"/>
        </w:rPr>
        <w:tab/>
        <w:t xml:space="preserve">Se f.eks. </w:t>
      </w:r>
      <w:hyperlink r:id="rId4" w:history="1">
        <w:r w:rsidRPr="00120294">
          <w:rPr>
            <w:rStyle w:val="Hyperlink"/>
            <w:rFonts w:ascii="Times New Roman" w:hAnsi="Times New Roman"/>
            <w:color w:val="0000FF"/>
            <w:sz w:val="16"/>
            <w:szCs w:val="16"/>
          </w:rPr>
          <w:t>https://www.ilo.org/global/standards/lang--en/index.htm</w:t>
        </w:r>
      </w:hyperlink>
      <w:r w:rsidRPr="00120294">
        <w:rPr>
          <w:rFonts w:ascii="Times New Roman" w:hAnsi="Times New Roman"/>
          <w:sz w:val="16"/>
          <w:szCs w:val="16"/>
        </w:rPr>
        <w:t>.</w:t>
      </w:r>
    </w:p>
  </w:footnote>
  <w:footnote w:id="9">
    <w:p w14:paraId="1F22AEED" w14:textId="0BFBF3C1"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rPr>
          <w:rFonts w:ascii="Times New Roman" w:hAnsi="Times New Roman"/>
          <w:sz w:val="16"/>
          <w:szCs w:val="16"/>
        </w:rPr>
        <w:tab/>
      </w:r>
      <w:hyperlink r:id="rId5" w:history="1">
        <w:r w:rsidRPr="00120294">
          <w:rPr>
            <w:rStyle w:val="Hyperlink"/>
            <w:rFonts w:ascii="Times New Roman" w:hAnsi="Times New Roman"/>
            <w:color w:val="0000FF"/>
            <w:sz w:val="16"/>
            <w:szCs w:val="16"/>
          </w:rPr>
          <w:t>https://ec.europa.eu/commission/presscorner/detail/da/qanda_20_20</w:t>
        </w:r>
      </w:hyperlink>
    </w:p>
  </w:footnote>
  <w:footnote w:id="10">
    <w:p w14:paraId="109D7CF0" w14:textId="0AE5469C" w:rsidR="00B15CE1" w:rsidRPr="00AB5770" w:rsidRDefault="00B15CE1" w:rsidP="00120294">
      <w:pPr>
        <w:pStyle w:val="FootnoteText"/>
        <w:spacing w:after="60"/>
        <w:ind w:left="567" w:hanging="567"/>
        <w:rPr>
          <w:rFonts w:ascii="Times New Roman" w:hAnsi="Times New Roman"/>
          <w:sz w:val="16"/>
          <w:szCs w:val="16"/>
        </w:rPr>
      </w:pPr>
      <w:r>
        <w:rPr>
          <w:rStyle w:val="FootnoteReference"/>
          <w:rFonts w:ascii="Times New Roman" w:hAnsi="Times New Roman"/>
        </w:rPr>
        <w:footnoteRef/>
      </w:r>
      <w:r>
        <w:rPr>
          <w:rFonts w:ascii="Times New Roman" w:hAnsi="Times New Roman"/>
          <w:sz w:val="16"/>
        </w:rPr>
        <w:tab/>
      </w:r>
      <w:hyperlink r:id="rId6" w:history="1">
        <w:r w:rsidRPr="00120294">
          <w:rPr>
            <w:rStyle w:val="Hyperlink"/>
            <w:rFonts w:ascii="Times New Roman" w:hAnsi="Times New Roman"/>
            <w:color w:val="0000FF"/>
            <w:sz w:val="16"/>
            <w:szCs w:val="16"/>
          </w:rPr>
          <w:t>Et stærkt, socialt Europa for retfærdig omstilling</w:t>
        </w:r>
      </w:hyperlink>
    </w:p>
  </w:footnote>
  <w:footnote w:id="11">
    <w:p w14:paraId="04CEB791" w14:textId="5BC2E70A"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rPr>
          <w:rFonts w:ascii="Times New Roman" w:hAnsi="Times New Roman"/>
          <w:sz w:val="16"/>
          <w:szCs w:val="16"/>
        </w:rPr>
        <w:tab/>
      </w:r>
      <w:hyperlink r:id="rId7" w:history="1">
        <w:r w:rsidRPr="00120294">
          <w:rPr>
            <w:rStyle w:val="Hyperlink"/>
            <w:rFonts w:ascii="Times New Roman" w:hAnsi="Times New Roman"/>
            <w:color w:val="0000FF"/>
            <w:sz w:val="16"/>
            <w:szCs w:val="16"/>
          </w:rPr>
          <w:t>https://ec.europa.eu/social/main.jsp?langId=en&amp;catId=1226&amp;furtherNews=yes&amp;newsId=9696</w:t>
        </w:r>
      </w:hyperlink>
    </w:p>
  </w:footnote>
  <w:footnote w:id="12">
    <w:p w14:paraId="0964E7E2" w14:textId="261F54B9"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tab/>
      </w:r>
      <w:r>
        <w:rPr>
          <w:rFonts w:ascii="Times New Roman" w:hAnsi="Times New Roman"/>
          <w:sz w:val="16"/>
        </w:rPr>
        <w:t xml:space="preserve">SOC/632 – Anstændige mindstelønninger i hele Europa under udarbejdelse. </w:t>
      </w:r>
    </w:p>
  </w:footnote>
  <w:footnote w:id="13">
    <w:p w14:paraId="7F207109" w14:textId="1B020943"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rPr>
          <w:rFonts w:ascii="Times New Roman" w:hAnsi="Times New Roman"/>
          <w:sz w:val="16"/>
        </w:rPr>
        <w:tab/>
      </w:r>
      <w:hyperlink r:id="rId8" w:history="1">
        <w:r w:rsidRPr="00120294">
          <w:rPr>
            <w:rStyle w:val="Hyperlink"/>
            <w:rFonts w:ascii="Times New Roman" w:hAnsi="Times New Roman"/>
            <w:color w:val="0000FF"/>
            <w:sz w:val="16"/>
          </w:rPr>
          <w:t>CCMI/124 En EU-kvalitetsramme for foregribelse af forandringer og omstruktureringer</w:t>
        </w:r>
      </w:hyperlink>
    </w:p>
  </w:footnote>
  <w:footnote w:id="14">
    <w:p w14:paraId="1A9D5F5B" w14:textId="59688FC6" w:rsidR="00B15CE1" w:rsidRPr="00AB5770" w:rsidRDefault="00B15CE1" w:rsidP="00120294">
      <w:pPr>
        <w:pStyle w:val="FootnoteText"/>
        <w:tabs>
          <w:tab w:val="left" w:pos="567"/>
        </w:tabs>
        <w:spacing w:after="60"/>
        <w:ind w:left="567" w:hanging="567"/>
        <w:rPr>
          <w:rFonts w:ascii="Times New Roman" w:hAnsi="Times New Roman"/>
          <w:sz w:val="16"/>
        </w:rPr>
      </w:pPr>
      <w:r>
        <w:rPr>
          <w:rStyle w:val="FootnoteReference"/>
          <w:rFonts w:ascii="Times New Roman" w:hAnsi="Times New Roman"/>
        </w:rPr>
        <w:footnoteRef/>
      </w:r>
      <w:r>
        <w:rPr>
          <w:rFonts w:ascii="Times New Roman" w:hAnsi="Times New Roman"/>
          <w:sz w:val="16"/>
          <w:szCs w:val="16"/>
        </w:rPr>
        <w:tab/>
      </w:r>
      <w:hyperlink r:id="rId9" w:history="1">
        <w:r w:rsidRPr="00120294">
          <w:rPr>
            <w:rStyle w:val="Hyperlink"/>
            <w:rFonts w:ascii="Times New Roman" w:hAnsi="Times New Roman"/>
            <w:color w:val="0000FF"/>
            <w:sz w:val="16"/>
            <w:szCs w:val="16"/>
          </w:rPr>
          <w:t>https://www.eesc.europa.eu/da/documents/resolution/european-economic-and-social-committees-contribution-2020-commissions- work-programme and beyond</w:t>
        </w:r>
      </w:hyperlink>
    </w:p>
  </w:footnote>
  <w:footnote w:id="15">
    <w:p w14:paraId="225FEDEB" w14:textId="1B6095C5"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rPr>
          <w:rFonts w:ascii="Times New Roman" w:hAnsi="Times New Roman"/>
          <w:sz w:val="16"/>
        </w:rPr>
        <w:tab/>
      </w:r>
      <w:hyperlink r:id="rId10" w:history="1">
        <w:r w:rsidRPr="00120294">
          <w:rPr>
            <w:rStyle w:val="Hyperlink"/>
            <w:rFonts w:ascii="Times New Roman" w:hAnsi="Times New Roman"/>
            <w:color w:val="0000FF"/>
            <w:sz w:val="16"/>
          </w:rPr>
          <w:t>https://eur-lex.europa.eu/legal-content/DA/TXT/?qid=1594641396603&amp;uri=CELEX:52020DC0102</w:t>
        </w:r>
      </w:hyperlink>
    </w:p>
  </w:footnote>
  <w:footnote w:id="16">
    <w:p w14:paraId="55370B44" w14:textId="34F47B8A"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tab/>
      </w:r>
      <w:r>
        <w:rPr>
          <w:rFonts w:ascii="Times New Roman" w:hAnsi="Times New Roman"/>
          <w:sz w:val="16"/>
        </w:rPr>
        <w:t xml:space="preserve">INT/897 Industristrategi. </w:t>
      </w:r>
    </w:p>
  </w:footnote>
  <w:footnote w:id="17">
    <w:p w14:paraId="3BB800B4" w14:textId="635E5D30" w:rsidR="00B15CE1" w:rsidRPr="00AB5770" w:rsidRDefault="00B15CE1" w:rsidP="00120294">
      <w:pPr>
        <w:pStyle w:val="FootnoteText"/>
        <w:spacing w:after="60"/>
        <w:ind w:left="567" w:hanging="567"/>
        <w:jc w:val="both"/>
        <w:rPr>
          <w:rFonts w:ascii="Times New Roman" w:hAnsi="Times New Roman"/>
          <w:sz w:val="16"/>
          <w:szCs w:val="16"/>
        </w:rPr>
      </w:pPr>
      <w:r>
        <w:rPr>
          <w:rStyle w:val="FootnoteReference"/>
          <w:rFonts w:ascii="Times New Roman" w:hAnsi="Times New Roman"/>
        </w:rPr>
        <w:footnoteRef/>
      </w:r>
      <w:r>
        <w:rPr>
          <w:rFonts w:ascii="Times New Roman" w:hAnsi="Times New Roman"/>
          <w:sz w:val="16"/>
          <w:szCs w:val="16"/>
        </w:rPr>
        <w:tab/>
        <w:t xml:space="preserve">EØSU's udtalelse SOC/632 Anstændige mindstelønninger i hele Europa (under udarbejdelse) og EØSU's udtalelse SOC/583: </w:t>
      </w:r>
      <w:hyperlink r:id="rId11" w:history="1">
        <w:r w:rsidRPr="00120294">
          <w:rPr>
            <w:rStyle w:val="Hyperlink"/>
            <w:rFonts w:ascii="Times New Roman" w:hAnsi="Times New Roman"/>
            <w:color w:val="0000FF"/>
            <w:sz w:val="16"/>
            <w:szCs w:val="16"/>
          </w:rPr>
          <w:t>Fælles minimumsstandarder for arbejdsløshedsforsikring i EU's medlemsstater</w:t>
        </w:r>
      </w:hyperlink>
      <w:r>
        <w:rPr>
          <w:rFonts w:ascii="Times New Roman" w:hAnsi="Times New Roman"/>
          <w:sz w:val="16"/>
          <w:szCs w:val="16"/>
        </w:rPr>
        <w:t xml:space="preserve">, og EØSU's udtalelse </w:t>
      </w:r>
      <w:hyperlink r:id="rId12">
        <w:r>
          <w:rPr>
            <w:rStyle w:val="InternetLink"/>
            <w:rFonts w:ascii="Times New Roman" w:hAnsi="Times New Roman"/>
            <w:sz w:val="16"/>
            <w:szCs w:val="16"/>
          </w:rPr>
          <w:t>Et europæisk rammedirektiv om minimumsindkomster</w:t>
        </w:r>
      </w:hyperlink>
      <w:r>
        <w:rPr>
          <w:rFonts w:ascii="Times New Roman" w:hAnsi="Times New Roman"/>
          <w:sz w:val="16"/>
        </w:rPr>
        <w:t>.</w:t>
      </w:r>
    </w:p>
  </w:footnote>
  <w:footnote w:id="18">
    <w:p w14:paraId="1CFFBA6E" w14:textId="2CC0D4E4" w:rsidR="00B15CE1" w:rsidRPr="00AB5770" w:rsidRDefault="00B15CE1" w:rsidP="00120294">
      <w:pPr>
        <w:pStyle w:val="FootnoteText"/>
        <w:spacing w:after="60"/>
        <w:ind w:left="567" w:hanging="567"/>
        <w:rPr>
          <w:rFonts w:ascii="Times New Roman" w:hAnsi="Times New Roman"/>
          <w:sz w:val="16"/>
        </w:rPr>
      </w:pPr>
      <w:r>
        <w:rPr>
          <w:rStyle w:val="FootnoteReference"/>
          <w:rFonts w:ascii="Times New Roman" w:hAnsi="Times New Roman"/>
        </w:rPr>
        <w:footnoteRef/>
      </w:r>
      <w:r>
        <w:tab/>
      </w:r>
      <w:r>
        <w:rPr>
          <w:rFonts w:ascii="Times New Roman" w:hAnsi="Times New Roman"/>
          <w:sz w:val="16"/>
        </w:rPr>
        <w:t>SOC/630 Effekten af kampagner for deltagelse i de politiske beslutningsprocesser.</w:t>
      </w:r>
    </w:p>
  </w:footnote>
  <w:footnote w:id="19">
    <w:p w14:paraId="199FDAEA" w14:textId="3D26FA09" w:rsidR="00B15CE1" w:rsidRPr="00AB5770" w:rsidRDefault="00B15CE1" w:rsidP="00120294">
      <w:pPr>
        <w:pStyle w:val="FootnoteText"/>
        <w:spacing w:after="60"/>
        <w:ind w:left="567" w:hanging="567"/>
        <w:rPr>
          <w:rFonts w:ascii="Times New Roman" w:hAnsi="Times New Roman"/>
          <w:sz w:val="16"/>
          <w:szCs w:val="16"/>
        </w:rPr>
      </w:pPr>
      <w:r>
        <w:rPr>
          <w:rStyle w:val="FootnoteReference"/>
          <w:rFonts w:ascii="Times New Roman" w:hAnsi="Times New Roman"/>
          <w:lang w:val="en-GB"/>
        </w:rPr>
        <w:footnoteRef/>
      </w:r>
      <w:r>
        <w:rPr>
          <w:rFonts w:ascii="Times New Roman" w:hAnsi="Times New Roman"/>
          <w:sz w:val="16"/>
          <w:szCs w:val="16"/>
        </w:rPr>
        <w:tab/>
      </w:r>
      <w:hyperlink r:id="rId13" w:history="1">
        <w:r w:rsidRPr="00120294">
          <w:rPr>
            <w:rStyle w:val="Hyperlink"/>
            <w:rFonts w:ascii="Times New Roman" w:hAnsi="Times New Roman"/>
            <w:color w:val="0000FF"/>
            <w:sz w:val="16"/>
            <w:szCs w:val="16"/>
          </w:rPr>
          <w:t>EUT C 282 af 20.8.2019, s. 39</w:t>
        </w:r>
      </w:hyperlink>
      <w:r>
        <w:rPr>
          <w:rFonts w:ascii="Times New Roman" w:hAnsi="Times New Roman"/>
          <w:sz w:val="16"/>
        </w:rPr>
        <w:t>, Meddelelse fra Kommissionen til Europa-Parlamentet, Det Europæiske Råd og Rådet om Yderligere styrkelse af retsstatsprincippet i Unionen – Status og eventuelle næste skridt, 3. april 2019.</w:t>
      </w:r>
    </w:p>
  </w:footnote>
  <w:footnote w:id="20">
    <w:p w14:paraId="249E0B64" w14:textId="1AEB2C2E" w:rsidR="00B15CE1" w:rsidRPr="00AB5770" w:rsidRDefault="00B15CE1" w:rsidP="00120294">
      <w:pPr>
        <w:pStyle w:val="FootnoteText"/>
        <w:tabs>
          <w:tab w:val="left" w:pos="567"/>
        </w:tabs>
        <w:spacing w:after="60"/>
        <w:rPr>
          <w:rFonts w:ascii="Times New Roman" w:hAnsi="Times New Roman"/>
          <w:sz w:val="16"/>
        </w:rPr>
      </w:pPr>
      <w:r>
        <w:rPr>
          <w:rStyle w:val="FootnoteReference"/>
          <w:rFonts w:ascii="Times New Roman" w:hAnsi="Times New Roman"/>
        </w:rPr>
        <w:footnoteRef/>
      </w:r>
      <w:r>
        <w:tab/>
      </w:r>
      <w:r>
        <w:rPr>
          <w:rFonts w:ascii="Times New Roman" w:hAnsi="Times New Roman"/>
          <w:sz w:val="16"/>
        </w:rPr>
        <w:t xml:space="preserve">INT/886 Bedre regulering: Vi gør status </w:t>
      </w:r>
      <w:hyperlink r:id="rId14" w:tgtFrame="_blank" w:tooltip="EUT C 14, 15.1.2020, s. 72 - Link åbner i et nyt vindue" w:history="1">
        <w:r w:rsidRPr="00120294">
          <w:rPr>
            <w:rFonts w:ascii="Times New Roman" w:hAnsi="Times New Roman"/>
            <w:color w:val="0000FF"/>
            <w:sz w:val="16"/>
            <w:u w:val="single"/>
            <w:shd w:val="clear" w:color="auto" w:fill="FFFFFF"/>
          </w:rPr>
          <w:t>EUT C 14 af 15.1.2020, s. 72</w:t>
        </w:r>
      </w:hyperlink>
      <w:r>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805B" w14:textId="77777777" w:rsidR="00B15CE1" w:rsidRPr="00C608DC" w:rsidRDefault="00B15CE1" w:rsidP="00C60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E4CE" w14:textId="7BA2966D" w:rsidR="00B15CE1" w:rsidRPr="00C608DC" w:rsidRDefault="00B15CE1" w:rsidP="00C60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AF81" w14:textId="77777777" w:rsidR="00B15CE1" w:rsidRPr="00C608DC" w:rsidRDefault="00B15CE1" w:rsidP="00C60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9B47334"/>
    <w:lvl w:ilvl="0">
      <w:start w:val="1"/>
      <w:numFmt w:val="decimal"/>
      <w:pStyle w:val="Heading1"/>
      <w:lvlText w:val="%1."/>
      <w:lvlJc w:val="left"/>
      <w:pPr>
        <w:ind w:left="709" w:firstLine="0"/>
      </w:pPr>
      <w:rPr>
        <w:rFonts w:hint="default"/>
        <w:b w:val="0"/>
      </w:rPr>
    </w:lvl>
    <w:lvl w:ilvl="1">
      <w:start w:val="1"/>
      <w:numFmt w:val="decimal"/>
      <w:pStyle w:val="Heading2"/>
      <w:lvlText w:val="%1.%2"/>
      <w:lvlJc w:val="left"/>
      <w:pPr>
        <w:ind w:left="0" w:firstLine="0"/>
      </w:pPr>
      <w:rPr>
        <w:rFonts w:ascii="Times New Roman" w:hAnsi="Times New Roman" w:cs="Times New Roman" w:hint="default"/>
        <w:b w:val="0"/>
        <w:sz w:val="22"/>
        <w:szCs w:val="22"/>
      </w:rPr>
    </w:lvl>
    <w:lvl w:ilvl="2">
      <w:start w:val="1"/>
      <w:numFmt w:val="decimal"/>
      <w:pStyle w:val="Heading3"/>
      <w:lvlText w:val="%1.%2.%3"/>
      <w:lvlJc w:val="left"/>
      <w:pPr>
        <w:ind w:left="709" w:firstLine="0"/>
      </w:pPr>
      <w:rPr>
        <w:rFonts w:hint="default"/>
        <w:b w:val="0"/>
        <w:i w:val="0"/>
        <w:color w:val="000000" w:themeColor="text1"/>
      </w:rPr>
    </w:lvl>
    <w:lvl w:ilvl="3">
      <w:start w:val="1"/>
      <w:numFmt w:val="decimal"/>
      <w:pStyle w:val="Heading4"/>
      <w:lvlText w:val="%1.%2.%3.%4"/>
      <w:lvlJc w:val="left"/>
      <w:pPr>
        <w:ind w:left="709" w:firstLine="0"/>
      </w:pPr>
      <w:rPr>
        <w:rFonts w:hint="default"/>
      </w:rPr>
    </w:lvl>
    <w:lvl w:ilvl="4">
      <w:start w:val="1"/>
      <w:numFmt w:val="decimal"/>
      <w:pStyle w:val="Heading5"/>
      <w:lvlText w:val="%1.%2.%3.%4.%5"/>
      <w:lvlJc w:val="left"/>
      <w:pPr>
        <w:ind w:left="709" w:firstLine="0"/>
      </w:pPr>
      <w:rPr>
        <w:rFonts w:hint="default"/>
      </w:rPr>
    </w:lvl>
    <w:lvl w:ilvl="5">
      <w:start w:val="1"/>
      <w:numFmt w:val="decimal"/>
      <w:pStyle w:val="Heading6"/>
      <w:lvlText w:val="%1.%2.%3.%4.%5.%6"/>
      <w:lvlJc w:val="left"/>
      <w:pPr>
        <w:ind w:left="709" w:firstLine="0"/>
      </w:pPr>
      <w:rPr>
        <w:rFonts w:hint="default"/>
      </w:rPr>
    </w:lvl>
    <w:lvl w:ilvl="6">
      <w:start w:val="1"/>
      <w:numFmt w:val="decimal"/>
      <w:pStyle w:val="Heading7"/>
      <w:lvlText w:val="%1.%2.%3.%4.%5.%6.%7"/>
      <w:lvlJc w:val="left"/>
      <w:pPr>
        <w:ind w:left="709" w:firstLine="0"/>
      </w:pPr>
      <w:rPr>
        <w:rFonts w:hint="default"/>
      </w:rPr>
    </w:lvl>
    <w:lvl w:ilvl="7">
      <w:start w:val="1"/>
      <w:numFmt w:val="decimal"/>
      <w:pStyle w:val="Heading8"/>
      <w:lvlText w:val="%1.%2.%3.%4.%5.%6.%7.%8"/>
      <w:lvlJc w:val="left"/>
      <w:pPr>
        <w:ind w:left="709" w:firstLine="0"/>
      </w:pPr>
      <w:rPr>
        <w:rFonts w:hint="default"/>
      </w:rPr>
    </w:lvl>
    <w:lvl w:ilvl="8">
      <w:start w:val="1"/>
      <w:numFmt w:val="decimal"/>
      <w:pStyle w:val="Heading9"/>
      <w:lvlText w:val="%1.%2.%3.%4.%5.%6.%7.%8.%9"/>
      <w:lvlJc w:val="left"/>
      <w:pPr>
        <w:ind w:left="709" w:firstLine="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283"/>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3"/>
    <w:rsid w:val="00001FE4"/>
    <w:rsid w:val="00003E48"/>
    <w:rsid w:val="0001239E"/>
    <w:rsid w:val="00012BBE"/>
    <w:rsid w:val="000137AA"/>
    <w:rsid w:val="00016172"/>
    <w:rsid w:val="00020E9D"/>
    <w:rsid w:val="000218C4"/>
    <w:rsid w:val="00024F99"/>
    <w:rsid w:val="000258B8"/>
    <w:rsid w:val="00026E67"/>
    <w:rsid w:val="000311F5"/>
    <w:rsid w:val="00032DFC"/>
    <w:rsid w:val="000345A5"/>
    <w:rsid w:val="00043029"/>
    <w:rsid w:val="00046F63"/>
    <w:rsid w:val="00047BD3"/>
    <w:rsid w:val="00056526"/>
    <w:rsid w:val="00057B0C"/>
    <w:rsid w:val="00060E2A"/>
    <w:rsid w:val="00061ACB"/>
    <w:rsid w:val="00061C46"/>
    <w:rsid w:val="00064A3F"/>
    <w:rsid w:val="00065415"/>
    <w:rsid w:val="000655AB"/>
    <w:rsid w:val="00071AFE"/>
    <w:rsid w:val="00072BFA"/>
    <w:rsid w:val="00074E6C"/>
    <w:rsid w:val="00076C7A"/>
    <w:rsid w:val="00080BB5"/>
    <w:rsid w:val="00080C0C"/>
    <w:rsid w:val="000838F4"/>
    <w:rsid w:val="000869E5"/>
    <w:rsid w:val="00091145"/>
    <w:rsid w:val="00093044"/>
    <w:rsid w:val="00093C8D"/>
    <w:rsid w:val="0009428E"/>
    <w:rsid w:val="00094642"/>
    <w:rsid w:val="00094C20"/>
    <w:rsid w:val="000B1FB9"/>
    <w:rsid w:val="000C3059"/>
    <w:rsid w:val="000C5650"/>
    <w:rsid w:val="000D068E"/>
    <w:rsid w:val="000D2A7A"/>
    <w:rsid w:val="000D5191"/>
    <w:rsid w:val="000D60E7"/>
    <w:rsid w:val="000D6C6B"/>
    <w:rsid w:val="000E26F4"/>
    <w:rsid w:val="000E5F99"/>
    <w:rsid w:val="000E7B1E"/>
    <w:rsid w:val="000F38D2"/>
    <w:rsid w:val="000F528E"/>
    <w:rsid w:val="000F5630"/>
    <w:rsid w:val="000F6156"/>
    <w:rsid w:val="000F6BF7"/>
    <w:rsid w:val="000F765E"/>
    <w:rsid w:val="000F7D1D"/>
    <w:rsid w:val="001008D9"/>
    <w:rsid w:val="00101157"/>
    <w:rsid w:val="00101F73"/>
    <w:rsid w:val="00102BE7"/>
    <w:rsid w:val="00107250"/>
    <w:rsid w:val="00107DE3"/>
    <w:rsid w:val="001106D6"/>
    <w:rsid w:val="00111EC2"/>
    <w:rsid w:val="0012012B"/>
    <w:rsid w:val="00120294"/>
    <w:rsid w:val="00121AF3"/>
    <w:rsid w:val="00121CF4"/>
    <w:rsid w:val="00123330"/>
    <w:rsid w:val="001258B8"/>
    <w:rsid w:val="00125F47"/>
    <w:rsid w:val="00130791"/>
    <w:rsid w:val="001335E8"/>
    <w:rsid w:val="00136CF3"/>
    <w:rsid w:val="00137691"/>
    <w:rsid w:val="00137A12"/>
    <w:rsid w:val="00145886"/>
    <w:rsid w:val="00146B04"/>
    <w:rsid w:val="00152FC2"/>
    <w:rsid w:val="00154DC6"/>
    <w:rsid w:val="00154E0E"/>
    <w:rsid w:val="0016253D"/>
    <w:rsid w:val="00162584"/>
    <w:rsid w:val="001640B1"/>
    <w:rsid w:val="00170221"/>
    <w:rsid w:val="00172C44"/>
    <w:rsid w:val="001746AD"/>
    <w:rsid w:val="00174E57"/>
    <w:rsid w:val="00177A6F"/>
    <w:rsid w:val="00180D5E"/>
    <w:rsid w:val="001812C7"/>
    <w:rsid w:val="001820C8"/>
    <w:rsid w:val="0018639E"/>
    <w:rsid w:val="0019290B"/>
    <w:rsid w:val="001A0D81"/>
    <w:rsid w:val="001B086E"/>
    <w:rsid w:val="001B0FD1"/>
    <w:rsid w:val="001B1B1F"/>
    <w:rsid w:val="001B7500"/>
    <w:rsid w:val="001C1203"/>
    <w:rsid w:val="001C495A"/>
    <w:rsid w:val="001C619C"/>
    <w:rsid w:val="001D438B"/>
    <w:rsid w:val="001E0A55"/>
    <w:rsid w:val="001E161C"/>
    <w:rsid w:val="001F16B9"/>
    <w:rsid w:val="001F2FB0"/>
    <w:rsid w:val="001F4A87"/>
    <w:rsid w:val="001F6BD7"/>
    <w:rsid w:val="001F713F"/>
    <w:rsid w:val="002003E4"/>
    <w:rsid w:val="00204BD3"/>
    <w:rsid w:val="00210375"/>
    <w:rsid w:val="00210D31"/>
    <w:rsid w:val="0021507D"/>
    <w:rsid w:val="00216655"/>
    <w:rsid w:val="0022172A"/>
    <w:rsid w:val="00227435"/>
    <w:rsid w:val="002301EA"/>
    <w:rsid w:val="0023174C"/>
    <w:rsid w:val="00235B69"/>
    <w:rsid w:val="00240E4C"/>
    <w:rsid w:val="00243D4E"/>
    <w:rsid w:val="00246491"/>
    <w:rsid w:val="00246F6C"/>
    <w:rsid w:val="00252343"/>
    <w:rsid w:val="00252FD0"/>
    <w:rsid w:val="0025540A"/>
    <w:rsid w:val="00261579"/>
    <w:rsid w:val="0026230D"/>
    <w:rsid w:val="002635ED"/>
    <w:rsid w:val="00263CEC"/>
    <w:rsid w:val="00264654"/>
    <w:rsid w:val="0026509F"/>
    <w:rsid w:val="00265150"/>
    <w:rsid w:val="00266062"/>
    <w:rsid w:val="00273B1D"/>
    <w:rsid w:val="002822D4"/>
    <w:rsid w:val="00284D64"/>
    <w:rsid w:val="00284DBE"/>
    <w:rsid w:val="002859B7"/>
    <w:rsid w:val="0028627B"/>
    <w:rsid w:val="00296685"/>
    <w:rsid w:val="002A0882"/>
    <w:rsid w:val="002A2F67"/>
    <w:rsid w:val="002A41D4"/>
    <w:rsid w:val="002A65C4"/>
    <w:rsid w:val="002C1A13"/>
    <w:rsid w:val="002C352C"/>
    <w:rsid w:val="002C4277"/>
    <w:rsid w:val="002C7108"/>
    <w:rsid w:val="002C7F63"/>
    <w:rsid w:val="002D0690"/>
    <w:rsid w:val="002D2BD6"/>
    <w:rsid w:val="002D4F72"/>
    <w:rsid w:val="002D6BF6"/>
    <w:rsid w:val="002D74A0"/>
    <w:rsid w:val="002E00BE"/>
    <w:rsid w:val="002E1BF8"/>
    <w:rsid w:val="002E31E0"/>
    <w:rsid w:val="002E373F"/>
    <w:rsid w:val="002E5C56"/>
    <w:rsid w:val="002E7BFE"/>
    <w:rsid w:val="002F2B82"/>
    <w:rsid w:val="002F5D6D"/>
    <w:rsid w:val="002F78E0"/>
    <w:rsid w:val="0030320E"/>
    <w:rsid w:val="00304F95"/>
    <w:rsid w:val="00310C00"/>
    <w:rsid w:val="00310FBC"/>
    <w:rsid w:val="00311739"/>
    <w:rsid w:val="00311AEF"/>
    <w:rsid w:val="00320610"/>
    <w:rsid w:val="00323DEA"/>
    <w:rsid w:val="00327467"/>
    <w:rsid w:val="00330120"/>
    <w:rsid w:val="003308B7"/>
    <w:rsid w:val="00330AAA"/>
    <w:rsid w:val="003329F9"/>
    <w:rsid w:val="003355B1"/>
    <w:rsid w:val="003422D1"/>
    <w:rsid w:val="00342E1E"/>
    <w:rsid w:val="003448D1"/>
    <w:rsid w:val="00344BD6"/>
    <w:rsid w:val="003467E2"/>
    <w:rsid w:val="00347693"/>
    <w:rsid w:val="00350859"/>
    <w:rsid w:val="00354B90"/>
    <w:rsid w:val="00357D11"/>
    <w:rsid w:val="003603BB"/>
    <w:rsid w:val="0036137C"/>
    <w:rsid w:val="00361618"/>
    <w:rsid w:val="00366789"/>
    <w:rsid w:val="00376AAD"/>
    <w:rsid w:val="00380F6F"/>
    <w:rsid w:val="0038381F"/>
    <w:rsid w:val="00387A24"/>
    <w:rsid w:val="003910A4"/>
    <w:rsid w:val="003928B1"/>
    <w:rsid w:val="0039478C"/>
    <w:rsid w:val="0039513A"/>
    <w:rsid w:val="003965D3"/>
    <w:rsid w:val="003A666E"/>
    <w:rsid w:val="003B18D8"/>
    <w:rsid w:val="003B254B"/>
    <w:rsid w:val="003B275B"/>
    <w:rsid w:val="003B4A44"/>
    <w:rsid w:val="003C005E"/>
    <w:rsid w:val="003C0F83"/>
    <w:rsid w:val="003C3D16"/>
    <w:rsid w:val="003C5442"/>
    <w:rsid w:val="003C694C"/>
    <w:rsid w:val="003C6BD0"/>
    <w:rsid w:val="003C6F2E"/>
    <w:rsid w:val="003D266E"/>
    <w:rsid w:val="003D2810"/>
    <w:rsid w:val="003D4B62"/>
    <w:rsid w:val="003D63A6"/>
    <w:rsid w:val="003D7B6E"/>
    <w:rsid w:val="003E2FCB"/>
    <w:rsid w:val="003E55DA"/>
    <w:rsid w:val="003E75A5"/>
    <w:rsid w:val="003F0290"/>
    <w:rsid w:val="003F62B4"/>
    <w:rsid w:val="003F7DCD"/>
    <w:rsid w:val="0040070F"/>
    <w:rsid w:val="00401F46"/>
    <w:rsid w:val="00402726"/>
    <w:rsid w:val="004027CE"/>
    <w:rsid w:val="0040311D"/>
    <w:rsid w:val="00403308"/>
    <w:rsid w:val="00405226"/>
    <w:rsid w:val="004148C3"/>
    <w:rsid w:val="00417E0B"/>
    <w:rsid w:val="0042106B"/>
    <w:rsid w:val="00427CFC"/>
    <w:rsid w:val="00431635"/>
    <w:rsid w:val="00441046"/>
    <w:rsid w:val="004433AC"/>
    <w:rsid w:val="004456E0"/>
    <w:rsid w:val="00445BD7"/>
    <w:rsid w:val="004508F1"/>
    <w:rsid w:val="00452DDA"/>
    <w:rsid w:val="00453444"/>
    <w:rsid w:val="00454221"/>
    <w:rsid w:val="00461A73"/>
    <w:rsid w:val="004637C5"/>
    <w:rsid w:val="00467796"/>
    <w:rsid w:val="0047280A"/>
    <w:rsid w:val="0047549A"/>
    <w:rsid w:val="00476939"/>
    <w:rsid w:val="00476BAC"/>
    <w:rsid w:val="00480F6A"/>
    <w:rsid w:val="004A3E7B"/>
    <w:rsid w:val="004A5401"/>
    <w:rsid w:val="004A5C2F"/>
    <w:rsid w:val="004B0171"/>
    <w:rsid w:val="004B4C2C"/>
    <w:rsid w:val="004B6F97"/>
    <w:rsid w:val="004C2A16"/>
    <w:rsid w:val="004C40CE"/>
    <w:rsid w:val="004C4D08"/>
    <w:rsid w:val="004D121D"/>
    <w:rsid w:val="004D1C79"/>
    <w:rsid w:val="004E2633"/>
    <w:rsid w:val="004E3745"/>
    <w:rsid w:val="004E5855"/>
    <w:rsid w:val="004E5EBD"/>
    <w:rsid w:val="004F076E"/>
    <w:rsid w:val="004F1AD8"/>
    <w:rsid w:val="004F7587"/>
    <w:rsid w:val="00501C93"/>
    <w:rsid w:val="00505541"/>
    <w:rsid w:val="0051116E"/>
    <w:rsid w:val="0051304A"/>
    <w:rsid w:val="00515119"/>
    <w:rsid w:val="00520B83"/>
    <w:rsid w:val="00521FD6"/>
    <w:rsid w:val="00524941"/>
    <w:rsid w:val="00525CE6"/>
    <w:rsid w:val="00526A32"/>
    <w:rsid w:val="00532F29"/>
    <w:rsid w:val="0053443A"/>
    <w:rsid w:val="00535C4B"/>
    <w:rsid w:val="005406F5"/>
    <w:rsid w:val="00542EEE"/>
    <w:rsid w:val="0055660E"/>
    <w:rsid w:val="0056313A"/>
    <w:rsid w:val="0056430B"/>
    <w:rsid w:val="00564DE5"/>
    <w:rsid w:val="0056565F"/>
    <w:rsid w:val="00572014"/>
    <w:rsid w:val="0057480A"/>
    <w:rsid w:val="0057534D"/>
    <w:rsid w:val="005762BF"/>
    <w:rsid w:val="0059262E"/>
    <w:rsid w:val="0059542A"/>
    <w:rsid w:val="00597B5F"/>
    <w:rsid w:val="005A0EE2"/>
    <w:rsid w:val="005A324F"/>
    <w:rsid w:val="005A723A"/>
    <w:rsid w:val="005B123E"/>
    <w:rsid w:val="005B15E3"/>
    <w:rsid w:val="005B5281"/>
    <w:rsid w:val="005B779D"/>
    <w:rsid w:val="005C1B5F"/>
    <w:rsid w:val="005C2677"/>
    <w:rsid w:val="005C5AD6"/>
    <w:rsid w:val="005D09DE"/>
    <w:rsid w:val="005D20D8"/>
    <w:rsid w:val="005D2BFC"/>
    <w:rsid w:val="005D63C6"/>
    <w:rsid w:val="005E0E6D"/>
    <w:rsid w:val="005E31FF"/>
    <w:rsid w:val="005E6B56"/>
    <w:rsid w:val="005E7FE9"/>
    <w:rsid w:val="005F6174"/>
    <w:rsid w:val="005F719F"/>
    <w:rsid w:val="00601D0F"/>
    <w:rsid w:val="006043A9"/>
    <w:rsid w:val="00610ECD"/>
    <w:rsid w:val="006125C4"/>
    <w:rsid w:val="006135DB"/>
    <w:rsid w:val="00615771"/>
    <w:rsid w:val="00616723"/>
    <w:rsid w:val="00616F5D"/>
    <w:rsid w:val="00622AEA"/>
    <w:rsid w:val="00623648"/>
    <w:rsid w:val="00625724"/>
    <w:rsid w:val="00626A9C"/>
    <w:rsid w:val="00630291"/>
    <w:rsid w:val="00631335"/>
    <w:rsid w:val="006326B1"/>
    <w:rsid w:val="00635DB2"/>
    <w:rsid w:val="00642D83"/>
    <w:rsid w:val="00645F3F"/>
    <w:rsid w:val="0064757D"/>
    <w:rsid w:val="00651A25"/>
    <w:rsid w:val="00652575"/>
    <w:rsid w:val="006560EB"/>
    <w:rsid w:val="00656237"/>
    <w:rsid w:val="006626F2"/>
    <w:rsid w:val="006643EF"/>
    <w:rsid w:val="00664B21"/>
    <w:rsid w:val="0066645C"/>
    <w:rsid w:val="00666793"/>
    <w:rsid w:val="006703D9"/>
    <w:rsid w:val="00670E9B"/>
    <w:rsid w:val="00673F16"/>
    <w:rsid w:val="00674F21"/>
    <w:rsid w:val="00680805"/>
    <w:rsid w:val="00681958"/>
    <w:rsid w:val="00682F1E"/>
    <w:rsid w:val="00686968"/>
    <w:rsid w:val="00687C89"/>
    <w:rsid w:val="0069039C"/>
    <w:rsid w:val="006A0142"/>
    <w:rsid w:val="006A3784"/>
    <w:rsid w:val="006B219F"/>
    <w:rsid w:val="006B2391"/>
    <w:rsid w:val="006B558F"/>
    <w:rsid w:val="006C1076"/>
    <w:rsid w:val="006C1698"/>
    <w:rsid w:val="006C3B4C"/>
    <w:rsid w:val="006C5912"/>
    <w:rsid w:val="006D0AB4"/>
    <w:rsid w:val="006D1949"/>
    <w:rsid w:val="006D2E5A"/>
    <w:rsid w:val="006D35C7"/>
    <w:rsid w:val="006D7AF7"/>
    <w:rsid w:val="006E3B11"/>
    <w:rsid w:val="006E63B2"/>
    <w:rsid w:val="006F0FF6"/>
    <w:rsid w:val="006F15FF"/>
    <w:rsid w:val="006F281C"/>
    <w:rsid w:val="006F46E8"/>
    <w:rsid w:val="00700541"/>
    <w:rsid w:val="00701E96"/>
    <w:rsid w:val="007034A9"/>
    <w:rsid w:val="00704B87"/>
    <w:rsid w:val="0070522C"/>
    <w:rsid w:val="0071110F"/>
    <w:rsid w:val="0071112B"/>
    <w:rsid w:val="00711FDE"/>
    <w:rsid w:val="00714403"/>
    <w:rsid w:val="00717F89"/>
    <w:rsid w:val="00720647"/>
    <w:rsid w:val="00721765"/>
    <w:rsid w:val="00721C42"/>
    <w:rsid w:val="00723F5B"/>
    <w:rsid w:val="007278B6"/>
    <w:rsid w:val="007337FB"/>
    <w:rsid w:val="00740235"/>
    <w:rsid w:val="00742065"/>
    <w:rsid w:val="007466BA"/>
    <w:rsid w:val="00756989"/>
    <w:rsid w:val="0076351E"/>
    <w:rsid w:val="00766C4D"/>
    <w:rsid w:val="00767932"/>
    <w:rsid w:val="0077218C"/>
    <w:rsid w:val="00781276"/>
    <w:rsid w:val="007815CB"/>
    <w:rsid w:val="00783633"/>
    <w:rsid w:val="00785C57"/>
    <w:rsid w:val="00796CC8"/>
    <w:rsid w:val="00797F8E"/>
    <w:rsid w:val="007A1F3D"/>
    <w:rsid w:val="007A2B55"/>
    <w:rsid w:val="007B1D5D"/>
    <w:rsid w:val="007B354B"/>
    <w:rsid w:val="007B53EF"/>
    <w:rsid w:val="007B67CC"/>
    <w:rsid w:val="007C471F"/>
    <w:rsid w:val="007D28F1"/>
    <w:rsid w:val="007D6DC4"/>
    <w:rsid w:val="007E1E88"/>
    <w:rsid w:val="007E50F6"/>
    <w:rsid w:val="007F1D9B"/>
    <w:rsid w:val="007F4165"/>
    <w:rsid w:val="007F574E"/>
    <w:rsid w:val="007F5D9C"/>
    <w:rsid w:val="007F63B9"/>
    <w:rsid w:val="00800385"/>
    <w:rsid w:val="00801D12"/>
    <w:rsid w:val="008061C4"/>
    <w:rsid w:val="008116CA"/>
    <w:rsid w:val="008118D4"/>
    <w:rsid w:val="00812462"/>
    <w:rsid w:val="008221C9"/>
    <w:rsid w:val="008332A8"/>
    <w:rsid w:val="00834340"/>
    <w:rsid w:val="00835785"/>
    <w:rsid w:val="0084024B"/>
    <w:rsid w:val="008402F0"/>
    <w:rsid w:val="0084312E"/>
    <w:rsid w:val="00843655"/>
    <w:rsid w:val="00844AAF"/>
    <w:rsid w:val="00847189"/>
    <w:rsid w:val="008521B3"/>
    <w:rsid w:val="00856067"/>
    <w:rsid w:val="0086389F"/>
    <w:rsid w:val="008672DC"/>
    <w:rsid w:val="00871571"/>
    <w:rsid w:val="008729CC"/>
    <w:rsid w:val="00877D7C"/>
    <w:rsid w:val="00880812"/>
    <w:rsid w:val="008808E4"/>
    <w:rsid w:val="00882CDC"/>
    <w:rsid w:val="00887802"/>
    <w:rsid w:val="008929E4"/>
    <w:rsid w:val="008949AD"/>
    <w:rsid w:val="008965D6"/>
    <w:rsid w:val="0089753D"/>
    <w:rsid w:val="00897EB9"/>
    <w:rsid w:val="008A6BDB"/>
    <w:rsid w:val="008B05FE"/>
    <w:rsid w:val="008B1B06"/>
    <w:rsid w:val="008C08E0"/>
    <w:rsid w:val="008D0143"/>
    <w:rsid w:val="008D10C8"/>
    <w:rsid w:val="008E635E"/>
    <w:rsid w:val="008E6CA5"/>
    <w:rsid w:val="008F0978"/>
    <w:rsid w:val="008F5C0F"/>
    <w:rsid w:val="00907EBE"/>
    <w:rsid w:val="009114ED"/>
    <w:rsid w:val="0091379B"/>
    <w:rsid w:val="00913DAC"/>
    <w:rsid w:val="00914E53"/>
    <w:rsid w:val="009157F5"/>
    <w:rsid w:val="0091675E"/>
    <w:rsid w:val="009168F6"/>
    <w:rsid w:val="009171DB"/>
    <w:rsid w:val="0091734A"/>
    <w:rsid w:val="00920557"/>
    <w:rsid w:val="00924131"/>
    <w:rsid w:val="009249D5"/>
    <w:rsid w:val="0092520C"/>
    <w:rsid w:val="00925FE9"/>
    <w:rsid w:val="00926AEF"/>
    <w:rsid w:val="00941DBA"/>
    <w:rsid w:val="009453BA"/>
    <w:rsid w:val="00945836"/>
    <w:rsid w:val="00951F11"/>
    <w:rsid w:val="00952C63"/>
    <w:rsid w:val="00954F51"/>
    <w:rsid w:val="00956B45"/>
    <w:rsid w:val="0095737F"/>
    <w:rsid w:val="009710FC"/>
    <w:rsid w:val="0097153A"/>
    <w:rsid w:val="009808B8"/>
    <w:rsid w:val="00983AF9"/>
    <w:rsid w:val="00983C93"/>
    <w:rsid w:val="00987A96"/>
    <w:rsid w:val="009976F8"/>
    <w:rsid w:val="009A0B23"/>
    <w:rsid w:val="009A4721"/>
    <w:rsid w:val="009A65A5"/>
    <w:rsid w:val="009C4BCA"/>
    <w:rsid w:val="009C6A02"/>
    <w:rsid w:val="009D2A5A"/>
    <w:rsid w:val="009D2AD9"/>
    <w:rsid w:val="009D7F26"/>
    <w:rsid w:val="009E3600"/>
    <w:rsid w:val="009E605E"/>
    <w:rsid w:val="009F385B"/>
    <w:rsid w:val="009F420A"/>
    <w:rsid w:val="009F6107"/>
    <w:rsid w:val="009F64F0"/>
    <w:rsid w:val="009F6FB8"/>
    <w:rsid w:val="00A02AED"/>
    <w:rsid w:val="00A07379"/>
    <w:rsid w:val="00A10364"/>
    <w:rsid w:val="00A1121F"/>
    <w:rsid w:val="00A1298C"/>
    <w:rsid w:val="00A166CB"/>
    <w:rsid w:val="00A16729"/>
    <w:rsid w:val="00A17643"/>
    <w:rsid w:val="00A22A13"/>
    <w:rsid w:val="00A2306D"/>
    <w:rsid w:val="00A253AE"/>
    <w:rsid w:val="00A2709C"/>
    <w:rsid w:val="00A30CE2"/>
    <w:rsid w:val="00A3115A"/>
    <w:rsid w:val="00A31788"/>
    <w:rsid w:val="00A33296"/>
    <w:rsid w:val="00A35006"/>
    <w:rsid w:val="00A462DE"/>
    <w:rsid w:val="00A47B1F"/>
    <w:rsid w:val="00A51460"/>
    <w:rsid w:val="00A5346F"/>
    <w:rsid w:val="00A535E4"/>
    <w:rsid w:val="00A561DE"/>
    <w:rsid w:val="00A56BD0"/>
    <w:rsid w:val="00A6210A"/>
    <w:rsid w:val="00A623C5"/>
    <w:rsid w:val="00A63392"/>
    <w:rsid w:val="00A64F9F"/>
    <w:rsid w:val="00A67265"/>
    <w:rsid w:val="00A714D0"/>
    <w:rsid w:val="00A7266C"/>
    <w:rsid w:val="00A76CB8"/>
    <w:rsid w:val="00A8095C"/>
    <w:rsid w:val="00A83605"/>
    <w:rsid w:val="00A83994"/>
    <w:rsid w:val="00A83FAC"/>
    <w:rsid w:val="00A85B12"/>
    <w:rsid w:val="00A86288"/>
    <w:rsid w:val="00A94CEA"/>
    <w:rsid w:val="00A95C7A"/>
    <w:rsid w:val="00A97451"/>
    <w:rsid w:val="00A974A5"/>
    <w:rsid w:val="00A9750C"/>
    <w:rsid w:val="00AA0E91"/>
    <w:rsid w:val="00AA1EDD"/>
    <w:rsid w:val="00AA6923"/>
    <w:rsid w:val="00AB0038"/>
    <w:rsid w:val="00AB118D"/>
    <w:rsid w:val="00AB1897"/>
    <w:rsid w:val="00AB1AFE"/>
    <w:rsid w:val="00AB400B"/>
    <w:rsid w:val="00AB5770"/>
    <w:rsid w:val="00AB6E8C"/>
    <w:rsid w:val="00AC2959"/>
    <w:rsid w:val="00AC2F52"/>
    <w:rsid w:val="00AD5335"/>
    <w:rsid w:val="00AD5AAC"/>
    <w:rsid w:val="00AE0849"/>
    <w:rsid w:val="00AE5240"/>
    <w:rsid w:val="00AF282B"/>
    <w:rsid w:val="00AF5F60"/>
    <w:rsid w:val="00AF6A36"/>
    <w:rsid w:val="00B00E15"/>
    <w:rsid w:val="00B01A97"/>
    <w:rsid w:val="00B052D2"/>
    <w:rsid w:val="00B10BA1"/>
    <w:rsid w:val="00B11494"/>
    <w:rsid w:val="00B11638"/>
    <w:rsid w:val="00B15CE1"/>
    <w:rsid w:val="00B2122A"/>
    <w:rsid w:val="00B21687"/>
    <w:rsid w:val="00B2380D"/>
    <w:rsid w:val="00B24553"/>
    <w:rsid w:val="00B30574"/>
    <w:rsid w:val="00B37115"/>
    <w:rsid w:val="00B452CF"/>
    <w:rsid w:val="00B463F5"/>
    <w:rsid w:val="00B5518F"/>
    <w:rsid w:val="00B55276"/>
    <w:rsid w:val="00B5605F"/>
    <w:rsid w:val="00B610BC"/>
    <w:rsid w:val="00B62232"/>
    <w:rsid w:val="00B62D63"/>
    <w:rsid w:val="00B630FC"/>
    <w:rsid w:val="00B66434"/>
    <w:rsid w:val="00B66E74"/>
    <w:rsid w:val="00B677D6"/>
    <w:rsid w:val="00B72F60"/>
    <w:rsid w:val="00B7665D"/>
    <w:rsid w:val="00B76E60"/>
    <w:rsid w:val="00B77828"/>
    <w:rsid w:val="00B84A74"/>
    <w:rsid w:val="00B84CC4"/>
    <w:rsid w:val="00B8563A"/>
    <w:rsid w:val="00B91836"/>
    <w:rsid w:val="00B94100"/>
    <w:rsid w:val="00B95777"/>
    <w:rsid w:val="00BA256C"/>
    <w:rsid w:val="00BA67B5"/>
    <w:rsid w:val="00BB0376"/>
    <w:rsid w:val="00BB32DE"/>
    <w:rsid w:val="00BB3687"/>
    <w:rsid w:val="00BB6A1D"/>
    <w:rsid w:val="00BB7766"/>
    <w:rsid w:val="00BC2EAA"/>
    <w:rsid w:val="00BC3423"/>
    <w:rsid w:val="00BC7303"/>
    <w:rsid w:val="00BD3AB3"/>
    <w:rsid w:val="00BD65C7"/>
    <w:rsid w:val="00BD7F22"/>
    <w:rsid w:val="00BE1C3E"/>
    <w:rsid w:val="00BE316B"/>
    <w:rsid w:val="00BE47F8"/>
    <w:rsid w:val="00BE7D18"/>
    <w:rsid w:val="00BF1667"/>
    <w:rsid w:val="00BF2165"/>
    <w:rsid w:val="00BF401B"/>
    <w:rsid w:val="00BF48B1"/>
    <w:rsid w:val="00BF494D"/>
    <w:rsid w:val="00BF5446"/>
    <w:rsid w:val="00BF644E"/>
    <w:rsid w:val="00C053BA"/>
    <w:rsid w:val="00C054CD"/>
    <w:rsid w:val="00C11C6C"/>
    <w:rsid w:val="00C13CA7"/>
    <w:rsid w:val="00C14EF6"/>
    <w:rsid w:val="00C17BEB"/>
    <w:rsid w:val="00C20B21"/>
    <w:rsid w:val="00C2515E"/>
    <w:rsid w:val="00C27803"/>
    <w:rsid w:val="00C3195F"/>
    <w:rsid w:val="00C32518"/>
    <w:rsid w:val="00C4785E"/>
    <w:rsid w:val="00C5371F"/>
    <w:rsid w:val="00C54039"/>
    <w:rsid w:val="00C5627F"/>
    <w:rsid w:val="00C608DC"/>
    <w:rsid w:val="00C70E66"/>
    <w:rsid w:val="00C712FD"/>
    <w:rsid w:val="00C81129"/>
    <w:rsid w:val="00C8456F"/>
    <w:rsid w:val="00C910E1"/>
    <w:rsid w:val="00C93301"/>
    <w:rsid w:val="00C94EBD"/>
    <w:rsid w:val="00C961D7"/>
    <w:rsid w:val="00CA309A"/>
    <w:rsid w:val="00CA4F8A"/>
    <w:rsid w:val="00CB00A1"/>
    <w:rsid w:val="00CB3B52"/>
    <w:rsid w:val="00CB6065"/>
    <w:rsid w:val="00CB71A1"/>
    <w:rsid w:val="00CB75EF"/>
    <w:rsid w:val="00CC1B3E"/>
    <w:rsid w:val="00CD15AC"/>
    <w:rsid w:val="00CD22A5"/>
    <w:rsid w:val="00CE0C0E"/>
    <w:rsid w:val="00CE669B"/>
    <w:rsid w:val="00CE7CC7"/>
    <w:rsid w:val="00CF208E"/>
    <w:rsid w:val="00CF2470"/>
    <w:rsid w:val="00CF4C4C"/>
    <w:rsid w:val="00CF7500"/>
    <w:rsid w:val="00D0660E"/>
    <w:rsid w:val="00D11E77"/>
    <w:rsid w:val="00D139C5"/>
    <w:rsid w:val="00D14957"/>
    <w:rsid w:val="00D15CC9"/>
    <w:rsid w:val="00D15E85"/>
    <w:rsid w:val="00D246AA"/>
    <w:rsid w:val="00D252D2"/>
    <w:rsid w:val="00D26584"/>
    <w:rsid w:val="00D31597"/>
    <w:rsid w:val="00D33494"/>
    <w:rsid w:val="00D33A60"/>
    <w:rsid w:val="00D43001"/>
    <w:rsid w:val="00D4318B"/>
    <w:rsid w:val="00D50874"/>
    <w:rsid w:val="00D566EF"/>
    <w:rsid w:val="00D66016"/>
    <w:rsid w:val="00D804B3"/>
    <w:rsid w:val="00D81B9D"/>
    <w:rsid w:val="00D839D0"/>
    <w:rsid w:val="00D83E0F"/>
    <w:rsid w:val="00D85377"/>
    <w:rsid w:val="00D872BD"/>
    <w:rsid w:val="00D916CB"/>
    <w:rsid w:val="00D91C8D"/>
    <w:rsid w:val="00D940A3"/>
    <w:rsid w:val="00DB105B"/>
    <w:rsid w:val="00DB3BB2"/>
    <w:rsid w:val="00DB45C1"/>
    <w:rsid w:val="00DC6334"/>
    <w:rsid w:val="00DD19BC"/>
    <w:rsid w:val="00DE0ADA"/>
    <w:rsid w:val="00DE0EF1"/>
    <w:rsid w:val="00DE19CB"/>
    <w:rsid w:val="00DF0BFC"/>
    <w:rsid w:val="00DF184E"/>
    <w:rsid w:val="00DF38EF"/>
    <w:rsid w:val="00DF3E0A"/>
    <w:rsid w:val="00DF7485"/>
    <w:rsid w:val="00E00170"/>
    <w:rsid w:val="00E01C8B"/>
    <w:rsid w:val="00E16135"/>
    <w:rsid w:val="00E17AAE"/>
    <w:rsid w:val="00E17ECD"/>
    <w:rsid w:val="00E27D19"/>
    <w:rsid w:val="00E41A8D"/>
    <w:rsid w:val="00E42416"/>
    <w:rsid w:val="00E44C17"/>
    <w:rsid w:val="00E46E74"/>
    <w:rsid w:val="00E520D5"/>
    <w:rsid w:val="00E523BA"/>
    <w:rsid w:val="00E524E5"/>
    <w:rsid w:val="00E55459"/>
    <w:rsid w:val="00E55EA1"/>
    <w:rsid w:val="00E60975"/>
    <w:rsid w:val="00E64637"/>
    <w:rsid w:val="00E7130D"/>
    <w:rsid w:val="00E7262A"/>
    <w:rsid w:val="00E76AA5"/>
    <w:rsid w:val="00E7715D"/>
    <w:rsid w:val="00E80912"/>
    <w:rsid w:val="00E87393"/>
    <w:rsid w:val="00E878C7"/>
    <w:rsid w:val="00E9739B"/>
    <w:rsid w:val="00EA7D8B"/>
    <w:rsid w:val="00EB1DC5"/>
    <w:rsid w:val="00EB571D"/>
    <w:rsid w:val="00EB5BF9"/>
    <w:rsid w:val="00EC2BF8"/>
    <w:rsid w:val="00EC3E59"/>
    <w:rsid w:val="00ED4251"/>
    <w:rsid w:val="00ED5C5C"/>
    <w:rsid w:val="00ED7196"/>
    <w:rsid w:val="00EE01E9"/>
    <w:rsid w:val="00EE3BD5"/>
    <w:rsid w:val="00EE5DDB"/>
    <w:rsid w:val="00EE635E"/>
    <w:rsid w:val="00EF5EAD"/>
    <w:rsid w:val="00F0154A"/>
    <w:rsid w:val="00F124C4"/>
    <w:rsid w:val="00F22159"/>
    <w:rsid w:val="00F25289"/>
    <w:rsid w:val="00F30DB9"/>
    <w:rsid w:val="00F33034"/>
    <w:rsid w:val="00F4280A"/>
    <w:rsid w:val="00F466AB"/>
    <w:rsid w:val="00F466C8"/>
    <w:rsid w:val="00F47CBF"/>
    <w:rsid w:val="00F51641"/>
    <w:rsid w:val="00F51A44"/>
    <w:rsid w:val="00F539B2"/>
    <w:rsid w:val="00F54D66"/>
    <w:rsid w:val="00F61D36"/>
    <w:rsid w:val="00F622E4"/>
    <w:rsid w:val="00F668D7"/>
    <w:rsid w:val="00F67585"/>
    <w:rsid w:val="00F7152D"/>
    <w:rsid w:val="00F71AA5"/>
    <w:rsid w:val="00F750C0"/>
    <w:rsid w:val="00F76C66"/>
    <w:rsid w:val="00F772FA"/>
    <w:rsid w:val="00F80613"/>
    <w:rsid w:val="00F80ACF"/>
    <w:rsid w:val="00F80FD8"/>
    <w:rsid w:val="00F8731D"/>
    <w:rsid w:val="00F906C7"/>
    <w:rsid w:val="00F921CA"/>
    <w:rsid w:val="00F9260A"/>
    <w:rsid w:val="00F9591B"/>
    <w:rsid w:val="00F95DB1"/>
    <w:rsid w:val="00FA03A1"/>
    <w:rsid w:val="00FA3C14"/>
    <w:rsid w:val="00FB0A10"/>
    <w:rsid w:val="00FC0192"/>
    <w:rsid w:val="00FC22B5"/>
    <w:rsid w:val="00FC348E"/>
    <w:rsid w:val="00FC4926"/>
    <w:rsid w:val="00FC559F"/>
    <w:rsid w:val="00FC6AEE"/>
    <w:rsid w:val="00FD1AE2"/>
    <w:rsid w:val="00FD4163"/>
    <w:rsid w:val="00FE30D7"/>
    <w:rsid w:val="00FE3A03"/>
    <w:rsid w:val="00FE7CD1"/>
    <w:rsid w:val="00FF1340"/>
    <w:rsid w:val="00FF42AF"/>
    <w:rsid w:val="00FF4786"/>
    <w:rsid w:val="00FF5516"/>
    <w:rsid w:val="00FF5761"/>
    <w:rsid w:val="00FF57F7"/>
    <w:rsid w:val="00FF6ED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DFC43E4"/>
  <w14:defaultImageDpi w14:val="330"/>
  <w15:docId w15:val="{83F30C7F-BA58-495D-8470-3B57EB9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a-DK"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63"/>
    <w:rPr>
      <w:sz w:val="24"/>
      <w:szCs w:val="24"/>
      <w:lang w:eastAsia="it-IT"/>
    </w:rPr>
  </w:style>
  <w:style w:type="paragraph" w:styleId="Heading1">
    <w:name w:val="heading 1"/>
    <w:basedOn w:val="Normal"/>
    <w:next w:val="Normal"/>
    <w:link w:val="Heading1Char"/>
    <w:qFormat/>
    <w:rsid w:val="00FD4163"/>
    <w:pPr>
      <w:numPr>
        <w:numId w:val="1"/>
      </w:numPr>
      <w:spacing w:line="288" w:lineRule="auto"/>
      <w:jc w:val="both"/>
      <w:outlineLvl w:val="0"/>
    </w:pPr>
    <w:rPr>
      <w:rFonts w:ascii="Times New Roman" w:eastAsia="Times New Roman" w:hAnsi="Times New Roman"/>
      <w:kern w:val="28"/>
      <w:sz w:val="22"/>
      <w:szCs w:val="22"/>
      <w:lang w:eastAsia="en-US"/>
    </w:rPr>
  </w:style>
  <w:style w:type="paragraph" w:styleId="Heading2">
    <w:name w:val="heading 2"/>
    <w:basedOn w:val="Normal"/>
    <w:next w:val="Normal"/>
    <w:link w:val="Heading2Char"/>
    <w:qFormat/>
    <w:rsid w:val="00FD4163"/>
    <w:pPr>
      <w:numPr>
        <w:ilvl w:val="1"/>
        <w:numId w:val="1"/>
      </w:numPr>
      <w:spacing w:line="288" w:lineRule="auto"/>
      <w:ind w:left="709"/>
      <w:jc w:val="both"/>
      <w:outlineLvl w:val="1"/>
    </w:pPr>
    <w:rPr>
      <w:rFonts w:ascii="Times New Roman" w:eastAsia="Times New Roman" w:hAnsi="Times New Roman"/>
      <w:sz w:val="22"/>
      <w:szCs w:val="22"/>
      <w:lang w:eastAsia="en-US"/>
    </w:rPr>
  </w:style>
  <w:style w:type="paragraph" w:styleId="Heading3">
    <w:name w:val="heading 3"/>
    <w:basedOn w:val="Normal"/>
    <w:next w:val="Normal"/>
    <w:link w:val="Heading3Char"/>
    <w:qFormat/>
    <w:rsid w:val="00FD4163"/>
    <w:pPr>
      <w:numPr>
        <w:ilvl w:val="2"/>
        <w:numId w:val="1"/>
      </w:numPr>
      <w:spacing w:line="288" w:lineRule="auto"/>
      <w:jc w:val="both"/>
      <w:outlineLvl w:val="2"/>
    </w:pPr>
    <w:rPr>
      <w:rFonts w:ascii="Times New Roman" w:eastAsia="Times New Roman" w:hAnsi="Times New Roman"/>
      <w:sz w:val="22"/>
      <w:szCs w:val="22"/>
      <w:lang w:eastAsia="en-US"/>
    </w:rPr>
  </w:style>
  <w:style w:type="paragraph" w:styleId="Heading4">
    <w:name w:val="heading 4"/>
    <w:basedOn w:val="Normal"/>
    <w:next w:val="Normal"/>
    <w:link w:val="Heading4Char"/>
    <w:qFormat/>
    <w:rsid w:val="00FD4163"/>
    <w:pPr>
      <w:numPr>
        <w:ilvl w:val="3"/>
        <w:numId w:val="1"/>
      </w:numPr>
      <w:spacing w:line="288" w:lineRule="auto"/>
      <w:jc w:val="both"/>
      <w:outlineLvl w:val="3"/>
    </w:pPr>
    <w:rPr>
      <w:rFonts w:ascii="Times New Roman" w:eastAsia="Times New Roman" w:hAnsi="Times New Roman"/>
      <w:sz w:val="22"/>
      <w:szCs w:val="22"/>
      <w:lang w:eastAsia="en-US"/>
    </w:rPr>
  </w:style>
  <w:style w:type="paragraph" w:styleId="Heading5">
    <w:name w:val="heading 5"/>
    <w:basedOn w:val="Normal"/>
    <w:next w:val="Normal"/>
    <w:link w:val="Heading5Char"/>
    <w:qFormat/>
    <w:rsid w:val="00FD4163"/>
    <w:pPr>
      <w:numPr>
        <w:ilvl w:val="4"/>
        <w:numId w:val="1"/>
      </w:numPr>
      <w:spacing w:line="288" w:lineRule="auto"/>
      <w:jc w:val="both"/>
      <w:outlineLvl w:val="4"/>
    </w:pPr>
    <w:rPr>
      <w:rFonts w:ascii="Times New Roman" w:eastAsia="Times New Roman" w:hAnsi="Times New Roman"/>
      <w:sz w:val="22"/>
      <w:szCs w:val="22"/>
      <w:lang w:eastAsia="en-US"/>
    </w:rPr>
  </w:style>
  <w:style w:type="paragraph" w:styleId="Heading6">
    <w:name w:val="heading 6"/>
    <w:basedOn w:val="Normal"/>
    <w:next w:val="Normal"/>
    <w:link w:val="Heading6Char"/>
    <w:qFormat/>
    <w:rsid w:val="00FD4163"/>
    <w:pPr>
      <w:numPr>
        <w:ilvl w:val="5"/>
        <w:numId w:val="1"/>
      </w:numPr>
      <w:spacing w:line="288" w:lineRule="auto"/>
      <w:jc w:val="both"/>
      <w:outlineLvl w:val="5"/>
    </w:pPr>
    <w:rPr>
      <w:rFonts w:ascii="Times New Roman" w:eastAsia="Times New Roman" w:hAnsi="Times New Roman"/>
      <w:sz w:val="22"/>
      <w:szCs w:val="22"/>
      <w:lang w:eastAsia="en-US"/>
    </w:rPr>
  </w:style>
  <w:style w:type="paragraph" w:styleId="Heading7">
    <w:name w:val="heading 7"/>
    <w:basedOn w:val="Normal"/>
    <w:next w:val="Normal"/>
    <w:link w:val="Heading7Char"/>
    <w:qFormat/>
    <w:rsid w:val="00FD4163"/>
    <w:pPr>
      <w:numPr>
        <w:ilvl w:val="6"/>
        <w:numId w:val="1"/>
      </w:numPr>
      <w:spacing w:line="288" w:lineRule="auto"/>
      <w:jc w:val="both"/>
      <w:outlineLvl w:val="6"/>
    </w:pPr>
    <w:rPr>
      <w:rFonts w:ascii="Times New Roman" w:eastAsia="Times New Roman" w:hAnsi="Times New Roman"/>
      <w:sz w:val="22"/>
      <w:szCs w:val="22"/>
      <w:lang w:eastAsia="en-US"/>
    </w:rPr>
  </w:style>
  <w:style w:type="paragraph" w:styleId="Heading8">
    <w:name w:val="heading 8"/>
    <w:basedOn w:val="Normal"/>
    <w:next w:val="Normal"/>
    <w:link w:val="Heading8Char"/>
    <w:qFormat/>
    <w:rsid w:val="00FD4163"/>
    <w:pPr>
      <w:numPr>
        <w:ilvl w:val="7"/>
        <w:numId w:val="1"/>
      </w:numPr>
      <w:spacing w:line="288" w:lineRule="auto"/>
      <w:jc w:val="both"/>
      <w:outlineLvl w:val="7"/>
    </w:pPr>
    <w:rPr>
      <w:rFonts w:ascii="Times New Roman" w:eastAsia="Times New Roman" w:hAnsi="Times New Roman"/>
      <w:sz w:val="22"/>
      <w:szCs w:val="22"/>
      <w:lang w:eastAsia="en-US"/>
    </w:rPr>
  </w:style>
  <w:style w:type="paragraph" w:styleId="Heading9">
    <w:name w:val="heading 9"/>
    <w:basedOn w:val="Normal"/>
    <w:next w:val="Normal"/>
    <w:link w:val="Heading9Char"/>
    <w:qFormat/>
    <w:rsid w:val="00FD4163"/>
    <w:pPr>
      <w:numPr>
        <w:ilvl w:val="8"/>
        <w:numId w:val="1"/>
      </w:numPr>
      <w:spacing w:line="288" w:lineRule="auto"/>
      <w:jc w:val="both"/>
      <w:outlineLvl w:val="8"/>
    </w:pPr>
    <w:rPr>
      <w:rFonts w:ascii="Times New Roman" w:eastAsia="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FD4163"/>
  </w:style>
  <w:style w:type="character" w:customStyle="1" w:styleId="FootnoteTextChar">
    <w:name w:val="Footnote Text Char"/>
    <w:link w:val="FootnoteText"/>
    <w:rsid w:val="003F0290"/>
    <w:rPr>
      <w:sz w:val="24"/>
      <w:szCs w:val="24"/>
      <w:lang w:val="da-DK" w:eastAsia="it-IT"/>
    </w:rPr>
  </w:style>
  <w:style w:type="character" w:styleId="FootnoteReference">
    <w:name w:val="footnote reference"/>
    <w:unhideWhenUsed/>
    <w:qFormat/>
    <w:rsid w:val="00FD4163"/>
    <w:rPr>
      <w:vertAlign w:val="superscript"/>
    </w:rPr>
  </w:style>
  <w:style w:type="paragraph" w:styleId="Footer">
    <w:name w:val="footer"/>
    <w:basedOn w:val="Normal"/>
    <w:link w:val="FooterChar"/>
    <w:unhideWhenUsed/>
    <w:qFormat/>
    <w:rsid w:val="00FD4163"/>
    <w:pPr>
      <w:spacing w:line="288" w:lineRule="auto"/>
      <w:jc w:val="both"/>
    </w:pPr>
    <w:rPr>
      <w:rFonts w:ascii="Times New Roman" w:hAnsi="Times New Roman"/>
      <w:sz w:val="22"/>
    </w:rPr>
  </w:style>
  <w:style w:type="character" w:customStyle="1" w:styleId="FooterChar">
    <w:name w:val="Footer Char"/>
    <w:link w:val="Footer"/>
    <w:rsid w:val="00C81129"/>
    <w:rPr>
      <w:rFonts w:ascii="Times New Roman" w:hAnsi="Times New Roman"/>
      <w:sz w:val="22"/>
      <w:szCs w:val="24"/>
      <w:lang w:val="da-DK" w:eastAsia="it-IT"/>
    </w:rPr>
  </w:style>
  <w:style w:type="character" w:styleId="PageNumber">
    <w:name w:val="page number"/>
    <w:uiPriority w:val="99"/>
    <w:semiHidden/>
    <w:unhideWhenUsed/>
    <w:rsid w:val="00C81129"/>
  </w:style>
  <w:style w:type="character" w:styleId="Hyperlink">
    <w:name w:val="Hyperlink"/>
    <w:uiPriority w:val="99"/>
    <w:unhideWhenUsed/>
    <w:rsid w:val="00610ECD"/>
    <w:rPr>
      <w:color w:val="0563C1"/>
      <w:u w:val="single"/>
    </w:rPr>
  </w:style>
  <w:style w:type="character" w:styleId="CommentReference">
    <w:name w:val="annotation reference"/>
    <w:uiPriority w:val="99"/>
    <w:semiHidden/>
    <w:unhideWhenUsed/>
    <w:rsid w:val="00D81B9D"/>
    <w:rPr>
      <w:sz w:val="16"/>
      <w:szCs w:val="16"/>
    </w:rPr>
  </w:style>
  <w:style w:type="paragraph" w:styleId="CommentText">
    <w:name w:val="annotation text"/>
    <w:basedOn w:val="Normal"/>
    <w:link w:val="CommentTextChar"/>
    <w:uiPriority w:val="99"/>
    <w:semiHidden/>
    <w:unhideWhenUsed/>
    <w:rsid w:val="00D81B9D"/>
    <w:rPr>
      <w:sz w:val="20"/>
      <w:szCs w:val="20"/>
    </w:rPr>
  </w:style>
  <w:style w:type="character" w:customStyle="1" w:styleId="CommentTextChar">
    <w:name w:val="Comment Text Char"/>
    <w:link w:val="CommentText"/>
    <w:uiPriority w:val="99"/>
    <w:semiHidden/>
    <w:rsid w:val="00D81B9D"/>
    <w:rPr>
      <w:lang w:val="da-DK" w:eastAsia="it-IT"/>
    </w:rPr>
  </w:style>
  <w:style w:type="paragraph" w:styleId="CommentSubject">
    <w:name w:val="annotation subject"/>
    <w:basedOn w:val="CommentText"/>
    <w:next w:val="CommentText"/>
    <w:link w:val="CommentSubjectChar"/>
    <w:uiPriority w:val="99"/>
    <w:semiHidden/>
    <w:unhideWhenUsed/>
    <w:rsid w:val="00D81B9D"/>
    <w:rPr>
      <w:b/>
      <w:bCs/>
    </w:rPr>
  </w:style>
  <w:style w:type="character" w:customStyle="1" w:styleId="CommentSubjectChar">
    <w:name w:val="Comment Subject Char"/>
    <w:link w:val="CommentSubject"/>
    <w:uiPriority w:val="99"/>
    <w:semiHidden/>
    <w:rsid w:val="00D81B9D"/>
    <w:rPr>
      <w:b/>
      <w:bCs/>
      <w:lang w:val="da-DK" w:eastAsia="it-IT"/>
    </w:rPr>
  </w:style>
  <w:style w:type="paragraph" w:styleId="BalloonText">
    <w:name w:val="Balloon Text"/>
    <w:basedOn w:val="Normal"/>
    <w:link w:val="BalloonTextChar"/>
    <w:uiPriority w:val="99"/>
    <w:semiHidden/>
    <w:unhideWhenUsed/>
    <w:rsid w:val="00D81B9D"/>
    <w:rPr>
      <w:rFonts w:ascii="Segoe UI" w:hAnsi="Segoe UI" w:cs="Segoe UI"/>
      <w:sz w:val="18"/>
      <w:szCs w:val="18"/>
    </w:rPr>
  </w:style>
  <w:style w:type="character" w:customStyle="1" w:styleId="BalloonTextChar">
    <w:name w:val="Balloon Text Char"/>
    <w:link w:val="BalloonText"/>
    <w:uiPriority w:val="99"/>
    <w:semiHidden/>
    <w:rsid w:val="00D81B9D"/>
    <w:rPr>
      <w:rFonts w:ascii="Segoe UI" w:hAnsi="Segoe UI" w:cs="Segoe UI"/>
      <w:sz w:val="18"/>
      <w:szCs w:val="18"/>
      <w:lang w:val="da-DK" w:eastAsia="it-IT"/>
    </w:rPr>
  </w:style>
  <w:style w:type="paragraph" w:customStyle="1" w:styleId="Kleurrijkelijst-accent11">
    <w:name w:val="Kleurrijke lijst - accent 11"/>
    <w:basedOn w:val="Normal"/>
    <w:uiPriority w:val="34"/>
    <w:qFormat/>
    <w:rsid w:val="005E6B56"/>
    <w:pPr>
      <w:spacing w:line="280" w:lineRule="exact"/>
      <w:ind w:left="720"/>
      <w:contextualSpacing/>
    </w:pPr>
    <w:rPr>
      <w:rFonts w:ascii="Georgia" w:eastAsia="Calibri" w:hAnsi="Georgia"/>
      <w:sz w:val="18"/>
      <w:szCs w:val="22"/>
      <w:lang w:eastAsia="en-US"/>
    </w:rPr>
  </w:style>
  <w:style w:type="character" w:customStyle="1" w:styleId="Heading1Char">
    <w:name w:val="Heading 1 Char"/>
    <w:link w:val="Heading1"/>
    <w:rsid w:val="00785C57"/>
    <w:rPr>
      <w:rFonts w:ascii="Times New Roman" w:eastAsia="Times New Roman" w:hAnsi="Times New Roman"/>
      <w:kern w:val="28"/>
      <w:sz w:val="22"/>
      <w:szCs w:val="22"/>
      <w:lang w:val="da-DK" w:eastAsia="en-US"/>
    </w:rPr>
  </w:style>
  <w:style w:type="character" w:customStyle="1" w:styleId="Heading2Char">
    <w:name w:val="Heading 2 Char"/>
    <w:link w:val="Heading2"/>
    <w:rsid w:val="00785C57"/>
    <w:rPr>
      <w:rFonts w:ascii="Times New Roman" w:eastAsia="Times New Roman" w:hAnsi="Times New Roman"/>
      <w:sz w:val="22"/>
      <w:szCs w:val="22"/>
      <w:lang w:val="da-DK" w:eastAsia="en-US"/>
    </w:rPr>
  </w:style>
  <w:style w:type="character" w:customStyle="1" w:styleId="Heading3Char">
    <w:name w:val="Heading 3 Char"/>
    <w:link w:val="Heading3"/>
    <w:rsid w:val="00785C57"/>
    <w:rPr>
      <w:rFonts w:ascii="Times New Roman" w:eastAsia="Times New Roman" w:hAnsi="Times New Roman"/>
      <w:sz w:val="22"/>
      <w:szCs w:val="22"/>
      <w:lang w:val="da-DK" w:eastAsia="en-US"/>
    </w:rPr>
  </w:style>
  <w:style w:type="character" w:customStyle="1" w:styleId="Heading4Char">
    <w:name w:val="Heading 4 Char"/>
    <w:link w:val="Heading4"/>
    <w:rsid w:val="00785C57"/>
    <w:rPr>
      <w:rFonts w:ascii="Times New Roman" w:eastAsia="Times New Roman" w:hAnsi="Times New Roman"/>
      <w:sz w:val="22"/>
      <w:szCs w:val="22"/>
      <w:lang w:val="da-DK" w:eastAsia="en-US"/>
    </w:rPr>
  </w:style>
  <w:style w:type="character" w:customStyle="1" w:styleId="Heading5Char">
    <w:name w:val="Heading 5 Char"/>
    <w:link w:val="Heading5"/>
    <w:rsid w:val="00785C57"/>
    <w:rPr>
      <w:rFonts w:ascii="Times New Roman" w:eastAsia="Times New Roman" w:hAnsi="Times New Roman"/>
      <w:sz w:val="22"/>
      <w:szCs w:val="22"/>
      <w:lang w:val="da-DK" w:eastAsia="en-US"/>
    </w:rPr>
  </w:style>
  <w:style w:type="character" w:customStyle="1" w:styleId="Heading6Char">
    <w:name w:val="Heading 6 Char"/>
    <w:link w:val="Heading6"/>
    <w:rsid w:val="00785C57"/>
    <w:rPr>
      <w:rFonts w:ascii="Times New Roman" w:eastAsia="Times New Roman" w:hAnsi="Times New Roman"/>
      <w:sz w:val="22"/>
      <w:szCs w:val="22"/>
      <w:lang w:val="da-DK" w:eastAsia="en-US"/>
    </w:rPr>
  </w:style>
  <w:style w:type="character" w:customStyle="1" w:styleId="Heading7Char">
    <w:name w:val="Heading 7 Char"/>
    <w:link w:val="Heading7"/>
    <w:rsid w:val="00785C57"/>
    <w:rPr>
      <w:rFonts w:ascii="Times New Roman" w:eastAsia="Times New Roman" w:hAnsi="Times New Roman"/>
      <w:sz w:val="22"/>
      <w:szCs w:val="22"/>
      <w:lang w:val="da-DK" w:eastAsia="en-US"/>
    </w:rPr>
  </w:style>
  <w:style w:type="character" w:customStyle="1" w:styleId="Heading8Char">
    <w:name w:val="Heading 8 Char"/>
    <w:link w:val="Heading8"/>
    <w:rsid w:val="00785C57"/>
    <w:rPr>
      <w:rFonts w:ascii="Times New Roman" w:eastAsia="Times New Roman" w:hAnsi="Times New Roman"/>
      <w:sz w:val="22"/>
      <w:szCs w:val="22"/>
      <w:lang w:val="da-DK" w:eastAsia="en-US"/>
    </w:rPr>
  </w:style>
  <w:style w:type="character" w:customStyle="1" w:styleId="Heading9Char">
    <w:name w:val="Heading 9 Char"/>
    <w:link w:val="Heading9"/>
    <w:rsid w:val="00785C57"/>
    <w:rPr>
      <w:rFonts w:ascii="Times New Roman" w:eastAsia="Times New Roman" w:hAnsi="Times New Roman"/>
      <w:sz w:val="22"/>
      <w:szCs w:val="22"/>
      <w:lang w:val="da-DK" w:eastAsia="en-US"/>
    </w:rPr>
  </w:style>
  <w:style w:type="paragraph" w:styleId="ListParagraph">
    <w:name w:val="List Paragraph"/>
    <w:aliases w:val="Numbered paragraph"/>
    <w:basedOn w:val="Normal"/>
    <w:uiPriority w:val="34"/>
    <w:qFormat/>
    <w:rsid w:val="00FD4163"/>
    <w:pPr>
      <w:spacing w:line="280" w:lineRule="exact"/>
      <w:ind w:left="720"/>
      <w:contextualSpacing/>
    </w:pPr>
    <w:rPr>
      <w:rFonts w:ascii="Georgia" w:eastAsia="Calibri" w:hAnsi="Georgia"/>
      <w:sz w:val="18"/>
      <w:szCs w:val="22"/>
      <w:lang w:eastAsia="en-US"/>
    </w:rPr>
  </w:style>
  <w:style w:type="paragraph" w:styleId="Revision">
    <w:name w:val="Revision"/>
    <w:hidden/>
    <w:uiPriority w:val="71"/>
    <w:rsid w:val="005D63C6"/>
    <w:rPr>
      <w:sz w:val="24"/>
      <w:szCs w:val="24"/>
      <w:lang w:eastAsia="it-IT"/>
    </w:rPr>
  </w:style>
  <w:style w:type="paragraph" w:styleId="Date">
    <w:name w:val="Date"/>
    <w:basedOn w:val="Normal"/>
    <w:next w:val="Normal"/>
    <w:link w:val="DateChar"/>
    <w:uiPriority w:val="99"/>
    <w:semiHidden/>
    <w:unhideWhenUsed/>
    <w:rsid w:val="001F6BD7"/>
  </w:style>
  <w:style w:type="character" w:customStyle="1" w:styleId="DateChar">
    <w:name w:val="Date Char"/>
    <w:basedOn w:val="DefaultParagraphFont"/>
    <w:link w:val="Date"/>
    <w:uiPriority w:val="99"/>
    <w:semiHidden/>
    <w:rsid w:val="001F6BD7"/>
    <w:rPr>
      <w:sz w:val="24"/>
      <w:szCs w:val="24"/>
      <w:lang w:val="da-DK" w:eastAsia="it-IT"/>
    </w:rPr>
  </w:style>
  <w:style w:type="paragraph" w:styleId="NormalWeb">
    <w:name w:val="Normal (Web)"/>
    <w:basedOn w:val="Normal"/>
    <w:uiPriority w:val="99"/>
    <w:semiHidden/>
    <w:unhideWhenUsed/>
    <w:rsid w:val="00B72F60"/>
    <w:pPr>
      <w:spacing w:before="100" w:beforeAutospacing="1" w:after="100" w:afterAutospacing="1"/>
    </w:pPr>
    <w:rPr>
      <w:rFonts w:ascii="Times New Roman" w:hAnsi="Times New Roman"/>
      <w:sz w:val="20"/>
      <w:szCs w:val="20"/>
    </w:rPr>
  </w:style>
  <w:style w:type="paragraph" w:styleId="Header">
    <w:name w:val="header"/>
    <w:basedOn w:val="Normal"/>
    <w:link w:val="HeaderChar"/>
    <w:unhideWhenUsed/>
    <w:qFormat/>
    <w:rsid w:val="00FD4163"/>
    <w:pPr>
      <w:spacing w:line="288" w:lineRule="auto"/>
      <w:jc w:val="both"/>
    </w:pPr>
    <w:rPr>
      <w:rFonts w:ascii="Times New Roman" w:hAnsi="Times New Roman"/>
      <w:sz w:val="22"/>
    </w:rPr>
  </w:style>
  <w:style w:type="character" w:customStyle="1" w:styleId="HeaderChar">
    <w:name w:val="Header Char"/>
    <w:basedOn w:val="DefaultParagraphFont"/>
    <w:link w:val="Header"/>
    <w:rsid w:val="00107DE3"/>
    <w:rPr>
      <w:rFonts w:ascii="Times New Roman" w:hAnsi="Times New Roman"/>
      <w:sz w:val="22"/>
      <w:szCs w:val="24"/>
      <w:lang w:val="da-DK" w:eastAsia="it-IT"/>
    </w:rPr>
  </w:style>
  <w:style w:type="table" w:styleId="TableGrid">
    <w:name w:val="Table Grid"/>
    <w:basedOn w:val="TableNormal"/>
    <w:uiPriority w:val="59"/>
    <w:rsid w:val="000F3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semiHidden/>
    <w:unhideWhenUsed/>
    <w:rsid w:val="00304F95"/>
    <w:rPr>
      <w:color w:val="0000FF"/>
      <w:u w:val="single"/>
    </w:rPr>
  </w:style>
  <w:style w:type="character" w:styleId="FollowedHyperlink">
    <w:name w:val="FollowedHyperlink"/>
    <w:basedOn w:val="DefaultParagraphFont"/>
    <w:uiPriority w:val="99"/>
    <w:semiHidden/>
    <w:unhideWhenUsed/>
    <w:rsid w:val="0012012B"/>
    <w:rPr>
      <w:color w:val="954F72" w:themeColor="followedHyperlink"/>
      <w:u w:val="single"/>
    </w:rPr>
  </w:style>
  <w:style w:type="paragraph" w:customStyle="1" w:styleId="quotes">
    <w:name w:val="quotes"/>
    <w:basedOn w:val="Normal"/>
    <w:next w:val="Normal"/>
    <w:rsid w:val="00FD4163"/>
    <w:pPr>
      <w:spacing w:line="288" w:lineRule="auto"/>
      <w:ind w:left="720"/>
      <w:jc w:val="both"/>
    </w:pPr>
    <w:rPr>
      <w:rFonts w:ascii="Times New Roman" w:eastAsia="Times New Roman" w:hAnsi="Times New Roman"/>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9612">
      <w:bodyDiv w:val="1"/>
      <w:marLeft w:val="0"/>
      <w:marRight w:val="0"/>
      <w:marTop w:val="0"/>
      <w:marBottom w:val="0"/>
      <w:divBdr>
        <w:top w:val="none" w:sz="0" w:space="0" w:color="auto"/>
        <w:left w:val="none" w:sz="0" w:space="0" w:color="auto"/>
        <w:bottom w:val="none" w:sz="0" w:space="0" w:color="auto"/>
        <w:right w:val="none" w:sz="0" w:space="0" w:color="auto"/>
      </w:divBdr>
    </w:div>
    <w:div w:id="582109165">
      <w:bodyDiv w:val="1"/>
      <w:marLeft w:val="0"/>
      <w:marRight w:val="0"/>
      <w:marTop w:val="0"/>
      <w:marBottom w:val="0"/>
      <w:divBdr>
        <w:top w:val="none" w:sz="0" w:space="0" w:color="auto"/>
        <w:left w:val="none" w:sz="0" w:space="0" w:color="auto"/>
        <w:bottom w:val="none" w:sz="0" w:space="0" w:color="auto"/>
        <w:right w:val="none" w:sz="0" w:space="0" w:color="auto"/>
      </w:divBdr>
    </w:div>
    <w:div w:id="786891241">
      <w:bodyDiv w:val="1"/>
      <w:marLeft w:val="0"/>
      <w:marRight w:val="0"/>
      <w:marTop w:val="0"/>
      <w:marBottom w:val="0"/>
      <w:divBdr>
        <w:top w:val="none" w:sz="0" w:space="0" w:color="auto"/>
        <w:left w:val="none" w:sz="0" w:space="0" w:color="auto"/>
        <w:bottom w:val="none" w:sz="0" w:space="0" w:color="auto"/>
        <w:right w:val="none" w:sz="0" w:space="0" w:color="auto"/>
      </w:divBdr>
    </w:div>
    <w:div w:id="1083525550">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489856962">
      <w:bodyDiv w:val="1"/>
      <w:marLeft w:val="0"/>
      <w:marRight w:val="0"/>
      <w:marTop w:val="0"/>
      <w:marBottom w:val="0"/>
      <w:divBdr>
        <w:top w:val="none" w:sz="0" w:space="0" w:color="auto"/>
        <w:left w:val="none" w:sz="0" w:space="0" w:color="auto"/>
        <w:bottom w:val="none" w:sz="0" w:space="0" w:color="auto"/>
        <w:right w:val="none" w:sz="0" w:space="0" w:color="auto"/>
      </w:divBdr>
    </w:div>
    <w:div w:id="1618558367">
      <w:bodyDiv w:val="1"/>
      <w:marLeft w:val="0"/>
      <w:marRight w:val="0"/>
      <w:marTop w:val="0"/>
      <w:marBottom w:val="0"/>
      <w:divBdr>
        <w:top w:val="none" w:sz="0" w:space="0" w:color="auto"/>
        <w:left w:val="none" w:sz="0" w:space="0" w:color="auto"/>
        <w:bottom w:val="none" w:sz="0" w:space="0" w:color="auto"/>
        <w:right w:val="none" w:sz="0" w:space="0" w:color="auto"/>
      </w:divBdr>
    </w:div>
    <w:div w:id="1878543131">
      <w:bodyDiv w:val="1"/>
      <w:marLeft w:val="0"/>
      <w:marRight w:val="0"/>
      <w:marTop w:val="0"/>
      <w:marBottom w:val="0"/>
      <w:divBdr>
        <w:top w:val="none" w:sz="0" w:space="0" w:color="auto"/>
        <w:left w:val="none" w:sz="0" w:space="0" w:color="auto"/>
        <w:bottom w:val="none" w:sz="0" w:space="0" w:color="auto"/>
        <w:right w:val="none" w:sz="0" w:space="0" w:color="auto"/>
      </w:divBdr>
    </w:div>
    <w:div w:id="1890610575">
      <w:bodyDiv w:val="1"/>
      <w:marLeft w:val="0"/>
      <w:marRight w:val="0"/>
      <w:marTop w:val="0"/>
      <w:marBottom w:val="0"/>
      <w:divBdr>
        <w:top w:val="none" w:sz="0" w:space="0" w:color="auto"/>
        <w:left w:val="none" w:sz="0" w:space="0" w:color="auto"/>
        <w:bottom w:val="none" w:sz="0" w:space="0" w:color="auto"/>
        <w:right w:val="none" w:sz="0" w:space="0" w:color="auto"/>
      </w:divBdr>
    </w:div>
    <w:div w:id="2103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da/our-work/opinions-information-reports/opinions/communication-establishing-quality-framework-restructuring-and-anticipation-change" TargetMode="External"/><Relationship Id="rId13" Type="http://schemas.openxmlformats.org/officeDocument/2006/relationships/hyperlink" Target="https://eur-lex.europa.eu/LexUriServ/LexUriServ.do?uri=OJ:C:2019:282:SOM:DA:HTML" TargetMode="External"/><Relationship Id="rId3" Type="http://schemas.openxmlformats.org/officeDocument/2006/relationships/hyperlink" Target="https://eur-lex.europa.eu/legal-content/DA/TXT/?qid=1590574123338&amp;uri=CELEX:52020DC0380" TargetMode="External"/><Relationship Id="rId7" Type="http://schemas.openxmlformats.org/officeDocument/2006/relationships/hyperlink" Target="https://ec.europa.eu/social/main.jsp?langId=da&amp;catId=1226&amp;furtherNews=yes&amp;newsId=9696" TargetMode="External"/><Relationship Id="rId12" Type="http://schemas.openxmlformats.org/officeDocument/2006/relationships/hyperlink" Target="https://www.eesc.europa.eu/da/our-work/opinions-information-reports/opinions/european-framework-directive-minimum-income-own-initiative-opinion" TargetMode="External"/><Relationship Id="rId2" Type="http://schemas.openxmlformats.org/officeDocument/2006/relationships/hyperlink" Target="https://eur-lex.europa.eu/legal-content/DA/TXT/?qid=1590732521013&amp;uri=COM:2020:456:FIN" TargetMode="External"/><Relationship Id="rId1" Type="http://schemas.openxmlformats.org/officeDocument/2006/relationships/hyperlink" Target="https://www.eesc.europa.eu/da/news-media/press-releases/eesc-proposals-post-covid-19-recovery-and-reconstruction-towards-new-societal-model" TargetMode="External"/><Relationship Id="rId6" Type="http://schemas.openxmlformats.org/officeDocument/2006/relationships/hyperlink" Target="https://ec.europa.eu/commission/presscorner/detail/da/qanda_20_20" TargetMode="External"/><Relationship Id="rId11" Type="http://schemas.openxmlformats.org/officeDocument/2006/relationships/hyperlink" Target="https://www.eesc.europa.eu/da/our-work/opinions-information-reports/opinions/common-minimum-standards-field-unemployment-insurance-eu-member-states-concrete-step-towards-effective-implementation" TargetMode="External"/><Relationship Id="rId5" Type="http://schemas.openxmlformats.org/officeDocument/2006/relationships/hyperlink" Target="https://ec.europa.eu/commission/presscorner/detail/da/qanda_20_20" TargetMode="External"/><Relationship Id="rId10" Type="http://schemas.openxmlformats.org/officeDocument/2006/relationships/hyperlink" Target="https://eur-lex.europa.eu/legal-content/DA/TXT/?qid=1594641396603&amp;uri=CELEX:52020DC0102" TargetMode="External"/><Relationship Id="rId4" Type="http://schemas.openxmlformats.org/officeDocument/2006/relationships/hyperlink" Target="https://www.ilo.org/global/standards/lang--en/index.htm" TargetMode="External"/><Relationship Id="rId9" Type="http://schemas.openxmlformats.org/officeDocument/2006/relationships/hyperlink" Target="https://www.eesc.europa.eu/da/documents/resolution/european-economic-and-social-committees-contribution-2020-commissions-work-programme-and-beyond" TargetMode="External"/><Relationship Id="rId14" Type="http://schemas.openxmlformats.org/officeDocument/2006/relationships/hyperlink" Target="https://eur-lex.europa.eu/legal-content/DA/ALL/?uri=CELEX:52019AE18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4" ma:contentTypeDescription="Defines the documents for Document Manager V2" ma:contentTypeScope="" ma:versionID="d945b5853b9a409bd93986b015db2ee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012abeaec5591cf3df1cee32d300b2f6"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VV634QRNENMJ-762678085-1553</_dlc_DocId>
    <_dlc_DocIdUrl xmlns="cda99570-6012-4083-bfeb-7d32ad1ce1a3">
      <Url>http://dm2016/eesc/2020/_layouts/15/DocIdRedir.aspx?ID=VV634QRNENMJ-762678085-1553</Url>
      <Description>VV634QRNENMJ-762678085-1553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2020-07-17T12:00:00+00:00</ProductionDate>
    <FicheYear xmlns="cda99570-6012-4083-bfeb-7d32ad1ce1a3">2020</FicheYear>
    <DocumentNumber xmlns="98af4b3d-0f8e-4839-87de-ec8dfffabf66">3155</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36</Value>
      <Value>186</Value>
      <Value>1</Value>
      <Value>31</Value>
      <Value>32</Value>
      <Value>9</Value>
      <Value>39</Value>
      <Value>43</Value>
      <Value>24</Value>
      <Value>13</Value>
      <Value>11</Value>
      <Value>10</Value>
      <Value>46</Value>
      <Value>41</Value>
      <Value>44</Value>
      <Value>6</Value>
      <Value>5</Value>
      <Value>4</Value>
      <Value>40</Value>
      <Value>2</Value>
      <Value>38</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7855</FicheNumber>
    <DocumentPart xmlns="cda99570-6012-4083-bfeb-7d32ad1ce1a3">0</DocumentPart>
    <AdoptionDate xmlns="cda99570-6012-4083-bfeb-7d32ad1ce1a3">2020-07-16T12:00:00+00:00</AdoptionDate>
    <RequestingService xmlns="cda99570-6012-4083-bfeb-7d32ad1ce1a3">Coordination législative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003DDFF4-5D7B-489B-B729-0A9EF5F9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98af4b3d-0f8e-4839-87de-ec8dfffab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940B1-1202-41DF-9EF8-27F4C1F8E311}">
  <ds:schemaRefs>
    <ds:schemaRef ds:uri="http://schemas.microsoft.com/sharepoint/events"/>
  </ds:schemaRefs>
</ds:datastoreItem>
</file>

<file path=customXml/itemProps3.xml><?xml version="1.0" encoding="utf-8"?>
<ds:datastoreItem xmlns:ds="http://schemas.openxmlformats.org/officeDocument/2006/customXml" ds:itemID="{1ECDABA7-1182-4CBD-B448-D870D775B609}">
  <ds:schemaRefs>
    <ds:schemaRef ds:uri="http://schemas.microsoft.com/sharepoint/v3/contenttype/forms"/>
  </ds:schemaRefs>
</ds:datastoreItem>
</file>

<file path=customXml/itemProps4.xml><?xml version="1.0" encoding="utf-8"?>
<ds:datastoreItem xmlns:ds="http://schemas.openxmlformats.org/officeDocument/2006/customXml" ds:itemID="{D1BEE598-5965-44EF-9D3D-F2F795A2888B}">
  <ds:schemaRefs>
    <ds:schemaRef ds:uri="http://schemas.microsoft.com/office/2006/metadata/properties"/>
    <ds:schemaRef ds:uri="http://schemas.microsoft.com/office/infopath/2007/PartnerControls"/>
    <ds:schemaRef ds:uri="cda99570-6012-4083-bfeb-7d32ad1ce1a3"/>
    <ds:schemaRef ds:uri="http://schemas.microsoft.com/sharepoint/v3/fields"/>
    <ds:schemaRef ds:uri="98af4b3d-0f8e-4839-87de-ec8dfffabf6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8431</Words>
  <Characters>46372</Characters>
  <Application>Microsoft Office Word</Application>
  <DocSecurity>0</DocSecurity>
  <Lines>386</Lines>
  <Paragraphs>109</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Titolo</vt:lpstr>
      </vt:variant>
      <vt:variant>
        <vt:i4>1</vt:i4>
      </vt:variant>
    </vt:vector>
  </HeadingPairs>
  <TitlesOfParts>
    <vt:vector size="4" baseType="lpstr">
      <vt:lpstr>EESC proposals to the EC work programme</vt:lpstr>
      <vt:lpstr>EESC Proposals for Post-COVID crisis reconstruction and recovery</vt:lpstr>
      <vt:lpstr>EESC Proposals for Post-COVID crisis reconstruction and recovery</vt:lpstr>
      <vt:lpstr/>
    </vt:vector>
  </TitlesOfParts>
  <Company/>
  <LinksUpToDate>false</LinksUpToDate>
  <CharactersWithSpaces>54694</CharactersWithSpaces>
  <SharedDoc>false</SharedDoc>
  <HLinks>
    <vt:vector size="6" baseType="variant">
      <vt:variant>
        <vt:i4>852045</vt:i4>
      </vt:variant>
      <vt:variant>
        <vt:i4>0</vt:i4>
      </vt:variant>
      <vt:variant>
        <vt:i4>0</vt:i4>
      </vt:variant>
      <vt:variant>
        <vt:i4>5</vt:i4>
      </vt:variant>
      <vt:variant>
        <vt:lpwstr>https://www.consilium.europa.eu/en/press/press-releases/2020/04/09/report-on-the-comprehensive-economic-policy-response-to-the-covid-19-pandemic/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EØSU's bidrag til Kommissionens arbejdsprogram for 2021</dc:title>
  <dc:subject>Resolution</dc:subject>
  <dc:creator>Stefano Palmieri</dc:creator>
  <cp:keywords>EESC-2020-03155-00-00-RES-TRA-EN</cp:keywords>
  <dc:description>Rapporteur:  - Original language: EN - Date of document: 17/07/2020 - Date of meeting:  - External documents:  - Administrator: M. COSMAI Domenico</dc:description>
  <cp:lastModifiedBy>Jekaterina Kelk</cp:lastModifiedBy>
  <cp:revision>12</cp:revision>
  <cp:lastPrinted>2020-07-07T07:28:00Z</cp:lastPrinted>
  <dcterms:created xsi:type="dcterms:W3CDTF">2020-07-17T06:52:00Z</dcterms:created>
  <dcterms:modified xsi:type="dcterms:W3CDTF">2020-07-17T13:21:00Z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17/07/2020, 08/07/2020, 11/06/2020, 08/06/2020, 05/06/2020</vt:lpwstr>
  </property>
  <property fmtid="{D5CDD505-2E9C-101B-9397-08002B2CF9AE}" pid="4" name="Pref_Time">
    <vt:lpwstr>08:48:42, 07:52:58, 09:56:31, 17:57:49, 16:51:19</vt:lpwstr>
  </property>
  <property fmtid="{D5CDD505-2E9C-101B-9397-08002B2CF9AE}" pid="5" name="Pref_User">
    <vt:lpwstr>enied, enied, mkop, enied, enied</vt:lpwstr>
  </property>
  <property fmtid="{D5CDD505-2E9C-101B-9397-08002B2CF9AE}" pid="6" name="Pref_FileName">
    <vt:lpwstr>EESC-2020-03155-00-00-RES-TRA-EN-CRR.docx, EESC-2020-03155-00-01-PRES-ORI.docx, EESC-2020-02549-00-00-RES-ORI.docx, EESC-2020-02549-00-02-PRES-TRA-EN.docx, 05-06 joint rapporteurs' document_15 - FINAL - EN with TC.docx</vt:lpwstr>
  </property>
  <property fmtid="{D5CDD505-2E9C-101B-9397-08002B2CF9AE}" pid="7" name="ContentTypeId">
    <vt:lpwstr>0x010100EA97B91038054C99906057A708A1480A00292A099219C5BF43911B0000CE8DBCC8</vt:lpwstr>
  </property>
  <property fmtid="{D5CDD505-2E9C-101B-9397-08002B2CF9AE}" pid="8" name="_dlc_DocIdItemGuid">
    <vt:lpwstr>6f7d03b6-39c9-4de1-a73b-c4a575616f5e</vt:lpwstr>
  </property>
  <property fmtid="{D5CDD505-2E9C-101B-9397-08002B2CF9AE}" pid="9" name="AvailableTranslations">
    <vt:lpwstr>31;#CS|72f9705b-0217-4fd3-bea2-cbc7ed80e26e;#10;#DE|f6b31e5a-26fa-4935-b661-318e46daf27e;#38;#EL|6d4f4d51-af9b-4650-94b4-4276bee85c91;#40;#SV|c2ed69e7-a339-43d7-8f22-d93680a92aa0;#47;#ET|ff6c3f4c-b02c-4c3c-ab07-2c37995a7a0a;#46;#SK|46d9fce0-ef79-4f71-b89b</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3155</vt:i4>
  </property>
  <property fmtid="{D5CDD505-2E9C-101B-9397-08002B2CF9AE}" pid="14" name="FicheYear">
    <vt:i4>2020</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2020-07-16T12:00:00Z</vt:filetime>
  </property>
  <property fmtid="{D5CDD505-2E9C-101B-9397-08002B2CF9AE}" pid="21" name="DocumentType">
    <vt:lpwstr>186;#RES|9e3e62eb-6858-4bc7-8a50-3453e395fd01</vt:lpwstr>
  </property>
  <property fmtid="{D5CDD505-2E9C-101B-9397-08002B2CF9AE}" pid="22" name="RequestingService">
    <vt:lpwstr>Coordination législative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CS|72f9705b-0217-4fd3-bea2-cbc7ed80e26e;EL|6d4f4d51-af9b-4650-94b4-4276bee85c91;SK|46d9fce0-ef79-4f71-b89b-cd6aa82426b8;FR|d2afafd3-4c81-4f60-8f52-ee33f2f54ff3;HU|6b229040-c589-4408-b4c1-4285663d20a8;BG|1a1b3951-7821-4e6a-85f5-5673fc08bd2c;NL|55c6556c-b4f</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36;#MT|7df99101-6854-4a26-b53a-b88c0da02c26;#186;#RES|9e3e62eb-6858-4bc7-8a50-3453e395fd01;#1;#EESC|422833ec-8d7e-4e65-8e4e-8bed07ffb729;#31;#CS|72f9705b-0217-4fd3-bea2-cbc7ed80e26e;#39;#HU|6b229040-c589-4408-b4c1-4285663d20a8;#43;#HR|2f555653-ed1a-4fe6-8</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2020</vt:i4>
  </property>
  <property fmtid="{D5CDD505-2E9C-101B-9397-08002B2CF9AE}" pid="35" name="FicheNumber">
    <vt:i4>7855</vt:i4>
  </property>
  <property fmtid="{D5CDD505-2E9C-101B-9397-08002B2CF9AE}" pid="36" name="DocumentLanguage">
    <vt:lpwstr>32;#DA|5d49c027-8956-412b-aa16-e85a0f96ad0e</vt:lpwstr>
  </property>
</Properties>
</file>