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29D3E" w14:textId="3BCB3498" w:rsidR="00EF2989" w:rsidRPr="008E75F3" w:rsidRDefault="001F726F" w:rsidP="00DA5EF9">
      <w:pPr>
        <w:jc w:val="center"/>
      </w:pPr>
      <w:bookmarkStart w:id="0" w:name="_GoBack"/>
      <w:bookmarkEnd w:id="0"/>
      <w:r w:rsidRPr="008E75F3">
        <w:rPr>
          <w:lang w:eastAsia="fr-BE"/>
        </w:rPr>
        <w:drawing>
          <wp:inline distT="0" distB="0" distL="0" distR="0" wp14:anchorId="603E903D" wp14:editId="225B3E3C">
            <wp:extent cx="1792605" cy="1239520"/>
            <wp:effectExtent l="0" t="0" r="0" b="0"/>
            <wp:docPr id="1" name="Picture 1" title="EESCLogo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A40DA1" w:rsidRPr="008E75F3">
        <w:rPr>
          <w:sz w:val="20"/>
          <w:lang w:eastAsia="fr-BE"/>
        </w:rPr>
        <mc:AlternateContent>
          <mc:Choice Requires="wps">
            <w:drawing>
              <wp:anchor distT="0" distB="0" distL="114300" distR="114300" simplePos="0" relativeHeight="251659264" behindDoc="1" locked="0" layoutInCell="0" allowOverlap="1" wp14:anchorId="5AD0E599" wp14:editId="7DAD6D0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474FA" w14:textId="77777777" w:rsidR="00F333D7" w:rsidRPr="008E75F3" w:rsidRDefault="00F333D7">
                            <w:pPr>
                              <w:jc w:val="center"/>
                              <w:rPr>
                                <w:rFonts w:ascii="Arial" w:hAnsi="Arial" w:cs="Arial"/>
                                <w:b/>
                                <w:bCs/>
                                <w:sz w:val="48"/>
                              </w:rPr>
                            </w:pPr>
                            <w:r w:rsidRPr="008E75F3">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0E599"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465474FA" w14:textId="77777777" w:rsidR="00F333D7" w:rsidRPr="008E75F3" w:rsidRDefault="00F333D7">
                      <w:pPr>
                        <w:jc w:val="center"/>
                        <w:rPr>
                          <w:rFonts w:ascii="Arial" w:hAnsi="Arial" w:cs="Arial"/>
                          <w:b/>
                          <w:bCs/>
                          <w:sz w:val="48"/>
                        </w:rPr>
                      </w:pPr>
                      <w:r w:rsidRPr="008E75F3">
                        <w:rPr>
                          <w:rFonts w:ascii="Arial" w:hAnsi="Arial"/>
                          <w:b/>
                          <w:bCs/>
                          <w:sz w:val="48"/>
                        </w:rPr>
                        <w:t>FR</w:t>
                      </w:r>
                    </w:p>
                  </w:txbxContent>
                </v:textbox>
                <w10:wrap anchorx="page" anchory="page"/>
              </v:shape>
            </w:pict>
          </mc:Fallback>
        </mc:AlternateContent>
      </w:r>
    </w:p>
    <w:p w14:paraId="3F27159C" w14:textId="77777777" w:rsidR="00207881" w:rsidRPr="008E75F3" w:rsidRDefault="00207881" w:rsidP="00DA5EF9"/>
    <w:p w14:paraId="5974E374" w14:textId="17D683C6" w:rsidR="00B034C6" w:rsidRPr="008E75F3" w:rsidRDefault="00AD0BA7" w:rsidP="00DA5EF9">
      <w:pPr>
        <w:jc w:val="right"/>
      </w:pPr>
      <w:r w:rsidRPr="008E75F3">
        <w:rPr>
          <w:b/>
        </w:rPr>
        <w:t>NAT/797</w:t>
      </w:r>
    </w:p>
    <w:p w14:paraId="7446B48D" w14:textId="33C87369" w:rsidR="00B034C6" w:rsidRPr="008E75F3" w:rsidRDefault="00831687" w:rsidP="00DA5EF9">
      <w:pPr>
        <w:jc w:val="right"/>
        <w:rPr>
          <w:b/>
        </w:rPr>
      </w:pPr>
      <w:r w:rsidRPr="008E75F3">
        <w:rPr>
          <w:b/>
        </w:rPr>
        <w:t>Médicaments OGM/COVID-19</w:t>
      </w:r>
    </w:p>
    <w:p w14:paraId="57897623" w14:textId="77777777" w:rsidR="00EF2989" w:rsidRPr="008E75F3" w:rsidRDefault="00EF2989" w:rsidP="00DA5EF9"/>
    <w:p w14:paraId="4F8612BA" w14:textId="77777777" w:rsidR="00EF2989" w:rsidRPr="008E75F3" w:rsidRDefault="00EF2989" w:rsidP="00DA5EF9"/>
    <w:p w14:paraId="658946A1" w14:textId="499102EB" w:rsidR="00A900FF" w:rsidRPr="008E75F3" w:rsidRDefault="004A5359" w:rsidP="00DA5EF9">
      <w:pPr>
        <w:jc w:val="center"/>
      </w:pPr>
      <w:r w:rsidRPr="008E75F3">
        <w:rPr>
          <w:b/>
          <w:sz w:val="28"/>
          <w:szCs w:val="28"/>
        </w:rPr>
        <w:t>EXPOSÉ DE POSITION</w:t>
      </w:r>
      <w:r w:rsidRPr="008E75F3">
        <w:br/>
      </w:r>
      <w:r w:rsidRPr="008E75F3">
        <w:br/>
        <w:t>Comité économique et social européen</w:t>
      </w:r>
      <w:r w:rsidRPr="008E75F3">
        <w:br/>
      </w:r>
      <w:r w:rsidRPr="008E75F3">
        <w:br/>
      </w:r>
      <w:r w:rsidRPr="008E75F3">
        <w:rPr>
          <w:b/>
          <w:bCs/>
        </w:rPr>
        <w:t>Proposition de règlement du Parlement européen et du Conseil relatif à la conduite d’essais cliniques réalisés avec des médicaments à usage humain contenant des organismes génétiquement modifiés ou consistant en de tels organismes et destinés à traiter ou prévenir la maladie à coronavirus, ainsi qu’à la fourniture de ces médicaments</w:t>
      </w:r>
      <w:r w:rsidRPr="008E75F3">
        <w:rPr>
          <w:b/>
          <w:bCs/>
        </w:rPr>
        <w:br/>
      </w:r>
      <w:r w:rsidRPr="008E75F3">
        <w:t>[COM(2020) 261 final – 2020/0128 (COD)]</w:t>
      </w:r>
    </w:p>
    <w:p w14:paraId="2603E26B" w14:textId="10FEEEFB" w:rsidR="00043E91" w:rsidRPr="008E75F3" w:rsidRDefault="00043E91" w:rsidP="00DA5EF9">
      <w:pPr>
        <w:jc w:val="center"/>
        <w:rPr>
          <w:snapToGrid w:val="0"/>
          <w:szCs w:val="24"/>
        </w:rPr>
      </w:pPr>
    </w:p>
    <w:p w14:paraId="5E677F41" w14:textId="1AB2F025" w:rsidR="00A23399" w:rsidRPr="008E75F3" w:rsidRDefault="00A23399" w:rsidP="00DA5EF9">
      <w:pPr>
        <w:jc w:val="center"/>
        <w:rPr>
          <w:rFonts w:eastAsia="PMingLiU"/>
          <w:snapToGrid w:val="0"/>
          <w:szCs w:val="24"/>
        </w:rPr>
      </w:pPr>
      <w:proofErr w:type="spellStart"/>
      <w:r w:rsidRPr="008E75F3">
        <w:rPr>
          <w:snapToGrid w:val="0"/>
          <w:szCs w:val="24"/>
        </w:rPr>
        <w:t>Rapporteure</w:t>
      </w:r>
      <w:proofErr w:type="spellEnd"/>
      <w:r w:rsidRPr="008E75F3">
        <w:rPr>
          <w:snapToGrid w:val="0"/>
          <w:szCs w:val="24"/>
        </w:rPr>
        <w:t xml:space="preserve"> générale: </w:t>
      </w:r>
      <w:r w:rsidRPr="008E75F3">
        <w:rPr>
          <w:b/>
          <w:snapToGrid w:val="0"/>
          <w:szCs w:val="24"/>
        </w:rPr>
        <w:t>Renate HEINISCH</w:t>
      </w: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146AFA" w:rsidRPr="008E75F3" w14:paraId="2B2227B7" w14:textId="77777777" w:rsidTr="00146AFA">
        <w:tc>
          <w:tcPr>
            <w:tcW w:w="3085" w:type="dxa"/>
          </w:tcPr>
          <w:p w14:paraId="4E7BB630" w14:textId="77777777" w:rsidR="00146AFA" w:rsidRPr="008E75F3" w:rsidRDefault="00146AFA" w:rsidP="00DA5EF9">
            <w:pPr>
              <w:jc w:val="left"/>
            </w:pPr>
            <w:r w:rsidRPr="008E75F3">
              <w:t>Date du document</w:t>
            </w:r>
          </w:p>
        </w:tc>
        <w:tc>
          <w:tcPr>
            <w:tcW w:w="6204" w:type="dxa"/>
          </w:tcPr>
          <w:p w14:paraId="7B093423" w14:textId="2C00592A" w:rsidR="00146AFA" w:rsidRPr="008E75F3" w:rsidRDefault="00F22CD5" w:rsidP="00496FB2">
            <w:pPr>
              <w:jc w:val="left"/>
            </w:pPr>
            <w:r w:rsidRPr="008E75F3">
              <w:t>08/07/2020</w:t>
            </w:r>
          </w:p>
        </w:tc>
      </w:tr>
    </w:tbl>
    <w:p w14:paraId="585A5AD7" w14:textId="77777777" w:rsidR="00101B16" w:rsidRPr="008E75F3" w:rsidRDefault="00101B16" w:rsidP="00DA5EF9"/>
    <w:p w14:paraId="1D5BCF43" w14:textId="77777777" w:rsidR="00EF2989" w:rsidRPr="008E75F3" w:rsidRDefault="00EF2989" w:rsidP="00DA5EF9">
      <w:pPr>
        <w:sectPr w:rsidR="00EF2989" w:rsidRPr="008E75F3" w:rsidSect="008E75F3">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24"/>
        <w:gridCol w:w="6049"/>
      </w:tblGrid>
      <w:tr w:rsidR="00101B16" w:rsidRPr="008E75F3" w14:paraId="1434ADFD" w14:textId="77777777" w:rsidTr="00CB055E">
        <w:tc>
          <w:tcPr>
            <w:tcW w:w="3085" w:type="dxa"/>
          </w:tcPr>
          <w:p w14:paraId="662AF90E" w14:textId="77777777" w:rsidR="00101B16" w:rsidRPr="008E75F3" w:rsidRDefault="00102ECF" w:rsidP="00DA5EF9">
            <w:pPr>
              <w:jc w:val="left"/>
            </w:pPr>
            <w:r w:rsidRPr="008E75F3">
              <w:lastRenderedPageBreak/>
              <w:t>Consultation</w:t>
            </w:r>
          </w:p>
        </w:tc>
        <w:tc>
          <w:tcPr>
            <w:tcW w:w="6204" w:type="dxa"/>
          </w:tcPr>
          <w:p w14:paraId="19A18560" w14:textId="3BC8CDE0" w:rsidR="00101B16" w:rsidRPr="008E75F3" w:rsidRDefault="00F011DF" w:rsidP="00DA5EF9">
            <w:pPr>
              <w:jc w:val="left"/>
            </w:pPr>
            <w:r w:rsidRPr="008E75F3">
              <w:t>Conseil de l’Union européenne, 23/06/2020</w:t>
            </w:r>
          </w:p>
          <w:p w14:paraId="64866DF1" w14:textId="121EBBB8" w:rsidR="00DA5EF9" w:rsidRPr="008E75F3" w:rsidRDefault="00A166D0" w:rsidP="00223DE2">
            <w:pPr>
              <w:jc w:val="left"/>
            </w:pPr>
            <w:r w:rsidRPr="008E75F3">
              <w:t>Parlement européen, 19/06/2020</w:t>
            </w:r>
          </w:p>
        </w:tc>
      </w:tr>
      <w:tr w:rsidR="00101B16" w:rsidRPr="008E75F3" w14:paraId="152DEDA6" w14:textId="77777777" w:rsidTr="00CB055E">
        <w:trPr>
          <w:trHeight w:val="251"/>
        </w:trPr>
        <w:tc>
          <w:tcPr>
            <w:tcW w:w="3085" w:type="dxa"/>
          </w:tcPr>
          <w:p w14:paraId="44038AEB" w14:textId="77777777" w:rsidR="00101B16" w:rsidRPr="008E75F3" w:rsidRDefault="00101B16" w:rsidP="00DA5EF9">
            <w:pPr>
              <w:jc w:val="left"/>
            </w:pPr>
            <w:r w:rsidRPr="008E75F3">
              <w:t>Base juridique</w:t>
            </w:r>
          </w:p>
        </w:tc>
        <w:tc>
          <w:tcPr>
            <w:tcW w:w="6204" w:type="dxa"/>
          </w:tcPr>
          <w:p w14:paraId="56F52233" w14:textId="27D1A294" w:rsidR="00DA5EF9" w:rsidRPr="008E75F3" w:rsidRDefault="008208D7" w:rsidP="006B07A0">
            <w:pPr>
              <w:jc w:val="left"/>
            </w:pPr>
            <w:r w:rsidRPr="008E75F3">
              <w:t>Article 114 et article 168, paragraph</w:t>
            </w:r>
            <w:r w:rsidR="00724402" w:rsidRPr="008E75F3">
              <w:t>e 4, point c), du traité sur le </w:t>
            </w:r>
            <w:r w:rsidRPr="008E75F3">
              <w:t>fonctionnement de l’Union européenne</w:t>
            </w:r>
          </w:p>
        </w:tc>
      </w:tr>
      <w:tr w:rsidR="00101B16" w:rsidRPr="008E75F3" w14:paraId="773EDF05" w14:textId="77777777" w:rsidTr="00CB055E">
        <w:tc>
          <w:tcPr>
            <w:tcW w:w="3085" w:type="dxa"/>
          </w:tcPr>
          <w:p w14:paraId="1E02BB18" w14:textId="77777777" w:rsidR="00101B16" w:rsidRPr="008E75F3" w:rsidRDefault="00101B16" w:rsidP="00DA5EF9">
            <w:pPr>
              <w:jc w:val="left"/>
            </w:pPr>
            <w:r w:rsidRPr="008E75F3">
              <w:t>Compétence</w:t>
            </w:r>
          </w:p>
        </w:tc>
        <w:tc>
          <w:tcPr>
            <w:tcW w:w="6204" w:type="dxa"/>
          </w:tcPr>
          <w:p w14:paraId="69D04DA0" w14:textId="3D5C2CCD" w:rsidR="00101B16" w:rsidRPr="008E75F3" w:rsidRDefault="00C07CB3" w:rsidP="00DA5EF9">
            <w:pPr>
              <w:jc w:val="left"/>
            </w:pPr>
            <w:r w:rsidRPr="008E75F3">
              <w:t>Section</w:t>
            </w:r>
            <w:r w:rsidR="00117A18" w:rsidRPr="008E75F3">
              <w:t xml:space="preserve"> «Agriculture, développement rural et environnement»</w:t>
            </w:r>
          </w:p>
        </w:tc>
      </w:tr>
      <w:tr w:rsidR="00146AFA" w:rsidRPr="008E75F3" w14:paraId="58F79529" w14:textId="77777777" w:rsidTr="00CB055E">
        <w:tc>
          <w:tcPr>
            <w:tcW w:w="3085" w:type="dxa"/>
          </w:tcPr>
          <w:p w14:paraId="41FEB23C" w14:textId="6A68B991" w:rsidR="00146AFA" w:rsidRPr="008E75F3" w:rsidRDefault="00146AFA" w:rsidP="00DA5EF9">
            <w:pPr>
              <w:jc w:val="left"/>
            </w:pPr>
          </w:p>
        </w:tc>
        <w:tc>
          <w:tcPr>
            <w:tcW w:w="6204" w:type="dxa"/>
          </w:tcPr>
          <w:p w14:paraId="63088588" w14:textId="6048F841" w:rsidR="00146AFA" w:rsidRPr="008E75F3" w:rsidRDefault="00146AFA" w:rsidP="00DA5EF9">
            <w:pPr>
              <w:jc w:val="left"/>
            </w:pPr>
          </w:p>
        </w:tc>
      </w:tr>
      <w:tr w:rsidR="00101B16" w:rsidRPr="008E75F3" w14:paraId="0CFA78F7" w14:textId="77777777" w:rsidTr="00CB055E">
        <w:tc>
          <w:tcPr>
            <w:tcW w:w="3085" w:type="dxa"/>
          </w:tcPr>
          <w:p w14:paraId="2D222F2C" w14:textId="1F4DEED1" w:rsidR="00101B16" w:rsidRPr="008E75F3" w:rsidRDefault="00101B16" w:rsidP="00DA5EF9">
            <w:pPr>
              <w:jc w:val="left"/>
            </w:pPr>
          </w:p>
        </w:tc>
        <w:tc>
          <w:tcPr>
            <w:tcW w:w="6204" w:type="dxa"/>
          </w:tcPr>
          <w:p w14:paraId="13786655" w14:textId="0FAA9CCC" w:rsidR="00101B16" w:rsidRPr="008E75F3" w:rsidRDefault="00101B16" w:rsidP="00DA5EF9">
            <w:pPr>
              <w:jc w:val="left"/>
            </w:pPr>
          </w:p>
        </w:tc>
      </w:tr>
      <w:tr w:rsidR="00101B16" w:rsidRPr="008E75F3" w14:paraId="45533CDA" w14:textId="77777777" w:rsidTr="00CB055E">
        <w:tc>
          <w:tcPr>
            <w:tcW w:w="3085" w:type="dxa"/>
          </w:tcPr>
          <w:p w14:paraId="7FFF440A" w14:textId="321FABB2" w:rsidR="00101B16" w:rsidRPr="008E75F3" w:rsidRDefault="00101B16" w:rsidP="00DA5EF9">
            <w:pPr>
              <w:jc w:val="left"/>
            </w:pPr>
          </w:p>
        </w:tc>
        <w:tc>
          <w:tcPr>
            <w:tcW w:w="6204" w:type="dxa"/>
          </w:tcPr>
          <w:p w14:paraId="7EE22931" w14:textId="0BCF7DF4" w:rsidR="00101B16" w:rsidRPr="008E75F3" w:rsidRDefault="00101B16" w:rsidP="00DA5EF9">
            <w:pPr>
              <w:jc w:val="left"/>
            </w:pPr>
          </w:p>
        </w:tc>
      </w:tr>
      <w:tr w:rsidR="00101B16" w:rsidRPr="008E75F3" w14:paraId="73F6FE1A" w14:textId="77777777" w:rsidTr="00CB055E">
        <w:tc>
          <w:tcPr>
            <w:tcW w:w="3085" w:type="dxa"/>
          </w:tcPr>
          <w:p w14:paraId="2552615F" w14:textId="23AAC382" w:rsidR="00101B16" w:rsidRPr="008E75F3" w:rsidRDefault="00101B16" w:rsidP="00DA5EF9">
            <w:pPr>
              <w:jc w:val="left"/>
            </w:pPr>
          </w:p>
        </w:tc>
        <w:tc>
          <w:tcPr>
            <w:tcW w:w="6204" w:type="dxa"/>
            <w:vAlign w:val="bottom"/>
          </w:tcPr>
          <w:p w14:paraId="646E3BBF" w14:textId="040A8C08" w:rsidR="00101B16" w:rsidRPr="008E75F3" w:rsidRDefault="00101B16" w:rsidP="00DA5EF9">
            <w:pPr>
              <w:jc w:val="left"/>
            </w:pPr>
          </w:p>
        </w:tc>
      </w:tr>
    </w:tbl>
    <w:p w14:paraId="657F24FA" w14:textId="77777777" w:rsidR="00101B16" w:rsidRPr="008E75F3" w:rsidRDefault="00101B16" w:rsidP="00DA5EF9"/>
    <w:p w14:paraId="59BA7CA3" w14:textId="77777777" w:rsidR="00101B16" w:rsidRPr="008E75F3" w:rsidRDefault="00101B16" w:rsidP="00DA5EF9"/>
    <w:p w14:paraId="624C4FAE" w14:textId="77777777" w:rsidR="00082FF4" w:rsidRPr="008E75F3" w:rsidRDefault="00082FF4" w:rsidP="00DA5EF9">
      <w:pPr>
        <w:jc w:val="left"/>
      </w:pPr>
      <w:r w:rsidRPr="008E75F3">
        <w:br w:type="page"/>
      </w:r>
    </w:p>
    <w:p w14:paraId="2499B794" w14:textId="77777777" w:rsidR="00082FF4" w:rsidRPr="008E75F3" w:rsidRDefault="00082FF4" w:rsidP="00DA5EF9">
      <w:pPr>
        <w:pStyle w:val="Heading1"/>
      </w:pPr>
      <w:r w:rsidRPr="008E75F3">
        <w:rPr>
          <w:b/>
        </w:rPr>
        <w:lastRenderedPageBreak/>
        <w:t>Conclusions et recommandations</w:t>
      </w:r>
    </w:p>
    <w:p w14:paraId="32EF0BF6" w14:textId="77777777" w:rsidR="002508E5" w:rsidRPr="008E75F3" w:rsidRDefault="002508E5" w:rsidP="002508E5"/>
    <w:p w14:paraId="17AA9FF5" w14:textId="53BD9852" w:rsidR="002508E5" w:rsidRPr="008E75F3" w:rsidRDefault="002508E5" w:rsidP="006B07A0">
      <w:pPr>
        <w:pStyle w:val="Heading2"/>
        <w:ind w:left="426" w:hanging="426"/>
      </w:pPr>
      <w:r w:rsidRPr="008E75F3">
        <w:t>Le CESE accueille favorablement la proposition de la Commission européenne et soutient l’initiative visant à garantir que les essais cliniques portant sur des médicaments à usage humain contenant des organismes génétiquement modifiés (OGM) ou consistant en</w:t>
      </w:r>
      <w:r w:rsidR="00724402" w:rsidRPr="008E75F3">
        <w:t xml:space="preserve"> de tels organismes et </w:t>
      </w:r>
      <w:r w:rsidRPr="008E75F3">
        <w:t xml:space="preserve">qui sont destinés à traiter ou à prévenir la COVID-19 puissent commencer le plus rapidement possible. </w:t>
      </w:r>
    </w:p>
    <w:p w14:paraId="07C72757" w14:textId="77777777" w:rsidR="002508E5" w:rsidRPr="008E75F3" w:rsidRDefault="002508E5" w:rsidP="002508E5"/>
    <w:p w14:paraId="7E3CE3F5" w14:textId="37D02475" w:rsidR="002508E5" w:rsidRPr="008E75F3" w:rsidRDefault="002508E5" w:rsidP="006B07A0">
      <w:pPr>
        <w:pStyle w:val="Heading2"/>
        <w:ind w:left="426" w:hanging="426"/>
      </w:pPr>
      <w:r w:rsidRPr="008E75F3">
        <w:t>Conformément à la proposition de la Commission, le Comité estime qu’il est de la plus haute importance que ces essais cliniques garantissent les droits, la sécurité,</w:t>
      </w:r>
      <w:r w:rsidR="00724402" w:rsidRPr="008E75F3">
        <w:t xml:space="preserve"> la dignité et le bien-être des </w:t>
      </w:r>
      <w:r w:rsidRPr="008E75F3">
        <w:t>personnes qui y participent, la fiabilité et la solidité de</w:t>
      </w:r>
      <w:r w:rsidR="00724402" w:rsidRPr="008E75F3">
        <w:t>s données obtenues ainsi qu’une </w:t>
      </w:r>
      <w:r w:rsidRPr="008E75F3">
        <w:t>protection adéquate de la santé humaine et de l’environnement.</w:t>
      </w:r>
    </w:p>
    <w:p w14:paraId="0102266B" w14:textId="77777777" w:rsidR="002508E5" w:rsidRPr="008E75F3" w:rsidRDefault="002508E5" w:rsidP="002508E5"/>
    <w:p w14:paraId="4A888673" w14:textId="73677DAB" w:rsidR="002508E5" w:rsidRPr="008E75F3" w:rsidRDefault="002508E5" w:rsidP="006B07A0">
      <w:pPr>
        <w:pStyle w:val="Heading2"/>
        <w:ind w:left="426" w:hanging="426"/>
      </w:pPr>
      <w:r w:rsidRPr="008E75F3">
        <w:t>Le CESE convient que la mise au point de vaccins et de thérapi</w:t>
      </w:r>
      <w:r w:rsidR="00724402" w:rsidRPr="008E75F3">
        <w:t>es contre la COVID-19 revêt une </w:t>
      </w:r>
      <w:r w:rsidRPr="008E75F3">
        <w:t>importance majeure pour le public. Toutefois, des mesures supplémentaires sont nécessaires pour ass</w:t>
      </w:r>
      <w:r w:rsidR="00724402" w:rsidRPr="008E75F3">
        <w:t>urer une immunisation optimale.</w:t>
      </w:r>
    </w:p>
    <w:p w14:paraId="729AD0BA" w14:textId="77777777" w:rsidR="002508E5" w:rsidRPr="008E75F3" w:rsidRDefault="002508E5" w:rsidP="002508E5">
      <w:pPr>
        <w:pStyle w:val="Heading2"/>
        <w:numPr>
          <w:ilvl w:val="0"/>
          <w:numId w:val="0"/>
        </w:numPr>
      </w:pPr>
    </w:p>
    <w:p w14:paraId="38466AE7" w14:textId="53DE03F3" w:rsidR="002508E5" w:rsidRPr="008E75F3" w:rsidRDefault="002508E5" w:rsidP="006B07A0">
      <w:pPr>
        <w:pStyle w:val="Heading2"/>
        <w:ind w:left="426" w:hanging="426"/>
      </w:pPr>
      <w:r w:rsidRPr="008E75F3">
        <w:t>Le Comité estime, comme il l’expose dans la partie</w:t>
      </w:r>
      <w:proofErr w:type="gramStart"/>
      <w:r w:rsidRPr="008E75F3">
        <w:t xml:space="preserve"> «Observ</w:t>
      </w:r>
      <w:r w:rsidR="00724402" w:rsidRPr="008E75F3">
        <w:t>ations</w:t>
      </w:r>
      <w:proofErr w:type="gramEnd"/>
      <w:r w:rsidR="00724402" w:rsidRPr="008E75F3">
        <w:t>» du présent avis, que le </w:t>
      </w:r>
      <w:r w:rsidRPr="008E75F3">
        <w:t>développement des vaccins en général et la proposition de règlement en particulier devraient aller de pair avec la stratégie de l’UE en matière de vaccins cont</w:t>
      </w:r>
      <w:r w:rsidR="00724402" w:rsidRPr="008E75F3">
        <w:t>re la COVID-19, mais aussi avec </w:t>
      </w:r>
      <w:r w:rsidRPr="008E75F3">
        <w:t>une stratégie plus large de l’UE en matière de vaccination.</w:t>
      </w:r>
    </w:p>
    <w:p w14:paraId="007FF929" w14:textId="77777777" w:rsidR="002508E5" w:rsidRPr="008E75F3" w:rsidRDefault="002508E5" w:rsidP="002508E5"/>
    <w:p w14:paraId="41604422" w14:textId="2FCD5724" w:rsidR="00C10745" w:rsidRPr="008E75F3" w:rsidRDefault="002508E5" w:rsidP="006B07A0">
      <w:pPr>
        <w:pStyle w:val="Heading2"/>
        <w:ind w:left="426" w:hanging="426"/>
        <w:rPr>
          <w:shd w:val="clear" w:color="auto" w:fill="FFFFFF"/>
        </w:rPr>
      </w:pPr>
      <w:r w:rsidRPr="008E75F3">
        <w:rPr>
          <w:shd w:val="clear" w:color="auto" w:fill="FFFFFF"/>
        </w:rPr>
        <w:t>Le CESE recommande à la Commission de mettre au point des «bonnes pratiques de simulation» afin que les industries disposent d’un cadre réglementaire bien défini dans lequel inscrire leur action lors du déploiement de solutions de modélisation et de simulation informatiques dans le domaine des soins de santé et, en particulier, dans les activités précliniques et l</w:t>
      </w:r>
      <w:r w:rsidR="00724402" w:rsidRPr="008E75F3">
        <w:rPr>
          <w:shd w:val="clear" w:color="auto" w:fill="FFFFFF"/>
        </w:rPr>
        <w:t>es essais cliniques, ce qui est </w:t>
      </w:r>
      <w:r w:rsidRPr="008E75F3">
        <w:rPr>
          <w:shd w:val="clear" w:color="auto" w:fill="FFFFFF"/>
        </w:rPr>
        <w:t>encore plus crucial en période de crise de santé publique, telle que celle de l</w:t>
      </w:r>
      <w:r w:rsidR="00724402" w:rsidRPr="008E75F3">
        <w:rPr>
          <w:shd w:val="clear" w:color="auto" w:fill="FFFFFF"/>
        </w:rPr>
        <w:t>a pandémie de </w:t>
      </w:r>
      <w:r w:rsidRPr="008E75F3">
        <w:rPr>
          <w:shd w:val="clear" w:color="auto" w:fill="FFFFFF"/>
        </w:rPr>
        <w:t>COVID-19.</w:t>
      </w:r>
    </w:p>
    <w:p w14:paraId="0BC95212" w14:textId="455E2FCA" w:rsidR="00C10745" w:rsidRPr="008E75F3" w:rsidRDefault="00C10745" w:rsidP="00C10745"/>
    <w:p w14:paraId="495C3B83" w14:textId="0BB5238D" w:rsidR="00C10745" w:rsidRPr="008E75F3" w:rsidRDefault="00C10745" w:rsidP="006B07A0">
      <w:pPr>
        <w:pStyle w:val="Heading2"/>
        <w:ind w:left="426" w:hanging="426"/>
        <w:rPr>
          <w:shd w:val="clear" w:color="auto" w:fill="FFFFFF"/>
        </w:rPr>
      </w:pPr>
      <w:bookmarkStart w:id="1" w:name="_Hlk44508635"/>
      <w:r w:rsidRPr="008E75F3">
        <w:rPr>
          <w:shd w:val="clear" w:color="auto" w:fill="FFFFFF"/>
        </w:rPr>
        <w:t>Le CESE estime que l’industrie pharmaceutique et celle des dispositifs médicaux devraient être encouragées à présenter des données en temps réel aux autorités s</w:t>
      </w:r>
      <w:r w:rsidR="00724402" w:rsidRPr="008E75F3">
        <w:rPr>
          <w:shd w:val="clear" w:color="auto" w:fill="FFFFFF"/>
        </w:rPr>
        <w:t>ur une base quotidienne afin de </w:t>
      </w:r>
      <w:r w:rsidRPr="008E75F3">
        <w:rPr>
          <w:shd w:val="clear" w:color="auto" w:fill="FFFFFF"/>
        </w:rPr>
        <w:t>garantir la mise au point rapide de thérapies contre la COVID-19</w:t>
      </w:r>
      <w:r w:rsidR="00724402" w:rsidRPr="008E75F3">
        <w:rPr>
          <w:shd w:val="clear" w:color="auto" w:fill="FFFFFF"/>
        </w:rPr>
        <w:t>.</w:t>
      </w:r>
    </w:p>
    <w:bookmarkEnd w:id="1"/>
    <w:p w14:paraId="571325AC" w14:textId="0BE3F754" w:rsidR="00602219" w:rsidRPr="008E75F3" w:rsidRDefault="00602219" w:rsidP="00602219"/>
    <w:p w14:paraId="149911C7" w14:textId="77777777" w:rsidR="00602219" w:rsidRPr="008E75F3" w:rsidRDefault="00602219" w:rsidP="00496FB2">
      <w:pPr>
        <w:pStyle w:val="Heading1"/>
        <w:keepNext/>
        <w:keepLines/>
        <w:rPr>
          <w:b/>
        </w:rPr>
      </w:pPr>
      <w:r w:rsidRPr="008E75F3">
        <w:rPr>
          <w:b/>
        </w:rPr>
        <w:t>Contenu essentiel de la proposition de la Commission</w:t>
      </w:r>
    </w:p>
    <w:p w14:paraId="05B0C741" w14:textId="0A0DAD46" w:rsidR="002508E5" w:rsidRPr="008E75F3" w:rsidRDefault="002508E5" w:rsidP="00496FB2">
      <w:pPr>
        <w:keepNext/>
        <w:keepLines/>
      </w:pPr>
    </w:p>
    <w:p w14:paraId="69D8B438" w14:textId="13590068" w:rsidR="002508E5" w:rsidRPr="008E75F3" w:rsidRDefault="002508E5" w:rsidP="00496FB2">
      <w:pPr>
        <w:pStyle w:val="Heading2"/>
        <w:keepNext/>
        <w:ind w:left="425" w:hanging="425"/>
      </w:pPr>
      <w:r w:rsidRPr="008E75F3">
        <w:t>La proposition de la Commission européenne vise à faire en sorte que, dans la mesure où il existe une déclaration valide de pandémie de la part de l’Organisation</w:t>
      </w:r>
      <w:r w:rsidR="00724402" w:rsidRPr="008E75F3">
        <w:t xml:space="preserve"> mondiale de la santé, ou si la </w:t>
      </w:r>
      <w:r w:rsidRPr="008E75F3">
        <w:t>COVID-19 est déclarée situation d’urgence, les essais clinique</w:t>
      </w:r>
      <w:r w:rsidR="00724402" w:rsidRPr="008E75F3">
        <w:t>s portant sur des médicaments à </w:t>
      </w:r>
      <w:r w:rsidRPr="008E75F3">
        <w:t>usage humain contenant des OGM ou consistant en de tels organismes puissent commencer rapidement et sans une évaluation des risques pour l’environnement et/ou une autorisation préalables au titre de la directive 2001/18/CE relative à la dissémination volontaire d’organismes génétiquement modifiés dans l’environnement ou de la directive 2009/41/CE relative à l’utilisation confinée de micro-organismes génétiquement modifiés.</w:t>
      </w:r>
    </w:p>
    <w:p w14:paraId="3986BD9B" w14:textId="77777777" w:rsidR="002508E5" w:rsidRPr="008E75F3" w:rsidRDefault="002508E5" w:rsidP="002508E5">
      <w:pPr>
        <w:pStyle w:val="Heading2"/>
        <w:numPr>
          <w:ilvl w:val="0"/>
          <w:numId w:val="0"/>
        </w:numPr>
        <w:ind w:left="567"/>
      </w:pPr>
    </w:p>
    <w:p w14:paraId="0124C76B" w14:textId="783B79C1" w:rsidR="002508E5" w:rsidRPr="008E75F3" w:rsidRDefault="002508E5" w:rsidP="006B07A0">
      <w:pPr>
        <w:pStyle w:val="Heading2"/>
        <w:ind w:left="426" w:hanging="426"/>
      </w:pPr>
      <w:r w:rsidRPr="008E75F3">
        <w:t xml:space="preserve">Plus précisément, la Commission européenne propose d’introduire une approche commune pour l’évaluation des aspects liés aux OGM dans les essais cliniques, en clarifiant l’interprétation </w:t>
      </w:r>
      <w:r w:rsidRPr="008E75F3">
        <w:lastRenderedPageBreak/>
        <w:t>de</w:t>
      </w:r>
      <w:r w:rsidR="00724402" w:rsidRPr="008E75F3">
        <w:t> </w:t>
      </w:r>
      <w:r w:rsidRPr="008E75F3">
        <w:t xml:space="preserve">l’article 5, paragraphes 1 et 2, de la directive 2001/83/CE instituant un code communautaire relatif aux médicaments à usage humain et de l’article 83, </w:t>
      </w:r>
      <w:r w:rsidR="00724402" w:rsidRPr="008E75F3">
        <w:t>paragraphe 1, du règlement (CE) </w:t>
      </w:r>
      <w:r w:rsidRPr="008E75F3">
        <w:t>nº 726/2004 établissant des procédures communautaires pour l’autorisation et la surveillance en ce qui concerne les médicaments à usage humain et à usag</w:t>
      </w:r>
      <w:r w:rsidR="00724402" w:rsidRPr="008E75F3">
        <w:t>e vétérinaire afin d’éviter des </w:t>
      </w:r>
      <w:r w:rsidRPr="008E75F3">
        <w:t>interprétations divergentes et de garantir un accès égal et pré</w:t>
      </w:r>
      <w:r w:rsidR="00724402" w:rsidRPr="008E75F3">
        <w:t>coce aux médicaments destinés à </w:t>
      </w:r>
      <w:r w:rsidRPr="008E75F3">
        <w:t>traiter ou à prévenir la COVID-19.</w:t>
      </w:r>
    </w:p>
    <w:p w14:paraId="7B02FAC1" w14:textId="77777777" w:rsidR="002508E5" w:rsidRPr="008E75F3" w:rsidRDefault="002508E5" w:rsidP="002508E5">
      <w:pPr>
        <w:contextualSpacing/>
      </w:pPr>
      <w:bookmarkStart w:id="2" w:name="_Hlk31801158"/>
    </w:p>
    <w:p w14:paraId="3C5AC8BB" w14:textId="77777777" w:rsidR="002508E5" w:rsidRPr="008E75F3" w:rsidRDefault="002508E5" w:rsidP="006B07A0">
      <w:pPr>
        <w:pStyle w:val="Heading2"/>
        <w:keepNext/>
        <w:ind w:left="426" w:hanging="426"/>
      </w:pPr>
      <w:r w:rsidRPr="008E75F3">
        <w:t>Les dispositions proposées pour garantir un accès approprié aux médicaments contenant des OGM ou consistant en de tels organismes peuvent être résumées comme suit:</w:t>
      </w:r>
    </w:p>
    <w:p w14:paraId="01D394AA" w14:textId="77777777" w:rsidR="002508E5" w:rsidRPr="008E75F3" w:rsidRDefault="002508E5" w:rsidP="002508E5">
      <w:pPr>
        <w:keepNext/>
      </w:pPr>
    </w:p>
    <w:p w14:paraId="2CFAF25C" w14:textId="3D3914FD" w:rsidR="002508E5" w:rsidRPr="008E75F3" w:rsidRDefault="002508E5" w:rsidP="00470F30">
      <w:pPr>
        <w:pStyle w:val="Tiret0"/>
        <w:numPr>
          <w:ilvl w:val="0"/>
          <w:numId w:val="6"/>
        </w:numPr>
        <w:tabs>
          <w:tab w:val="clear" w:pos="850"/>
        </w:tabs>
        <w:spacing w:line="288" w:lineRule="auto"/>
        <w:ind w:left="851" w:hanging="284"/>
        <w:rPr>
          <w:sz w:val="22"/>
        </w:rPr>
      </w:pPr>
      <w:proofErr w:type="gramStart"/>
      <w:r w:rsidRPr="008E75F3">
        <w:rPr>
          <w:sz w:val="22"/>
        </w:rPr>
        <w:t>aucune</w:t>
      </w:r>
      <w:proofErr w:type="gramEnd"/>
      <w:r w:rsidRPr="008E75F3">
        <w:rPr>
          <w:sz w:val="22"/>
        </w:rPr>
        <w:t xml:space="preserve"> obligation d’évaluation des risques pour l’environnement et/ou d’autorisation préalables au titre de la directive 2001/18/CE relative à la dissémination volontaire d’organismes génétiquement modifiés dans l’environnement ou à la directive 2009/41/CE relative à l’utilisation confinée de micro-organismes géné</w:t>
      </w:r>
      <w:r w:rsidR="00724402" w:rsidRPr="008E75F3">
        <w:rPr>
          <w:sz w:val="22"/>
        </w:rPr>
        <w:t>tiquement modifiés, lorsque ces </w:t>
      </w:r>
      <w:r w:rsidRPr="008E75F3">
        <w:rPr>
          <w:sz w:val="22"/>
        </w:rPr>
        <w:t>activités portent sur la conduite d’un essai clinique autorisé conformément</w:t>
      </w:r>
      <w:r w:rsidR="00724402" w:rsidRPr="008E75F3">
        <w:rPr>
          <w:sz w:val="22"/>
        </w:rPr>
        <w:t xml:space="preserve"> à la directive </w:t>
      </w:r>
      <w:r w:rsidRPr="008E75F3">
        <w:rPr>
          <w:sz w:val="22"/>
        </w:rPr>
        <w:t>2001/20/CE;</w:t>
      </w:r>
    </w:p>
    <w:bookmarkEnd w:id="2"/>
    <w:p w14:paraId="32307A88" w14:textId="2AA5A105" w:rsidR="002508E5" w:rsidRPr="008E75F3" w:rsidRDefault="002508E5" w:rsidP="00470F30">
      <w:pPr>
        <w:pStyle w:val="Tiret0"/>
        <w:numPr>
          <w:ilvl w:val="0"/>
          <w:numId w:val="6"/>
        </w:numPr>
        <w:tabs>
          <w:tab w:val="clear" w:pos="850"/>
        </w:tabs>
        <w:spacing w:line="288" w:lineRule="auto"/>
        <w:ind w:left="851" w:hanging="284"/>
        <w:rPr>
          <w:sz w:val="22"/>
        </w:rPr>
      </w:pPr>
      <w:proofErr w:type="gramStart"/>
      <w:r w:rsidRPr="008E75F3">
        <w:rPr>
          <w:sz w:val="22"/>
        </w:rPr>
        <w:t>dérogation</w:t>
      </w:r>
      <w:proofErr w:type="gramEnd"/>
      <w:r w:rsidRPr="008E75F3">
        <w:rPr>
          <w:sz w:val="22"/>
        </w:rPr>
        <w:t xml:space="preserve"> aux articles 6 à 11 et 13 à 24 de la directive 2001/18/CE relative à la dissémination volontaire d’organismes génétiquement modifiés dans l’environnement et aux articles 6 à 13 de la directive 2009/41/CE relative à l’utilisation confinée de micro-organismes génétiquement modifiés pour les opérations liées à l’utilisati</w:t>
      </w:r>
      <w:r w:rsidR="00724402" w:rsidRPr="008E75F3">
        <w:rPr>
          <w:sz w:val="22"/>
        </w:rPr>
        <w:t>on de médicaments contenant des </w:t>
      </w:r>
      <w:r w:rsidRPr="008E75F3">
        <w:rPr>
          <w:sz w:val="22"/>
        </w:rPr>
        <w:t>OGM ou consistant en de tels organismes et destinés à traiter ou à prévenir la COVID-19, dans les cas particuliers énumérés ci-dessous:</w:t>
      </w:r>
    </w:p>
    <w:p w14:paraId="08D98C5A" w14:textId="2F35F950" w:rsidR="002508E5" w:rsidRPr="008E75F3" w:rsidRDefault="002508E5" w:rsidP="0023323C">
      <w:pPr>
        <w:pStyle w:val="Tiret0"/>
        <w:numPr>
          <w:ilvl w:val="0"/>
          <w:numId w:val="6"/>
        </w:numPr>
        <w:tabs>
          <w:tab w:val="clear" w:pos="850"/>
        </w:tabs>
        <w:spacing w:line="288" w:lineRule="auto"/>
        <w:ind w:left="1135" w:hanging="284"/>
        <w:rPr>
          <w:sz w:val="22"/>
        </w:rPr>
      </w:pPr>
      <w:proofErr w:type="gramStart"/>
      <w:r w:rsidRPr="008E75F3">
        <w:rPr>
          <w:sz w:val="22"/>
        </w:rPr>
        <w:t>lorsque</w:t>
      </w:r>
      <w:proofErr w:type="gramEnd"/>
      <w:r w:rsidRPr="008E75F3">
        <w:rPr>
          <w:sz w:val="22"/>
        </w:rPr>
        <w:t xml:space="preserve"> ces médicaments ont été exclus par un État membre d</w:t>
      </w:r>
      <w:r w:rsidR="00724402" w:rsidRPr="008E75F3">
        <w:rPr>
          <w:sz w:val="22"/>
        </w:rPr>
        <w:t>es dispositions de la directive </w:t>
      </w:r>
      <w:r w:rsidRPr="008E75F3">
        <w:rPr>
          <w:sz w:val="22"/>
        </w:rPr>
        <w:t xml:space="preserve">2001/83/CE instituant un code communautaire </w:t>
      </w:r>
      <w:r w:rsidR="00724402" w:rsidRPr="008E75F3">
        <w:rPr>
          <w:sz w:val="22"/>
        </w:rPr>
        <w:t>relatif aux médicaments à usage </w:t>
      </w:r>
      <w:r w:rsidRPr="008E75F3">
        <w:rPr>
          <w:sz w:val="22"/>
        </w:rPr>
        <w:t>humain;</w:t>
      </w:r>
    </w:p>
    <w:p w14:paraId="1CE9FD1D" w14:textId="77777777" w:rsidR="002508E5" w:rsidRPr="008E75F3" w:rsidRDefault="002508E5" w:rsidP="0023323C">
      <w:pPr>
        <w:pStyle w:val="Tiret0"/>
        <w:numPr>
          <w:ilvl w:val="0"/>
          <w:numId w:val="6"/>
        </w:numPr>
        <w:tabs>
          <w:tab w:val="clear" w:pos="850"/>
        </w:tabs>
        <w:spacing w:line="288" w:lineRule="auto"/>
        <w:ind w:left="1135" w:hanging="284"/>
        <w:rPr>
          <w:sz w:val="22"/>
        </w:rPr>
      </w:pPr>
      <w:proofErr w:type="gramStart"/>
      <w:r w:rsidRPr="008E75F3">
        <w:rPr>
          <w:sz w:val="22"/>
        </w:rPr>
        <w:t>lorsque</w:t>
      </w:r>
      <w:proofErr w:type="gramEnd"/>
      <w:r w:rsidRPr="008E75F3">
        <w:rPr>
          <w:sz w:val="22"/>
        </w:rPr>
        <w:t xml:space="preserve"> ces médicaments ont été autorisés par un État membre conformément à l’article 5, paragraphe 2, de ladite directive 2001/83/CE;</w:t>
      </w:r>
    </w:p>
    <w:p w14:paraId="579FFFA6" w14:textId="497E83E4" w:rsidR="002508E5" w:rsidRPr="008E75F3" w:rsidRDefault="002508E5" w:rsidP="0023323C">
      <w:pPr>
        <w:pStyle w:val="Tiret0"/>
        <w:numPr>
          <w:ilvl w:val="0"/>
          <w:numId w:val="6"/>
        </w:numPr>
        <w:tabs>
          <w:tab w:val="clear" w:pos="850"/>
        </w:tabs>
        <w:spacing w:line="288" w:lineRule="auto"/>
        <w:ind w:left="1135" w:hanging="284"/>
        <w:rPr>
          <w:sz w:val="22"/>
        </w:rPr>
      </w:pPr>
      <w:proofErr w:type="gramStart"/>
      <w:r w:rsidRPr="008E75F3">
        <w:rPr>
          <w:sz w:val="22"/>
        </w:rPr>
        <w:t>lorsque</w:t>
      </w:r>
      <w:proofErr w:type="gramEnd"/>
      <w:r w:rsidRPr="008E75F3">
        <w:rPr>
          <w:sz w:val="22"/>
        </w:rPr>
        <w:t xml:space="preserve"> ces médicaments sont rendus disponibles pa</w:t>
      </w:r>
      <w:r w:rsidR="00724402" w:rsidRPr="008E75F3">
        <w:rPr>
          <w:sz w:val="22"/>
        </w:rPr>
        <w:t>r un État membre conformément à </w:t>
      </w:r>
      <w:r w:rsidRPr="008E75F3">
        <w:rPr>
          <w:sz w:val="22"/>
        </w:rPr>
        <w:t>l’article 83, paragraphe 1, du règlement (CE) nº 726/2004 établissant des procédures communautaires pour l’autorisation et la surveillance en ce qui concerne les médicaments à usage humain et à usage vétérinaire.</w:t>
      </w:r>
    </w:p>
    <w:p w14:paraId="301F7366" w14:textId="77777777" w:rsidR="002508E5" w:rsidRPr="008E75F3" w:rsidRDefault="002508E5" w:rsidP="002508E5">
      <w:pPr>
        <w:pStyle w:val="Tiret0"/>
        <w:numPr>
          <w:ilvl w:val="0"/>
          <w:numId w:val="0"/>
        </w:numPr>
        <w:spacing w:before="0" w:after="0" w:line="288" w:lineRule="auto"/>
        <w:ind w:left="850" w:hanging="850"/>
        <w:rPr>
          <w:sz w:val="22"/>
        </w:rPr>
      </w:pPr>
    </w:p>
    <w:p w14:paraId="419ADFB4" w14:textId="5F2436E9" w:rsidR="002508E5" w:rsidRPr="008E75F3" w:rsidRDefault="002508E5" w:rsidP="006B07A0">
      <w:pPr>
        <w:pStyle w:val="Heading2"/>
        <w:keepNext/>
        <w:ind w:left="426" w:hanging="426"/>
      </w:pPr>
      <w:r w:rsidRPr="008E75F3">
        <w:t>La Commission européenne propose que le règlement s’ap</w:t>
      </w:r>
      <w:r w:rsidR="00724402" w:rsidRPr="008E75F3">
        <w:t>plique tant que la COVID-19 est </w:t>
      </w:r>
      <w:r w:rsidRPr="008E75F3">
        <w:t>considérée comme une pandémie par l’Organisation mondiale de</w:t>
      </w:r>
      <w:r w:rsidR="00724402" w:rsidRPr="008E75F3">
        <w:t xml:space="preserve"> la santé ou qu’une décision de </w:t>
      </w:r>
      <w:r w:rsidRPr="008E75F3">
        <w:t>la Commission reconnaissant une situation d’urgence en mat</w:t>
      </w:r>
      <w:r w:rsidR="00724402" w:rsidRPr="008E75F3">
        <w:t>ière de santé publique due à la </w:t>
      </w:r>
      <w:r w:rsidRPr="008E75F3">
        <w:t>COVID-19 s’applique. Le CESE estime que cette disposition ga</w:t>
      </w:r>
      <w:r w:rsidR="00724402" w:rsidRPr="008E75F3">
        <w:t>rantit que la proposition ne va </w:t>
      </w:r>
      <w:r w:rsidRPr="008E75F3">
        <w:t>pas au-delà de ce qui est nécessaire pour atteindre ses objectifs.</w:t>
      </w:r>
    </w:p>
    <w:p w14:paraId="3BA16C20" w14:textId="318F22BE" w:rsidR="00602219" w:rsidRPr="008E75F3" w:rsidRDefault="00602219" w:rsidP="00602219">
      <w:pPr>
        <w:pStyle w:val="Tiret0"/>
        <w:numPr>
          <w:ilvl w:val="0"/>
          <w:numId w:val="0"/>
        </w:numPr>
        <w:spacing w:before="0" w:after="0" w:line="288" w:lineRule="auto"/>
        <w:ind w:left="850" w:hanging="850"/>
        <w:rPr>
          <w:sz w:val="22"/>
        </w:rPr>
      </w:pPr>
    </w:p>
    <w:p w14:paraId="1F37DE28" w14:textId="449BF850" w:rsidR="00602219" w:rsidRPr="008E75F3" w:rsidRDefault="00BA1FC6" w:rsidP="00323AC4">
      <w:pPr>
        <w:pStyle w:val="Heading1"/>
        <w:keepNext/>
        <w:keepLines/>
      </w:pPr>
      <w:r w:rsidRPr="008E75F3">
        <w:rPr>
          <w:b/>
        </w:rPr>
        <w:lastRenderedPageBreak/>
        <w:t>Observations</w:t>
      </w:r>
    </w:p>
    <w:p w14:paraId="270614AA" w14:textId="77777777" w:rsidR="002508E5" w:rsidRPr="008E75F3" w:rsidRDefault="002508E5" w:rsidP="00323AC4">
      <w:pPr>
        <w:pStyle w:val="Heading2"/>
        <w:keepNext/>
        <w:keepLines/>
        <w:numPr>
          <w:ilvl w:val="0"/>
          <w:numId w:val="0"/>
        </w:numPr>
      </w:pPr>
    </w:p>
    <w:p w14:paraId="2F539517" w14:textId="27DD0EBB" w:rsidR="002508E5" w:rsidRPr="008E75F3" w:rsidRDefault="002508E5" w:rsidP="00323AC4">
      <w:pPr>
        <w:pStyle w:val="Heading2"/>
        <w:keepNext/>
        <w:keepLines/>
        <w:ind w:left="426" w:hanging="426"/>
      </w:pPr>
      <w:r w:rsidRPr="008E75F3">
        <w:t>Dans la situation d’urgence en matière de santé publique créée par la pandémie de COVID-19, l’accès précoce à des vaccins et à un traitement sûrs et efficaces</w:t>
      </w:r>
      <w:r w:rsidR="00724402" w:rsidRPr="008E75F3">
        <w:t xml:space="preserve"> devrait rester une priorité de </w:t>
      </w:r>
      <w:r w:rsidRPr="008E75F3">
        <w:t xml:space="preserve">l’Union européenne et de ses États membres. Le CESE accueille favorablement la proposition de règlement de la Commission européenne et apprécie la rapidité </w:t>
      </w:r>
      <w:r w:rsidR="00060F8D" w:rsidRPr="008E75F3">
        <w:t>de sa réaction pour garantir un </w:t>
      </w:r>
      <w:r w:rsidRPr="008E75F3">
        <w:t>accès égal et précoce aux vaccins et aux médicaments destinés à traiter ou à prévenir la COVID-19.</w:t>
      </w:r>
    </w:p>
    <w:p w14:paraId="348B4E96" w14:textId="77777777" w:rsidR="002508E5" w:rsidRPr="008E75F3" w:rsidRDefault="002508E5" w:rsidP="002508E5"/>
    <w:p w14:paraId="5F52ADAA" w14:textId="7E1188E5" w:rsidR="002508E5" w:rsidRPr="008E75F3" w:rsidRDefault="002508E5" w:rsidP="006B07A0">
      <w:pPr>
        <w:pStyle w:val="Heading2"/>
        <w:keepNext/>
        <w:keepLines/>
        <w:ind w:left="426" w:hanging="426"/>
      </w:pPr>
      <w:r w:rsidRPr="008E75F3">
        <w:t>La législation actuelle de l’UE sur les OGM ne tient pas compte des spécificités des essais cliniques dans une situation d’urgence en matière de santé publique</w:t>
      </w:r>
      <w:r w:rsidR="00060F8D" w:rsidRPr="008E75F3">
        <w:t>. Le Comité se félicite que des </w:t>
      </w:r>
      <w:r w:rsidRPr="008E75F3">
        <w:t>ajustements temporaires du cadre de l’UE soient proposés pour faciliter la recherche.</w:t>
      </w:r>
    </w:p>
    <w:p w14:paraId="01DD3ACD" w14:textId="77777777" w:rsidR="002508E5" w:rsidRPr="008E75F3" w:rsidRDefault="002508E5" w:rsidP="002508E5">
      <w:pPr>
        <w:pStyle w:val="Heading2"/>
        <w:numPr>
          <w:ilvl w:val="0"/>
          <w:numId w:val="0"/>
        </w:numPr>
      </w:pPr>
    </w:p>
    <w:p w14:paraId="1F2572C9" w14:textId="5A84C3A3" w:rsidR="002508E5" w:rsidRPr="008E75F3" w:rsidRDefault="002508E5" w:rsidP="006B07A0">
      <w:pPr>
        <w:pStyle w:val="Heading2"/>
        <w:ind w:left="426" w:hanging="426"/>
      </w:pPr>
      <w:r w:rsidRPr="008E75F3">
        <w:t>La pandémie de COVID-19 a montré l’importance considérable d’une approche commune de l’UE pour tous les États membres afin de lutter contre les menaces transf</w:t>
      </w:r>
      <w:r w:rsidR="00060F8D" w:rsidRPr="008E75F3">
        <w:t>rontières sur la santé. Le CESE </w:t>
      </w:r>
      <w:r w:rsidRPr="008E75F3">
        <w:t>invite les États membres à veiller à la cohérence des mes</w:t>
      </w:r>
      <w:r w:rsidR="00060F8D" w:rsidRPr="008E75F3">
        <w:t>ures qu’ils adoptent pour faire </w:t>
      </w:r>
      <w:r w:rsidRPr="008E75F3">
        <w:t>face à ces menaces, approuve les mesures proposées et inv</w:t>
      </w:r>
      <w:r w:rsidR="00060F8D" w:rsidRPr="008E75F3">
        <w:t>ite instamment les institutions </w:t>
      </w:r>
      <w:r w:rsidRPr="008E75F3">
        <w:t>européennes à les adopter dans les meilleurs délais.</w:t>
      </w:r>
    </w:p>
    <w:p w14:paraId="7AB15838" w14:textId="77777777" w:rsidR="002508E5" w:rsidRPr="008E75F3" w:rsidRDefault="002508E5" w:rsidP="002508E5"/>
    <w:p w14:paraId="00924CF7" w14:textId="1B988C29" w:rsidR="002508E5" w:rsidRPr="008E75F3" w:rsidRDefault="002508E5" w:rsidP="006B07A0">
      <w:pPr>
        <w:pStyle w:val="Heading2"/>
        <w:ind w:left="426" w:hanging="426"/>
      </w:pPr>
      <w:r w:rsidRPr="008E75F3">
        <w:t>Toutefois, le CESE estime que certaines mesures supplémentaires devraient être prises pour assurer une immunisation optimale de la population. Le développeme</w:t>
      </w:r>
      <w:r w:rsidR="00060F8D" w:rsidRPr="008E75F3">
        <w:t>nt des vaccins en général et la </w:t>
      </w:r>
      <w:r w:rsidRPr="008E75F3">
        <w:t>proposition de règlement en particulier devraient aller de pa</w:t>
      </w:r>
      <w:r w:rsidR="00060F8D" w:rsidRPr="008E75F3">
        <w:t>ir avec la stratégie de l’UE en </w:t>
      </w:r>
      <w:r w:rsidRPr="008E75F3">
        <w:t xml:space="preserve">matière de vaccins contre la COVID-19, mais aussi avec une </w:t>
      </w:r>
      <w:r w:rsidR="00060F8D" w:rsidRPr="008E75F3">
        <w:t>stratégie plus large de l’UE en </w:t>
      </w:r>
      <w:r w:rsidRPr="008E75F3">
        <w:t>matière de vaccination.</w:t>
      </w:r>
    </w:p>
    <w:p w14:paraId="079F5382" w14:textId="77777777" w:rsidR="002508E5" w:rsidRPr="008E75F3" w:rsidRDefault="002508E5" w:rsidP="002508E5"/>
    <w:p w14:paraId="0653696A" w14:textId="5F11782E" w:rsidR="002508E5" w:rsidRPr="008E75F3" w:rsidRDefault="002508E5" w:rsidP="006B07A0">
      <w:pPr>
        <w:pStyle w:val="Heading2"/>
        <w:ind w:left="426" w:hanging="426"/>
      </w:pPr>
      <w:r w:rsidRPr="008E75F3">
        <w:t>Les professionnels de la santé encourent le risque d’être exposés à un large éventail de maladies, notamment la COVID-19. En tant qu’organe consultatif représentant la société civile, et notamment les employeurs, les travailleurs et d’autres parties prenantes de cel</w:t>
      </w:r>
      <w:r w:rsidR="00060F8D" w:rsidRPr="008E75F3">
        <w:t>le-ci, le CESE invite les États </w:t>
      </w:r>
      <w:r w:rsidRPr="008E75F3">
        <w:t>membres à assurer une application complète et effective</w:t>
      </w:r>
      <w:r w:rsidR="00060F8D" w:rsidRPr="008E75F3">
        <w:t xml:space="preserve"> de la directive 2000/54/CE qui </w:t>
      </w:r>
      <w:r w:rsidRPr="008E75F3">
        <w:t>prévoit que s’il existe un risque pour la sécurité et la santé d</w:t>
      </w:r>
      <w:r w:rsidR="00060F8D" w:rsidRPr="008E75F3">
        <w:t>es travailleurs du fait de leur </w:t>
      </w:r>
      <w:r w:rsidRPr="008E75F3">
        <w:t>exposition à des agents biologiques contre lesquels il exi</w:t>
      </w:r>
      <w:r w:rsidR="00060F8D" w:rsidRPr="008E75F3">
        <w:t>ste des vaccins efficaces, leur </w:t>
      </w:r>
      <w:r w:rsidRPr="008E75F3">
        <w:t>employeur devrait leur offrir la vaccination.</w:t>
      </w:r>
    </w:p>
    <w:p w14:paraId="48FFB58D" w14:textId="77777777" w:rsidR="002508E5" w:rsidRPr="008E75F3" w:rsidRDefault="002508E5" w:rsidP="002508E5"/>
    <w:p w14:paraId="14E4C099" w14:textId="32E96425" w:rsidR="002508E5" w:rsidRPr="008E75F3" w:rsidRDefault="002508E5" w:rsidP="006B07A0">
      <w:pPr>
        <w:pStyle w:val="Heading2"/>
        <w:ind w:left="426" w:hanging="426"/>
      </w:pPr>
      <w:r w:rsidRPr="008E75F3">
        <w:t>Le CESE souligne qu’il importe que les États membres déploient des</w:t>
      </w:r>
      <w:r w:rsidR="00060F8D" w:rsidRPr="008E75F3">
        <w:t xml:space="preserve"> efforts pour sensibiliser le </w:t>
      </w:r>
      <w:r w:rsidRPr="008E75F3">
        <w:t>public au rôle des vaccins dans la protection des personnes cont</w:t>
      </w:r>
      <w:r w:rsidR="00060F8D" w:rsidRPr="008E75F3">
        <w:t>re les maladies invalidantes et </w:t>
      </w:r>
      <w:r w:rsidRPr="008E75F3">
        <w:t xml:space="preserve">atteindre, au-delà des professionnels de la santé, les groupes </w:t>
      </w:r>
      <w:r w:rsidR="00060F8D" w:rsidRPr="008E75F3">
        <w:t>de population qui présentent un </w:t>
      </w:r>
      <w:r w:rsidRPr="008E75F3">
        <w:t>risque accru de souffrir des suites graves de maladies à prévention vaccinale spécifiques.</w:t>
      </w:r>
    </w:p>
    <w:p w14:paraId="26BD6BA0" w14:textId="77777777" w:rsidR="002508E5" w:rsidRPr="008E75F3" w:rsidRDefault="002508E5" w:rsidP="002508E5"/>
    <w:p w14:paraId="4BD69BE3" w14:textId="36688752" w:rsidR="002508E5" w:rsidRPr="008E75F3" w:rsidRDefault="002508E5" w:rsidP="006B07A0">
      <w:pPr>
        <w:pStyle w:val="Heading2"/>
        <w:keepNext/>
        <w:keepLines/>
        <w:ind w:left="426" w:hanging="426"/>
        <w:rPr>
          <w:shd w:val="clear" w:color="auto" w:fill="FFFFFF"/>
        </w:rPr>
      </w:pPr>
      <w:r w:rsidRPr="008E75F3">
        <w:lastRenderedPageBreak/>
        <w:t>En ce qui concerne les essais cliniques, le Comité constate qu’il existe une grande incertitude réglementaire concernant l’utilisation des éléments de preuve is</w:t>
      </w:r>
      <w:r w:rsidR="00060F8D" w:rsidRPr="008E75F3">
        <w:t>sus de la modélisation et de la </w:t>
      </w:r>
      <w:r w:rsidRPr="008E75F3">
        <w:t>simulation informatiques. Cette incertitude empêche l’adoption d</w:t>
      </w:r>
      <w:r w:rsidR="00060F8D" w:rsidRPr="008E75F3">
        <w:t>e solutions de </w:t>
      </w:r>
      <w:r w:rsidRPr="008E75F3">
        <w:t>modélisation et de simulation informatiques qui pourraient contri</w:t>
      </w:r>
      <w:r w:rsidR="00060F8D" w:rsidRPr="008E75F3">
        <w:t>buer à accorder la priorité aux </w:t>
      </w:r>
      <w:r w:rsidRPr="008E75F3">
        <w:t>médicaments prometteurs et à accélérer leur développem</w:t>
      </w:r>
      <w:r w:rsidR="00060F8D" w:rsidRPr="008E75F3">
        <w:t>ent, ce qui garantirait que les </w:t>
      </w:r>
      <w:r w:rsidRPr="008E75F3">
        <w:t xml:space="preserve">contribuables ne financent que les traitements les plus sûrs et les plus efficaces. </w:t>
      </w:r>
      <w:r w:rsidRPr="008E75F3">
        <w:rPr>
          <w:shd w:val="clear" w:color="auto" w:fill="FFFFFF"/>
        </w:rPr>
        <w:t>Par conséquent, le CESE recommande à la Commission de mettre au point des</w:t>
      </w:r>
      <w:proofErr w:type="gramStart"/>
      <w:r w:rsidRPr="008E75F3">
        <w:rPr>
          <w:shd w:val="clear" w:color="auto" w:fill="FFFFFF"/>
        </w:rPr>
        <w:t xml:space="preserve"> «bo</w:t>
      </w:r>
      <w:r w:rsidR="00060F8D" w:rsidRPr="008E75F3">
        <w:rPr>
          <w:shd w:val="clear" w:color="auto" w:fill="FFFFFF"/>
        </w:rPr>
        <w:t>nnes</w:t>
      </w:r>
      <w:proofErr w:type="gramEnd"/>
      <w:r w:rsidR="00060F8D" w:rsidRPr="008E75F3">
        <w:rPr>
          <w:shd w:val="clear" w:color="auto" w:fill="FFFFFF"/>
        </w:rPr>
        <w:t xml:space="preserve"> pratiques de simulation» à </w:t>
      </w:r>
      <w:r w:rsidRPr="008E75F3">
        <w:rPr>
          <w:shd w:val="clear" w:color="auto" w:fill="FFFFFF"/>
        </w:rPr>
        <w:t>utiliser lors du déploiement de solutions de modélisation et de si</w:t>
      </w:r>
      <w:r w:rsidR="00060F8D" w:rsidRPr="008E75F3">
        <w:rPr>
          <w:shd w:val="clear" w:color="auto" w:fill="FFFFFF"/>
        </w:rPr>
        <w:t>mulation informatiques dans les </w:t>
      </w:r>
      <w:r w:rsidRPr="008E75F3">
        <w:rPr>
          <w:shd w:val="clear" w:color="auto" w:fill="FFFFFF"/>
        </w:rPr>
        <w:t>soins de santé, et en particulier dans les activités précliniques et dans les essais cliniques.</w:t>
      </w:r>
    </w:p>
    <w:p w14:paraId="3D0C9FE4" w14:textId="285ECC9D" w:rsidR="00C10745" w:rsidRPr="008E75F3" w:rsidRDefault="00C10745" w:rsidP="00C10745"/>
    <w:p w14:paraId="57DC7442" w14:textId="51923396" w:rsidR="00C10745" w:rsidRPr="008E75F3" w:rsidRDefault="00272EAF" w:rsidP="006B07A0">
      <w:pPr>
        <w:pStyle w:val="Heading2"/>
        <w:ind w:left="426" w:hanging="426"/>
        <w:rPr>
          <w:shd w:val="clear" w:color="auto" w:fill="FFFFFF"/>
        </w:rPr>
      </w:pPr>
      <w:r w:rsidRPr="008E75F3">
        <w:rPr>
          <w:shd w:val="clear" w:color="auto" w:fill="FFFFFF"/>
        </w:rPr>
        <w:t>Le CESE estime que l’industrie pharmaceutique et celle des dispositifs médicaux devraient être encouragées à présenter des données en temps réel aux autorités sur une base quotidienne afin d’accélérer la mise au point de thérapies contre la COVID-19.</w:t>
      </w:r>
    </w:p>
    <w:p w14:paraId="3F15A11E" w14:textId="77777777" w:rsidR="002E2546" w:rsidRPr="008E75F3" w:rsidRDefault="002E2546" w:rsidP="00DA5EF9">
      <w:pPr>
        <w:keepNext/>
        <w:keepLines/>
      </w:pPr>
    </w:p>
    <w:p w14:paraId="3BD2CF4B" w14:textId="77777777" w:rsidR="002E2546" w:rsidRPr="008E75F3" w:rsidRDefault="002E2546" w:rsidP="00DA5EF9">
      <w:pPr>
        <w:keepNext/>
        <w:keepLines/>
      </w:pPr>
    </w:p>
    <w:p w14:paraId="21675075" w14:textId="77777777" w:rsidR="002E2546" w:rsidRPr="008E75F3" w:rsidRDefault="002E2546" w:rsidP="00DA5EF9">
      <w:pPr>
        <w:keepNext/>
        <w:keepLines/>
      </w:pPr>
    </w:p>
    <w:p w14:paraId="30ED9B2D" w14:textId="77777777" w:rsidR="003E3194" w:rsidRPr="008E75F3" w:rsidRDefault="003E3194" w:rsidP="003E3194">
      <w:pPr>
        <w:keepNext/>
        <w:keepLines/>
      </w:pPr>
      <w:r w:rsidRPr="008E75F3">
        <w:t>Luca JAHIER</w:t>
      </w:r>
    </w:p>
    <w:p w14:paraId="236B1EDB" w14:textId="49948BA6" w:rsidR="002E2546" w:rsidRPr="008E75F3" w:rsidRDefault="00C07CB3" w:rsidP="00061EF2">
      <w:pPr>
        <w:keepNext/>
        <w:keepLines/>
        <w:jc w:val="left"/>
      </w:pPr>
      <w:r w:rsidRPr="008E75F3">
        <w:t>Président</w:t>
      </w:r>
      <w:r w:rsidR="00794A78" w:rsidRPr="008E75F3">
        <w:t xml:space="preserve"> du Comité économique et social européen </w:t>
      </w:r>
    </w:p>
    <w:p w14:paraId="5017B10D" w14:textId="77777777" w:rsidR="00AA07EB" w:rsidRPr="008E75F3" w:rsidRDefault="00AA07EB" w:rsidP="00DA5EF9">
      <w:pPr>
        <w:keepNext/>
        <w:keepLines/>
        <w:jc w:val="center"/>
      </w:pPr>
    </w:p>
    <w:p w14:paraId="61BC8C91" w14:textId="77777777" w:rsidR="00AA07EB" w:rsidRPr="008E75F3" w:rsidRDefault="00AA07EB" w:rsidP="00DA5EF9">
      <w:pPr>
        <w:keepNext/>
        <w:keepLines/>
        <w:jc w:val="center"/>
      </w:pPr>
    </w:p>
    <w:p w14:paraId="00D1DD2A" w14:textId="52C16E98" w:rsidR="00EF2989" w:rsidRPr="008E75F3" w:rsidRDefault="00EF2989" w:rsidP="00DA5EF9">
      <w:pPr>
        <w:keepNext/>
        <w:keepLines/>
        <w:jc w:val="center"/>
      </w:pPr>
      <w:r w:rsidRPr="008E75F3">
        <w:t>_____________</w:t>
      </w:r>
    </w:p>
    <w:sectPr w:rsidR="00EF2989" w:rsidRPr="008E75F3" w:rsidSect="008E75F3">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7E843" w14:textId="77777777" w:rsidR="00E51EC8" w:rsidRDefault="00E51EC8">
      <w:pPr>
        <w:rPr>
          <w:szCs w:val="24"/>
        </w:rPr>
      </w:pPr>
      <w:r>
        <w:rPr>
          <w:szCs w:val="24"/>
        </w:rPr>
        <w:separator/>
      </w:r>
    </w:p>
  </w:endnote>
  <w:endnote w:type="continuationSeparator" w:id="0">
    <w:p w14:paraId="53EA8A1B" w14:textId="77777777" w:rsidR="00E51EC8" w:rsidRDefault="00E51EC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DC036" w14:textId="77777777" w:rsidR="008E75F3" w:rsidRPr="008E75F3" w:rsidRDefault="008E75F3" w:rsidP="008E7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BC620" w14:textId="1176920D" w:rsidR="00F333D7" w:rsidRPr="008E75F3" w:rsidRDefault="008E75F3" w:rsidP="008E75F3">
    <w:pPr>
      <w:pStyle w:val="Footer"/>
    </w:pPr>
    <w:r>
      <w:t xml:space="preserve">NAT/797 – EESC-2020-03040-00-00-PAC-TRA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6</w:instrText>
      </w:r>
    </w:fldSimple>
    <w:r>
      <w:instrText xml:space="preserve"> -0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9ADA" w14:textId="77777777" w:rsidR="008E75F3" w:rsidRPr="008E75F3" w:rsidRDefault="008E75F3" w:rsidP="008E75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67561" w14:textId="77777777" w:rsidR="00F333D7" w:rsidRPr="008E75F3" w:rsidRDefault="00F333D7" w:rsidP="008E75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6CF5" w14:textId="1DCD5B8B" w:rsidR="00F333D7" w:rsidRPr="008E75F3" w:rsidRDefault="008E75F3" w:rsidP="008E75F3">
    <w:pPr>
      <w:pStyle w:val="Footer"/>
    </w:pPr>
    <w:r>
      <w:t xml:space="preserve">NAT/797 – EESC-2020-03040-00-00-PAC-TRA (EN) </w:t>
    </w:r>
    <w:r>
      <w:fldChar w:fldCharType="begin"/>
    </w:r>
    <w:r>
      <w:instrText xml:space="preserve"> PAGE  \* Arabic  \* MERGEFORMAT </w:instrText>
    </w:r>
    <w:r>
      <w:fldChar w:fldCharType="separate"/>
    </w:r>
    <w:r>
      <w:rPr>
        <w:noProof/>
      </w:rPr>
      <w:t>6</w:t>
    </w:r>
    <w:r>
      <w:fldChar w:fldCharType="end"/>
    </w:r>
    <w:r>
      <w:t>/</w:t>
    </w:r>
    <w:r>
      <w:fldChar w:fldCharType="begin"/>
    </w:r>
    <w:r>
      <w:instrText xml:space="preserve"> = </w:instrText>
    </w:r>
    <w:fldSimple w:instr=" NUMPAGES ">
      <w:r>
        <w:rPr>
          <w:noProof/>
        </w:rPr>
        <w:instrText>6</w:instrText>
      </w:r>
    </w:fldSimple>
    <w:r>
      <w:instrText xml:space="preserve"> -0 </w:instrText>
    </w:r>
    <w:r>
      <w:fldChar w:fldCharType="separate"/>
    </w:r>
    <w:r>
      <w:rPr>
        <w:noProof/>
      </w:rP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9752" w14:textId="77777777" w:rsidR="00F333D7" w:rsidRPr="008E75F3" w:rsidRDefault="00F333D7" w:rsidP="008E7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22B38" w14:textId="77777777" w:rsidR="00E51EC8" w:rsidRDefault="00E51EC8">
      <w:pPr>
        <w:rPr>
          <w:szCs w:val="24"/>
        </w:rPr>
      </w:pPr>
      <w:r>
        <w:rPr>
          <w:szCs w:val="24"/>
        </w:rPr>
        <w:separator/>
      </w:r>
    </w:p>
  </w:footnote>
  <w:footnote w:type="continuationSeparator" w:id="0">
    <w:p w14:paraId="517AF705" w14:textId="77777777" w:rsidR="00E51EC8" w:rsidRDefault="00E51EC8">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FD9DA" w14:textId="77777777" w:rsidR="008E75F3" w:rsidRPr="008E75F3" w:rsidRDefault="008E75F3" w:rsidP="008E7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E343" w14:textId="77777777" w:rsidR="008E75F3" w:rsidRPr="008E75F3" w:rsidRDefault="008E75F3" w:rsidP="008E7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7B9C" w14:textId="77777777" w:rsidR="008E75F3" w:rsidRPr="008E75F3" w:rsidRDefault="008E75F3" w:rsidP="008E75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7A663" w14:textId="77777777" w:rsidR="00F333D7" w:rsidRPr="008E75F3" w:rsidRDefault="00F333D7" w:rsidP="008E75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34ED" w14:textId="3083CCAD" w:rsidR="00F333D7" w:rsidRPr="008E75F3" w:rsidRDefault="00F333D7" w:rsidP="008E75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E36C" w14:textId="77777777" w:rsidR="00F333D7" w:rsidRPr="008E75F3" w:rsidRDefault="00F333D7" w:rsidP="008E7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3E6F71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AC56566"/>
    <w:multiLevelType w:val="hybridMultilevel"/>
    <w:tmpl w:val="A50C394E"/>
    <w:lvl w:ilvl="0" w:tplc="87125F4E">
      <w:start w:val="1"/>
      <w:numFmt w:val="bullet"/>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 w15:restartNumberingAfterBreak="0">
    <w:nsid w:val="6E063133"/>
    <w:multiLevelType w:val="hybridMultilevel"/>
    <w:tmpl w:val="37BA42EA"/>
    <w:lvl w:ilvl="0" w:tplc="61429412">
      <w:start w:val="1"/>
      <w:numFmt w:val="bullet"/>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0"/>
    <w:lvlOverride w:ilvl="0">
      <w:startOverride w:val="1"/>
    </w:lvlOverride>
    <w:lvlOverride w:ilvl="1">
      <w:startOverride w:val="3"/>
    </w:lvlOverride>
  </w:num>
  <w:num w:numId="5">
    <w:abstractNumId w:val="2"/>
    <w:lvlOverride w:ilvl="0">
      <w:startOverride w:val="1"/>
    </w:lvlOverride>
  </w:num>
  <w:num w:numId="6">
    <w:abstractNumId w:val="2"/>
  </w:num>
  <w:num w:numId="7">
    <w:abstractNumId w:val="2"/>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83"/>
    <w:rsid w:val="00002AA3"/>
    <w:rsid w:val="00003D15"/>
    <w:rsid w:val="00003D2E"/>
    <w:rsid w:val="00005798"/>
    <w:rsid w:val="00005B58"/>
    <w:rsid w:val="000076D0"/>
    <w:rsid w:val="00007F20"/>
    <w:rsid w:val="00015227"/>
    <w:rsid w:val="00016725"/>
    <w:rsid w:val="00042120"/>
    <w:rsid w:val="00042A27"/>
    <w:rsid w:val="00042E52"/>
    <w:rsid w:val="00043E91"/>
    <w:rsid w:val="00045D36"/>
    <w:rsid w:val="00047CC3"/>
    <w:rsid w:val="00050E8E"/>
    <w:rsid w:val="00055885"/>
    <w:rsid w:val="000569CC"/>
    <w:rsid w:val="00060F8D"/>
    <w:rsid w:val="00061EF2"/>
    <w:rsid w:val="000631EC"/>
    <w:rsid w:val="00066FCE"/>
    <w:rsid w:val="00071BFF"/>
    <w:rsid w:val="00071D31"/>
    <w:rsid w:val="00080135"/>
    <w:rsid w:val="000803FA"/>
    <w:rsid w:val="00081FFD"/>
    <w:rsid w:val="00082FF4"/>
    <w:rsid w:val="00083122"/>
    <w:rsid w:val="000900CD"/>
    <w:rsid w:val="00092331"/>
    <w:rsid w:val="0009464E"/>
    <w:rsid w:val="00096172"/>
    <w:rsid w:val="00097887"/>
    <w:rsid w:val="000A2456"/>
    <w:rsid w:val="000A55DE"/>
    <w:rsid w:val="000B0E1C"/>
    <w:rsid w:val="000B10AA"/>
    <w:rsid w:val="000B1FB1"/>
    <w:rsid w:val="000C276F"/>
    <w:rsid w:val="000C5A51"/>
    <w:rsid w:val="000C5BC0"/>
    <w:rsid w:val="000D090E"/>
    <w:rsid w:val="000E7D3B"/>
    <w:rsid w:val="000F06AE"/>
    <w:rsid w:val="000F0C8B"/>
    <w:rsid w:val="0010030A"/>
    <w:rsid w:val="00101237"/>
    <w:rsid w:val="00101B16"/>
    <w:rsid w:val="00102ECF"/>
    <w:rsid w:val="00103300"/>
    <w:rsid w:val="00104428"/>
    <w:rsid w:val="00113263"/>
    <w:rsid w:val="0011473F"/>
    <w:rsid w:val="0011701F"/>
    <w:rsid w:val="00117A18"/>
    <w:rsid w:val="001229D3"/>
    <w:rsid w:val="001269C4"/>
    <w:rsid w:val="00126DC8"/>
    <w:rsid w:val="00131468"/>
    <w:rsid w:val="00141569"/>
    <w:rsid w:val="0014174B"/>
    <w:rsid w:val="00141B54"/>
    <w:rsid w:val="001422C7"/>
    <w:rsid w:val="00146AFA"/>
    <w:rsid w:val="00153A15"/>
    <w:rsid w:val="00153F43"/>
    <w:rsid w:val="00163AD8"/>
    <w:rsid w:val="001642FE"/>
    <w:rsid w:val="001662F0"/>
    <w:rsid w:val="00171266"/>
    <w:rsid w:val="0017170C"/>
    <w:rsid w:val="00182198"/>
    <w:rsid w:val="001852BD"/>
    <w:rsid w:val="00191F1C"/>
    <w:rsid w:val="001A084F"/>
    <w:rsid w:val="001A16D7"/>
    <w:rsid w:val="001A1BED"/>
    <w:rsid w:val="001A3309"/>
    <w:rsid w:val="001B4276"/>
    <w:rsid w:val="001C4DA4"/>
    <w:rsid w:val="001C50AD"/>
    <w:rsid w:val="001C5DEA"/>
    <w:rsid w:val="001D06D3"/>
    <w:rsid w:val="001D174C"/>
    <w:rsid w:val="001D4D11"/>
    <w:rsid w:val="001E1BED"/>
    <w:rsid w:val="001E54AF"/>
    <w:rsid w:val="001E7C55"/>
    <w:rsid w:val="001F0210"/>
    <w:rsid w:val="001F5749"/>
    <w:rsid w:val="001F726F"/>
    <w:rsid w:val="00201894"/>
    <w:rsid w:val="002031AE"/>
    <w:rsid w:val="00207881"/>
    <w:rsid w:val="0021120F"/>
    <w:rsid w:val="00211E85"/>
    <w:rsid w:val="002137E4"/>
    <w:rsid w:val="00213A58"/>
    <w:rsid w:val="00213F4C"/>
    <w:rsid w:val="002169EC"/>
    <w:rsid w:val="0021796E"/>
    <w:rsid w:val="00223DE2"/>
    <w:rsid w:val="00232AE0"/>
    <w:rsid w:val="0023323C"/>
    <w:rsid w:val="002369F1"/>
    <w:rsid w:val="00237BE7"/>
    <w:rsid w:val="00240528"/>
    <w:rsid w:val="00241F18"/>
    <w:rsid w:val="0024613D"/>
    <w:rsid w:val="002508E5"/>
    <w:rsid w:val="00251E7D"/>
    <w:rsid w:val="00254C99"/>
    <w:rsid w:val="002571F7"/>
    <w:rsid w:val="00265591"/>
    <w:rsid w:val="0026566F"/>
    <w:rsid w:val="00272EAF"/>
    <w:rsid w:val="002736B7"/>
    <w:rsid w:val="002739CA"/>
    <w:rsid w:val="0027691E"/>
    <w:rsid w:val="00281A69"/>
    <w:rsid w:val="00282103"/>
    <w:rsid w:val="002844B6"/>
    <w:rsid w:val="002846AA"/>
    <w:rsid w:val="00285A52"/>
    <w:rsid w:val="002932A5"/>
    <w:rsid w:val="00295D91"/>
    <w:rsid w:val="00297787"/>
    <w:rsid w:val="00297CE7"/>
    <w:rsid w:val="002A16D6"/>
    <w:rsid w:val="002B38D6"/>
    <w:rsid w:val="002B60BD"/>
    <w:rsid w:val="002C14F1"/>
    <w:rsid w:val="002C1D72"/>
    <w:rsid w:val="002C3570"/>
    <w:rsid w:val="002C615A"/>
    <w:rsid w:val="002C7F07"/>
    <w:rsid w:val="002E2166"/>
    <w:rsid w:val="002E2546"/>
    <w:rsid w:val="002E3DC9"/>
    <w:rsid w:val="00301230"/>
    <w:rsid w:val="00302A33"/>
    <w:rsid w:val="003131AF"/>
    <w:rsid w:val="00313881"/>
    <w:rsid w:val="00313DB7"/>
    <w:rsid w:val="00323AC4"/>
    <w:rsid w:val="0032612A"/>
    <w:rsid w:val="00326C6D"/>
    <w:rsid w:val="00331C9C"/>
    <w:rsid w:val="00332184"/>
    <w:rsid w:val="00333D28"/>
    <w:rsid w:val="00335D33"/>
    <w:rsid w:val="00340FFF"/>
    <w:rsid w:val="00344793"/>
    <w:rsid w:val="00346A8F"/>
    <w:rsid w:val="00346C8F"/>
    <w:rsid w:val="003500EF"/>
    <w:rsid w:val="00356692"/>
    <w:rsid w:val="00357731"/>
    <w:rsid w:val="00365145"/>
    <w:rsid w:val="00365680"/>
    <w:rsid w:val="00365E4B"/>
    <w:rsid w:val="00374658"/>
    <w:rsid w:val="003801EF"/>
    <w:rsid w:val="00393351"/>
    <w:rsid w:val="00393721"/>
    <w:rsid w:val="003953DF"/>
    <w:rsid w:val="0039540C"/>
    <w:rsid w:val="00397C61"/>
    <w:rsid w:val="003A087F"/>
    <w:rsid w:val="003A1278"/>
    <w:rsid w:val="003A36EB"/>
    <w:rsid w:val="003B2126"/>
    <w:rsid w:val="003B23A7"/>
    <w:rsid w:val="003B390F"/>
    <w:rsid w:val="003C08B9"/>
    <w:rsid w:val="003C12B7"/>
    <w:rsid w:val="003C2A89"/>
    <w:rsid w:val="003C50F3"/>
    <w:rsid w:val="003D0ECA"/>
    <w:rsid w:val="003D15E4"/>
    <w:rsid w:val="003D366E"/>
    <w:rsid w:val="003E072E"/>
    <w:rsid w:val="003E3194"/>
    <w:rsid w:val="003F29DB"/>
    <w:rsid w:val="003F2CEE"/>
    <w:rsid w:val="003F3EE1"/>
    <w:rsid w:val="003F48E5"/>
    <w:rsid w:val="003F6E7C"/>
    <w:rsid w:val="003F7F49"/>
    <w:rsid w:val="00403FE2"/>
    <w:rsid w:val="004043A1"/>
    <w:rsid w:val="004049FD"/>
    <w:rsid w:val="0040639C"/>
    <w:rsid w:val="00406A55"/>
    <w:rsid w:val="0041583F"/>
    <w:rsid w:val="004223E9"/>
    <w:rsid w:val="00422ACA"/>
    <w:rsid w:val="00426954"/>
    <w:rsid w:val="00433F80"/>
    <w:rsid w:val="0043783C"/>
    <w:rsid w:val="00437DE7"/>
    <w:rsid w:val="00442D77"/>
    <w:rsid w:val="004545B0"/>
    <w:rsid w:val="0045743D"/>
    <w:rsid w:val="00457F3D"/>
    <w:rsid w:val="00462B71"/>
    <w:rsid w:val="00470DF9"/>
    <w:rsid w:val="00470F30"/>
    <w:rsid w:val="004715F0"/>
    <w:rsid w:val="0047236B"/>
    <w:rsid w:val="00473680"/>
    <w:rsid w:val="0047424E"/>
    <w:rsid w:val="00474AC5"/>
    <w:rsid w:val="00475077"/>
    <w:rsid w:val="0048344C"/>
    <w:rsid w:val="004840D8"/>
    <w:rsid w:val="00484225"/>
    <w:rsid w:val="00491340"/>
    <w:rsid w:val="00491425"/>
    <w:rsid w:val="004958DD"/>
    <w:rsid w:val="00496FB2"/>
    <w:rsid w:val="004A167D"/>
    <w:rsid w:val="004A291E"/>
    <w:rsid w:val="004A2DA2"/>
    <w:rsid w:val="004A3135"/>
    <w:rsid w:val="004A5359"/>
    <w:rsid w:val="004A5D51"/>
    <w:rsid w:val="004B0A25"/>
    <w:rsid w:val="004B3F5B"/>
    <w:rsid w:val="004B5E60"/>
    <w:rsid w:val="004C1975"/>
    <w:rsid w:val="004C2B95"/>
    <w:rsid w:val="004C3A7D"/>
    <w:rsid w:val="004D0142"/>
    <w:rsid w:val="004D4B79"/>
    <w:rsid w:val="004D77F7"/>
    <w:rsid w:val="004E17A3"/>
    <w:rsid w:val="004E2AD6"/>
    <w:rsid w:val="004E2B7D"/>
    <w:rsid w:val="004E2BD5"/>
    <w:rsid w:val="004E43E0"/>
    <w:rsid w:val="004E4828"/>
    <w:rsid w:val="004E6D87"/>
    <w:rsid w:val="004F200B"/>
    <w:rsid w:val="004F7B5C"/>
    <w:rsid w:val="00500D5F"/>
    <w:rsid w:val="00500FF3"/>
    <w:rsid w:val="00501012"/>
    <w:rsid w:val="00502AEE"/>
    <w:rsid w:val="0051386A"/>
    <w:rsid w:val="005161F4"/>
    <w:rsid w:val="005244AB"/>
    <w:rsid w:val="00535657"/>
    <w:rsid w:val="005433FD"/>
    <w:rsid w:val="0055116F"/>
    <w:rsid w:val="00554074"/>
    <w:rsid w:val="005543EA"/>
    <w:rsid w:val="00562CC4"/>
    <w:rsid w:val="00567247"/>
    <w:rsid w:val="00570F1B"/>
    <w:rsid w:val="00580346"/>
    <w:rsid w:val="00582F0B"/>
    <w:rsid w:val="005832BE"/>
    <w:rsid w:val="00583CC8"/>
    <w:rsid w:val="00584C1A"/>
    <w:rsid w:val="00596CC3"/>
    <w:rsid w:val="005A2D98"/>
    <w:rsid w:val="005A5ADD"/>
    <w:rsid w:val="005A6213"/>
    <w:rsid w:val="005B3D0B"/>
    <w:rsid w:val="005C16DE"/>
    <w:rsid w:val="005C7551"/>
    <w:rsid w:val="005D2A8F"/>
    <w:rsid w:val="005E099F"/>
    <w:rsid w:val="005F7529"/>
    <w:rsid w:val="005F7DC6"/>
    <w:rsid w:val="00602219"/>
    <w:rsid w:val="00604CB1"/>
    <w:rsid w:val="00610211"/>
    <w:rsid w:val="00611EBC"/>
    <w:rsid w:val="00612FBF"/>
    <w:rsid w:val="00614660"/>
    <w:rsid w:val="006168BE"/>
    <w:rsid w:val="0062067E"/>
    <w:rsid w:val="00620ECD"/>
    <w:rsid w:val="00626852"/>
    <w:rsid w:val="00626B1D"/>
    <w:rsid w:val="00636D5A"/>
    <w:rsid w:val="0064112A"/>
    <w:rsid w:val="006438A6"/>
    <w:rsid w:val="00644B30"/>
    <w:rsid w:val="00645617"/>
    <w:rsid w:val="0064709E"/>
    <w:rsid w:val="006501CF"/>
    <w:rsid w:val="0065228A"/>
    <w:rsid w:val="00657988"/>
    <w:rsid w:val="00665CE2"/>
    <w:rsid w:val="00667C39"/>
    <w:rsid w:val="0067677F"/>
    <w:rsid w:val="00676C5B"/>
    <w:rsid w:val="00681A5F"/>
    <w:rsid w:val="006919B2"/>
    <w:rsid w:val="006960FC"/>
    <w:rsid w:val="006962EB"/>
    <w:rsid w:val="006A27EC"/>
    <w:rsid w:val="006A4370"/>
    <w:rsid w:val="006A47CC"/>
    <w:rsid w:val="006A564A"/>
    <w:rsid w:val="006B07A0"/>
    <w:rsid w:val="006B5B2F"/>
    <w:rsid w:val="006C24E1"/>
    <w:rsid w:val="006C3A7A"/>
    <w:rsid w:val="006C3F77"/>
    <w:rsid w:val="006C6EF3"/>
    <w:rsid w:val="006D2018"/>
    <w:rsid w:val="006E3C72"/>
    <w:rsid w:val="006E43C4"/>
    <w:rsid w:val="006E44EB"/>
    <w:rsid w:val="006F38CE"/>
    <w:rsid w:val="00703938"/>
    <w:rsid w:val="0070513C"/>
    <w:rsid w:val="007053E3"/>
    <w:rsid w:val="0070743D"/>
    <w:rsid w:val="00714FC2"/>
    <w:rsid w:val="00720EDC"/>
    <w:rsid w:val="00724402"/>
    <w:rsid w:val="007247BE"/>
    <w:rsid w:val="007269F5"/>
    <w:rsid w:val="0073248A"/>
    <w:rsid w:val="007469FF"/>
    <w:rsid w:val="007527D5"/>
    <w:rsid w:val="0076207C"/>
    <w:rsid w:val="00762F26"/>
    <w:rsid w:val="00765847"/>
    <w:rsid w:val="007669A9"/>
    <w:rsid w:val="00767877"/>
    <w:rsid w:val="007741A7"/>
    <w:rsid w:val="00784CC0"/>
    <w:rsid w:val="00791924"/>
    <w:rsid w:val="00794A78"/>
    <w:rsid w:val="007A2B15"/>
    <w:rsid w:val="007A75FD"/>
    <w:rsid w:val="007B0564"/>
    <w:rsid w:val="007B3A3F"/>
    <w:rsid w:val="007B4C2E"/>
    <w:rsid w:val="007B5272"/>
    <w:rsid w:val="007C0521"/>
    <w:rsid w:val="007C10D9"/>
    <w:rsid w:val="007C485C"/>
    <w:rsid w:val="007C5B53"/>
    <w:rsid w:val="007D08EC"/>
    <w:rsid w:val="007E5FC4"/>
    <w:rsid w:val="007E6B72"/>
    <w:rsid w:val="007F14D3"/>
    <w:rsid w:val="007F1A4B"/>
    <w:rsid w:val="007F5E99"/>
    <w:rsid w:val="00803D73"/>
    <w:rsid w:val="00806889"/>
    <w:rsid w:val="0080709D"/>
    <w:rsid w:val="00807133"/>
    <w:rsid w:val="00813F7E"/>
    <w:rsid w:val="008208D7"/>
    <w:rsid w:val="008219DC"/>
    <w:rsid w:val="00821FB1"/>
    <w:rsid w:val="00825441"/>
    <w:rsid w:val="00831687"/>
    <w:rsid w:val="00832D38"/>
    <w:rsid w:val="008344C9"/>
    <w:rsid w:val="00842969"/>
    <w:rsid w:val="00843861"/>
    <w:rsid w:val="00843E7F"/>
    <w:rsid w:val="0084631C"/>
    <w:rsid w:val="00847D40"/>
    <w:rsid w:val="00850018"/>
    <w:rsid w:val="008502D8"/>
    <w:rsid w:val="00855F2F"/>
    <w:rsid w:val="008575A8"/>
    <w:rsid w:val="00861422"/>
    <w:rsid w:val="00861A57"/>
    <w:rsid w:val="0086617B"/>
    <w:rsid w:val="008712B4"/>
    <w:rsid w:val="008724B2"/>
    <w:rsid w:val="00872590"/>
    <w:rsid w:val="00874DE5"/>
    <w:rsid w:val="00875BAB"/>
    <w:rsid w:val="00875BE6"/>
    <w:rsid w:val="00876BC4"/>
    <w:rsid w:val="008847D4"/>
    <w:rsid w:val="00892459"/>
    <w:rsid w:val="0089255D"/>
    <w:rsid w:val="00892D25"/>
    <w:rsid w:val="00893BED"/>
    <w:rsid w:val="00893E77"/>
    <w:rsid w:val="00894625"/>
    <w:rsid w:val="008A249C"/>
    <w:rsid w:val="008A2609"/>
    <w:rsid w:val="008A2E37"/>
    <w:rsid w:val="008A5205"/>
    <w:rsid w:val="008A7314"/>
    <w:rsid w:val="008A7BFA"/>
    <w:rsid w:val="008B1C74"/>
    <w:rsid w:val="008B389E"/>
    <w:rsid w:val="008B5231"/>
    <w:rsid w:val="008B5D5B"/>
    <w:rsid w:val="008C3468"/>
    <w:rsid w:val="008C473F"/>
    <w:rsid w:val="008D0DD4"/>
    <w:rsid w:val="008D3576"/>
    <w:rsid w:val="008D464B"/>
    <w:rsid w:val="008D4770"/>
    <w:rsid w:val="008D61C5"/>
    <w:rsid w:val="008E6858"/>
    <w:rsid w:val="008E75F3"/>
    <w:rsid w:val="008F0EA3"/>
    <w:rsid w:val="008F6234"/>
    <w:rsid w:val="008F6F37"/>
    <w:rsid w:val="008F7BB9"/>
    <w:rsid w:val="0090253C"/>
    <w:rsid w:val="009047CA"/>
    <w:rsid w:val="00911E1F"/>
    <w:rsid w:val="009147E1"/>
    <w:rsid w:val="009176B2"/>
    <w:rsid w:val="00926512"/>
    <w:rsid w:val="00942173"/>
    <w:rsid w:val="00951A2E"/>
    <w:rsid w:val="00957916"/>
    <w:rsid w:val="00974E24"/>
    <w:rsid w:val="00981F98"/>
    <w:rsid w:val="00984383"/>
    <w:rsid w:val="00992947"/>
    <w:rsid w:val="00993D10"/>
    <w:rsid w:val="009941FE"/>
    <w:rsid w:val="00995A2A"/>
    <w:rsid w:val="009968DC"/>
    <w:rsid w:val="009B105B"/>
    <w:rsid w:val="009B6EEA"/>
    <w:rsid w:val="009B778B"/>
    <w:rsid w:val="009C32BD"/>
    <w:rsid w:val="009C4604"/>
    <w:rsid w:val="009C4B1D"/>
    <w:rsid w:val="009C6576"/>
    <w:rsid w:val="009D3820"/>
    <w:rsid w:val="009F2F4D"/>
    <w:rsid w:val="009F3892"/>
    <w:rsid w:val="00A02B60"/>
    <w:rsid w:val="00A047F0"/>
    <w:rsid w:val="00A142EC"/>
    <w:rsid w:val="00A15A7A"/>
    <w:rsid w:val="00A166D0"/>
    <w:rsid w:val="00A16FF3"/>
    <w:rsid w:val="00A23399"/>
    <w:rsid w:val="00A25121"/>
    <w:rsid w:val="00A26B6E"/>
    <w:rsid w:val="00A3107A"/>
    <w:rsid w:val="00A36B80"/>
    <w:rsid w:val="00A40DA1"/>
    <w:rsid w:val="00A41A31"/>
    <w:rsid w:val="00A45523"/>
    <w:rsid w:val="00A47171"/>
    <w:rsid w:val="00A52747"/>
    <w:rsid w:val="00A605EF"/>
    <w:rsid w:val="00A63583"/>
    <w:rsid w:val="00A649AC"/>
    <w:rsid w:val="00A64F7F"/>
    <w:rsid w:val="00A66134"/>
    <w:rsid w:val="00A6766C"/>
    <w:rsid w:val="00A67D1B"/>
    <w:rsid w:val="00A67E07"/>
    <w:rsid w:val="00A70BE4"/>
    <w:rsid w:val="00A8089D"/>
    <w:rsid w:val="00A82D74"/>
    <w:rsid w:val="00A85561"/>
    <w:rsid w:val="00A900FF"/>
    <w:rsid w:val="00A97123"/>
    <w:rsid w:val="00AA07EB"/>
    <w:rsid w:val="00AA22AF"/>
    <w:rsid w:val="00AA28DD"/>
    <w:rsid w:val="00AA34BD"/>
    <w:rsid w:val="00AA6FEC"/>
    <w:rsid w:val="00AA79A6"/>
    <w:rsid w:val="00AB0534"/>
    <w:rsid w:val="00AB21F6"/>
    <w:rsid w:val="00AC2C7F"/>
    <w:rsid w:val="00AC3F45"/>
    <w:rsid w:val="00AC6350"/>
    <w:rsid w:val="00AC7A56"/>
    <w:rsid w:val="00AD0BA7"/>
    <w:rsid w:val="00AD2FF1"/>
    <w:rsid w:val="00AD6B79"/>
    <w:rsid w:val="00AD71A0"/>
    <w:rsid w:val="00AE3EA4"/>
    <w:rsid w:val="00AF27BB"/>
    <w:rsid w:val="00AF4606"/>
    <w:rsid w:val="00AF4A62"/>
    <w:rsid w:val="00AF5659"/>
    <w:rsid w:val="00AF64E4"/>
    <w:rsid w:val="00B01489"/>
    <w:rsid w:val="00B034C6"/>
    <w:rsid w:val="00B03C3E"/>
    <w:rsid w:val="00B10309"/>
    <w:rsid w:val="00B1090C"/>
    <w:rsid w:val="00B122DC"/>
    <w:rsid w:val="00B13743"/>
    <w:rsid w:val="00B24479"/>
    <w:rsid w:val="00B25D60"/>
    <w:rsid w:val="00B30E48"/>
    <w:rsid w:val="00B32204"/>
    <w:rsid w:val="00B32508"/>
    <w:rsid w:val="00B33A9F"/>
    <w:rsid w:val="00B33F9C"/>
    <w:rsid w:val="00B36AA4"/>
    <w:rsid w:val="00B41551"/>
    <w:rsid w:val="00B453CD"/>
    <w:rsid w:val="00B471ED"/>
    <w:rsid w:val="00B47C68"/>
    <w:rsid w:val="00B54BD5"/>
    <w:rsid w:val="00B61BDC"/>
    <w:rsid w:val="00B708DF"/>
    <w:rsid w:val="00B72422"/>
    <w:rsid w:val="00B7655A"/>
    <w:rsid w:val="00B765A9"/>
    <w:rsid w:val="00B80BBF"/>
    <w:rsid w:val="00B83E7A"/>
    <w:rsid w:val="00B84AB3"/>
    <w:rsid w:val="00B8512F"/>
    <w:rsid w:val="00B86311"/>
    <w:rsid w:val="00B91C87"/>
    <w:rsid w:val="00B91CF6"/>
    <w:rsid w:val="00B92439"/>
    <w:rsid w:val="00B93565"/>
    <w:rsid w:val="00B96EC1"/>
    <w:rsid w:val="00B9715A"/>
    <w:rsid w:val="00B97BF8"/>
    <w:rsid w:val="00BA0178"/>
    <w:rsid w:val="00BA1FBF"/>
    <w:rsid w:val="00BA1FC6"/>
    <w:rsid w:val="00BA36F7"/>
    <w:rsid w:val="00BA546F"/>
    <w:rsid w:val="00BA5486"/>
    <w:rsid w:val="00BA6174"/>
    <w:rsid w:val="00BA6B0F"/>
    <w:rsid w:val="00BB0DFF"/>
    <w:rsid w:val="00BB1D43"/>
    <w:rsid w:val="00BB2BAC"/>
    <w:rsid w:val="00BB660B"/>
    <w:rsid w:val="00BB6A6C"/>
    <w:rsid w:val="00BB79D5"/>
    <w:rsid w:val="00BD1B03"/>
    <w:rsid w:val="00BD26DA"/>
    <w:rsid w:val="00BE447F"/>
    <w:rsid w:val="00BE5B6F"/>
    <w:rsid w:val="00BE7446"/>
    <w:rsid w:val="00BE7920"/>
    <w:rsid w:val="00BE7A13"/>
    <w:rsid w:val="00BF17A0"/>
    <w:rsid w:val="00BF1D45"/>
    <w:rsid w:val="00BF5324"/>
    <w:rsid w:val="00C066E7"/>
    <w:rsid w:val="00C07671"/>
    <w:rsid w:val="00C07CB3"/>
    <w:rsid w:val="00C10745"/>
    <w:rsid w:val="00C136BB"/>
    <w:rsid w:val="00C14951"/>
    <w:rsid w:val="00C1550E"/>
    <w:rsid w:val="00C1555D"/>
    <w:rsid w:val="00C15C7E"/>
    <w:rsid w:val="00C270D2"/>
    <w:rsid w:val="00C3132C"/>
    <w:rsid w:val="00C41F38"/>
    <w:rsid w:val="00C4326D"/>
    <w:rsid w:val="00C505B5"/>
    <w:rsid w:val="00C52983"/>
    <w:rsid w:val="00C56B11"/>
    <w:rsid w:val="00C60B73"/>
    <w:rsid w:val="00C62083"/>
    <w:rsid w:val="00C65B19"/>
    <w:rsid w:val="00C6742B"/>
    <w:rsid w:val="00C71FC9"/>
    <w:rsid w:val="00C733A9"/>
    <w:rsid w:val="00C86E31"/>
    <w:rsid w:val="00C970DE"/>
    <w:rsid w:val="00CA1A8F"/>
    <w:rsid w:val="00CB055E"/>
    <w:rsid w:val="00CB2D5D"/>
    <w:rsid w:val="00CC0F5B"/>
    <w:rsid w:val="00CC109B"/>
    <w:rsid w:val="00CC442B"/>
    <w:rsid w:val="00CC5CB1"/>
    <w:rsid w:val="00CD2F36"/>
    <w:rsid w:val="00CD34DE"/>
    <w:rsid w:val="00CD6CCF"/>
    <w:rsid w:val="00CE6C98"/>
    <w:rsid w:val="00CF1102"/>
    <w:rsid w:val="00CF3120"/>
    <w:rsid w:val="00D00B60"/>
    <w:rsid w:val="00D01056"/>
    <w:rsid w:val="00D0267E"/>
    <w:rsid w:val="00D04435"/>
    <w:rsid w:val="00D05A92"/>
    <w:rsid w:val="00D10FCD"/>
    <w:rsid w:val="00D1430A"/>
    <w:rsid w:val="00D1585C"/>
    <w:rsid w:val="00D16CB6"/>
    <w:rsid w:val="00D200AF"/>
    <w:rsid w:val="00D20AB0"/>
    <w:rsid w:val="00D24932"/>
    <w:rsid w:val="00D27554"/>
    <w:rsid w:val="00D31542"/>
    <w:rsid w:val="00D34583"/>
    <w:rsid w:val="00D36296"/>
    <w:rsid w:val="00D37CED"/>
    <w:rsid w:val="00D41C25"/>
    <w:rsid w:val="00D477DC"/>
    <w:rsid w:val="00D51BAB"/>
    <w:rsid w:val="00D526BA"/>
    <w:rsid w:val="00D55591"/>
    <w:rsid w:val="00D56797"/>
    <w:rsid w:val="00D609CC"/>
    <w:rsid w:val="00D623E8"/>
    <w:rsid w:val="00D652C9"/>
    <w:rsid w:val="00D71622"/>
    <w:rsid w:val="00D72BE5"/>
    <w:rsid w:val="00D76251"/>
    <w:rsid w:val="00D779B7"/>
    <w:rsid w:val="00D825CC"/>
    <w:rsid w:val="00D82988"/>
    <w:rsid w:val="00D837A7"/>
    <w:rsid w:val="00DA0675"/>
    <w:rsid w:val="00DA193A"/>
    <w:rsid w:val="00DA28D4"/>
    <w:rsid w:val="00DA414C"/>
    <w:rsid w:val="00DA48C7"/>
    <w:rsid w:val="00DA511F"/>
    <w:rsid w:val="00DA5EF9"/>
    <w:rsid w:val="00DB348F"/>
    <w:rsid w:val="00DB392A"/>
    <w:rsid w:val="00DB3FCB"/>
    <w:rsid w:val="00DB4537"/>
    <w:rsid w:val="00DC25C8"/>
    <w:rsid w:val="00DC4342"/>
    <w:rsid w:val="00DC6456"/>
    <w:rsid w:val="00DD0ADB"/>
    <w:rsid w:val="00DD37AF"/>
    <w:rsid w:val="00DD5BC0"/>
    <w:rsid w:val="00DE2416"/>
    <w:rsid w:val="00DF0F4C"/>
    <w:rsid w:val="00DF34C3"/>
    <w:rsid w:val="00DF42D6"/>
    <w:rsid w:val="00DF4DDC"/>
    <w:rsid w:val="00E018B2"/>
    <w:rsid w:val="00E03014"/>
    <w:rsid w:val="00E0380D"/>
    <w:rsid w:val="00E07A60"/>
    <w:rsid w:val="00E12058"/>
    <w:rsid w:val="00E1384F"/>
    <w:rsid w:val="00E1391F"/>
    <w:rsid w:val="00E13CF0"/>
    <w:rsid w:val="00E1465B"/>
    <w:rsid w:val="00E215A8"/>
    <w:rsid w:val="00E254B1"/>
    <w:rsid w:val="00E27D6B"/>
    <w:rsid w:val="00E32BF5"/>
    <w:rsid w:val="00E35CFD"/>
    <w:rsid w:val="00E3757F"/>
    <w:rsid w:val="00E376DA"/>
    <w:rsid w:val="00E40881"/>
    <w:rsid w:val="00E46D45"/>
    <w:rsid w:val="00E50253"/>
    <w:rsid w:val="00E5033C"/>
    <w:rsid w:val="00E51EC8"/>
    <w:rsid w:val="00E5220F"/>
    <w:rsid w:val="00E6667C"/>
    <w:rsid w:val="00E7455D"/>
    <w:rsid w:val="00E749AC"/>
    <w:rsid w:val="00E76CFE"/>
    <w:rsid w:val="00E76FF2"/>
    <w:rsid w:val="00E863F3"/>
    <w:rsid w:val="00E9618C"/>
    <w:rsid w:val="00EA07EC"/>
    <w:rsid w:val="00EA16D1"/>
    <w:rsid w:val="00EB4FB3"/>
    <w:rsid w:val="00EB78BA"/>
    <w:rsid w:val="00EC5DBD"/>
    <w:rsid w:val="00EC63FF"/>
    <w:rsid w:val="00ED7C8F"/>
    <w:rsid w:val="00EE050B"/>
    <w:rsid w:val="00EE0EAC"/>
    <w:rsid w:val="00EF1D55"/>
    <w:rsid w:val="00EF1E55"/>
    <w:rsid w:val="00EF2989"/>
    <w:rsid w:val="00EF6B25"/>
    <w:rsid w:val="00F004D4"/>
    <w:rsid w:val="00F01182"/>
    <w:rsid w:val="00F011DF"/>
    <w:rsid w:val="00F01712"/>
    <w:rsid w:val="00F0378C"/>
    <w:rsid w:val="00F065A4"/>
    <w:rsid w:val="00F07198"/>
    <w:rsid w:val="00F077ED"/>
    <w:rsid w:val="00F07CF9"/>
    <w:rsid w:val="00F207A5"/>
    <w:rsid w:val="00F22CD5"/>
    <w:rsid w:val="00F26DBF"/>
    <w:rsid w:val="00F32EDC"/>
    <w:rsid w:val="00F333D7"/>
    <w:rsid w:val="00F339BE"/>
    <w:rsid w:val="00F33C02"/>
    <w:rsid w:val="00F415A1"/>
    <w:rsid w:val="00F42F6E"/>
    <w:rsid w:val="00F842A6"/>
    <w:rsid w:val="00F86BB9"/>
    <w:rsid w:val="00F86D14"/>
    <w:rsid w:val="00F91817"/>
    <w:rsid w:val="00F93FE9"/>
    <w:rsid w:val="00F94B9C"/>
    <w:rsid w:val="00F953AD"/>
    <w:rsid w:val="00FA2B20"/>
    <w:rsid w:val="00FA66C6"/>
    <w:rsid w:val="00FA6B07"/>
    <w:rsid w:val="00FA7DFB"/>
    <w:rsid w:val="00FB25CB"/>
    <w:rsid w:val="00FB2BA1"/>
    <w:rsid w:val="00FC0AA3"/>
    <w:rsid w:val="00FC18D2"/>
    <w:rsid w:val="00FC29DE"/>
    <w:rsid w:val="00FC7591"/>
    <w:rsid w:val="00FD3378"/>
    <w:rsid w:val="00FF43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BC7812B"/>
  <w15:docId w15:val="{10E5589A-FB56-4D6C-88E5-D0D35934D38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B1"/>
    <w:pPr>
      <w:spacing w:line="288" w:lineRule="auto"/>
      <w:jc w:val="both"/>
    </w:pPr>
    <w:rPr>
      <w:rFonts w:eastAsia="Times New Roman"/>
      <w:sz w:val="22"/>
      <w:szCs w:val="22"/>
      <w:lang w:eastAsia="en-US"/>
    </w:rPr>
  </w:style>
  <w:style w:type="paragraph" w:styleId="Heading1">
    <w:name w:val="heading 1"/>
    <w:basedOn w:val="Normal"/>
    <w:next w:val="Normal"/>
    <w:link w:val="Heading1Char"/>
    <w:qFormat/>
    <w:rsid w:val="00CC5CB1"/>
    <w:pPr>
      <w:numPr>
        <w:numId w:val="1"/>
      </w:numPr>
      <w:ind w:left="567" w:hanging="567"/>
      <w:outlineLvl w:val="0"/>
    </w:pPr>
    <w:rPr>
      <w:kern w:val="28"/>
    </w:rPr>
  </w:style>
  <w:style w:type="paragraph" w:styleId="Heading2">
    <w:name w:val="heading 2"/>
    <w:basedOn w:val="Normal"/>
    <w:next w:val="Normal"/>
    <w:qFormat/>
    <w:rsid w:val="00CC5CB1"/>
    <w:pPr>
      <w:numPr>
        <w:ilvl w:val="1"/>
        <w:numId w:val="1"/>
      </w:numPr>
      <w:outlineLvl w:val="1"/>
    </w:pPr>
  </w:style>
  <w:style w:type="paragraph" w:styleId="Heading3">
    <w:name w:val="heading 3"/>
    <w:basedOn w:val="Normal"/>
    <w:next w:val="Normal"/>
    <w:qFormat/>
    <w:rsid w:val="00CC5CB1"/>
    <w:pPr>
      <w:numPr>
        <w:ilvl w:val="2"/>
        <w:numId w:val="1"/>
      </w:numPr>
      <w:ind w:left="567" w:hanging="567"/>
      <w:outlineLvl w:val="2"/>
    </w:pPr>
  </w:style>
  <w:style w:type="paragraph" w:styleId="Heading4">
    <w:name w:val="heading 4"/>
    <w:basedOn w:val="Normal"/>
    <w:next w:val="Normal"/>
    <w:qFormat/>
    <w:rsid w:val="00CC5CB1"/>
    <w:pPr>
      <w:numPr>
        <w:ilvl w:val="3"/>
        <w:numId w:val="1"/>
      </w:numPr>
      <w:ind w:left="567" w:hanging="567"/>
      <w:outlineLvl w:val="3"/>
    </w:pPr>
  </w:style>
  <w:style w:type="paragraph" w:styleId="Heading5">
    <w:name w:val="heading 5"/>
    <w:basedOn w:val="Normal"/>
    <w:next w:val="Normal"/>
    <w:qFormat/>
    <w:rsid w:val="00CC5CB1"/>
    <w:pPr>
      <w:numPr>
        <w:ilvl w:val="4"/>
        <w:numId w:val="1"/>
      </w:numPr>
      <w:ind w:left="567" w:hanging="567"/>
      <w:outlineLvl w:val="4"/>
    </w:pPr>
  </w:style>
  <w:style w:type="paragraph" w:styleId="Heading6">
    <w:name w:val="heading 6"/>
    <w:basedOn w:val="Normal"/>
    <w:next w:val="Normal"/>
    <w:qFormat/>
    <w:rsid w:val="00CC5CB1"/>
    <w:pPr>
      <w:numPr>
        <w:ilvl w:val="5"/>
        <w:numId w:val="1"/>
      </w:numPr>
      <w:ind w:left="567" w:hanging="567"/>
      <w:outlineLvl w:val="5"/>
    </w:pPr>
  </w:style>
  <w:style w:type="paragraph" w:styleId="Heading7">
    <w:name w:val="heading 7"/>
    <w:basedOn w:val="Normal"/>
    <w:next w:val="Normal"/>
    <w:qFormat/>
    <w:rsid w:val="00CC5CB1"/>
    <w:pPr>
      <w:numPr>
        <w:ilvl w:val="6"/>
        <w:numId w:val="1"/>
      </w:numPr>
      <w:ind w:left="567" w:hanging="567"/>
      <w:outlineLvl w:val="6"/>
    </w:pPr>
  </w:style>
  <w:style w:type="paragraph" w:styleId="Heading8">
    <w:name w:val="heading 8"/>
    <w:basedOn w:val="Normal"/>
    <w:next w:val="Normal"/>
    <w:qFormat/>
    <w:rsid w:val="00CC5CB1"/>
    <w:pPr>
      <w:numPr>
        <w:ilvl w:val="7"/>
        <w:numId w:val="1"/>
      </w:numPr>
      <w:ind w:left="567" w:hanging="567"/>
      <w:outlineLvl w:val="7"/>
    </w:pPr>
  </w:style>
  <w:style w:type="paragraph" w:styleId="Heading9">
    <w:name w:val="heading 9"/>
    <w:basedOn w:val="Normal"/>
    <w:next w:val="Normal"/>
    <w:qFormat/>
    <w:rsid w:val="00CC5CB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CC5CB1"/>
  </w:style>
  <w:style w:type="paragraph" w:styleId="FootnoteText">
    <w:name w:val="footnote text"/>
    <w:basedOn w:val="Normal"/>
    <w:qFormat/>
    <w:rsid w:val="00CC5CB1"/>
    <w:pPr>
      <w:keepLines/>
      <w:spacing w:after="60" w:line="240" w:lineRule="auto"/>
      <w:ind w:left="567" w:hanging="567"/>
    </w:pPr>
    <w:rPr>
      <w:sz w:val="16"/>
    </w:rPr>
  </w:style>
  <w:style w:type="paragraph" w:styleId="Header">
    <w:name w:val="header"/>
    <w:basedOn w:val="Normal"/>
    <w:qFormat/>
    <w:rsid w:val="00CC5CB1"/>
  </w:style>
  <w:style w:type="character" w:styleId="Hyperlink">
    <w:name w:val="Hyperlink"/>
    <w:rPr>
      <w:color w:val="0000FF"/>
      <w:u w:val="single"/>
    </w:rPr>
  </w:style>
  <w:style w:type="character" w:styleId="FootnoteReference">
    <w:name w:val="footnote reference"/>
    <w:basedOn w:val="DefaultParagraphFont"/>
    <w:unhideWhenUsed/>
    <w:qFormat/>
    <w:rsid w:val="00CC5CB1"/>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CC5CB1"/>
    <w:pPr>
      <w:ind w:left="720"/>
    </w:pPr>
    <w:rPr>
      <w:i/>
    </w:rPr>
  </w:style>
  <w:style w:type="paragraph" w:styleId="BalloonText">
    <w:name w:val="Balloon Text"/>
    <w:basedOn w:val="Normal"/>
    <w:link w:val="BalloonTextChar"/>
    <w:rsid w:val="00CC5CB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5CB1"/>
    <w:rPr>
      <w:rFonts w:ascii="Tahoma" w:eastAsia="Times New Roman" w:hAnsi="Tahoma" w:cs="Tahoma"/>
      <w:sz w:val="16"/>
      <w:szCs w:val="16"/>
      <w:lang w:val="fr-FR"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A67E07"/>
    <w:rPr>
      <w:rFonts w:eastAsia="Times New Roman"/>
      <w:lang w:eastAsia="en-US"/>
    </w:rPr>
  </w:style>
  <w:style w:type="paragraph" w:styleId="CommentSubject">
    <w:name w:val="annotation subject"/>
    <w:basedOn w:val="CommentText"/>
    <w:next w:val="CommentText"/>
    <w:link w:val="CommentSubjectChar"/>
    <w:semiHidden/>
    <w:unhideWhenUsed/>
    <w:rsid w:val="00A67E07"/>
    <w:rPr>
      <w:b/>
      <w:bCs/>
    </w:rPr>
  </w:style>
  <w:style w:type="character" w:customStyle="1" w:styleId="CommentSubjectChar">
    <w:name w:val="Comment Subject Char"/>
    <w:basedOn w:val="CommentTextChar"/>
    <w:link w:val="CommentSubject"/>
    <w:semiHidden/>
    <w:rsid w:val="00A67E07"/>
    <w:rPr>
      <w:rFonts w:eastAsia="Times New Roman"/>
      <w:b/>
      <w:bCs/>
      <w:lang w:eastAsia="en-US"/>
    </w:rPr>
  </w:style>
  <w:style w:type="paragraph" w:styleId="Revision">
    <w:name w:val="Revision"/>
    <w:hidden/>
    <w:uiPriority w:val="99"/>
    <w:semiHidden/>
    <w:rsid w:val="00A67E07"/>
    <w:rPr>
      <w:rFonts w:eastAsia="Times New Roman"/>
      <w:sz w:val="22"/>
      <w:szCs w:val="22"/>
      <w:lang w:eastAsia="en-US"/>
    </w:rPr>
  </w:style>
  <w:style w:type="paragraph" w:styleId="ListParagraph">
    <w:name w:val="List Paragraph"/>
    <w:basedOn w:val="Normal"/>
    <w:uiPriority w:val="34"/>
    <w:qFormat/>
    <w:rsid w:val="002137E4"/>
    <w:pPr>
      <w:ind w:left="720"/>
      <w:contextualSpacing/>
    </w:pPr>
    <w:rPr>
      <w:lang w:eastAsia="es-ES" w:bidi="es-ES"/>
    </w:rPr>
  </w:style>
  <w:style w:type="paragraph" w:customStyle="1" w:styleId="Tiret0">
    <w:name w:val="Tiret 0"/>
    <w:basedOn w:val="Normal"/>
    <w:rsid w:val="002137E4"/>
    <w:pPr>
      <w:numPr>
        <w:numId w:val="5"/>
      </w:numPr>
      <w:spacing w:before="120" w:after="120" w:line="240" w:lineRule="auto"/>
    </w:pPr>
    <w:rPr>
      <w:rFonts w:eastAsiaTheme="minorHAnsi"/>
      <w:sz w:val="24"/>
    </w:rPr>
  </w:style>
  <w:style w:type="character" w:customStyle="1" w:styleId="Heading1Char">
    <w:name w:val="Heading 1 Char"/>
    <w:basedOn w:val="DefaultParagraphFont"/>
    <w:link w:val="Heading1"/>
    <w:rsid w:val="00602219"/>
    <w:rPr>
      <w:rFonts w:eastAsia="Times New Roman"/>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8677">
      <w:bodyDiv w:val="1"/>
      <w:marLeft w:val="0"/>
      <w:marRight w:val="0"/>
      <w:marTop w:val="0"/>
      <w:marBottom w:val="0"/>
      <w:divBdr>
        <w:top w:val="none" w:sz="0" w:space="0" w:color="auto"/>
        <w:left w:val="none" w:sz="0" w:space="0" w:color="auto"/>
        <w:bottom w:val="none" w:sz="0" w:space="0" w:color="auto"/>
        <w:right w:val="none" w:sz="0" w:space="0" w:color="auto"/>
      </w:divBdr>
    </w:div>
    <w:div w:id="1328363739">
      <w:bodyDiv w:val="1"/>
      <w:marLeft w:val="0"/>
      <w:marRight w:val="0"/>
      <w:marTop w:val="0"/>
      <w:marBottom w:val="0"/>
      <w:divBdr>
        <w:top w:val="none" w:sz="0" w:space="0" w:color="auto"/>
        <w:left w:val="none" w:sz="0" w:space="0" w:color="auto"/>
        <w:bottom w:val="none" w:sz="0" w:space="0" w:color="auto"/>
        <w:right w:val="none" w:sz="0" w:space="0" w:color="auto"/>
      </w:divBdr>
      <w:divsChild>
        <w:div w:id="1284964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386125">
              <w:marLeft w:val="0"/>
              <w:marRight w:val="0"/>
              <w:marTop w:val="0"/>
              <w:marBottom w:val="0"/>
              <w:divBdr>
                <w:top w:val="none" w:sz="0" w:space="0" w:color="auto"/>
                <w:left w:val="none" w:sz="0" w:space="0" w:color="auto"/>
                <w:bottom w:val="none" w:sz="0" w:space="0" w:color="auto"/>
                <w:right w:val="none" w:sz="0" w:space="0" w:color="auto"/>
              </w:divBdr>
              <w:divsChild>
                <w:div w:id="1237059533">
                  <w:marLeft w:val="0"/>
                  <w:marRight w:val="0"/>
                  <w:marTop w:val="0"/>
                  <w:marBottom w:val="0"/>
                  <w:divBdr>
                    <w:top w:val="none" w:sz="0" w:space="0" w:color="auto"/>
                    <w:left w:val="none" w:sz="0" w:space="0" w:color="auto"/>
                    <w:bottom w:val="none" w:sz="0" w:space="0" w:color="auto"/>
                    <w:right w:val="none" w:sz="0" w:space="0" w:color="auto"/>
                  </w:divBdr>
                  <w:divsChild>
                    <w:div w:id="1940596797">
                      <w:marLeft w:val="0"/>
                      <w:marRight w:val="0"/>
                      <w:marTop w:val="0"/>
                      <w:marBottom w:val="0"/>
                      <w:divBdr>
                        <w:top w:val="none" w:sz="0" w:space="0" w:color="auto"/>
                        <w:left w:val="none" w:sz="0" w:space="0" w:color="auto"/>
                        <w:bottom w:val="none" w:sz="0" w:space="0" w:color="auto"/>
                        <w:right w:val="none" w:sz="0" w:space="0" w:color="auto"/>
                      </w:divBdr>
                      <w:divsChild>
                        <w:div w:id="1403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5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1.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VV634QRNENMJ-762678085-411</_dlc_DocId>
    <_dlc_DocIdUrl xmlns="cda99570-6012-4083-bfeb-7d32ad1ce1a3">
      <Url>http://dm2016/eesc/2020/_layouts/15/DocIdRedir.aspx?ID=VV634QRNENMJ-762678085-411</Url>
      <Description>VV634QRNENMJ-762678085-411</Description>
    </_dlc_DocIdUrl>
    <Procedure xmlns="cda99570-6012-4083-bfeb-7d32ad1ce1a3">2020/0128(COD)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2020-07-06T12:00:00+00:00</ProductionDate>
    <FicheYear xmlns="cda99570-6012-4083-bfeb-7d32ad1ce1a3">2020</FicheYear>
    <DocumentNumber xmlns="98af4b3d-0f8e-4839-87de-ec8dfffabf66">3040</DocumentNumber>
    <DocumentVersion xmlns="cda99570-6012-4083-bfeb-7d32ad1ce1a3">0</DocumentVersion>
    <DossierNumber xmlns="cda99570-6012-4083-bfeb-7d32ad1ce1a3">797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50</Value>
      <Value>49</Value>
      <Value>11</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6889</FicheNumber>
    <DocumentPart xmlns="cda99570-6012-4083-bfeb-7d32ad1ce1a3">0</DocumentPart>
    <AdoptionDate xmlns="cda99570-6012-4083-bfeb-7d32ad1ce1a3" xsi:nil="true"/>
    <RequestingService xmlns="cda99570-6012-4083-bfeb-7d32ad1ce1a3">Agriculture, développement rural et environnement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57789B-AABE-41CF-A5D4-702ECCC5ED5C}"/>
</file>

<file path=customXml/itemProps2.xml><?xml version="1.0" encoding="utf-8"?>
<ds:datastoreItem xmlns:ds="http://schemas.openxmlformats.org/officeDocument/2006/customXml" ds:itemID="{CC9ED623-8FCD-4ABF-911C-96EF350AAC03}"/>
</file>

<file path=customXml/itemProps3.xml><?xml version="1.0" encoding="utf-8"?>
<ds:datastoreItem xmlns:ds="http://schemas.openxmlformats.org/officeDocument/2006/customXml" ds:itemID="{2039B015-1248-4AE8-B479-C67494D7D09D}"/>
</file>

<file path=customXml/itemProps4.xml><?xml version="1.0" encoding="utf-8"?>
<ds:datastoreItem xmlns:ds="http://schemas.openxmlformats.org/officeDocument/2006/customXml" ds:itemID="{B6241CB1-0F60-44FA-BDF5-8A0F47E07E66}"/>
</file>

<file path=docProps/app.xml><?xml version="1.0" encoding="utf-8"?>
<Properties xmlns="http://schemas.openxmlformats.org/officeDocument/2006/extended-properties" xmlns:vt="http://schemas.openxmlformats.org/officeDocument/2006/docPropsVTypes">
  <Template>Styles</Template>
  <TotalTime>21</TotalTime>
  <Pages>6</Pages>
  <Words>1546</Words>
  <Characters>8756</Characters>
  <Application>Microsoft Office Word</Application>
  <DocSecurity>0</DocSecurity>
  <Lines>72</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Position Paper - Specific measures to mitigate the impact of the COVID-19 outbreak in the fishery and aquaculture sector</vt:lpstr>
      <vt:lpstr>NEW EESC MODEL  - PAC-CAT -C</vt:lpstr>
    </vt:vector>
  </TitlesOfParts>
  <Manager/>
  <Company>CESE-CdR</Company>
  <LinksUpToDate>false</LinksUpToDate>
  <CharactersWithSpaces>10282</CharactersWithSpaces>
  <SharedDoc>false</SharedDoc>
  <HyperlinkBase/>
  <HLinks>
    <vt:vector size="24" baseType="variant">
      <vt:variant>
        <vt:i4>6946879</vt:i4>
      </vt:variant>
      <vt:variant>
        <vt:i4>6</vt:i4>
      </vt:variant>
      <vt:variant>
        <vt:i4>0</vt:i4>
      </vt:variant>
      <vt:variant>
        <vt:i4>5</vt:i4>
      </vt:variant>
      <vt:variant>
        <vt:lpwstr>http://eur-lex.europa.eu/legal-content/EN/TXT/HTML/?uri=OJ:C:2015:291:FULL&amp;from=EN</vt:lpwstr>
      </vt:variant>
      <vt:variant>
        <vt:lpwstr/>
      </vt:variant>
      <vt:variant>
        <vt:i4>2359333</vt:i4>
      </vt:variant>
      <vt:variant>
        <vt:i4>3</vt:i4>
      </vt:variant>
      <vt:variant>
        <vt:i4>0</vt:i4>
      </vt:variant>
      <vt:variant>
        <vt:i4>5</vt:i4>
      </vt:variant>
      <vt:variant>
        <vt:lpwstr>http://eur-lex.europa.eu/LexUriServ/LexUriServ.do?uri=OJ:C:2014:424:SOM:EN:HTML</vt:lpwstr>
      </vt:variant>
      <vt:variant>
        <vt:lpwstr/>
      </vt:variant>
      <vt:variant>
        <vt:i4>2162721</vt:i4>
      </vt:variant>
      <vt:variant>
        <vt:i4>0</vt:i4>
      </vt:variant>
      <vt:variant>
        <vt:i4>0</vt:i4>
      </vt:variant>
      <vt:variant>
        <vt:i4>5</vt:i4>
      </vt:variant>
      <vt:variant>
        <vt:lpwstr>http://eur-lex.europa.eu/LexUriServ/LexUriServ.do?uri=OJ:C:2013:271:SOM:EN:HTML</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Exposé de position - Médicaments OGM/COVID-19</dc:title>
  <dc:subject>Projet d'avis du comité</dc:subject>
  <dc:creator>Stefano Palmieri</dc:creator>
  <cp:keywords>EESC-2020-03040-00-00-PAC-TRA-EN</cp:keywords>
  <dc:description>Rapporteur:  - Original language: EN - Date of document: 06/07/2020 - Date of meeting:  - External documents: COM(2020)261 - Administrator:  CAMERON Anna</dc:description>
  <cp:lastModifiedBy>Piunno Pietro</cp:lastModifiedBy>
  <cp:revision>6</cp:revision>
  <cp:lastPrinted>2014-05-15T07:01:00Z</cp:lastPrinted>
  <dcterms:created xsi:type="dcterms:W3CDTF">2020-07-06T06:08:00Z</dcterms:created>
  <dcterms:modified xsi:type="dcterms:W3CDTF">2020-07-06T06:32:00Z</dcterms:modified>
  <cp:category>NAT/797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02/07/2020, 08/04/2020, 23/03/2020, 12/05/2016, 12/05/2016</vt:lpwstr>
  </property>
  <property fmtid="{D5CDD505-2E9C-101B-9397-08002B2CF9AE}" pid="4" name="Pref_Time">
    <vt:lpwstr>09:12:08, 11:20:22, 15:27:36, 14:28:24, 13:59:28</vt:lpwstr>
  </property>
  <property fmtid="{D5CDD505-2E9C-101B-9397-08002B2CF9AE}" pid="5" name="Pref_User">
    <vt:lpwstr>hnic, mkop, hnic, jhvi, ssex</vt:lpwstr>
  </property>
  <property fmtid="{D5CDD505-2E9C-101B-9397-08002B2CF9AE}" pid="6" name="Pref_FileName">
    <vt:lpwstr>EESC-2020-03040-00-00-PAC-TRA-EN-CRR.docx, EESC-2020-01726-00-00-PAC-TRA-ES-CRR.docx, EESC-2020-01535-00-00-PAC-ORI.docx, EESC-2016-02804-00-00-PAC-TRA-EN-CRR.docx, EESC-2016-02804-00-00-PAC-CRR-EN.docx</vt:lpwstr>
  </property>
  <property fmtid="{D5CDD505-2E9C-101B-9397-08002B2CF9AE}" pid="7" name="ContentTypeId">
    <vt:lpwstr>0x010100EA97B91038054C99906057A708A1480A00292A099219C5BF43911B0000CE8DBCC8</vt:lpwstr>
  </property>
  <property fmtid="{D5CDD505-2E9C-101B-9397-08002B2CF9AE}" pid="8" name="_dlc_DocIdItemGuid">
    <vt:lpwstr>e93723c5-caf4-431c-9fcd-27b6c52e31de</vt:lpwstr>
  </property>
  <property fmtid="{D5CDD505-2E9C-101B-9397-08002B2CF9AE}" pid="9" name="Procedure">
    <vt:lpwstr>2020/0128(COD)</vt:lpwstr>
  </property>
  <property fmtid="{D5CDD505-2E9C-101B-9397-08002B2CF9AE}" pid="10" name="AvailableTranslations">
    <vt:lpwstr>11;#FR|d2afafd3-4c81-4f60-8f52-ee33f2f54ff3;#4;#EN|f2175f21-25d7-44a3-96da-d6a61b075e1b;#10;#DE|f6b31e5a-26fa-4935-b661-318e46daf27e</vt:lpwstr>
  </property>
  <property fmtid="{D5CDD505-2E9C-101B-9397-08002B2CF9AE}" pid="11" name="DocumentType_0">
    <vt:lpwstr>PAC|719e5324-e7b4-48f6-9bbb-a2f1f3496a94</vt:lpwstr>
  </property>
  <property fmtid="{D5CDD505-2E9C-101B-9397-08002B2CF9AE}" pid="12" name="DossierName_0">
    <vt:lpwstr>NAT|b263ab5d-0564-42a8-87bf-1cc57d938922</vt:lpwstr>
  </property>
  <property fmtid="{D5CDD505-2E9C-101B-9397-08002B2CF9AE}" pid="13" name="DocumentSource_0">
    <vt:lpwstr>EESC|422833ec-8d7e-4e65-8e4e-8bed07ffb729</vt:lpwstr>
  </property>
  <property fmtid="{D5CDD505-2E9C-101B-9397-08002B2CF9AE}" pid="14" name="DocumentNumber">
    <vt:i4>3040</vt:i4>
  </property>
  <property fmtid="{D5CDD505-2E9C-101B-9397-08002B2CF9AE}" pid="15" name="FicheYear">
    <vt:i4>2020</vt:i4>
  </property>
  <property fmtid="{D5CDD505-2E9C-101B-9397-08002B2CF9AE}" pid="16" name="DocumentVersion">
    <vt:i4>0</vt:i4>
  </property>
  <property fmtid="{D5CDD505-2E9C-101B-9397-08002B2CF9AE}" pid="17" name="DossierNumber">
    <vt:i4>797</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49;#NAT|b263ab5d-0564-42a8-87bf-1cc57d938922</vt:lpwstr>
  </property>
  <property fmtid="{D5CDD505-2E9C-101B-9397-08002B2CF9AE}" pid="21" name="DocumentSource">
    <vt:lpwstr>1;#EESC|422833ec-8d7e-4e65-8e4e-8bed07ffb729</vt:lpwstr>
  </property>
  <property fmtid="{D5CDD505-2E9C-101B-9397-08002B2CF9AE}" pid="23" name="DocumentType">
    <vt:lpwstr>50;#PAC|719e5324-e7b4-48f6-9bbb-a2f1f3496a94</vt:lpwstr>
  </property>
  <property fmtid="{D5CDD505-2E9C-101B-9397-08002B2CF9AE}" pid="24" name="RequestingService">
    <vt:lpwstr>Agriculture, développement rural et environnement</vt:lpwstr>
  </property>
  <property fmtid="{D5CDD505-2E9C-101B-9397-08002B2CF9AE}" pid="25" name="Confidentiality">
    <vt:lpwstr>5;#Unrestricted|826e22d7-d029-4ec0-a450-0c28ff673572</vt:lpwstr>
  </property>
  <property fmtid="{D5CDD505-2E9C-101B-9397-08002B2CF9AE}" pid="26" name="MeetingName_0">
    <vt:lpwstr/>
  </property>
  <property fmtid="{D5CDD505-2E9C-101B-9397-08002B2CF9AE}" pid="27" name="Confidentiality_0">
    <vt:lpwstr>Unrestricted|826e22d7-d029-4ec0-a450-0c28ff673572</vt:lpwstr>
  </property>
  <property fmtid="{D5CDD505-2E9C-101B-9397-08002B2CF9AE}" pid="28" name="OriginalLanguage">
    <vt:lpwstr>4;#EN|f2175f21-25d7-44a3-96da-d6a61b075e1b</vt:lpwstr>
  </property>
  <property fmtid="{D5CDD505-2E9C-101B-9397-08002B2CF9AE}" pid="29" name="MeetingName">
    <vt:lpwstr/>
  </property>
  <property fmtid="{D5CDD505-2E9C-101B-9397-08002B2CF9AE}" pid="31" name="AvailableTranslations_0">
    <vt:lpwstr>EN|f2175f21-25d7-44a3-96da-d6a61b075e1b;DE|f6b31e5a-26fa-4935-b661-318e46daf27e</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TaxCatchAll">
    <vt:lpwstr>50;#PAC|719e5324-e7b4-48f6-9bbb-a2f1f3496a94;#49;#NAT|b263ab5d-0564-42a8-87bf-1cc57d938922;#10;#DE|f6b31e5a-26fa-4935-b661-318e46daf27e;#6;#Final|ea5e6674-7b27-4bac-b091-73adbb394efe;#5;#Unrestricted|826e22d7-d029-4ec0-a450-0c28ff673572;#4;#EN|f2175f21-25d7-44a3-96da-d6a61b075e1b;#2;#TRA|150d2a88-1431-44e6-a8ca-0bb753ab8672;#1;#EESC|422833ec-8d7e-4e65-8e4e-8bed07ffb729</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6889</vt:i4>
  </property>
  <property fmtid="{D5CDD505-2E9C-101B-9397-08002B2CF9AE}" pid="39" name="DocumentLanguage">
    <vt:lpwstr>11;#FR|d2afafd3-4c81-4f60-8f52-ee33f2f54ff3</vt:lpwstr>
  </property>
  <property fmtid="{D5CDD505-2E9C-101B-9397-08002B2CF9AE}" pid="40" name="_docset_NoMedatataSyncRequired">
    <vt:lpwstr>False</vt:lpwstr>
  </property>
</Properties>
</file>