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5" w:rsidRDefault="00D7141B" w:rsidP="002E4D85">
      <w:pPr>
        <w:rPr>
          <w:rFonts w:ascii="Verdana" w:hAnsi="Verdana"/>
          <w:noProof/>
          <w:sz w:val="18"/>
          <w:szCs w:val="18"/>
          <w:lang w:eastAsia="pt-PT"/>
        </w:rPr>
      </w:pPr>
      <w:r>
        <w:rPr>
          <w:rFonts w:ascii="Verdana" w:hAnsi="Verdana"/>
          <w:noProof/>
          <w:sz w:val="20"/>
          <w:lang w:val="en-GB" w:eastAsia="en-GB"/>
        </w:rPr>
        <w:drawing>
          <wp:inline distT="0" distB="0" distL="0" distR="0" wp14:anchorId="66BE763C" wp14:editId="33CACDFD">
            <wp:extent cx="5760085" cy="1398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P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1B" w:rsidRPr="004B5544" w:rsidRDefault="00D7141B" w:rsidP="002E4D85">
      <w:pPr>
        <w:rPr>
          <w:rFonts w:ascii="Verdana" w:hAnsi="Verdana"/>
          <w:b/>
          <w:sz w:val="20"/>
          <w:szCs w:val="20"/>
        </w:rPr>
      </w:pPr>
    </w:p>
    <w:p w:rsidR="002E4D85" w:rsidRPr="004B5544" w:rsidRDefault="00AD0B80" w:rsidP="004B5544">
      <w:pPr>
        <w:tabs>
          <w:tab w:val="right" w:pos="9072"/>
        </w:tabs>
        <w:rPr>
          <w:rFonts w:ascii="Verdana" w:hAnsi="Verdana"/>
          <w:b/>
          <w:sz w:val="18"/>
          <w:szCs w:val="18"/>
        </w:rPr>
      </w:pPr>
      <w:r>
        <w:rPr>
          <w:rFonts w:ascii="Calibri" w:hAnsi="Calibri"/>
          <w:color w:val="000000"/>
        </w:rPr>
        <w:t>PR 15/2020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18"/>
          <w:szCs w:val="18"/>
        </w:rPr>
        <w:t>11 de junho de 2020</w:t>
      </w:r>
    </w:p>
    <w:p w:rsidR="00FD7C55" w:rsidRPr="004B5544" w:rsidRDefault="00FD7C55" w:rsidP="002E4D85">
      <w:pPr>
        <w:rPr>
          <w:rFonts w:ascii="Verdana" w:hAnsi="Verdana"/>
          <w:b/>
          <w:sz w:val="20"/>
          <w:szCs w:val="2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b/>
          <w:bCs/>
          <w:color w:val="006FC9"/>
          <w:sz w:val="32"/>
          <w:szCs w:val="32"/>
        </w:rPr>
        <w:t>«Devemos unir-nos pelo futuro da Europa, chegou o momento de agir», afirmaram o presidente do CESE, Luca Jahier, e a comissária europeia Elisa Ferreira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Na reunião plenária de junho, o Comité Económico e Social Europeu (CESE) organizou um debate sobre a retoma da economia europeia na sequência da crise provocada pela pandemia de COVID-19, salientando que se deve agora colocar a tónica na execução do plano da Comissão Europeia.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A solidariedade e a cooperação na UE são essenciais para relançar a economia após a pandemia de COVID-19. Nas suas intervenções na reunião plenária de junho, </w:t>
      </w:r>
      <w:r>
        <w:rPr>
          <w:rFonts w:ascii="Verdana" w:hAnsi="Verdana"/>
          <w:b/>
          <w:bCs/>
          <w:color w:val="000000"/>
          <w:sz w:val="18"/>
          <w:szCs w:val="18"/>
        </w:rPr>
        <w:t>Luca Jahier</w:t>
      </w:r>
      <w:r>
        <w:rPr>
          <w:rFonts w:ascii="Verdana" w:hAnsi="Verdana"/>
          <w:color w:val="000000"/>
          <w:sz w:val="18"/>
          <w:szCs w:val="18"/>
        </w:rPr>
        <w:t xml:space="preserve">, presidente do CESE, e </w:t>
      </w:r>
      <w:r>
        <w:rPr>
          <w:rFonts w:ascii="Verdana" w:hAnsi="Verdana"/>
          <w:b/>
          <w:bCs/>
          <w:color w:val="000000"/>
          <w:sz w:val="18"/>
          <w:szCs w:val="18"/>
        </w:rPr>
        <w:t>Elisa Ferreira</w:t>
      </w:r>
      <w:r>
        <w:rPr>
          <w:rFonts w:ascii="Verdana" w:hAnsi="Verdana"/>
          <w:color w:val="000000"/>
          <w:sz w:val="18"/>
          <w:szCs w:val="18"/>
        </w:rPr>
        <w:t>, comissária europeia responsável pela Coesão e Reformas, concordaram que a política de coesão desempenha um papel decisivo no âmbito do plano de recuperação para a Europa, da Comissão, e da proposta revista e mais ambiciosa do Quadro Financeiro Plurianual, e que agora é importante acelerar a sua adoção e execução.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Luca Jahier</w:t>
      </w:r>
      <w:r>
        <w:rPr>
          <w:rFonts w:ascii="Verdana" w:hAnsi="Verdana"/>
          <w:color w:val="000000"/>
          <w:sz w:val="18"/>
          <w:szCs w:val="18"/>
        </w:rPr>
        <w:t xml:space="preserve"> salientou que o CESE apoia este plano abrangente e sem precedentes, designadamente o Instrumento de Recuperação da União Europeia (Next Generation EU), na medida em que envia um sinal político claro e há muito aguardado de que a Europa está presente e que ninguém enfrentará sozinho a crise e as suas consequências. «O plano responde igualmente ao apelo do CESE para que a UE envide todos os esforços ao seu alcance para sair desta crise, salientando que só conseguiremos enfrentar este desafio com êxito se nos mantivermos unidos e agirmos em conjunto enquanto comunidade com um destino comum. O CESE sempre insistiu na solidariedade, na coesão e na sustentabilidade enquanto conceitos impulsionadores subjacentes a qualquer recuperação liderada pela UE. Por isso, congratulamo-nos com a inclusão de todos esses princípios no plano proposto pela Comissão. Agora que as decisões foram adotadas, devemos concentrar-nos na sua execução, porque aqueles que carecem de ajuda financeira para reiniciarem as suas atividades necessitam dela o mais depressa possível», declarou o </w:t>
      </w:r>
      <w:r>
        <w:rPr>
          <w:rFonts w:ascii="Verdana" w:hAnsi="Verdana"/>
          <w:b/>
          <w:bCs/>
          <w:color w:val="000000"/>
          <w:sz w:val="18"/>
          <w:szCs w:val="18"/>
        </w:rPr>
        <w:t>presidente do CESE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Por seu turno, </w:t>
      </w:r>
      <w:r>
        <w:rPr>
          <w:rFonts w:ascii="Verdana" w:hAnsi="Verdana"/>
          <w:b/>
          <w:bCs/>
          <w:color w:val="000000"/>
          <w:sz w:val="18"/>
          <w:szCs w:val="18"/>
        </w:rPr>
        <w:t>Elisa Ferreira</w:t>
      </w:r>
      <w:r>
        <w:rPr>
          <w:rFonts w:ascii="Verdana" w:hAnsi="Verdana"/>
          <w:color w:val="000000"/>
          <w:sz w:val="18"/>
          <w:szCs w:val="18"/>
        </w:rPr>
        <w:t xml:space="preserve"> congratulou-se com o forte apoio do CESE e afirmou: «Agora, mais do que nunca, precisamos de solidariedade e cooperação. A pandemia veio recordar-nos que devemos trabalhar em conjunto para responder já à crise, relançar a economia e promover a recuperação a longo prazo. A política de coesão desempenhará um papel fundamental e constituirá a primeira vaga de apoio. Em 27 de maio, a Comissão propôs o plano de recuperação mais abrangente e ambicioso que a União Europeia alguma vez viu. O Instrumento de Recuperação da União Europeia mobilizará 750 mil milhões de euros a título de investimento. A própria política de </w:t>
      </w:r>
      <w:r>
        <w:rPr>
          <w:rFonts w:ascii="Verdana" w:hAnsi="Verdana"/>
          <w:color w:val="000000"/>
          <w:sz w:val="18"/>
          <w:szCs w:val="18"/>
        </w:rPr>
        <w:lastRenderedPageBreak/>
        <w:t>coesão beneficiará de uma dotação suplementar de 55 mil milhões de euros a título da iniciativa REACT-EU, e o novo Fundo para a Transição Justa será multiplicado por cinco, passando de 7,5 mil milhões de euros para 40 mil milhões de euros.»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Frisando que o plano de recuperação da Comissão requer o apoio e a mobilização de todos os intervenientes e instituições para a sua execução, </w:t>
      </w:r>
      <w:r>
        <w:rPr>
          <w:rFonts w:ascii="Verdana" w:hAnsi="Verdana"/>
          <w:b/>
          <w:bCs/>
          <w:color w:val="000000"/>
          <w:sz w:val="18"/>
          <w:szCs w:val="18"/>
        </w:rPr>
        <w:t>Elisa Ferreira</w:t>
      </w:r>
      <w:r>
        <w:rPr>
          <w:rFonts w:ascii="Verdana" w:hAnsi="Verdana"/>
          <w:color w:val="000000"/>
          <w:sz w:val="18"/>
          <w:szCs w:val="18"/>
        </w:rPr>
        <w:t xml:space="preserve"> acrescentou: «Hoje, gostaria de apelar à ação. Em primeiro lugar, apelo à ação em prol da coesão, que faz parte do ADN das novas propostas da Comissão. A nossa política já se encontra no cerne da resposta da Europa à crise. Em segundo lugar, apelo à ação em prol dos parceiros económicos e sociais e da sociedade civil, ou seja, agir pelos parceiros e com os parceiros. O nosso trabalho não terminou está apenas a começar. Temos os instrumentos, chegou o momento de agir. Através de ações destinadas a assegurar condições equitativas para a retoma e a recuperação.»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Mais especificamente, </w:t>
      </w:r>
      <w:r>
        <w:rPr>
          <w:rFonts w:ascii="Verdana" w:hAnsi="Verdana"/>
          <w:b/>
          <w:bCs/>
          <w:color w:val="000000"/>
          <w:sz w:val="18"/>
          <w:szCs w:val="18"/>
        </w:rPr>
        <w:t>Luca Jahier</w:t>
      </w:r>
      <w:r>
        <w:rPr>
          <w:rFonts w:ascii="Verdana" w:hAnsi="Verdana"/>
          <w:color w:val="000000"/>
          <w:sz w:val="18"/>
          <w:szCs w:val="18"/>
        </w:rPr>
        <w:t xml:space="preserve"> assinalou com satisfação que o plano da Comissão destaca a coesão e a convergência para lutar contra as disparidades territoriais e as desigualdades sociais que foram expostas ou exacerbadas pela crise. Afirmou ainda que a nova iniciativa REACT-EU constitui também um instrumento muito útil e necessário, uma vez que complementará o apoio à coesão concedido aos Estados-Membros, com um orçamento a repartir em função do impacto da crise. «Tal assegurará que o financiamento das medidas essenciais para a recuperação da crise e o apoio às pessoas mais carenciadas não são interrompidos. Esta iniciativa apoiará os trabalhadores e as PME, os sistemas de saúde e as transições ecológica e digital e estará disponível para todos os setores, do turismo à cultura», concluiu.</w:t>
      </w:r>
    </w:p>
    <w:p w:rsidR="00AD0B80" w:rsidRPr="004B5544" w:rsidRDefault="00AD0B80" w:rsidP="00AD0B80">
      <w:pPr>
        <w:rPr>
          <w:rFonts w:ascii="Calibri" w:hAnsi="Calibri" w:cs="Calibri"/>
          <w:color w:val="000000"/>
          <w:lang w:val="en-GB"/>
        </w:rPr>
      </w:pPr>
    </w:p>
    <w:p w:rsidR="00AD0B80" w:rsidRPr="004B5544" w:rsidRDefault="00AD0B80" w:rsidP="00AD0B80">
      <w:pPr>
        <w:rPr>
          <w:rFonts w:ascii="Calibri" w:hAnsi="Calibri" w:cs="Calibri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Durante o debate, </w:t>
      </w:r>
      <w:r>
        <w:rPr>
          <w:rFonts w:ascii="Verdana" w:hAnsi="Verdana"/>
          <w:b/>
          <w:bCs/>
          <w:color w:val="000000"/>
          <w:sz w:val="18"/>
          <w:szCs w:val="18"/>
        </w:rPr>
        <w:t>Tellervo Kylä-Harakka-Ruonala</w:t>
      </w:r>
      <w:r>
        <w:rPr>
          <w:rFonts w:ascii="Verdana" w:hAnsi="Verdana"/>
          <w:color w:val="000000"/>
          <w:sz w:val="18"/>
          <w:szCs w:val="18"/>
        </w:rPr>
        <w:t xml:space="preserve">, em nome do Grupo dos Empregadores, afirmou que o plano da Comissão só será bem-sucedido se os recursos públicos forem afetados aos investimentos com o melhor retorno e se as condições para o exercício da atividade económica, incluindo as infraestruturas e a inovação, forem desenvolvidas e reforçadas. </w:t>
      </w:r>
      <w:r>
        <w:rPr>
          <w:rFonts w:ascii="Verdana" w:hAnsi="Verdana"/>
          <w:b/>
          <w:bCs/>
          <w:color w:val="000000"/>
          <w:sz w:val="18"/>
          <w:szCs w:val="18"/>
        </w:rPr>
        <w:t>Ester Vitale</w:t>
      </w:r>
      <w:r>
        <w:rPr>
          <w:rFonts w:ascii="Verdana" w:hAnsi="Verdana"/>
          <w:color w:val="000000"/>
          <w:sz w:val="18"/>
          <w:szCs w:val="18"/>
        </w:rPr>
        <w:t xml:space="preserve">, em representação do Grupo dos Trabalhadores, destacou a importância de evitar cortes na proteção social dos trabalhadores, nos sistemas de saúde pública e nos meios de produção sustentável durante estes tempos difíceis, a fim de garantir uma recuperação equilibrada em todo o continente. Por seu lado, </w:t>
      </w:r>
      <w:r>
        <w:rPr>
          <w:rFonts w:ascii="Verdana" w:hAnsi="Verdana"/>
          <w:b/>
          <w:bCs/>
          <w:color w:val="000000"/>
          <w:sz w:val="18"/>
          <w:szCs w:val="18"/>
        </w:rPr>
        <w:t>Io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nu</w:t>
      </w:r>
      <w:r w:rsidR="00BA3424" w:rsidRPr="00BA3424">
        <w:rPr>
          <w:rFonts w:ascii="Verdana" w:hAnsi="Verdana"/>
          <w:b/>
          <w:bCs/>
          <w:color w:val="000000"/>
          <w:sz w:val="18"/>
          <w:szCs w:val="18"/>
        </w:rPr>
        <w:t>ţ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Sibian</w:t>
      </w:r>
      <w:r>
        <w:rPr>
          <w:rFonts w:ascii="Verdana" w:hAnsi="Verdana"/>
          <w:color w:val="000000"/>
          <w:sz w:val="18"/>
          <w:szCs w:val="18"/>
        </w:rPr>
        <w:t>, em nome do Grupo Diversidade Europa, mencionou o contributo das ONG e a importância de as ajudar a reconstruir a sua capacidade de resiliência, de forma a poderem continuar a desempenhar o seu papel fundamental na sociedade.</w:t>
      </w:r>
    </w:p>
    <w:p w:rsidR="00EE5EA4" w:rsidRPr="004B5544" w:rsidRDefault="00EE5EA4" w:rsidP="00EE5EA4">
      <w:pPr>
        <w:rPr>
          <w:rFonts w:ascii="Verdana" w:hAnsi="Verdana"/>
          <w:sz w:val="18"/>
          <w:szCs w:val="18"/>
          <w:lang w:val="en-GB"/>
        </w:rPr>
      </w:pPr>
    </w:p>
    <w:p w:rsidR="00FD7C55" w:rsidRPr="004B5544" w:rsidRDefault="00FD7C55" w:rsidP="00FD7C55">
      <w:pPr>
        <w:pStyle w:val="Normal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D7C55" w:rsidRPr="004B5544" w:rsidRDefault="00FD7C55" w:rsidP="00FD7C55">
      <w:pPr>
        <w:pStyle w:val="Normal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FD7C55" w:rsidRPr="004B5544" w:rsidRDefault="00FD7C55" w:rsidP="00FD7C55">
      <w:pPr>
        <w:pStyle w:val="NormalWeb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Para mais informações, contactar:</w:t>
      </w:r>
    </w:p>
    <w:p w:rsidR="00FD7C55" w:rsidRPr="004B5544" w:rsidRDefault="00FD7C55" w:rsidP="00FD7C55">
      <w:pPr>
        <w:pStyle w:val="NormalWeb"/>
        <w:jc w:val="center"/>
        <w:rPr>
          <w:rFonts w:ascii="Calibri" w:hAnsi="Calibri" w:cs="Calibri"/>
          <w:color w:val="1F497D"/>
          <w:sz w:val="22"/>
          <w:szCs w:val="22"/>
        </w:rPr>
      </w:pPr>
    </w:p>
    <w:p w:rsidR="00FD7C55" w:rsidRPr="004B5544" w:rsidRDefault="00FE283C" w:rsidP="00FD7C55">
      <w:pPr>
        <w:pStyle w:val="NormalWeb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Marco Pezzani</w:t>
      </w:r>
    </w:p>
    <w:p w:rsidR="00FD7C55" w:rsidRPr="004B5544" w:rsidRDefault="00FD7C55" w:rsidP="00FD7C55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Assessor de imprensa</w:t>
      </w:r>
    </w:p>
    <w:p w:rsidR="00FD7C55" w:rsidRPr="004B5544" w:rsidRDefault="00FE283C" w:rsidP="00FD7C55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Marco.Pezzani@eesc.europa.eu</w:t>
      </w:r>
    </w:p>
    <w:p w:rsidR="00FD7C55" w:rsidRPr="004B5544" w:rsidRDefault="00FD7C55" w:rsidP="00FD7C55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</w:p>
    <w:p w:rsidR="00FD7C55" w:rsidRPr="004B5544" w:rsidRDefault="00FD7C55" w:rsidP="00FD7C55">
      <w:pPr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D7C55" w:rsidRPr="004B5544" w:rsidRDefault="00FD7C55" w:rsidP="00FD7C55">
      <w:pPr>
        <w:rPr>
          <w:color w:val="000000"/>
          <w:sz w:val="24"/>
          <w:szCs w:val="24"/>
        </w:rPr>
      </w:pPr>
      <w:r>
        <w:rPr>
          <w:rFonts w:ascii="Verdana" w:hAnsi="Verdana"/>
          <w:i/>
          <w:iCs/>
          <w:color w:val="000000"/>
          <w:sz w:val="14"/>
          <w:szCs w:val="14"/>
        </w:rPr>
        <w:t>O Comité Económico e Social Europeu é um órgão institucional consultivo, instituído pelo Tratado de Roma em 1957.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Assegura a representação dos diversos setores da vida económica e social da sociedade civil organizada. A sua função consultiva permite aos seus membros e, portanto, às organizações que representam, participar no processo de decisão da UE.</w:t>
      </w:r>
    </w:p>
    <w:p w:rsidR="00FD7C55" w:rsidRPr="004B5544" w:rsidRDefault="00FD7C55" w:rsidP="00FD7C55">
      <w:pPr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D7C55" w:rsidRPr="004B5544" w:rsidRDefault="00FD7C55" w:rsidP="00FD7C55">
      <w:pPr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</w:rPr>
        <w:t>Se já não está interessado em receber estas mensagens, envie uma mensagem de correio eletrónico para</w:t>
      </w:r>
      <w:r>
        <w:t xml:space="preserve"> </w:t>
      </w:r>
      <w:hyperlink r:id="rId12" w:history="1">
        <w:r>
          <w:rPr>
            <w:rStyle w:val="Hyperlink"/>
            <w:rFonts w:ascii="Verdana" w:hAnsi="Verdana"/>
            <w:sz w:val="16"/>
            <w:szCs w:val="16"/>
          </w:rPr>
          <w:t>press@eesc.europa.eu</w:t>
        </w:r>
      </w:hyperlink>
    </w:p>
    <w:p w:rsidR="007B7E6D" w:rsidRPr="004B5544" w:rsidRDefault="007B7E6D">
      <w:pPr>
        <w:rPr>
          <w:rFonts w:ascii="Verdana" w:hAnsi="Verdana"/>
          <w:sz w:val="18"/>
          <w:szCs w:val="18"/>
          <w:lang w:val="en-GB"/>
        </w:rPr>
      </w:pPr>
    </w:p>
    <w:sectPr w:rsidR="007B7E6D" w:rsidRPr="004B5544" w:rsidSect="00D73205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71" w:rsidRDefault="00A81B71" w:rsidP="00981F4E">
      <w:pPr>
        <w:spacing w:line="240" w:lineRule="auto"/>
      </w:pPr>
      <w:r>
        <w:separator/>
      </w:r>
    </w:p>
  </w:endnote>
  <w:endnote w:type="continuationSeparator" w:id="0">
    <w:p w:rsidR="00A81B71" w:rsidRDefault="00A81B71" w:rsidP="0098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71" w:rsidRDefault="00A81B71" w:rsidP="00981F4E">
      <w:pPr>
        <w:spacing w:line="240" w:lineRule="auto"/>
      </w:pPr>
      <w:r>
        <w:separator/>
      </w:r>
    </w:p>
  </w:footnote>
  <w:footnote w:type="continuationSeparator" w:id="0">
    <w:p w:rsidR="00A81B71" w:rsidRDefault="00A81B71" w:rsidP="00981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05"/>
    <w:rsid w:val="00003EA7"/>
    <w:rsid w:val="00010809"/>
    <w:rsid w:val="00016473"/>
    <w:rsid w:val="00023967"/>
    <w:rsid w:val="00081A53"/>
    <w:rsid w:val="0008258D"/>
    <w:rsid w:val="000E3463"/>
    <w:rsid w:val="000F2DD9"/>
    <w:rsid w:val="00120867"/>
    <w:rsid w:val="00186C2D"/>
    <w:rsid w:val="001C4CC8"/>
    <w:rsid w:val="0020099C"/>
    <w:rsid w:val="00277AA2"/>
    <w:rsid w:val="002A06BB"/>
    <w:rsid w:val="002B53FD"/>
    <w:rsid w:val="002D40F5"/>
    <w:rsid w:val="002E4D85"/>
    <w:rsid w:val="002F7262"/>
    <w:rsid w:val="003C0DB1"/>
    <w:rsid w:val="00424428"/>
    <w:rsid w:val="00435245"/>
    <w:rsid w:val="00473F91"/>
    <w:rsid w:val="00476AEB"/>
    <w:rsid w:val="00480A1A"/>
    <w:rsid w:val="004A1D83"/>
    <w:rsid w:val="004B5544"/>
    <w:rsid w:val="004C3D16"/>
    <w:rsid w:val="005009AC"/>
    <w:rsid w:val="00531F83"/>
    <w:rsid w:val="005437CA"/>
    <w:rsid w:val="00555A93"/>
    <w:rsid w:val="005739D6"/>
    <w:rsid w:val="00610C67"/>
    <w:rsid w:val="00641D5A"/>
    <w:rsid w:val="00644084"/>
    <w:rsid w:val="00671B23"/>
    <w:rsid w:val="006D6899"/>
    <w:rsid w:val="00744F38"/>
    <w:rsid w:val="007519EF"/>
    <w:rsid w:val="007B7E6D"/>
    <w:rsid w:val="007C3799"/>
    <w:rsid w:val="007F5947"/>
    <w:rsid w:val="00831777"/>
    <w:rsid w:val="00831FCE"/>
    <w:rsid w:val="008507A6"/>
    <w:rsid w:val="0087309A"/>
    <w:rsid w:val="00893696"/>
    <w:rsid w:val="008C427E"/>
    <w:rsid w:val="009467F0"/>
    <w:rsid w:val="00981DAA"/>
    <w:rsid w:val="00981F4E"/>
    <w:rsid w:val="00994BEB"/>
    <w:rsid w:val="009D006D"/>
    <w:rsid w:val="009E22B2"/>
    <w:rsid w:val="00A05D02"/>
    <w:rsid w:val="00A71E7A"/>
    <w:rsid w:val="00A75C4E"/>
    <w:rsid w:val="00A81B71"/>
    <w:rsid w:val="00AA796C"/>
    <w:rsid w:val="00AB20BE"/>
    <w:rsid w:val="00AC20A0"/>
    <w:rsid w:val="00AD0B80"/>
    <w:rsid w:val="00B05DAF"/>
    <w:rsid w:val="00B065D1"/>
    <w:rsid w:val="00B33CDC"/>
    <w:rsid w:val="00B5093A"/>
    <w:rsid w:val="00B55BCE"/>
    <w:rsid w:val="00B62711"/>
    <w:rsid w:val="00B73A66"/>
    <w:rsid w:val="00BA3424"/>
    <w:rsid w:val="00BD223B"/>
    <w:rsid w:val="00BF25D6"/>
    <w:rsid w:val="00C21B01"/>
    <w:rsid w:val="00C230AA"/>
    <w:rsid w:val="00C261C4"/>
    <w:rsid w:val="00C328AC"/>
    <w:rsid w:val="00C52AFF"/>
    <w:rsid w:val="00C53C46"/>
    <w:rsid w:val="00C66A26"/>
    <w:rsid w:val="00C730DD"/>
    <w:rsid w:val="00CA046D"/>
    <w:rsid w:val="00D1013C"/>
    <w:rsid w:val="00D468AF"/>
    <w:rsid w:val="00D477B3"/>
    <w:rsid w:val="00D66727"/>
    <w:rsid w:val="00D7141B"/>
    <w:rsid w:val="00D73205"/>
    <w:rsid w:val="00D82D35"/>
    <w:rsid w:val="00DB2C24"/>
    <w:rsid w:val="00E1578D"/>
    <w:rsid w:val="00E612D2"/>
    <w:rsid w:val="00E824FA"/>
    <w:rsid w:val="00EB2C05"/>
    <w:rsid w:val="00EE2E98"/>
    <w:rsid w:val="00EE5EA4"/>
    <w:rsid w:val="00F056B4"/>
    <w:rsid w:val="00F125BA"/>
    <w:rsid w:val="00F66E95"/>
    <w:rsid w:val="00FC76A5"/>
    <w:rsid w:val="00FD7C55"/>
    <w:rsid w:val="00FE283C"/>
    <w:rsid w:val="00FE45B5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8C25-71D7-433E-9927-C608FED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0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7320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7320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7320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7320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7320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7320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7320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7320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7320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205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D7320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D7320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D73205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D73205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D73205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D73205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D73205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D732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D73205"/>
  </w:style>
  <w:style w:type="character" w:customStyle="1" w:styleId="FooterChar">
    <w:name w:val="Footer Char"/>
    <w:basedOn w:val="DefaultParagraphFont"/>
    <w:link w:val="Footer"/>
    <w:rsid w:val="00D7320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qFormat/>
    <w:rsid w:val="00D7320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3205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D73205"/>
  </w:style>
  <w:style w:type="character" w:customStyle="1" w:styleId="HeaderChar">
    <w:name w:val="Header Char"/>
    <w:basedOn w:val="DefaultParagraphFont"/>
    <w:link w:val="Header"/>
    <w:rsid w:val="00D73205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D7320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D73205"/>
    <w:rPr>
      <w:sz w:val="24"/>
      <w:vertAlign w:val="superscript"/>
    </w:rPr>
  </w:style>
  <w:style w:type="character" w:styleId="Hyperlink">
    <w:name w:val="Hyperlink"/>
    <w:basedOn w:val="DefaultParagraphFont"/>
    <w:unhideWhenUsed/>
    <w:rsid w:val="00981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3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67F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D7C55"/>
    <w:pPr>
      <w:spacing w:line="240" w:lineRule="auto"/>
      <w:jc w:val="left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eesc.europ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VV634QRNENMJ-1826176032-3817</_dlc_DocId>
    <_dlc_DocIdUrl xmlns="cda99570-6012-4083-bfeb-7d32ad1ce1a3">
      <Url>http://dm2016/eesc/2020/_layouts/15/DocIdRedir.aspx?ID=VV634QRNENMJ-1826176032-3817</Url>
      <Description>VV634QRNENMJ-1826176032-3817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2020-06-12T12:00:00+00:00</ProductionDate>
    <FicheYear xmlns="cda99570-6012-4083-bfeb-7d32ad1ce1a3">2020</FicheYear>
    <DocumentNumber xmlns="73bac5c4-8a91-4dc7-b814-def809a8194f">2737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15</Value>
      <Value>13</Value>
      <Value>29</Value>
      <Value>11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5909</FicheNumber>
    <DocumentPart xmlns="cda99570-6012-4083-bfeb-7d32ad1ce1a3">0</DocumentPart>
    <AdoptionDate xmlns="cda99570-6012-4083-bfeb-7d32ad1ce1a3" xsi:nil="true"/>
    <RequestingService xmlns="cda99570-6012-4083-bfeb-7d32ad1ce1a3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3bac5c4-8a91-4dc7-b814-def809a8194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4A67B585C316428632A8520FD87D85" ma:contentTypeVersion="4" ma:contentTypeDescription="Defines the documents for Document Manager V2" ma:contentTypeScope="" ma:versionID="7ace0c734ee3fcf8eeec41f2ae65c711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73bac5c4-8a91-4dc7-b814-def809a8194f" targetNamespace="http://schemas.microsoft.com/office/2006/metadata/properties" ma:root="true" ma:fieldsID="45710bd41127e21873434a4f5fbbc3a7" ns2:_="" ns3:_="" ns4:_="">
    <xsd:import namespace="cda99570-6012-4083-bfeb-7d32ad1ce1a3"/>
    <xsd:import namespace="http://schemas.microsoft.com/sharepoint/v3/fields"/>
    <xsd:import namespace="73bac5c4-8a91-4dc7-b814-def809a81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ac5c4-8a91-4dc7-b814-def809a819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7B440-BE56-439B-AAD4-03D46245196C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73bac5c4-8a91-4dc7-b814-def809a8194f"/>
  </ds:schemaRefs>
</ds:datastoreItem>
</file>

<file path=customXml/itemProps2.xml><?xml version="1.0" encoding="utf-8"?>
<ds:datastoreItem xmlns:ds="http://schemas.openxmlformats.org/officeDocument/2006/customXml" ds:itemID="{2E678F66-706D-480B-BDC8-B89306FBC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DF429-AC7D-4A1B-98E1-F98710FD03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95AD01-2965-41F6-BBBA-496F281A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73bac5c4-8a91-4dc7-b814-def809a81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reunião plenária - Elisa Ferreira</dc:title>
  <dc:subject>Comunicado de imprensa</dc:subject>
  <dc:creator>Laura Irena Lui</dc:creator>
  <cp:keywords>EESC-2020-02737-00-00-CP-TRA-EN</cp:keywords>
  <dc:description>Rapporteur:  - Original language: EN - Date of document: 12/06/2020 - Date of meeting:  - External documents:  - Administrator: M. PEZZANI Marco</dc:description>
  <cp:lastModifiedBy>Marco Pezzani</cp:lastModifiedBy>
  <cp:revision>9</cp:revision>
  <dcterms:created xsi:type="dcterms:W3CDTF">2020-06-11T13:47:00Z</dcterms:created>
  <dcterms:modified xsi:type="dcterms:W3CDTF">2020-07-13T15:42:00Z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11/06/2020</vt:lpwstr>
  </property>
  <property fmtid="{D5CDD505-2E9C-101B-9397-08002B2CF9AE}" pid="4" name="Pref_Time">
    <vt:lpwstr>15:47:58</vt:lpwstr>
  </property>
  <property fmtid="{D5CDD505-2E9C-101B-9397-08002B2CF9AE}" pid="5" name="Pref_User">
    <vt:lpwstr>hnic</vt:lpwstr>
  </property>
  <property fmtid="{D5CDD505-2E9C-101B-9397-08002B2CF9AE}" pid="6" name="Pref_FileName">
    <vt:lpwstr>EESC-2020-02737-00-00-CP-ORI.docx</vt:lpwstr>
  </property>
  <property fmtid="{D5CDD505-2E9C-101B-9397-08002B2CF9AE}" pid="7" name="ContentTypeId">
    <vt:lpwstr>0x010100EA97B91038054C99906057A708A1480A00524A67B585C316428632A8520FD87D85</vt:lpwstr>
  </property>
  <property fmtid="{D5CDD505-2E9C-101B-9397-08002B2CF9AE}" pid="8" name="_dlc_DocIdItemGuid">
    <vt:lpwstr>5e1d9dad-6310-47b2-8c18-836240e7e4af</vt:lpwstr>
  </property>
  <property fmtid="{D5CDD505-2E9C-101B-9397-08002B2CF9AE}" pid="9" name="AvailableTranslations">
    <vt:lpwstr>13;#IT|0774613c-01ed-4e5d-a25d-11d2388de825;#29;#PT|50ccc04a-eadd-42ae-a0cb-acaf45f812ba;#11;#FR|d2afafd3-4c81-4f60-8f52-ee33f2f54ff3;#4;#EN|f2175f21-25d7-44a3-96da-d6a61b075e1b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2737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15;#CP|de8ad211-9e8d-408b-8324-674d21bb7d18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IT|0774613c-01ed-4e5d-a25d-11d2388de825;FR|d2afafd3-4c81-4f60-8f52-ee33f2f54ff3;EN|f2175f21-25d7-44a3-96da-d6a61b075e1b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15;#CP|de8ad211-9e8d-408b-8324-674d21bb7d18;#13;#IT|0774613c-01ed-4e5d-a25d-11d2388de825;#11;#FR|d2afafd3-4c81-4f60-8f52-ee33f2f54ff3;#6;#Final|ea5e6674-7b27-4bac-b091-73adbb394efe;#5;#Unrestricted|826e22d7-d029-4ec0-a450-0c28ff673572;#4;#EN|f2175f21-25d7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5909</vt:i4>
  </property>
  <property fmtid="{D5CDD505-2E9C-101B-9397-08002B2CF9AE}" pid="35" name="DocumentLanguage">
    <vt:lpwstr>29;#PT|50ccc04a-eadd-42ae-a0cb-acaf45f812ba</vt:lpwstr>
  </property>
  <property fmtid="{D5CDD505-2E9C-101B-9397-08002B2CF9AE}" pid="36" name="_docset_NoMedatataSyncRequired">
    <vt:lpwstr>False</vt:lpwstr>
  </property>
</Properties>
</file>