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54" w:rsidP="009B1F54" w:rsidRDefault="009B1F54">
      <w:pPr>
        <w:spacing w:line="288" w:lineRule="auto"/>
        <w:jc w:val="center"/>
        <w:rPr>
          <w:b/>
          <w:bCs/>
          <w:iCs/>
          <w:sz w:val="22"/>
          <w:szCs w:val="22"/>
          <w:rFonts w:ascii="Times New Roman" w:hAnsi="Times New Roman"/>
        </w:rPr>
      </w:pPr>
      <w:r>
        <w:rPr>
          <w:b/>
          <w:bCs/>
          <w:iCs/>
          <w:sz w:val="22"/>
          <w:szCs w:val="22"/>
          <w:rFonts w:ascii="Times New Roman" w:hAnsi="Times New Roman"/>
        </w:rPr>
        <w:t xml:space="preserve">SOMMARJU TAR-RIŻOLUZZJONI</w:t>
      </w:r>
    </w:p>
    <w:p w:rsidRPr="00206A21" w:rsidR="00D34362" w:rsidP="009B1F54" w:rsidRDefault="00D34362">
      <w:pPr>
        <w:spacing w:line="288" w:lineRule="auto"/>
        <w:jc w:val="center"/>
        <w:rPr>
          <w:rFonts w:ascii="Times New Roman" w:hAnsi="Times New Roman"/>
          <w:b/>
          <w:bCs/>
          <w:iCs/>
          <w:sz w:val="22"/>
          <w:szCs w:val="22"/>
          <w:lang w:val="en-GB"/>
        </w:rPr>
      </w:pPr>
    </w:p>
    <w:p w:rsidRPr="00206A21" w:rsidR="009B1F54" w:rsidP="009B1F54" w:rsidRDefault="009B1F54">
      <w:pPr>
        <w:spacing w:line="288" w:lineRule="auto"/>
        <w:jc w:val="center"/>
        <w:rPr>
          <w:b/>
          <w:bCs/>
          <w:iCs/>
          <w:sz w:val="22"/>
          <w:szCs w:val="22"/>
          <w:rFonts w:ascii="Times New Roman" w:hAnsi="Times New Roman"/>
        </w:rPr>
      </w:pPr>
      <w:r>
        <w:rPr>
          <w:b/>
          <w:sz w:val="22"/>
          <w:szCs w:val="22"/>
          <w:rFonts w:ascii="Times New Roman" w:hAnsi="Times New Roman"/>
        </w:rPr>
        <w:t xml:space="preserve">Proposti tal-KESE għar-rikostruzzjoni u l-irkupru wara l-kriżi tal-COVID-19:</w:t>
        <w:br/>
      </w:r>
      <w:r>
        <w:rPr>
          <w:b/>
          <w:sz w:val="22"/>
          <w:szCs w:val="22"/>
          <w:i/>
          <w:iCs/>
          <w:rFonts w:ascii="Times New Roman" w:hAnsi="Times New Roman"/>
        </w:rPr>
        <w:t xml:space="preserve">“L-UE jeħtiġilha tkun iggwidata mill-prinċipju li titqies bħala komunità ta’ destin komuni.”</w:t>
      </w:r>
    </w:p>
    <w:p w:rsidRPr="00206A21" w:rsidR="009B1F54" w:rsidP="009B1F54" w:rsidRDefault="009B1F54">
      <w:pPr>
        <w:spacing w:line="288" w:lineRule="auto"/>
        <w:ind w:left="709" w:hanging="709"/>
        <w:jc w:val="both"/>
        <w:rPr>
          <w:rFonts w:ascii="Times New Roman" w:hAnsi="Times New Roman"/>
          <w:bCs/>
          <w:iCs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bCs/>
          <w:iCs/>
          <w:sz w:val="22"/>
          <w:rFonts w:ascii="Times New Roman" w:hAnsi="Times New Roman"/>
        </w:rPr>
      </w:pPr>
      <w:r>
        <w:rPr>
          <w:bCs/>
          <w:sz w:val="22"/>
          <w:iCs/>
          <w:rFonts w:ascii="Times New Roman" w:hAnsi="Times New Roman"/>
        </w:rPr>
        <w:t xml:space="preserve">Il-KESE jilqa’ bi pjaċir u jappoġġja l-proposti tal-Kummissjoni Ewropea: il-pjan Next Generation EU u l-baġit ġenerali tal-UE għall-2021-2027.</w:t>
      </w:r>
      <w:r>
        <w:rPr>
          <w:bCs/>
          <w:sz w:val="22"/>
          <w:rFonts w:ascii="Times New Roman" w:hAnsi="Times New Roman"/>
        </w:rPr>
        <w:t xml:space="preserve"> </w:t>
      </w:r>
      <w:r>
        <w:rPr>
          <w:bCs/>
          <w:sz w:val="22"/>
          <w:rFonts w:ascii="Times New Roman" w:hAnsi="Times New Roman"/>
        </w:rPr>
        <w:t xml:space="preserve">Il-funzjonament tal-istrument futur Next Generation EU għandu jkun jikkomplementa l-QFP il-ġdid, fejn prijoritajiet oħra tal-UE, mhux neċessarjament konnessi mal-pandemija, għandhom ikunu riflessi biżżejjed ukoll.</w:t>
      </w:r>
      <w:r>
        <w:rPr>
          <w:bCs/>
          <w:sz w:val="22"/>
          <w:rFonts w:ascii="Times New Roman" w:hAnsi="Times New Roman"/>
        </w:rPr>
        <w:t xml:space="preserve"> </w:t>
      </w:r>
    </w:p>
    <w:p w:rsidRPr="00206A21" w:rsidR="009B1F54" w:rsidP="009B1F54" w:rsidRDefault="009B1F54">
      <w:pPr>
        <w:spacing w:line="288" w:lineRule="auto"/>
        <w:ind w:left="567" w:hanging="567"/>
        <w:jc w:val="both"/>
        <w:rPr>
          <w:rFonts w:ascii="Times New Roman" w:hAnsi="Times New Roman"/>
          <w:bCs/>
          <w:iCs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bCs/>
          <w:iCs/>
          <w:sz w:val="22"/>
          <w:rFonts w:ascii="Times New Roman" w:hAnsi="Times New Roman"/>
        </w:rPr>
      </w:pPr>
      <w:r>
        <w:rPr>
          <w:bCs/>
          <w:iCs/>
          <w:sz w:val="22"/>
          <w:rFonts w:ascii="Times New Roman" w:hAnsi="Times New Roman"/>
        </w:rPr>
        <w:t xml:space="preserve">Il-KESE huwa konvint li l-irkupru mill-effetti tal-kriżi tal-coronavirus jirnexxi biss jekk ikun akkumpanjat mir-ristrutturar tas-soċjetà tagħna: jeħtieġ li niffukaw fuq il-bini mill-ġdid kif ukoll fuq l-irkupru.</w:t>
      </w:r>
      <w:r>
        <w:rPr>
          <w:bCs/>
          <w:iCs/>
          <w:sz w:val="22"/>
          <w:rFonts w:ascii="Times New Roman" w:hAnsi="Times New Roman"/>
        </w:rPr>
        <w:t xml:space="preserve"> </w:t>
      </w:r>
      <w:r>
        <w:rPr>
          <w:bCs/>
          <w:iCs/>
          <w:sz w:val="22"/>
          <w:rFonts w:ascii="Times New Roman" w:hAnsi="Times New Roman"/>
        </w:rPr>
        <w:t xml:space="preserve">Ma nistgħux sempliċement nerġgħu niksbu dak li kien jeżisti fil-passat: irridu nirristrutturaw u ntejbuh.</w:t>
      </w:r>
      <w:r>
        <w:rPr>
          <w:bCs/>
          <w:iCs/>
          <w:sz w:val="22"/>
          <w:rFonts w:ascii="Times New Roman" w:hAnsi="Times New Roman"/>
        </w:rPr>
        <w:t xml:space="preserve"> </w:t>
      </w:r>
    </w:p>
    <w:p w:rsidRPr="00206A21" w:rsidR="009B1F54" w:rsidP="009B1F54" w:rsidRDefault="009B1F54">
      <w:pPr>
        <w:spacing w:line="288" w:lineRule="auto"/>
        <w:jc w:val="both"/>
        <w:rPr>
          <w:rFonts w:ascii="Times New Roman" w:hAnsi="Times New Roman"/>
          <w:bCs/>
          <w:iCs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bCs/>
          <w:iCs/>
          <w:sz w:val="22"/>
          <w:rFonts w:ascii="Times New Roman" w:hAnsi="Times New Roman"/>
        </w:rPr>
      </w:pPr>
      <w:r>
        <w:rPr>
          <w:bCs/>
          <w:sz w:val="22"/>
          <w:rFonts w:ascii="Times New Roman" w:hAnsi="Times New Roman"/>
        </w:rPr>
        <w:t xml:space="preserve">Għall-KESE, ir-ristrutturar u t-titjib ser ikollhom jissejsu fuq il-prinċipji li fuqhom huwa bbażat ix-xogħol kollu tagħna: il-protezzjoni tad-drittijiet tal-bniedem u dawk soċjali, il-valuri demokratiċi u l-istat tad-dritt, l-isfruttar tal-potenzjal sħiħ tas-Suq Uniku, il-kisba tal-Għanijiet ta’ Żvilupp Sostenibbli (SDGs), il-ħolqien ta’ ekonomija ċirkolari u l-kisba tan-newtralità klimatika fl-UE sa mhux aktar tard mill-2050 u l-implimentazzjoni sħiħa tal-Pilastru Ewropew tad-Drittijiet Soċjali.</w:t>
      </w:r>
      <w:r>
        <w:rPr>
          <w:bCs/>
          <w:sz w:val="22"/>
          <w:iCs/>
          <w:rFonts w:ascii="Times New Roman" w:hAnsi="Times New Roman"/>
        </w:rPr>
        <w:t xml:space="preserve"> </w:t>
      </w:r>
      <w:r>
        <w:rPr>
          <w:bCs/>
          <w:sz w:val="22"/>
          <w:iCs/>
          <w:rFonts w:ascii="Times New Roman" w:hAnsi="Times New Roman"/>
        </w:rPr>
        <w:t xml:space="preserve">Irridu niżguraw ukoll governanza tajba u responsabbiltà demokratika.</w:t>
      </w:r>
    </w:p>
    <w:p w:rsidRPr="00206A21" w:rsidR="009B1F54" w:rsidP="009B1F54" w:rsidRDefault="009B1F54">
      <w:pPr>
        <w:spacing w:line="288" w:lineRule="auto"/>
        <w:jc w:val="both"/>
        <w:rPr>
          <w:rFonts w:ascii="Times New Roman" w:hAnsi="Times New Roman"/>
          <w:bCs/>
          <w:iCs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bCs/>
          <w:iCs/>
          <w:sz w:val="22"/>
          <w:szCs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Il-parteċipazzjoni taċ-ċittadini kollha, permezz tal-organizzazzjonijiet tal-imsieħba soċjali u tas-soċjetà ċivili organizzata, se tagħmel il-proċess ta’ riforma tal-ekonomija u tas-soċjetà.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Dan japplika wkoll speċjalment għall-proċess tas-Semestru Ewropew, li se jikseb rwol dejjem aktar importanti fil-monitoraġġ u l-evalwazzjoni tal-interventi</w:t>
      </w:r>
      <w:r>
        <w:rPr>
          <w:sz w:val="22"/>
          <w:sz w:val="22"/>
          <w:rFonts w:ascii="Times New Roman" w:hAnsi="Times New Roman"/>
        </w:rPr>
        <w:t xml:space="preserve"> stabbiliti fil-qafas ta’ “Next Generation EU”.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L-Istati Membri u l-UE għandhom għalhekk jiżguraw li f’dan il-proċess kumpless ħadd ma jitħalla barra.</w:t>
      </w:r>
    </w:p>
    <w:p w:rsidRPr="00206A21" w:rsidR="009B1F54" w:rsidP="009B1F54" w:rsidRDefault="009B1F54">
      <w:pPr>
        <w:spacing w:line="288" w:lineRule="auto"/>
        <w:ind w:left="567" w:hanging="567"/>
        <w:jc w:val="both"/>
        <w:rPr>
          <w:rFonts w:ascii="Times New Roman" w:hAnsi="Times New Roman"/>
          <w:bCs/>
          <w:iCs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rFonts w:ascii="Times New Roman" w:hAnsi="Times New Roman"/>
        </w:rPr>
      </w:pPr>
      <w:r>
        <w:rPr>
          <w:sz w:val="22"/>
          <w:szCs w:val="22"/>
          <w:rFonts w:ascii="Times New Roman" w:hAnsi="Times New Roman"/>
        </w:rPr>
        <w:t xml:space="preserve">L-Unjoni Ewropea hija bbażata fuq valuri komuni Ewropej li m’għandhom qatt ikunu negozjabbli</w:t>
      </w:r>
      <w:r w:rsidRPr="00206A21">
        <w:rPr>
          <w:rStyle w:val="FootnoteReference"/>
          <w:rFonts w:ascii="Times New Roman" w:hAnsi="Times New Roman"/>
          <w:sz w:val="22"/>
          <w:szCs w:val="22"/>
          <w:lang w:val="en-GB"/>
        </w:rPr>
        <w:footnoteReference w:id="1"/>
      </w:r>
      <w:r>
        <w:rPr>
          <w:sz w:val="22"/>
          <w:szCs w:val="22"/>
          <w:rFonts w:ascii="Times New Roman" w:hAnsi="Times New Roman"/>
        </w:rPr>
        <w:t xml:space="preserve">: ir-rispett għad-dinjità tal-bniedem u d-drittijiet tal-bniedem, il-libertà, id-demokrazija, l-ugwaljanza u l-istat tad-dritt.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Dawn il-valuri ma jistgħux jintesew anke meta l-UE u l-Istati Membri tagħha jiffaċċjaw emerġenza u l-konsegwenzi tagħha f’termini ta’ sfidi ekonomiċi u soċjali.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Filwaqt li r-rispons għall-kriżi attwali jeħtieġ li jkun rapidu u jiġġustifika ċerti miżuri eċċezzjonali għal żmien limitat, dawn ma jistgħux imorru kontra l-istat tad-dritt u ma jistgħux jipperikolaw id-demokrazija, is-separazzjoni tas-setgħat u d-drittijiet fundamentali taċ-ċittadini Ewropej.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Il-KESE jinsisti li l-miżuri kollha ta’ politika f’dan ir-rigward jridu jkunu konformi għalkollox mal-valuri komuni tagħna kif stabbiliti fl-Artikolu 2 tat-Trattat dwar l-Unjoni Ewropea.</w:t>
      </w:r>
    </w:p>
    <w:p w:rsidRPr="00206A21" w:rsidR="009B1F54" w:rsidP="009B1F54" w:rsidRDefault="009B1F54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F’dan il-proċess ġdid ta’ rkupru u rikostruzzjoni, il-KESE jittama li l-Konferenza dwar il-Ġejjieni tal-Ewropa tista’ tkun opportunità biex tissaħħaħ u tiġi approfondita l-istruttura istituzzjonali tal-UE u sabiex jitwettaq tiġdid reali tal-proġett tal-UE, li jkun kapaċi jiffaċċja l-isfidi tad-deċennji li ġejjin.</w:t>
      </w:r>
    </w:p>
    <w:p w:rsidRPr="00206A21" w:rsidR="009B1F54" w:rsidP="009B1F54" w:rsidRDefault="009B1F54">
      <w:pPr>
        <w:spacing w:line="288" w:lineRule="auto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bCs/>
          <w:sz w:val="22"/>
          <w:rFonts w:ascii="Times New Roman" w:hAnsi="Times New Roman"/>
        </w:rPr>
      </w:pPr>
      <w:r>
        <w:rPr>
          <w:bCs/>
          <w:sz w:val="22"/>
          <w:rFonts w:ascii="Times New Roman" w:hAnsi="Times New Roman"/>
        </w:rPr>
        <w:t xml:space="preserve">L-oqsma ewlenin tal-proċess ta’ rkupru u rikostruzzjoni jinkludu:</w:t>
      </w:r>
    </w:p>
    <w:p w:rsidRPr="00206A21" w:rsidR="009B1F54" w:rsidP="009B1F54" w:rsidRDefault="009B1F54">
      <w:pPr>
        <w:pStyle w:val="ListParagraph"/>
        <w:numPr>
          <w:ilvl w:val="0"/>
          <w:numId w:val="3"/>
        </w:numPr>
        <w:spacing w:line="288" w:lineRule="auto"/>
        <w:ind w:left="924" w:hanging="357"/>
        <w:jc w:val="both"/>
        <w:rPr>
          <w:bCs/>
          <w:sz w:val="22"/>
          <w:rFonts w:ascii="Times New Roman" w:hAnsi="Times New Roman"/>
        </w:rPr>
      </w:pPr>
      <w:r>
        <w:rPr>
          <w:bCs/>
          <w:sz w:val="22"/>
          <w:rFonts w:ascii="Times New Roman" w:hAnsi="Times New Roman"/>
        </w:rPr>
        <w:t xml:space="preserve">il-promozzjoni tar-riforma tal-Governanza Ekonomika tal-Unjoni Ewropea, ir-reviżjoni tal-Patt ta’ Stabbiltà u Tkabbir sabiex fl-istess ħin jiġu żgurati l-istabbiltà u t-tkabbir;</w:t>
      </w:r>
    </w:p>
    <w:p w:rsidRPr="00206A21" w:rsidR="009B1F54" w:rsidP="009B1F54" w:rsidRDefault="009B1F54">
      <w:pPr>
        <w:pStyle w:val="ListParagraph"/>
        <w:numPr>
          <w:ilvl w:val="0"/>
          <w:numId w:val="3"/>
        </w:numPr>
        <w:spacing w:line="288" w:lineRule="auto"/>
        <w:ind w:left="924" w:hanging="357"/>
        <w:jc w:val="both"/>
        <w:rPr>
          <w:bCs/>
          <w:sz w:val="22"/>
          <w:rFonts w:ascii="Times New Roman" w:hAnsi="Times New Roman"/>
        </w:rPr>
      </w:pPr>
      <w:r>
        <w:rPr>
          <w:bCs/>
          <w:sz w:val="22"/>
          <w:rFonts w:ascii="Times New Roman" w:hAnsi="Times New Roman"/>
        </w:rPr>
        <w:t xml:space="preserve">l-isfruttar tal-potenzjal sħiħ tas-Suq Uniku bil-għan li jinżamm integrat, funzjonali, effiċjenti, sabiex terġa’ tinkiseb il-kompetittività;</w:t>
      </w:r>
    </w:p>
    <w:p w:rsidRPr="00206A21" w:rsidR="009B1F54" w:rsidP="009B1F54" w:rsidRDefault="009B1F54">
      <w:pPr>
        <w:pStyle w:val="ListParagraph"/>
        <w:numPr>
          <w:ilvl w:val="0"/>
          <w:numId w:val="3"/>
        </w:numPr>
        <w:spacing w:line="288" w:lineRule="auto"/>
        <w:ind w:left="924" w:hanging="357"/>
        <w:jc w:val="both"/>
        <w:rPr>
          <w:bCs/>
          <w:sz w:val="22"/>
          <w:rFonts w:ascii="Times New Roman" w:hAnsi="Times New Roman"/>
        </w:rPr>
      </w:pPr>
      <w:r>
        <w:rPr>
          <w:bCs/>
          <w:sz w:val="22"/>
          <w:rFonts w:ascii="Times New Roman" w:hAnsi="Times New Roman"/>
        </w:rPr>
        <w:t xml:space="preserve">jitkompla l-insegwiment tal-bidliet strutturali meħtieġa u l-attivitajiet ta’ investiment konnessi, prinċipalment fir-rigward ta’ innovazzjonijiet diġitali, intelliġenti u soċjali u t-tranżizzjoni ekoloġika;</w:t>
      </w:r>
    </w:p>
    <w:p w:rsidRPr="00206A21" w:rsidR="009B1F54" w:rsidP="009B1F54" w:rsidRDefault="009B1F54">
      <w:pPr>
        <w:pStyle w:val="ListParagraph"/>
        <w:numPr>
          <w:ilvl w:val="0"/>
          <w:numId w:val="3"/>
        </w:numPr>
        <w:spacing w:line="288" w:lineRule="auto"/>
        <w:ind w:left="851" w:hanging="284"/>
        <w:jc w:val="both"/>
        <w:rPr>
          <w:sz w:val="22"/>
          <w:szCs w:val="22"/>
          <w:rFonts w:ascii="Times New Roman" w:hAnsi="Times New Roman" w:eastAsia="Times New Roman"/>
        </w:rPr>
      </w:pPr>
      <w:r>
        <w:rPr>
          <w:bCs/>
          <w:sz w:val="22"/>
          <w:rFonts w:ascii="Times New Roman" w:hAnsi="Times New Roman"/>
        </w:rPr>
        <w:t xml:space="preserve">titjib kontinwu tal-kompetittività tal-UE;</w:t>
      </w:r>
    </w:p>
    <w:p w:rsidRPr="00206A21" w:rsidR="009B1F54" w:rsidP="009B1F54" w:rsidRDefault="009B1F54">
      <w:pPr>
        <w:pStyle w:val="ListParagraph"/>
        <w:numPr>
          <w:ilvl w:val="0"/>
          <w:numId w:val="3"/>
        </w:numPr>
        <w:spacing w:line="288" w:lineRule="auto"/>
        <w:ind w:left="924" w:hanging="357"/>
        <w:jc w:val="both"/>
        <w:rPr>
          <w:bCs/>
          <w:sz w:val="22"/>
          <w:rFonts w:ascii="Times New Roman" w:hAnsi="Times New Roman"/>
        </w:rPr>
      </w:pPr>
      <w:r>
        <w:rPr>
          <w:color w:val="000000"/>
          <w:sz w:val="22"/>
          <w:szCs w:val="22"/>
          <w:shd w:val="clear" w:color="auto" w:fill="FFFFFF"/>
          <w:rFonts w:ascii="Times New Roman" w:hAnsi="Times New Roman"/>
        </w:rPr>
        <w:t xml:space="preserve">il-ħolqien ta’ kundizzjonijiet biex jissaħaħ ir-rwol tax-xogħol bħala wieħed mill-muturi ewlenin għat-tnedija mill-ġdid tas-Sistema Ekonomika Ewropea;</w:t>
      </w:r>
    </w:p>
    <w:p w:rsidRPr="00206A21" w:rsidR="009B1F54" w:rsidP="009B1F54" w:rsidRDefault="009B1F54">
      <w:pPr>
        <w:pStyle w:val="ListParagraph"/>
        <w:numPr>
          <w:ilvl w:val="0"/>
          <w:numId w:val="3"/>
        </w:numPr>
        <w:spacing w:line="288" w:lineRule="auto"/>
        <w:ind w:left="924" w:hanging="357"/>
        <w:jc w:val="both"/>
        <w:rPr>
          <w:bCs/>
          <w:sz w:val="22"/>
          <w:rFonts w:ascii="Times New Roman" w:hAnsi="Times New Roman"/>
        </w:rPr>
      </w:pPr>
      <w:r>
        <w:rPr>
          <w:bCs/>
          <w:sz w:val="22"/>
          <w:rFonts w:ascii="Times New Roman" w:hAnsi="Times New Roman"/>
        </w:rPr>
        <w:t xml:space="preserve">il-ħolqien ta’ kundizzjonijiet biex jissaħħu l-awtosuffiċjenza u r-reżiljenza tal-UE biex tindirizza l-impatti globali;</w:t>
      </w:r>
    </w:p>
    <w:p w:rsidRPr="00206A21" w:rsidR="009B1F54" w:rsidP="009B1F54" w:rsidRDefault="009B1F54">
      <w:pPr>
        <w:pStyle w:val="ListParagraph"/>
        <w:numPr>
          <w:ilvl w:val="0"/>
          <w:numId w:val="3"/>
        </w:numPr>
        <w:spacing w:line="288" w:lineRule="auto"/>
        <w:ind w:left="924" w:hanging="357"/>
        <w:jc w:val="both"/>
      </w:pPr>
      <w:r>
        <w:rPr>
          <w:bCs/>
          <w:sz w:val="22"/>
          <w:rFonts w:ascii="Times New Roman" w:hAnsi="Times New Roman"/>
        </w:rPr>
        <w:t xml:space="preserve">il-ħolqien ta’ kundizzjonijiet biex jinżamm il-kontroll fuq l-assi u l-industriji strateġiċi tal-UE;</w:t>
      </w:r>
    </w:p>
    <w:p w:rsidRPr="00206A21" w:rsidR="009B1F54" w:rsidP="009B1F54" w:rsidRDefault="009B1F54">
      <w:pPr>
        <w:pStyle w:val="ListParagraph"/>
        <w:numPr>
          <w:ilvl w:val="0"/>
          <w:numId w:val="3"/>
        </w:numPr>
        <w:spacing w:line="288" w:lineRule="auto"/>
        <w:ind w:left="924" w:hanging="357"/>
        <w:jc w:val="both"/>
      </w:pPr>
      <w:r>
        <w:rPr>
          <w:bCs/>
          <w:sz w:val="22"/>
          <w:rFonts w:ascii="Times New Roman" w:hAnsi="Times New Roman"/>
        </w:rPr>
        <w:t xml:space="preserve">titjib sostanzjali tal-ktajjen ta’ konsenja tal-UE f’każ ta’ riskji u emerġenzi.</w:t>
      </w:r>
    </w:p>
    <w:p w:rsidRPr="00206A21" w:rsidR="009B1F54" w:rsidP="009B1F54" w:rsidRDefault="009B1F54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L-investimenti li saru taħt l-istimolu ekonomiku fuq medda qasira ta’ żmien għandhom ikunu newtrali lejn, jew għandhom jaċċelleraw, it-trasformazzjoni strutturali tal-ekonomija Ewropea lejn tniġġis żero, ir-restawr tal-bijodiversità u n-newtralità klimatika sal-2050.</w:t>
      </w:r>
    </w:p>
    <w:p w:rsidRPr="00206A21" w:rsidR="009B1F54" w:rsidP="009B1F54" w:rsidRDefault="009B1F54">
      <w:pPr>
        <w:spacing w:line="288" w:lineRule="auto"/>
        <w:ind w:left="567" w:hanging="567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Biex tintlaħaq ekonomija ta’ “benesseri” se jkun essenzjali li jsir investiment sostenibbli fil-komunitajiet, fl-ispazji pubbliċi, fil-kura tas-saħħa, fl-edukazzjoni, fis-servizzi soċjali, f’akkomodazzjoni u infrastruttura b’emissjonijiet żero tal-karbonju u fil-protezzjoni u r-restawr tal-bijodiversità, u fid-deċentralizzazzjoni tal-produzzjoni tal-enerġija.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Qasam partikolari li għandu jingħata prijorità hija r-rinnovazzjoni tal-enerġija tal-bini.</w:t>
      </w:r>
    </w:p>
    <w:p w:rsidRPr="00206A21" w:rsidR="009B1F54" w:rsidP="009B1F54" w:rsidRDefault="009B1F54">
      <w:pPr>
        <w:spacing w:line="288" w:lineRule="auto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0"/>
          <w:szCs w:val="20"/>
          <w:rFonts w:ascii="Times New Roman" w:hAnsi="Times New Roman" w:eastAsia="Times New Roman"/>
        </w:rPr>
      </w:pPr>
      <w:r>
        <w:rPr>
          <w:color w:val="000000"/>
          <w:shd w:val="clear" w:color="auto" w:fill="FFFFFF"/>
          <w:sz w:val="22"/>
          <w:szCs w:val="22"/>
          <w:rFonts w:ascii="Times New Roman" w:hAnsi="Times New Roman"/>
        </w:rPr>
        <w:t xml:space="preserve">Il-KESE jemmen li l-kompetittività tas-sistema tal-produzzjoni tal-UE għandha titnieda mill-ġdid billi tissaħħaħ is-sistema tal-SMEs, l-intrapriżi l-kbar u l-intrapriżi soċjali.</w:t>
      </w:r>
      <w:r>
        <w:rPr>
          <w:color w:val="000000"/>
          <w:shd w:val="clear" w:color="auto" w:fill="FFFFFF"/>
          <w:sz w:val="22"/>
          <w:szCs w:val="22"/>
          <w:rFonts w:ascii="Times New Roman" w:hAnsi="Times New Roman"/>
        </w:rPr>
        <w:t xml:space="preserve"> </w:t>
      </w:r>
      <w:r>
        <w:rPr>
          <w:color w:val="000000"/>
          <w:shd w:val="clear" w:color="auto" w:fill="FFFFFF"/>
          <w:sz w:val="22"/>
          <w:szCs w:val="22"/>
          <w:rFonts w:ascii="Times New Roman" w:hAnsi="Times New Roman"/>
        </w:rPr>
        <w:t xml:space="preserve">B’dan il-mod għandhom jirrappreżentaw muturi ta’ żvilupp lejn it-tranżizzjoni ekoloġika u diġitali u joffru xogħol deċenti.</w:t>
      </w:r>
    </w:p>
    <w:p w:rsidRPr="009441FE" w:rsidR="009B1F54" w:rsidP="009B1F54" w:rsidRDefault="009B1F54">
      <w:pPr>
        <w:spacing w:line="288" w:lineRule="auto"/>
        <w:rPr>
          <w:rFonts w:ascii="Times New Roman" w:hAnsi="Times New Roman" w:eastAsia="Times New Roman"/>
          <w:color w:val="000000"/>
          <w:sz w:val="22"/>
          <w:szCs w:val="22"/>
          <w:shd w:val="clear" w:color="auto" w:fill="FFFFFF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szCs w:val="22"/>
          <w:rFonts w:ascii="Times New Roman" w:hAnsi="Times New Roman" w:eastAsia="Times New Roman"/>
        </w:rPr>
      </w:pPr>
      <w:r>
        <w:rPr>
          <w:color w:val="000000"/>
          <w:sz w:val="22"/>
          <w:szCs w:val="22"/>
          <w:shd w:val="clear" w:color="auto" w:fill="FFFFFF"/>
          <w:rFonts w:ascii="Times New Roman" w:hAnsi="Times New Roman"/>
        </w:rPr>
        <w:t xml:space="preserve">Is-salvagwardja tal-impjiegi u tad-dħul għall-ħaddiema kollha hija prijorità u jeħtieġ li nsawru l-politiki tal-lum b’perspettiva fit-tul (taħriġ, tagħlim tul il-ħajja, eċċ.).</w:t>
      </w:r>
      <w:r>
        <w:rPr>
          <w:color w:val="000000"/>
          <w:sz w:val="22"/>
          <w:szCs w:val="22"/>
          <w:shd w:val="clear" w:color="auto" w:fill="FFFFFF"/>
          <w:rFonts w:ascii="Times New Roman" w:hAnsi="Times New Roman"/>
        </w:rPr>
        <w:t xml:space="preserve"> </w:t>
      </w:r>
      <w:r>
        <w:rPr>
          <w:color w:val="000000"/>
          <w:sz w:val="22"/>
          <w:szCs w:val="22"/>
          <w:shd w:val="clear" w:color="auto" w:fill="FFFFFF"/>
          <w:rFonts w:ascii="Times New Roman" w:hAnsi="Times New Roman"/>
        </w:rPr>
        <w:t xml:space="preserve">B’dan il-mod għandna wkoll niggarantixxu s-salvagwardja ta’ gruppi vulnerabbli (ħaddiema prekarji, tfal li jgħixu fil-faqar, persuni b’diżabbiltà, ċittadini f’żoni marġinalizzati, eċċ.).</w:t>
      </w:r>
    </w:p>
    <w:p w:rsidRPr="00206A21" w:rsidR="009B1F54" w:rsidP="009B1F54" w:rsidRDefault="009B1F54">
      <w:pPr>
        <w:spacing w:line="288" w:lineRule="auto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rFonts w:ascii="Times New Roman" w:hAnsi="Times New Roman"/>
        </w:rPr>
      </w:pPr>
      <w:r>
        <w:rPr>
          <w:sz w:val="22"/>
          <w:szCs w:val="22"/>
          <w:rFonts w:ascii="Times New Roman" w:hAnsi="Times New Roman"/>
        </w:rPr>
        <w:t xml:space="preserve">Abbażi tal-istrument ta’ irkupru “Next Generation EU” se jkun meħtieġ li tiġi żgurata żieda progressiva fir-riżorsi proprji tal-UE permezz tal-introduzzjoni ta’ għażla ta’ dħul rilevanti u adatt, pereżempju: skemi tal-UE għan-negozjar ta’ emissjonijiet, bażi komuni konsolidata għat-taxxa korporattiva (BKKTK), taxxa diġitali, taxxa fuq it-tranżazzjonijiet finanzjarji, imposta fuq is-CO</w:t>
      </w:r>
      <w:r>
        <w:rPr>
          <w:sz w:val="22"/>
          <w:szCs w:val="22"/>
          <w:vertAlign w:val="subscript"/>
          <w:rFonts w:ascii="Times New Roman" w:hAnsi="Times New Roman"/>
        </w:rPr>
        <w:t xml:space="preserve">2</w:t>
      </w:r>
      <w:r>
        <w:rPr>
          <w:sz w:val="22"/>
          <w:szCs w:val="22"/>
          <w:rFonts w:ascii="Times New Roman" w:hAnsi="Times New Roman"/>
        </w:rPr>
        <w:t xml:space="preserve"> jew sinjoraġġ.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Fl-istess ħin, l-UE għandha ssaħħaħ l-impenn tagħha: tiġġieled kontra l-frodi tat-taxxa u l-ippjanar aggressiv tat-taxxa; tattiva mekkaniżmu ta’</w:t>
      </w:r>
      <w:r>
        <w:rPr>
          <w:sz w:val="22"/>
          <w:szCs w:val="22"/>
          <w:rFonts w:ascii="Times New Roman" w:hAnsi="Times New Roman"/>
        </w:rPr>
        <w:t xml:space="preserve"> koordinazzjoni li kapaċi jxejjen l-ippjanar aggressiv </w:t>
      </w:r>
      <w:r>
        <w:rPr>
          <w:sz w:val="22"/>
          <w:szCs w:val="22"/>
          <w:rFonts w:ascii="Times New Roman" w:hAnsi="Times New Roman"/>
        </w:rPr>
        <w:t xml:space="preserve">tat-taxxa u li jiġġieled kontra </w:t>
      </w:r>
      <w:r>
        <w:rPr>
          <w:sz w:val="22"/>
          <w:szCs w:val="22"/>
          <w:rFonts w:ascii="Times New Roman" w:hAnsi="Times New Roman"/>
        </w:rPr>
        <w:t xml:space="preserve">l-fenomenu tal-evażjoni tat-taxxa; u tattiva strateġija b’saħħitha biex trażżan il-ħasil tal-flus.</w:t>
      </w:r>
    </w:p>
    <w:p w:rsidRPr="00206A21" w:rsidR="009B1F54" w:rsidP="009B1F54" w:rsidRDefault="009B1F54">
      <w:pPr>
        <w:spacing w:line="288" w:lineRule="auto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Sfruttar tal-mudelli ta’ negozju ġodda u aktar sostenibbli li qed jitfaċċaw (ċirkolari, ta’ kondiviżjoni, ekonomija soċjali, eċċ.).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Dawn huma wkoll karatteristika tal-mudell soċjetali tal-UE u jipprovdu ħolqien ta’ valur doppju – valur ekonomiku u soċjali, filwaqt li jservu wkoll bħala strumenti għall-implimentazzjoni tal-Patt Ekoloġiku Ewropew u tal-SDGs.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Dawn il-mudelli tan-negozju joffru opportunità biex tingħata għajnuna lill-ekonomija tirkupra u biex fl-istess ħin jiġu indirizzati kwistjonijiet soċjetali.</w:t>
      </w:r>
      <w:r>
        <w:rPr>
          <w:sz w:val="22"/>
          <w:rFonts w:ascii="Times New Roman" w:hAnsi="Times New Roman"/>
        </w:rPr>
        <w:t xml:space="preserve"> </w:t>
      </w:r>
      <w:r>
        <w:rPr>
          <w:sz w:val="22"/>
          <w:rFonts w:ascii="Times New Roman" w:hAnsi="Times New Roman"/>
        </w:rPr>
        <w:t xml:space="preserve">Hawnhekk il-pjan ta’ azzjoni tal-UE se jkun kruċjali, kif se jkun il-pjan ta’ azzjoni tal-UE mwiegħed għall-ekonomija soċjali (Rebbiegħa 2021).</w:t>
      </w:r>
    </w:p>
    <w:p w:rsidRPr="00206A21" w:rsidR="009B1F54" w:rsidP="009B1F54" w:rsidRDefault="009B1F54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Il-pjan ta’ rkupru se jkollu jippromovi: sistemi alimentari aktar sostenibbli, kemm fil-livell tal-produzzjoni kif ukoll dak tal-konsum, f’konformità mal-intenzjonijiet tal-Kummissjoni fl-istrateġija “Mill-Għalqa sal-Platt” għal ikel sosteibbli; is-sovranità tal-ikel tal-UE fi spirtu ta’ solidarjetà bejn id-diversi forom ta’ agrikoltura Ewropea u l-integrazzjoni ta’ aspetti ekonomiċi, soċjali u ambjentali; il-proposta ambizzjuża għal strateġija l-ġdida tal-UE għall-bijodiversità.</w:t>
      </w:r>
    </w:p>
    <w:p w:rsidRPr="00206A21" w:rsidR="009B1F54" w:rsidP="009B1F54" w:rsidRDefault="009B1F54">
      <w:pPr>
        <w:pStyle w:val="ListParagraph"/>
        <w:spacing w:line="288" w:lineRule="auto"/>
        <w:ind w:left="567"/>
        <w:jc w:val="both"/>
        <w:rPr>
          <w:rFonts w:ascii="Times New Roman" w:hAnsi="Times New Roman"/>
          <w:sz w:val="22"/>
          <w:lang w:val="en-GB"/>
        </w:rPr>
      </w:pPr>
    </w:p>
    <w:p w:rsidRPr="00206A21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rFonts w:ascii="Times New Roman" w:hAnsi="Times New Roman"/>
        </w:rPr>
      </w:pPr>
      <w:r>
        <w:rPr>
          <w:sz w:val="22"/>
          <w:rFonts w:ascii="Times New Roman" w:hAnsi="Times New Roman"/>
        </w:rPr>
        <w:t xml:space="preserve">L-aktar importanti, waħda mit-tagħlimiet ewlenin tal-kriżi tal-coronavairus hija li s-sistemi tas-saħħa fi kważi kull pajjiż Ewropew jeħtieġ li jissaħħu permezz tal-ħolqien ta’ “Unjoni tas-Saħħa tal-UE”.</w:t>
      </w:r>
    </w:p>
    <w:p w:rsidRPr="00137A40" w:rsidR="009B1F54" w:rsidP="009B1F54" w:rsidRDefault="009B1F54">
      <w:pPr>
        <w:spacing w:line="288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</w:p>
    <w:p w:rsidRPr="008A2D42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szCs w:val="22"/>
          <w:rFonts w:ascii="Times New Roman" w:hAnsi="Times New Roman"/>
        </w:rPr>
        <w:t xml:space="preserve">Jeħtieġ li terġà tingħata spinta lir-rwol ġeopolitiku strateġiku tal-UE fil-promozzjoni ta’ proċessi ta’ paċi globali, sabiex jiġu mnedija mill-ġdid opportunitajiet għall-iżvilupp ekonomiku fil-viċinat tal-UE: fil-Balkani tal-Punent, l-imsieħba Ewro-Mediterranji u tal-Lvant, u f’żoni oħrajn mifnijin bil-kunflitti.</w:t>
      </w:r>
    </w:p>
    <w:p w:rsidRPr="00206A21" w:rsidR="009B1F54" w:rsidP="009B1F54" w:rsidRDefault="009B1F54">
      <w:pPr>
        <w:pStyle w:val="ListParagraph"/>
        <w:spacing w:line="288" w:lineRule="auto"/>
        <w:ind w:left="567" w:hanging="567"/>
        <w:rPr>
          <w:rFonts w:ascii="Times New Roman" w:hAnsi="Times New Roman" w:eastAsia="Times New Roman"/>
          <w:sz w:val="22"/>
          <w:szCs w:val="22"/>
          <w:lang w:val="en-GB"/>
        </w:rPr>
      </w:pPr>
    </w:p>
    <w:p w:rsidRPr="008A2D42" w:rsidR="009B1F54" w:rsidP="009B1F54" w:rsidRDefault="009B1F54">
      <w:pPr>
        <w:pStyle w:val="ListParagraph"/>
        <w:numPr>
          <w:ilvl w:val="0"/>
          <w:numId w:val="2"/>
        </w:numPr>
        <w:spacing w:line="288" w:lineRule="auto"/>
        <w:ind w:left="567" w:hanging="567"/>
        <w:jc w:val="both"/>
        <w:rPr>
          <w:sz w:val="22"/>
          <w:szCs w:val="22"/>
          <w:rFonts w:ascii="Times New Roman" w:hAnsi="Times New Roman"/>
        </w:rPr>
      </w:pPr>
      <w:r>
        <w:rPr>
          <w:sz w:val="22"/>
          <w:szCs w:val="22"/>
          <w:rFonts w:ascii="Times New Roman" w:hAnsi="Times New Roman"/>
        </w:rPr>
        <w:t xml:space="preserve">Tajbin u komprensivi kemm ikunu l-miżuri li għandhom jittieħdu, huma effettivi u jistgħu jingħataw appoġġ biss jekk jiġu implimentati fuq il-post u jilħqu n-nies li huma maħsuba għalihom.</w:t>
      </w:r>
      <w:r>
        <w:rPr>
          <w:sz w:val="22"/>
          <w:szCs w:val="22"/>
          <w:rFonts w:ascii="Times New Roman" w:hAnsi="Times New Roman"/>
        </w:rPr>
        <w:t xml:space="preserve"> </w:t>
      </w:r>
      <w:r>
        <w:rPr>
          <w:sz w:val="22"/>
          <w:szCs w:val="22"/>
          <w:rFonts w:ascii="Times New Roman" w:hAnsi="Times New Roman"/>
        </w:rPr>
        <w:t xml:space="preserve">Huwa għalhekk essenzjali li jkun hemm ħidma intensiva biex tiġi żgurata implimentazzjoni effettiva, kemm mill-istituzzjonijiet tal-UE kif ukoll mill-Istati Membri.</w:t>
      </w:r>
    </w:p>
    <w:p w:rsidRPr="00206A21" w:rsidR="009B1F54" w:rsidP="009B1F54" w:rsidRDefault="009B1F54">
      <w:pPr>
        <w:spacing w:line="288" w:lineRule="auto"/>
        <w:ind w:hanging="567"/>
        <w:jc w:val="both"/>
        <w:rPr>
          <w:rFonts w:ascii="Times New Roman" w:hAnsi="Times New Roman"/>
          <w:bCs/>
          <w:sz w:val="22"/>
          <w:szCs w:val="22"/>
          <w:lang w:val="en-GB"/>
        </w:rPr>
      </w:pPr>
    </w:p>
    <w:p w:rsidRPr="00206A21" w:rsidR="009B1F54" w:rsidP="009B1F54" w:rsidRDefault="009B1F54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sz w:val="22"/>
          <w:szCs w:val="22"/>
          <w:rFonts w:ascii="Times New Roman" w:hAnsi="Times New Roman"/>
        </w:rPr>
      </w:pPr>
      <w:r>
        <w:rPr>
          <w:sz w:val="22"/>
          <w:szCs w:val="22"/>
          <w:rFonts w:ascii="Times New Roman" w:hAnsi="Times New Roman"/>
        </w:rPr>
        <w:t xml:space="preserve">_____________</w:t>
      </w:r>
    </w:p>
    <w:p w:rsidRPr="009B1F54" w:rsidR="00474E33" w:rsidP="009B1F54" w:rsidRDefault="00474E33"/>
    <w:sectPr w:rsidRPr="009B1F54" w:rsidR="00474E33" w:rsidSect="00944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54" w:rsidRDefault="009B1F54">
      <w:r>
        <w:separator/>
      </w:r>
    </w:p>
  </w:endnote>
  <w:endnote w:type="continuationSeparator" w:id="0">
    <w:p w:rsidR="009B1F54" w:rsidRDefault="009B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69" w:rsidRDefault="00AD76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AD7669" w:rsidR="00BD080C" w:rsidP="009441FE" w:rsidRDefault="009B1F54">
    <w:pPr>
      <w:pStyle w:val="Footer"/>
      <w:rPr>
        <w:sz w:val="22"/>
        <w:szCs w:val="22"/>
        <w:rFonts w:ascii="Times New Roman" w:hAnsi="Times New Roman"/>
      </w:rPr>
    </w:pPr>
    <w:r>
      <w:rPr>
        <w:sz w:val="22"/>
        <w:szCs w:val="22"/>
        <w:rFonts w:ascii="Times New Roman" w:hAnsi="Times New Roman"/>
      </w:rPr>
      <w:t xml:space="preserve">EESC-2020-02549-00-00-ANN-TRA (EN) </w:t>
    </w:r>
    <w:r w:rsidRPr="00AD7669">
      <w:rPr>
        <w:sz w:val="22"/>
        <w:szCs w:val="22"/>
        <w:rFonts w:ascii="Times New Roman" w:hAnsi="Times New Roman"/>
      </w:rPr>
      <w:fldChar w:fldCharType="begin"/>
    </w:r>
    <w:r w:rsidRPr="00AD7669">
      <w:rPr>
        <w:sz w:val="22"/>
        <w:szCs w:val="22"/>
        <w:rFonts w:ascii="Times New Roman" w:hAnsi="Times New Roman"/>
      </w:rPr>
      <w:instrText xml:space="preserve"> PAGE  \* Arabic  \* MERGEFORMAT </w:instrText>
    </w:r>
    <w:r w:rsidRPr="00AD7669">
      <w:rPr>
        <w:sz w:val="22"/>
        <w:szCs w:val="22"/>
        <w:rFonts w:ascii="Times New Roman" w:hAnsi="Times New Roman"/>
      </w:rPr>
      <w:fldChar w:fldCharType="separate"/>
    </w:r>
    <w:r w:rsidR="00AD7669">
      <w:rPr>
        <w:sz w:val="22"/>
        <w:szCs w:val="22"/>
        <w:rFonts w:ascii="Times New Roman" w:hAnsi="Times New Roman"/>
      </w:rPr>
      <w:t>1</w:t>
    </w:r>
    <w:r w:rsidRPr="00AD7669">
      <w:rPr>
        <w:sz w:val="22"/>
        <w:szCs w:val="22"/>
        <w:rFonts w:ascii="Times New Roman" w:hAnsi="Times New Roman"/>
      </w:rPr>
      <w:fldChar w:fldCharType="end"/>
    </w:r>
    <w:r>
      <w:rPr>
        <w:sz w:val="22"/>
        <w:szCs w:val="22"/>
        <w:rFonts w:ascii="Times New Roman" w:hAnsi="Times New Roman"/>
      </w:rPr>
      <w:t xml:space="preserve">/</w:t>
    </w:r>
    <w:r w:rsidRPr="00AD7669">
      <w:rPr>
        <w:sz w:val="22"/>
        <w:szCs w:val="22"/>
        <w:rFonts w:ascii="Times New Roman" w:hAnsi="Times New Roman"/>
      </w:rPr>
      <w:fldChar w:fldCharType="begin"/>
    </w:r>
    <w:r w:rsidRPr="00AD7669">
      <w:rPr>
        <w:sz w:val="22"/>
        <w:szCs w:val="22"/>
        <w:rFonts w:ascii="Times New Roman" w:hAnsi="Times New Roman"/>
      </w:rPr>
      <w:instrText xml:space="preserve"> = </w:instrText>
    </w:r>
    <w:r w:rsidRPr="00AD7669">
      <w:rPr>
        <w:sz w:val="22"/>
        <w:szCs w:val="22"/>
        <w:rFonts w:ascii="Times New Roman" w:hAnsi="Times New Roman"/>
      </w:rPr>
      <w:fldChar w:fldCharType="begin" w:dirty="true"/>
    </w:r>
    <w:r w:rsidRPr="00AD7669">
      <w:rPr>
        <w:sz w:val="22"/>
        <w:szCs w:val="22"/>
        <w:rFonts w:ascii="Times New Roman" w:hAnsi="Times New Roman"/>
      </w:rPr>
      <w:instrText xml:space="preserve"> NUMPAGES </w:instrText>
    </w:r>
    <w:r w:rsidRPr="00AD7669">
      <w:rPr>
        <w:sz w:val="22"/>
        <w:szCs w:val="22"/>
        <w:rFonts w:ascii="Times New Roman" w:hAnsi="Times New Roman"/>
      </w:rPr>
      <w:fldChar w:fldCharType="separate"/>
    </w:r>
    <w:r w:rsidR="00AD7669">
      <w:rPr>
        <w:sz w:val="22"/>
        <w:szCs w:val="22"/>
        <w:rFonts w:ascii="Times New Roman" w:hAnsi="Times New Roman"/>
      </w:rPr>
      <w:instrText>3</w:instrText>
    </w:r>
    <w:r w:rsidRPr="00AD7669">
      <w:rPr>
        <w:sz w:val="22"/>
        <w:szCs w:val="22"/>
        <w:rFonts w:ascii="Times New Roman" w:hAnsi="Times New Roman"/>
      </w:rPr>
      <w:fldChar w:fldCharType="end"/>
    </w:r>
    <w:r w:rsidRPr="00AD7669">
      <w:rPr>
        <w:sz w:val="22"/>
        <w:szCs w:val="22"/>
        <w:rFonts w:ascii="Times New Roman" w:hAnsi="Times New Roman"/>
      </w:rPr>
      <w:instrText xml:space="preserve"> </w:instrText>
    </w:r>
    <w:r w:rsidRPr="00AD7669">
      <w:rPr>
        <w:sz w:val="22"/>
        <w:szCs w:val="22"/>
        <w:rFonts w:ascii="Times New Roman" w:hAnsi="Times New Roman"/>
      </w:rPr>
      <w:fldChar w:fldCharType="separate"/>
    </w:r>
    <w:r w:rsidR="00AD7669">
      <w:rPr>
        <w:sz w:val="22"/>
        <w:szCs w:val="22"/>
        <w:rFonts w:ascii="Times New Roman" w:hAnsi="Times New Roman"/>
      </w:rPr>
      <w:t>3</w:t>
    </w:r>
    <w:r w:rsidRPr="00AD7669">
      <w:rPr>
        <w:sz w:val="22"/>
        <w:szCs w:val="22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69" w:rsidRDefault="00AD7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54" w:rsidRDefault="009B1F54">
      <w:r>
        <w:separator/>
      </w:r>
    </w:p>
  </w:footnote>
  <w:footnote w:type="continuationSeparator" w:id="0">
    <w:p w:rsidR="009B1F54" w:rsidRDefault="009B1F54">
      <w:r>
        <w:continuationSeparator/>
      </w:r>
    </w:p>
  </w:footnote>
  <w:footnote w:id="1">
    <w:p w:rsidRPr="00D43001" w:rsidR="009B1F54" w:rsidP="009B1F54" w:rsidRDefault="009B1F54">
      <w:pPr>
        <w:pStyle w:val="FootnoteText"/>
        <w:rPr>
          <w:szCs w:val="16"/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vertAlign w:val="superscript"/>
          <w:rFonts w:ascii="Times New Roman" w:hAnsi="Times New Roman"/>
        </w:rPr>
        <w:t xml:space="preserve"> </w:t>
      </w:r>
      <w:r>
        <w:rPr>
          <w:vertAlign w:val="superscript"/>
        </w:rPr>
        <w:tab/>
      </w:r>
      <w:r>
        <w:rPr>
          <w:szCs w:val="16"/>
          <w:rFonts w:ascii="Times New Roman" w:hAnsi="Times New Roman"/>
        </w:rPr>
        <w:t xml:space="preserve">Opinjoni tal-KESE dwar </w:t>
      </w:r>
      <w:r>
        <w:rPr>
          <w:szCs w:val="16"/>
          <w:i/>
          <w:rFonts w:ascii="Times New Roman" w:hAnsi="Times New Roman"/>
        </w:rPr>
        <w:t xml:space="preserve">Il-futur tal-UE: Benefiċċji għaċ-ċittadini u rispett għall-valuri Ewropej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69" w:rsidRDefault="00AD76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69" w:rsidRDefault="00AD76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69" w:rsidRDefault="00AD76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25EA2AF2"/>
    <w:multiLevelType w:val="multilevel"/>
    <w:tmpl w:val="6E86891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F43666D"/>
    <w:multiLevelType w:val="hybridMultilevel"/>
    <w:tmpl w:val="6AAC9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54"/>
    <w:rsid w:val="00005DE0"/>
    <w:rsid w:val="003B3882"/>
    <w:rsid w:val="00474E33"/>
    <w:rsid w:val="00525110"/>
    <w:rsid w:val="006C3B43"/>
    <w:rsid w:val="00815995"/>
    <w:rsid w:val="008220CE"/>
    <w:rsid w:val="008A2D42"/>
    <w:rsid w:val="008B2610"/>
    <w:rsid w:val="009441C7"/>
    <w:rsid w:val="009A6695"/>
    <w:rsid w:val="009B1F54"/>
    <w:rsid w:val="00AD7669"/>
    <w:rsid w:val="00BE33B4"/>
    <w:rsid w:val="00D01AED"/>
    <w:rsid w:val="00D34362"/>
    <w:rsid w:val="00F4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mt-MT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endnote referenc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F54"/>
    <w:pPr>
      <w:spacing w:line="240" w:lineRule="auto"/>
      <w:jc w:val="left"/>
    </w:pPr>
    <w:rPr>
      <w:rFonts w:ascii="Cambria" w:eastAsia="MS Mincho" w:hAnsi="Cambria"/>
      <w:sz w:val="24"/>
      <w:szCs w:val="24"/>
      <w:lang w:val="mt-MT" w:eastAsia="it-IT"/>
    </w:rPr>
  </w:style>
  <w:style w:type="paragraph" w:styleId="Heading1">
    <w:name w:val="heading 1"/>
    <w:basedOn w:val="Normal"/>
    <w:next w:val="Normal"/>
    <w:qFormat/>
    <w:rsid w:val="00F4433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4433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F4433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F4433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F4433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F4433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F4433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F4433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F4433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</w:style>
  <w:style w:type="paragraph" w:styleId="FootnoteText">
    <w:name w:val="footnote text"/>
    <w:basedOn w:val="Normal"/>
    <w:link w:val="FootnoteTextChar"/>
    <w:qFormat/>
    <w:rsid w:val="00F44330"/>
    <w:pPr>
      <w:keepLines/>
      <w:spacing w:after="60"/>
      <w:ind w:left="567" w:hanging="567"/>
    </w:pPr>
    <w:rPr>
      <w:sz w:val="16"/>
    </w:rPr>
  </w:style>
  <w:style w:type="paragraph" w:styleId="Header">
    <w:name w:val="header"/>
    <w:basedOn w:val="Normal"/>
    <w:link w:val="HeaderChar"/>
    <w:uiPriority w:val="99"/>
    <w:qFormat/>
  </w:style>
  <w:style w:type="paragraph" w:customStyle="1" w:styleId="quotes">
    <w:name w:val="quotes"/>
    <w:basedOn w:val="Normal"/>
    <w:next w:val="Normal"/>
    <w:rsid w:val="009A6695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9B1F5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B1F54"/>
  </w:style>
  <w:style w:type="character" w:customStyle="1" w:styleId="FooterChar">
    <w:name w:val="Footer Char"/>
    <w:basedOn w:val="DefaultParagraphFont"/>
    <w:link w:val="Footer"/>
    <w:uiPriority w:val="99"/>
    <w:rsid w:val="009B1F54"/>
  </w:style>
  <w:style w:type="character" w:customStyle="1" w:styleId="FootnoteTextChar">
    <w:name w:val="Footnote Text Char"/>
    <w:basedOn w:val="DefaultParagraphFont"/>
    <w:link w:val="FootnoteText"/>
    <w:rsid w:val="009B1F54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endnote referenc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F54"/>
    <w:pPr>
      <w:spacing w:line="240" w:lineRule="auto"/>
      <w:jc w:val="left"/>
    </w:pPr>
    <w:rPr>
      <w:rFonts w:ascii="Cambria" w:eastAsia="MS Mincho" w:hAnsi="Cambria"/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F4433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4433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F4433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F4433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F4433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F4433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F4433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F4433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F4433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</w:style>
  <w:style w:type="paragraph" w:styleId="FootnoteText">
    <w:name w:val="footnote text"/>
    <w:basedOn w:val="Normal"/>
    <w:link w:val="FootnoteTextChar"/>
    <w:qFormat/>
    <w:rsid w:val="00F44330"/>
    <w:pPr>
      <w:keepLines/>
      <w:spacing w:after="60"/>
      <w:ind w:left="567" w:hanging="567"/>
    </w:pPr>
    <w:rPr>
      <w:sz w:val="16"/>
    </w:rPr>
  </w:style>
  <w:style w:type="paragraph" w:styleId="Header">
    <w:name w:val="header"/>
    <w:basedOn w:val="Normal"/>
    <w:link w:val="HeaderChar"/>
    <w:uiPriority w:val="99"/>
    <w:qFormat/>
  </w:style>
  <w:style w:type="paragraph" w:customStyle="1" w:styleId="quotes">
    <w:name w:val="quotes"/>
    <w:basedOn w:val="Normal"/>
    <w:next w:val="Normal"/>
    <w:rsid w:val="009A6695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9B1F5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B1F54"/>
  </w:style>
  <w:style w:type="character" w:customStyle="1" w:styleId="FooterChar">
    <w:name w:val="Footer Char"/>
    <w:basedOn w:val="DefaultParagraphFont"/>
    <w:link w:val="Footer"/>
    <w:uiPriority w:val="99"/>
    <w:rsid w:val="009B1F54"/>
  </w:style>
  <w:style w:type="character" w:customStyle="1" w:styleId="FootnoteTextChar">
    <w:name w:val="Footnote Text Char"/>
    <w:basedOn w:val="DefaultParagraphFont"/>
    <w:link w:val="FootnoteText"/>
    <w:rsid w:val="009B1F54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\\isis\dfs\softwlib\word2016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VV634QRNENMJ-1826176032-3297</_dlc_DocId>
    <_dlc_DocIdUrl xmlns="cda99570-6012-4083-bfeb-7d32ad1ce1a3">
      <Url>http://dm2016/eesc/2020/_layouts/15/DocIdRedir.aspx?ID=VV634QRNENMJ-1826176032-3297</Url>
      <Description>VV634QRNENMJ-1826176032-3297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</TermName>
          <TermId xmlns="http://schemas.microsoft.com/office/infopath/2007/PartnerControls">77e6295a-5435-4751-8cb4-ca5555443730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2020-06-09T12:00:00+00:00</ProductionDate>
    <FicheYear xmlns="cda99570-6012-4083-bfeb-7d32ad1ce1a3">2020</FicheYear>
    <DocumentNumber xmlns="73bac5c4-8a91-4dc7-b814-def809a8194f">2549</DocumentNumber>
    <DocumentVersion xmlns="cda99570-6012-4083-bfeb-7d32ad1ce1a3">0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>2020-06-09T12:00:00+00:00</MeetingDate>
    <TaxCatchAll xmlns="cda99570-6012-4083-bfeb-7d32ad1ce1a3">
      <Value>86</Value>
      <Value>67</Value>
      <Value>48</Value>
      <Value>47</Value>
      <Value>46</Value>
      <Value>45</Value>
      <Value>44</Value>
      <Value>43</Value>
      <Value>41</Value>
      <Value>40</Value>
      <Value>39</Value>
      <Value>38</Value>
      <Value>36</Value>
      <Value>34</Value>
      <Value>32</Value>
      <Value>31</Value>
      <Value>30</Value>
      <Value>29</Value>
      <Value>24</Value>
      <Value>16</Value>
      <Value>13</Value>
      <Value>11</Value>
      <Value>10</Value>
      <Value>9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5614</FicheNumber>
    <DocumentPart xmlns="cda99570-6012-4083-bfeb-7d32ad1ce1a3">0</DocumentPart>
    <AdoptionDate xmlns="cda99570-6012-4083-bfeb-7d32ad1ce1a3">2020-06-11T12:00:00+00:00</AdoptionDate>
    <RequestingService xmlns="cda99570-6012-4083-bfeb-7d32ad1ce1a3">Coordination législative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BUR CESE</TermName>
          <TermId xmlns="http://schemas.microsoft.com/office/infopath/2007/PartnerControls">4274fb1d-1fa2-4436-baac-f79426b09598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73bac5c4-8a91-4dc7-b814-def809a8194f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524A67B585C316428632A8520FD87D85" ma:contentTypeVersion="4" ma:contentTypeDescription="Defines the documents for Document Manager V2" ma:contentTypeScope="" ma:versionID="7ace0c734ee3fcf8eeec41f2ae65c711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73bac5c4-8a91-4dc7-b814-def809a8194f" targetNamespace="http://schemas.microsoft.com/office/2006/metadata/properties" ma:root="true" ma:fieldsID="45710bd41127e21873434a4f5fbbc3a7" ns2:_="" ns3:_="" ns4:_="">
    <xsd:import namespace="cda99570-6012-4083-bfeb-7d32ad1ce1a3"/>
    <xsd:import namespace="http://schemas.microsoft.com/sharepoint/v3/fields"/>
    <xsd:import namespace="73bac5c4-8a91-4dc7-b814-def809a81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c5c4-8a91-4dc7-b814-def809a8194f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96BF8-F7F2-42CD-ADD3-E93258A8EADE}"/>
</file>

<file path=customXml/itemProps2.xml><?xml version="1.0" encoding="utf-8"?>
<ds:datastoreItem xmlns:ds="http://schemas.openxmlformats.org/officeDocument/2006/customXml" ds:itemID="{19FFF334-A605-45F6-B9FC-5CE49F26063F}"/>
</file>

<file path=customXml/itemProps3.xml><?xml version="1.0" encoding="utf-8"?>
<ds:datastoreItem xmlns:ds="http://schemas.openxmlformats.org/officeDocument/2006/customXml" ds:itemID="{4B078853-51B6-4502-826A-E0236BF4ABFC}"/>
</file>

<file path=customXml/itemProps4.xml><?xml version="1.0" encoding="utf-8"?>
<ds:datastoreItem xmlns:ds="http://schemas.openxmlformats.org/officeDocument/2006/customXml" ds:itemID="{E7EFD96F-35FE-4B2E-88BE-14C1F0851982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0</TotalTime>
  <Pages>3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Proposti tal-KESE għar-rikostruzzjoni u l-irkupru wara l-kriżi tal-COVID-19</dc:title>
  <dc:creator>Emma Nieddu</dc:creator>
  <cp:keywords>EESC-2020-02549-00-00-ANN-TRA-EN</cp:keywords>
  <dc:description>Rapporteur:  - Original language: EN - Date of document: 09/06/2020 - Date of meeting: 09/06/2020 - External documents:  - Administrator: M. COSMAI Domenico</dc:description>
  <cp:lastModifiedBy>Emma Nieddu</cp:lastModifiedBy>
  <cp:revision>2</cp:revision>
  <dcterms:created xsi:type="dcterms:W3CDTF">2020-06-06T08:52:00Z</dcterms:created>
  <dcterms:modified xsi:type="dcterms:W3CDTF">2020-06-06T08:52:00Z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06/06/2020</vt:lpwstr>
  </property>
  <property fmtid="{D5CDD505-2E9C-101B-9397-08002B2CF9AE}" pid="4" name="Pref_Time">
    <vt:lpwstr>10:48:46</vt:lpwstr>
  </property>
  <property fmtid="{D5CDD505-2E9C-101B-9397-08002B2CF9AE}" pid="5" name="Pref_User">
    <vt:lpwstr>enied</vt:lpwstr>
  </property>
  <property fmtid="{D5CDD505-2E9C-101B-9397-08002B2CF9AE}" pid="6" name="Pref_FileName">
    <vt:lpwstr>EESC-2020-02549-00-00-ANN-ORI.docx</vt:lpwstr>
  </property>
  <property fmtid="{D5CDD505-2E9C-101B-9397-08002B2CF9AE}" pid="7" name="ContentTypeId">
    <vt:lpwstr>0x010100EA97B91038054C99906057A708A1480A00524A67B585C316428632A8520FD87D85</vt:lpwstr>
  </property>
  <property fmtid="{D5CDD505-2E9C-101B-9397-08002B2CF9AE}" pid="8" name="_dlc_DocIdItemGuid">
    <vt:lpwstr>90601718-b456-406d-b5da-7183dbdf4765</vt:lpwstr>
  </property>
  <property fmtid="{D5CDD505-2E9C-101B-9397-08002B2CF9AE}" pid="9" name="AvailableTranslations">
    <vt:lpwstr>10;#DE|f6b31e5a-26fa-4935-b661-318e46daf27e;#34;#SL|98a412ae-eb01-49e9-ae3d-585a81724cfc;#47;#ET|ff6c3f4c-b02c-4c3c-ab07-2c37995a7a0a;#9;#PL|1e03da61-4678-4e07-b136-b5024ca9197b;#30;#LT|a7ff5ce7-6123-4f68-865a-a57c31810414;#29;#PT|50ccc04a-eadd-42ae-a0cb-acaf45f812ba;#43;#HR|2f555653-ed1a-4fe6-8362-9082d95989e5;#46;#SK|46d9fce0-ef79-4f71-b89b-cd6aa82426b8;#40;#SV|c2ed69e7-a339-43d7-8f22-d93680a92aa0;#16;#ES|e7a6b05b-ae16-40c8-add9-68b64b03aeba;#36;#MT|7df99101-6854-4a26-b53a-b88c0da02c26;#48;#RO|feb747a2-64cd-4299-af12-4833ddc30497;#4;#EN|f2175f21-25d7-44a3-96da-d6a61b075e1b;#31;#CS|72f9705b-0217-4fd3-bea2-cbc7ed80e26e;#41;#NL|55c6556c-b4f4-441d-9acf-c498d4f838bd;#11;#FR|d2afafd3-4c81-4f60-8f52-ee33f2f54ff3;#13;#IT|0774613c-01ed-4e5d-a25d-11d2388de825;#24;#LV|46f7e311-5d9f-4663-b433-18aeccb7ace7;#45;#FI|87606a43-d45f-42d6-b8c9-e1a3457db5b7;#38;#EL|6d4f4d51-af9b-4650-94b4-4276bee85c91;#44;#BG|1a1b3951-7821-4e6a-85f5-5673fc08bd2c;#32;#DA|5d49c027-8956-412b-aa16-e85a0f96ad0e;#39;#HU|6b229040-c589-4408-b4c1-4285663d20a8</vt:lpwstr>
  </property>
  <property fmtid="{D5CDD505-2E9C-101B-9397-08002B2CF9AE}" pid="10" name="DocumentType_0">
    <vt:lpwstr>ANN|77e6295a-5435-4751-8cb4-ca5555443730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2549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AdoptionDate">
    <vt:filetime>2020-06-11T12:00:00Z</vt:filetime>
  </property>
  <property fmtid="{D5CDD505-2E9C-101B-9397-08002B2CF9AE}" pid="21" name="DocumentType">
    <vt:lpwstr>67;#ANN|77e6295a-5435-4751-8cb4-ca5555443730</vt:lpwstr>
  </property>
  <property fmtid="{D5CDD505-2E9C-101B-9397-08002B2CF9AE}" pid="22" name="RequestingService">
    <vt:lpwstr>Coordination législative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>BUR CESE|4274fb1d-1fa2-4436-baac-f79426b09598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>86;#BUR CESE|4274fb1d-1fa2-4436-baac-f79426b09598</vt:lpwstr>
  </property>
  <property fmtid="{D5CDD505-2E9C-101B-9397-08002B2CF9AE}" pid="28" name="MeetingDate">
    <vt:filetime>2020-06-09T12:00:00Z</vt:filetime>
  </property>
  <property fmtid="{D5CDD505-2E9C-101B-9397-08002B2CF9AE}" pid="29" name="AvailableTranslations_0">
    <vt:lpwstr>PL|1e03da61-4678-4e07-b136-b5024ca9197b;EN|f2175f21-25d7-44a3-96da-d6a61b075e1b;FR|d2afafd3-4c81-4f60-8f52-ee33f2f54ff3;IT|0774613c-01ed-4e5d-a25d-11d2388de825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67;#ANN|77e6295a-5435-4751-8cb4-ca5555443730;#13;#IT|0774613c-01ed-4e5d-a25d-11d2388de825;#11;#FR|d2afafd3-4c81-4f60-8f52-ee33f2f54ff3;#9;#PL|1e03da61-4678-4e07-b136-b5024ca9197b;#1;#EESC|422833ec-8d7e-4e65-8e4e-8bed07ffb729;#6;#Final|ea5e6674-7b27-4bac-b091-73adbb394efe;#5;#Unrestricted|826e22d7-d029-4ec0-a450-0c28ff673572;#4;#EN|f2175f21-25d7-44a3-96da-d6a61b075e1b;#2;#TRA|150d2a88-1431-44e6-a8ca-0bb753ab8672;#86;#BUR CESE|4274fb1d-1fa2-4436-baac-f79426b09598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2020</vt:i4>
  </property>
  <property fmtid="{D5CDD505-2E9C-101B-9397-08002B2CF9AE}" pid="36" name="FicheNumber">
    <vt:i4>5614</vt:i4>
  </property>
  <property fmtid="{D5CDD505-2E9C-101B-9397-08002B2CF9AE}" pid="37" name="DocumentLanguage">
    <vt:lpwstr>36;#MT|7df99101-6854-4a26-b53a-b88c0da02c26</vt:lpwstr>
  </property>
  <property fmtid="{D5CDD505-2E9C-101B-9397-08002B2CF9AE}" pid="38" name="_docset_NoMedatataSyncRequired">
    <vt:lpwstr>False</vt:lpwstr>
  </property>
</Properties>
</file>