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54" w:rsidP="009B1F54" w:rsidRDefault="009B1F54">
      <w:pPr>
        <w:spacing w:line="288" w:lineRule="auto"/>
        <w:jc w:val="center"/>
        <w:rPr>
          <w:b/>
          <w:bCs/>
          <w:iCs/>
          <w:sz w:val="22"/>
          <w:szCs w:val="22"/>
          <w:rFonts w:ascii="Times New Roman" w:hAnsi="Times New Roman"/>
        </w:rPr>
      </w:pPr>
      <w:r>
        <w:rPr>
          <w:b/>
          <w:bCs/>
          <w:iCs/>
          <w:sz w:val="22"/>
          <w:szCs w:val="22"/>
          <w:rFonts w:ascii="Times New Roman" w:hAnsi="Times New Roman"/>
        </w:rPr>
        <w:t xml:space="preserve">REZOLŪCIJAS KOPSAVILKUMS</w:t>
      </w:r>
    </w:p>
    <w:p w:rsidRPr="00206A21" w:rsidR="00D34362" w:rsidP="009B1F54" w:rsidRDefault="00D34362">
      <w:pPr>
        <w:spacing w:line="288" w:lineRule="auto"/>
        <w:jc w:val="center"/>
        <w:rPr>
          <w:rFonts w:ascii="Times New Roman" w:hAnsi="Times New Roman"/>
          <w:b/>
          <w:bCs/>
          <w:iCs/>
          <w:sz w:val="22"/>
          <w:szCs w:val="22"/>
          <w:lang w:val="en-GB"/>
        </w:rPr>
      </w:pPr>
    </w:p>
    <w:p w:rsidRPr="00206A21" w:rsidR="009B1F54" w:rsidP="009B1F54" w:rsidRDefault="009B1F54">
      <w:pPr>
        <w:spacing w:line="288" w:lineRule="auto"/>
        <w:jc w:val="center"/>
        <w:rPr>
          <w:b/>
          <w:bCs/>
          <w:iCs/>
          <w:sz w:val="22"/>
          <w:szCs w:val="22"/>
          <w:rFonts w:ascii="Times New Roman" w:hAnsi="Times New Roman"/>
        </w:rPr>
      </w:pPr>
      <w:r>
        <w:rPr>
          <w:b/>
          <w:sz w:val="22"/>
          <w:szCs w:val="22"/>
          <w:rFonts w:ascii="Times New Roman" w:hAnsi="Times New Roman"/>
        </w:rPr>
        <w:t xml:space="preserve">EESK priekšlikums par pārveidi un atveseļošanos pēc Covid-19 krīzes:</w:t>
        <w:br/>
        <w:t xml:space="preserve">“Eiropas Savienībai jāvadās pēc principa, ka tā ir kopīga likteņa kopiena.”</w:t>
      </w:r>
    </w:p>
    <w:p w:rsidRPr="00206A21" w:rsidR="009B1F54" w:rsidP="009B1F54" w:rsidRDefault="009B1F54">
      <w:pPr>
        <w:spacing w:line="288" w:lineRule="auto"/>
        <w:ind w:left="709" w:hanging="709"/>
        <w:jc w:val="both"/>
        <w:rPr>
          <w:rFonts w:ascii="Times New Roman" w:hAnsi="Times New Roman"/>
          <w:bCs/>
          <w:iCs/>
          <w:sz w:val="22"/>
          <w:lang w:val="en-GB"/>
        </w:rPr>
      </w:pPr>
    </w:p>
    <w:p w:rsidRPr="00206A21" w:rsidR="009B1F54" w:rsidP="009B1F54" w:rsidRDefault="009B1F54">
      <w:pPr>
        <w:pStyle w:val="ListParagraph"/>
        <w:numPr>
          <w:ilvl w:val="0"/>
          <w:numId w:val="2"/>
        </w:numPr>
        <w:spacing w:line="288" w:lineRule="auto"/>
        <w:ind w:left="567" w:hanging="567"/>
        <w:jc w:val="both"/>
        <w:rPr>
          <w:bCs/>
          <w:iCs/>
          <w:sz w:val="22"/>
          <w:rFonts w:ascii="Times New Roman" w:hAnsi="Times New Roman"/>
        </w:rPr>
      </w:pPr>
      <w:r>
        <w:rPr>
          <w:bCs/>
          <w:sz w:val="22"/>
          <w:iCs/>
          <w:rFonts w:ascii="Times New Roman" w:hAnsi="Times New Roman"/>
        </w:rPr>
        <w:t xml:space="preserve">EESK atzinīgi vērtē un pilnībā atbalsta Eiropas Komisijas priekšlikumus: plānu “</w:t>
      </w:r>
      <w:r>
        <w:rPr>
          <w:bCs/>
          <w:sz w:val="22"/>
          <w:iCs/>
          <w:i/>
          <w:iCs/>
          <w:rFonts w:ascii="Times New Roman" w:hAnsi="Times New Roman"/>
        </w:rPr>
        <w:t xml:space="preserve">Next Generation EU</w:t>
      </w:r>
      <w:r>
        <w:rPr>
          <w:bCs/>
          <w:sz w:val="22"/>
          <w:iCs/>
          <w:rFonts w:ascii="Times New Roman" w:hAnsi="Times New Roman"/>
        </w:rPr>
        <w:t xml:space="preserve">” un ES vispārējo budžetu 2021.-2027. gadam.</w:t>
      </w:r>
      <w:r>
        <w:rPr>
          <w:bCs/>
          <w:sz w:val="22"/>
          <w:rFonts w:ascii="Times New Roman" w:hAnsi="Times New Roman"/>
        </w:rPr>
        <w:t xml:space="preserve"> </w:t>
      </w:r>
      <w:r>
        <w:rPr>
          <w:bCs/>
          <w:sz w:val="22"/>
          <w:rFonts w:ascii="Times New Roman" w:hAnsi="Times New Roman"/>
        </w:rPr>
        <w:t xml:space="preserve">Jaunajam “</w:t>
      </w:r>
      <w:r>
        <w:rPr>
          <w:bCs/>
          <w:sz w:val="22"/>
          <w:i/>
          <w:iCs/>
          <w:rFonts w:ascii="Times New Roman" w:hAnsi="Times New Roman"/>
        </w:rPr>
        <w:t xml:space="preserve">Next Generation EU</w:t>
      </w:r>
      <w:r>
        <w:rPr>
          <w:bCs/>
          <w:sz w:val="22"/>
          <w:rFonts w:ascii="Times New Roman" w:hAnsi="Times New Roman"/>
        </w:rPr>
        <w:t xml:space="preserve">” instrumentam ir jāpapildina jaunā daudzgadu finanšu shēma (DFS), kurā pietiekamā apmērā jābūt atspoguļotām arī citām ar pandēmiju nesaistītām ES prioritātēm.</w:t>
      </w:r>
      <w:r>
        <w:rPr>
          <w:bCs/>
          <w:sz w:val="22"/>
          <w:rFonts w:ascii="Times New Roman" w:hAnsi="Times New Roman"/>
        </w:rPr>
        <w:t xml:space="preserve"> </w:t>
      </w:r>
    </w:p>
    <w:p w:rsidRPr="00206A21" w:rsidR="009B1F54" w:rsidP="009B1F54" w:rsidRDefault="009B1F54">
      <w:pPr>
        <w:spacing w:line="288" w:lineRule="auto"/>
        <w:ind w:left="567" w:hanging="567"/>
        <w:jc w:val="both"/>
        <w:rPr>
          <w:rFonts w:ascii="Times New Roman" w:hAnsi="Times New Roman"/>
          <w:bCs/>
          <w:iCs/>
          <w:sz w:val="22"/>
          <w:lang w:val="en-GB"/>
        </w:rPr>
      </w:pPr>
    </w:p>
    <w:p w:rsidRPr="00206A21" w:rsidR="009B1F54" w:rsidP="009B1F54" w:rsidRDefault="009B1F54">
      <w:pPr>
        <w:pStyle w:val="ListParagraph"/>
        <w:numPr>
          <w:ilvl w:val="0"/>
          <w:numId w:val="2"/>
        </w:numPr>
        <w:spacing w:line="288" w:lineRule="auto"/>
        <w:ind w:left="567" w:hanging="567"/>
        <w:jc w:val="both"/>
        <w:rPr>
          <w:bCs/>
          <w:iCs/>
          <w:sz w:val="22"/>
          <w:rFonts w:ascii="Times New Roman" w:hAnsi="Times New Roman"/>
        </w:rPr>
      </w:pPr>
      <w:r>
        <w:rPr>
          <w:bCs/>
          <w:iCs/>
          <w:sz w:val="22"/>
          <w:rFonts w:ascii="Times New Roman" w:hAnsi="Times New Roman"/>
        </w:rPr>
        <w:t xml:space="preserve">EESK ir pārliecināta, ka atveseļošanās no koronavīrusa krīzes sekām varēs norisināties efektīvi tikai tad, ja to papildinās arī mūsu sabiedrības pārstrukturēšanās – mūsu uzmanības centrā ir jābūt gan pārveidei, gan atveseļošanai.</w:t>
      </w:r>
      <w:r>
        <w:rPr>
          <w:bCs/>
          <w:iCs/>
          <w:sz w:val="22"/>
          <w:rFonts w:ascii="Times New Roman" w:hAnsi="Times New Roman"/>
        </w:rPr>
        <w:t xml:space="preserve"> </w:t>
      </w:r>
      <w:r>
        <w:rPr>
          <w:bCs/>
          <w:iCs/>
          <w:sz w:val="22"/>
          <w:rFonts w:ascii="Times New Roman" w:hAnsi="Times New Roman"/>
        </w:rPr>
        <w:t xml:space="preserve">Mēs nevaram vienkārši atjaunot to, kas pastāvējis pagātnē: mums tas ir jāpārveido un jāuzlabo.</w:t>
      </w:r>
      <w:r>
        <w:rPr>
          <w:bCs/>
          <w:iCs/>
          <w:sz w:val="22"/>
          <w:rFonts w:ascii="Times New Roman" w:hAnsi="Times New Roman"/>
        </w:rPr>
        <w:t xml:space="preserve"> </w:t>
      </w:r>
    </w:p>
    <w:p w:rsidRPr="00206A21" w:rsidR="009B1F54" w:rsidP="009B1F54" w:rsidRDefault="009B1F54">
      <w:pPr>
        <w:spacing w:line="288" w:lineRule="auto"/>
        <w:jc w:val="both"/>
        <w:rPr>
          <w:rFonts w:ascii="Times New Roman" w:hAnsi="Times New Roman"/>
          <w:bCs/>
          <w:iCs/>
          <w:sz w:val="22"/>
          <w:lang w:val="en-GB"/>
        </w:rPr>
      </w:pPr>
    </w:p>
    <w:p w:rsidRPr="00206A21" w:rsidR="009B1F54" w:rsidP="009B1F54" w:rsidRDefault="009B1F54">
      <w:pPr>
        <w:pStyle w:val="ListParagraph"/>
        <w:numPr>
          <w:ilvl w:val="0"/>
          <w:numId w:val="2"/>
        </w:numPr>
        <w:spacing w:line="288" w:lineRule="auto"/>
        <w:ind w:left="567" w:hanging="567"/>
        <w:jc w:val="both"/>
        <w:rPr>
          <w:bCs/>
          <w:iCs/>
          <w:sz w:val="22"/>
          <w:rFonts w:ascii="Times New Roman" w:hAnsi="Times New Roman"/>
        </w:rPr>
      </w:pPr>
      <w:r>
        <w:rPr>
          <w:bCs/>
          <w:sz w:val="22"/>
          <w:rFonts w:ascii="Times New Roman" w:hAnsi="Times New Roman"/>
        </w:rPr>
        <w:t xml:space="preserve">EESK skatījumā pārveidei un pilnveidei ir jānotiek, balstoties uz mūsu darba pamatā liktajiem principiem. Tie ir cilvēktiesību un sociālo tiesību, demokrātisko vērtību un tiesiskuma aizsardzība, vienotā tirgus potenciāla atraisīšana pilnā apmērā, Eiropas Savienības ekonomiskās izturētspējas stiprināšana, ilgtspējīgas attīstības mērķu sasniegšana, aprites ekonomikas izveide un klimatneitralitātes panākšana Eiropas Savienībā vismaz līdz 2050. gadam, kā arī pilnīga Eiropas sociālo tiesību pīlāra īstenošana.</w:t>
      </w:r>
      <w:r>
        <w:rPr>
          <w:bCs/>
          <w:sz w:val="22"/>
          <w:iCs/>
          <w:rFonts w:ascii="Times New Roman" w:hAnsi="Times New Roman"/>
        </w:rPr>
        <w:t xml:space="preserve"> </w:t>
      </w:r>
      <w:r>
        <w:rPr>
          <w:bCs/>
          <w:sz w:val="22"/>
          <w:iCs/>
          <w:rFonts w:ascii="Times New Roman" w:hAnsi="Times New Roman"/>
        </w:rPr>
        <w:t xml:space="preserve">Mums jānodrošina arī laba pārvaldība un demokrātiskā pārskatatbildība.</w:t>
      </w:r>
    </w:p>
    <w:p w:rsidRPr="00206A21" w:rsidR="009B1F54" w:rsidP="009B1F54" w:rsidRDefault="009B1F54">
      <w:pPr>
        <w:spacing w:line="288" w:lineRule="auto"/>
        <w:jc w:val="both"/>
        <w:rPr>
          <w:rFonts w:ascii="Times New Roman" w:hAnsi="Times New Roman"/>
          <w:bCs/>
          <w:iCs/>
          <w:sz w:val="22"/>
          <w:lang w:val="en-GB"/>
        </w:rPr>
      </w:pPr>
    </w:p>
    <w:p w:rsidRPr="00206A21" w:rsidR="009B1F54" w:rsidP="009B1F54" w:rsidRDefault="009B1F54">
      <w:pPr>
        <w:pStyle w:val="ListParagraph"/>
        <w:numPr>
          <w:ilvl w:val="0"/>
          <w:numId w:val="2"/>
        </w:numPr>
        <w:spacing w:line="288" w:lineRule="auto"/>
        <w:ind w:left="567" w:hanging="567"/>
        <w:jc w:val="both"/>
        <w:rPr>
          <w:bCs/>
          <w:iCs/>
          <w:sz w:val="22"/>
          <w:szCs w:val="22"/>
          <w:rFonts w:ascii="Times New Roman" w:hAnsi="Times New Roman"/>
        </w:rPr>
      </w:pPr>
      <w:r>
        <w:rPr>
          <w:sz w:val="22"/>
          <w:rFonts w:ascii="Times New Roman" w:hAnsi="Times New Roman"/>
        </w:rPr>
        <w:t xml:space="preserve">Visu iedzīvotāju līdzdalība sociālo partneru un organizētas pilsoniskās sabiedrības organizācijās ir priekšnoteikums ekonomikas un sabiedrības reformu iespējamībai.</w:t>
      </w:r>
      <w:r>
        <w:rPr>
          <w:sz w:val="22"/>
          <w:rFonts w:ascii="Times New Roman" w:hAnsi="Times New Roman"/>
        </w:rPr>
        <w:t xml:space="preserve"> </w:t>
      </w:r>
      <w:r>
        <w:rPr>
          <w:sz w:val="22"/>
          <w:rFonts w:ascii="Times New Roman" w:hAnsi="Times New Roman"/>
        </w:rPr>
        <w:t xml:space="preserve">Tas jo īpaši attiecas uz Eiropas pusgada procesu, kura loma uzraudzības un vērtēšanas darbībās pakāpeniski pastiprināsies atbilstoši “</w:t>
      </w:r>
      <w:r>
        <w:rPr>
          <w:sz w:val="22"/>
          <w:i/>
          <w:iCs/>
          <w:rFonts w:ascii="Times New Roman" w:hAnsi="Times New Roman"/>
        </w:rPr>
        <w:t xml:space="preserve">Next Generation EU</w:t>
      </w:r>
      <w:r>
        <w:rPr>
          <w:sz w:val="22"/>
          <w:rFonts w:ascii="Times New Roman" w:hAnsi="Times New Roman"/>
        </w:rPr>
        <w:t xml:space="preserve">” paredzētajam uzstādījumam.</w:t>
      </w:r>
      <w:r>
        <w:rPr>
          <w:sz w:val="22"/>
          <w:rFonts w:ascii="Times New Roman" w:hAnsi="Times New Roman"/>
        </w:rPr>
        <w:t xml:space="preserve"> </w:t>
      </w:r>
      <w:r>
        <w:rPr>
          <w:sz w:val="22"/>
          <w:rFonts w:ascii="Times New Roman" w:hAnsi="Times New Roman"/>
        </w:rPr>
        <w:t xml:space="preserve">Tāpēc dalībvalstīm un ES ir jārūpējas, lai šajā kompleksajā procesā neviens netiek atstāts novārtā.</w:t>
      </w:r>
    </w:p>
    <w:p w:rsidRPr="00206A21" w:rsidR="009B1F54" w:rsidP="009B1F54" w:rsidRDefault="009B1F54">
      <w:pPr>
        <w:spacing w:line="288" w:lineRule="auto"/>
        <w:ind w:left="567" w:hanging="567"/>
        <w:jc w:val="both"/>
        <w:rPr>
          <w:rFonts w:ascii="Times New Roman" w:hAnsi="Times New Roman"/>
          <w:bCs/>
          <w:iCs/>
          <w:sz w:val="22"/>
          <w:lang w:val="en-GB"/>
        </w:rPr>
      </w:pPr>
    </w:p>
    <w:p w:rsidRPr="00206A21" w:rsidR="009B1F54" w:rsidP="009B1F54" w:rsidRDefault="009B1F54">
      <w:pPr>
        <w:pStyle w:val="ListParagraph"/>
        <w:numPr>
          <w:ilvl w:val="0"/>
          <w:numId w:val="2"/>
        </w:numPr>
        <w:spacing w:line="288" w:lineRule="auto"/>
        <w:ind w:left="567" w:hanging="567"/>
        <w:jc w:val="both"/>
        <w:rPr>
          <w:sz w:val="22"/>
          <w:rFonts w:ascii="Times New Roman" w:hAnsi="Times New Roman"/>
        </w:rPr>
      </w:pPr>
      <w:r>
        <w:rPr>
          <w:sz w:val="22"/>
          <w:szCs w:val="22"/>
          <w:rFonts w:ascii="Times New Roman" w:hAnsi="Times New Roman"/>
        </w:rPr>
        <w:t xml:space="preserve">Eiropas Savienības pamatā ir kopīgas Eiropas vērtības, kas nav apspriežamas nekādos apstākļos</w:t>
      </w:r>
      <w:r w:rsidRPr="00206A21">
        <w:rPr>
          <w:rStyle w:val="FootnoteReference"/>
          <w:rFonts w:ascii="Times New Roman" w:hAnsi="Times New Roman"/>
          <w:sz w:val="22"/>
          <w:szCs w:val="22"/>
          <w:lang w:val="en-GB"/>
        </w:rPr>
        <w:footnoteReference w:id="1"/>
      </w:r>
      <w:r>
        <w:rPr>
          <w:sz w:val="22"/>
          <w:szCs w:val="22"/>
          <w:rFonts w:ascii="Times New Roman" w:hAnsi="Times New Roman"/>
        </w:rPr>
        <w:t xml:space="preserve">: cilvēka cieņas un cilvēktiesību, brīvības, demokrātijas, vienlīdzības un tiesiskuma ievērošana.</w:t>
      </w:r>
      <w:r>
        <w:rPr>
          <w:sz w:val="22"/>
          <w:szCs w:val="22"/>
          <w:rFonts w:ascii="Times New Roman" w:hAnsi="Times New Roman"/>
        </w:rPr>
        <w:t xml:space="preserve"> </w:t>
      </w:r>
      <w:r>
        <w:rPr>
          <w:sz w:val="22"/>
          <w:szCs w:val="22"/>
          <w:rFonts w:ascii="Times New Roman" w:hAnsi="Times New Roman"/>
        </w:rPr>
        <w:t xml:space="preserve">Pat ja ES un tās dalībvalstis saskaras ar ārkārtas situāciju un tās izraisītajām ekonomiskajām un sociālajām problēmām, šīs vērtības nedrīkst aizmirst.</w:t>
      </w:r>
      <w:r>
        <w:rPr>
          <w:sz w:val="22"/>
          <w:szCs w:val="22"/>
          <w:rFonts w:ascii="Times New Roman" w:hAnsi="Times New Roman"/>
        </w:rPr>
        <w:t xml:space="preserve"> </w:t>
      </w:r>
      <w:r>
        <w:rPr>
          <w:sz w:val="22"/>
          <w:szCs w:val="22"/>
          <w:rFonts w:ascii="Times New Roman" w:hAnsi="Times New Roman"/>
        </w:rPr>
        <w:t xml:space="preserve">Lai gan reakcijai uz pašreizējo krīzi ir jābūt ātrai un ir nepieciešami daži ārkārtas un laikā ierobežoti pasākumi, tie nevar būt pretrunā tiesiskumam un apdraudēt demokrātiju, varas sadali un Eiropas pilsoņu pamattiesības.</w:t>
      </w:r>
      <w:r>
        <w:rPr>
          <w:sz w:val="22"/>
          <w:szCs w:val="22"/>
          <w:rFonts w:ascii="Times New Roman" w:hAnsi="Times New Roman"/>
        </w:rPr>
        <w:t xml:space="preserve"> </w:t>
      </w:r>
      <w:r>
        <w:rPr>
          <w:sz w:val="22"/>
          <w:szCs w:val="22"/>
          <w:rFonts w:ascii="Times New Roman" w:hAnsi="Times New Roman"/>
        </w:rPr>
        <w:t xml:space="preserve">EESK stingri norāda, ka visiem ar šo krīzi saistītajiem politikas pasākumiem ir pilnībā jāatbilst mūsu kopīgajām LES 2. pantā noteiktajām vērtībām.</w:t>
      </w:r>
    </w:p>
    <w:p w:rsidRPr="00206A21" w:rsidR="009B1F54" w:rsidP="009B1F54" w:rsidRDefault="009B1F54">
      <w:pPr>
        <w:pStyle w:val="ListParagraph"/>
        <w:spacing w:line="288" w:lineRule="auto"/>
        <w:ind w:left="567"/>
        <w:jc w:val="both"/>
        <w:rPr>
          <w:rFonts w:ascii="Times New Roman" w:hAnsi="Times New Roman"/>
          <w:sz w:val="22"/>
          <w:lang w:val="en-GB"/>
        </w:rPr>
      </w:pPr>
    </w:p>
    <w:p w:rsidRPr="00206A21" w:rsidR="009B1F54" w:rsidP="009B1F54" w:rsidRDefault="009B1F54">
      <w:pPr>
        <w:pStyle w:val="ListParagraph"/>
        <w:numPr>
          <w:ilvl w:val="0"/>
          <w:numId w:val="2"/>
        </w:numPr>
        <w:spacing w:line="288" w:lineRule="auto"/>
        <w:ind w:left="567" w:hanging="567"/>
        <w:jc w:val="both"/>
        <w:rPr>
          <w:sz w:val="22"/>
          <w:rFonts w:ascii="Times New Roman" w:hAnsi="Times New Roman"/>
        </w:rPr>
      </w:pPr>
      <w:r>
        <w:rPr>
          <w:sz w:val="22"/>
          <w:rFonts w:ascii="Times New Roman" w:hAnsi="Times New Roman"/>
        </w:rPr>
        <w:t xml:space="preserve">EESK skatījumā šajā atveseļošanas un pārveides procesā Konference par Eiropas nākotni varētu kļūt par Eiropas Savienības institucionālās struktūras stiprināšanas un padziļināšanas iespēju un izraisīt reālu ES projekta atjaunotni, kurā tas iegūtu spēju stāties pretim nākamo gadu desmitu izaicinājumiem.</w:t>
      </w:r>
    </w:p>
    <w:p w:rsidRPr="00206A21" w:rsidR="009B1F54" w:rsidP="009B1F54" w:rsidRDefault="009B1F54">
      <w:pPr>
        <w:spacing w:line="288" w:lineRule="auto"/>
        <w:ind w:left="567" w:hanging="567"/>
        <w:jc w:val="both"/>
        <w:rPr>
          <w:rFonts w:ascii="Times New Roman" w:hAnsi="Times New Roman"/>
          <w:sz w:val="22"/>
          <w:lang w:val="en-GB"/>
        </w:rPr>
      </w:pPr>
    </w:p>
    <w:p w:rsidRPr="00206A21" w:rsidR="009B1F54" w:rsidP="009B1F54" w:rsidRDefault="009B1F54">
      <w:pPr>
        <w:pStyle w:val="ListParagraph"/>
        <w:numPr>
          <w:ilvl w:val="0"/>
          <w:numId w:val="2"/>
        </w:numPr>
        <w:spacing w:line="288" w:lineRule="auto"/>
        <w:ind w:left="567" w:hanging="567"/>
        <w:jc w:val="both"/>
        <w:rPr>
          <w:bCs/>
          <w:sz w:val="22"/>
          <w:rFonts w:ascii="Times New Roman" w:hAnsi="Times New Roman"/>
        </w:rPr>
      </w:pPr>
      <w:r>
        <w:rPr>
          <w:bCs/>
          <w:sz w:val="22"/>
          <w:rFonts w:ascii="Times New Roman" w:hAnsi="Times New Roman"/>
        </w:rPr>
        <w:t xml:space="preserve">Atveseļošanas un pārveides procesa galvenās jomas:</w:t>
      </w:r>
    </w:p>
    <w:p w:rsidRPr="00206A21" w:rsidR="009B1F54" w:rsidP="009B1F54" w:rsidRDefault="009B1F54">
      <w:pPr>
        <w:pStyle w:val="ListParagraph"/>
        <w:numPr>
          <w:ilvl w:val="0"/>
          <w:numId w:val="3"/>
        </w:numPr>
        <w:spacing w:line="288" w:lineRule="auto"/>
        <w:ind w:left="924" w:hanging="357"/>
        <w:jc w:val="both"/>
        <w:rPr>
          <w:bCs/>
          <w:sz w:val="22"/>
          <w:rFonts w:ascii="Times New Roman" w:hAnsi="Times New Roman"/>
        </w:rPr>
      </w:pPr>
      <w:r>
        <w:rPr>
          <w:bCs/>
          <w:sz w:val="22"/>
          <w:rFonts w:ascii="Times New Roman" w:hAnsi="Times New Roman"/>
        </w:rPr>
        <w:t xml:space="preserve">veicināt Eiropas ekonomiskās pārvaldības reformu, kurā tiktu pārskatīts Stabilitātes un izaugsmes pakts ar mērķi vienlaikus nodrošināt gan stabilitāti, gan izaugsmi;</w:t>
      </w:r>
    </w:p>
    <w:p w:rsidRPr="00206A21" w:rsidR="009B1F54" w:rsidP="009B1F54" w:rsidRDefault="009B1F54">
      <w:pPr>
        <w:pStyle w:val="ListParagraph"/>
        <w:numPr>
          <w:ilvl w:val="0"/>
          <w:numId w:val="3"/>
        </w:numPr>
        <w:spacing w:line="288" w:lineRule="auto"/>
        <w:ind w:left="924" w:hanging="357"/>
        <w:jc w:val="both"/>
        <w:rPr>
          <w:bCs/>
          <w:sz w:val="22"/>
          <w:rFonts w:ascii="Times New Roman" w:hAnsi="Times New Roman"/>
        </w:rPr>
      </w:pPr>
      <w:r>
        <w:rPr>
          <w:bCs/>
          <w:sz w:val="22"/>
          <w:rFonts w:ascii="Times New Roman" w:hAnsi="Times New Roman"/>
        </w:rPr>
        <w:t xml:space="preserve">pilnībā atraisīt vienotā tirgus potenciālu un rūpēties, lai konkurētspējas atjaunošanas nolūkā tas būtu integrēts, funkcionāls un efektīvs;</w:t>
      </w:r>
    </w:p>
    <w:p w:rsidRPr="00206A21" w:rsidR="009B1F54" w:rsidP="009B1F54" w:rsidRDefault="009B1F54">
      <w:pPr>
        <w:pStyle w:val="ListParagraph"/>
        <w:numPr>
          <w:ilvl w:val="0"/>
          <w:numId w:val="3"/>
        </w:numPr>
        <w:spacing w:line="288" w:lineRule="auto"/>
        <w:ind w:left="924" w:hanging="357"/>
        <w:jc w:val="both"/>
        <w:rPr>
          <w:bCs/>
          <w:sz w:val="22"/>
          <w:rFonts w:ascii="Times New Roman" w:hAnsi="Times New Roman"/>
        </w:rPr>
      </w:pPr>
      <w:r>
        <w:rPr>
          <w:bCs/>
          <w:sz w:val="22"/>
          <w:rFonts w:ascii="Times New Roman" w:hAnsi="Times New Roman"/>
        </w:rPr>
        <w:t xml:space="preserve">turpināt nepieciešamo strukturālo pārmaiņu un saistīto ieguldījumu darbību īstenošanu galvenokārt digitālas, pārdomātas un sociālas inovācijas un zaļās pārveides jomā;</w:t>
      </w:r>
    </w:p>
    <w:p w:rsidRPr="00206A21" w:rsidR="009B1F54" w:rsidP="009B1F54" w:rsidRDefault="009B1F54">
      <w:pPr>
        <w:pStyle w:val="ListParagraph"/>
        <w:numPr>
          <w:ilvl w:val="0"/>
          <w:numId w:val="3"/>
        </w:numPr>
        <w:spacing w:line="288" w:lineRule="auto"/>
        <w:ind w:left="851" w:hanging="284"/>
        <w:jc w:val="both"/>
        <w:rPr>
          <w:sz w:val="22"/>
          <w:szCs w:val="22"/>
          <w:rFonts w:ascii="Times New Roman" w:hAnsi="Times New Roman" w:eastAsia="Times New Roman"/>
        </w:rPr>
      </w:pPr>
      <w:r>
        <w:rPr>
          <w:bCs/>
          <w:sz w:val="22"/>
          <w:rFonts w:ascii="Times New Roman" w:hAnsi="Times New Roman"/>
        </w:rPr>
        <w:t xml:space="preserve">pastāvīgi uzlabot Eiropas Savienības konkurētspēju;</w:t>
      </w:r>
    </w:p>
    <w:p w:rsidRPr="00206A21" w:rsidR="009B1F54" w:rsidP="009B1F54" w:rsidRDefault="009B1F54">
      <w:pPr>
        <w:pStyle w:val="ListParagraph"/>
        <w:numPr>
          <w:ilvl w:val="0"/>
          <w:numId w:val="3"/>
        </w:numPr>
        <w:spacing w:line="288" w:lineRule="auto"/>
        <w:ind w:left="924" w:hanging="357"/>
        <w:jc w:val="both"/>
        <w:rPr>
          <w:bCs/>
          <w:sz w:val="22"/>
          <w:rFonts w:ascii="Times New Roman" w:hAnsi="Times New Roman"/>
        </w:rPr>
      </w:pPr>
      <w:r>
        <w:rPr>
          <w:color w:val="000000"/>
          <w:sz w:val="22"/>
          <w:szCs w:val="22"/>
          <w:shd w:val="clear" w:color="auto" w:fill="FFFFFF"/>
          <w:rFonts w:ascii="Times New Roman" w:hAnsi="Times New Roman"/>
        </w:rPr>
        <w:t xml:space="preserve">veidot apstākļus, kas stiprinātu darbaspēka lomu, jo tas ir viens no galvenajiem Eiropas ekonomikas sistēmas darbības atsākšanas virzītājspēkiem;</w:t>
      </w:r>
    </w:p>
    <w:p w:rsidRPr="00206A21" w:rsidR="009B1F54" w:rsidP="009B1F54" w:rsidRDefault="009B1F54">
      <w:pPr>
        <w:pStyle w:val="ListParagraph"/>
        <w:numPr>
          <w:ilvl w:val="0"/>
          <w:numId w:val="3"/>
        </w:numPr>
        <w:spacing w:line="288" w:lineRule="auto"/>
        <w:ind w:left="924" w:hanging="357"/>
        <w:jc w:val="both"/>
        <w:rPr>
          <w:bCs/>
          <w:sz w:val="22"/>
          <w:rFonts w:ascii="Times New Roman" w:hAnsi="Times New Roman"/>
        </w:rPr>
      </w:pPr>
      <w:r>
        <w:rPr>
          <w:bCs/>
          <w:sz w:val="22"/>
          <w:rFonts w:ascii="Times New Roman" w:hAnsi="Times New Roman"/>
        </w:rPr>
        <w:t xml:space="preserve">veidot apstākļus, lai stiprinātu ES pašpietiekamību un izturētspēju globāla mēroga problēmu gadījumā;</w:t>
      </w:r>
    </w:p>
    <w:p w:rsidRPr="00206A21" w:rsidR="009B1F54" w:rsidP="009B1F54" w:rsidRDefault="009B1F54">
      <w:pPr>
        <w:pStyle w:val="ListParagraph"/>
        <w:numPr>
          <w:ilvl w:val="0"/>
          <w:numId w:val="3"/>
        </w:numPr>
        <w:spacing w:line="288" w:lineRule="auto"/>
        <w:ind w:left="924" w:hanging="357"/>
        <w:jc w:val="both"/>
      </w:pPr>
      <w:r>
        <w:rPr>
          <w:bCs/>
          <w:sz w:val="22"/>
          <w:rFonts w:ascii="Times New Roman" w:hAnsi="Times New Roman"/>
        </w:rPr>
        <w:t xml:space="preserve">veidot apstākļus, lai būtu iespējams saglabāt kontroli pār Eiropas Savienības stratēģiskajiem līdzekļiem un rūpniecību;</w:t>
      </w:r>
    </w:p>
    <w:p w:rsidRPr="00206A21" w:rsidR="009B1F54" w:rsidP="009B1F54" w:rsidRDefault="009B1F54">
      <w:pPr>
        <w:pStyle w:val="ListParagraph"/>
        <w:numPr>
          <w:ilvl w:val="0"/>
          <w:numId w:val="3"/>
        </w:numPr>
        <w:spacing w:line="288" w:lineRule="auto"/>
        <w:ind w:left="924" w:hanging="357"/>
        <w:jc w:val="both"/>
      </w:pPr>
      <w:r>
        <w:rPr>
          <w:bCs/>
          <w:sz w:val="22"/>
          <w:rFonts w:ascii="Times New Roman" w:hAnsi="Times New Roman"/>
        </w:rPr>
        <w:t xml:space="preserve">ievērojami jāuzlabo ES piegādes ķēdes riska vai ārkārtējas situācijas gadījumā.</w:t>
      </w:r>
    </w:p>
    <w:p w:rsidRPr="00206A21" w:rsidR="009B1F54" w:rsidP="009B1F54" w:rsidRDefault="009B1F54">
      <w:pPr>
        <w:pStyle w:val="ListParagraph"/>
        <w:spacing w:line="288" w:lineRule="auto"/>
        <w:ind w:left="567"/>
        <w:jc w:val="both"/>
        <w:rPr>
          <w:rFonts w:ascii="Times New Roman" w:hAnsi="Times New Roman"/>
          <w:sz w:val="22"/>
          <w:lang w:val="en-GB"/>
        </w:rPr>
      </w:pPr>
    </w:p>
    <w:p w:rsidRPr="00206A21" w:rsidR="009B1F54" w:rsidP="009B1F54" w:rsidRDefault="009B1F54">
      <w:pPr>
        <w:pStyle w:val="ListParagraph"/>
        <w:numPr>
          <w:ilvl w:val="0"/>
          <w:numId w:val="2"/>
        </w:numPr>
        <w:spacing w:line="288" w:lineRule="auto"/>
        <w:ind w:left="567" w:hanging="567"/>
        <w:jc w:val="both"/>
        <w:rPr>
          <w:sz w:val="22"/>
          <w:rFonts w:ascii="Times New Roman" w:hAnsi="Times New Roman"/>
        </w:rPr>
      </w:pPr>
      <w:r>
        <w:rPr>
          <w:sz w:val="22"/>
          <w:rFonts w:ascii="Times New Roman" w:hAnsi="Times New Roman"/>
        </w:rPr>
        <w:t xml:space="preserve">Ieguldījumiem, kas veikti, lai dotu īstermiņa ekonomisku stimulu, ir jābūt neitrāliem pret Eiropas ekonomikas pāreju uz nulles piesārņojumu, bioloģiskās daudzveidības atjaunošanu un klimatneitralitātes īstenošanu līdz 2050. gadam, vai arī tiem ir jāpaātrina šo mērķu sasniegšana.</w:t>
      </w:r>
    </w:p>
    <w:p w:rsidRPr="00206A21" w:rsidR="009B1F54" w:rsidP="009B1F54" w:rsidRDefault="009B1F54">
      <w:pPr>
        <w:spacing w:line="288" w:lineRule="auto"/>
        <w:ind w:left="567" w:hanging="567"/>
        <w:jc w:val="both"/>
        <w:rPr>
          <w:rFonts w:ascii="Times New Roman" w:hAnsi="Times New Roman"/>
          <w:sz w:val="22"/>
          <w:lang w:val="en-GB"/>
        </w:rPr>
      </w:pPr>
    </w:p>
    <w:p w:rsidRPr="00206A21" w:rsidR="009B1F54" w:rsidP="009B1F54" w:rsidRDefault="009B1F54">
      <w:pPr>
        <w:pStyle w:val="ListParagraph"/>
        <w:numPr>
          <w:ilvl w:val="0"/>
          <w:numId w:val="2"/>
        </w:numPr>
        <w:spacing w:line="288" w:lineRule="auto"/>
        <w:ind w:left="567" w:hanging="567"/>
        <w:jc w:val="both"/>
        <w:rPr>
          <w:sz w:val="22"/>
          <w:rFonts w:ascii="Times New Roman" w:hAnsi="Times New Roman"/>
        </w:rPr>
      </w:pPr>
      <w:r>
        <w:rPr>
          <w:sz w:val="22"/>
          <w:rFonts w:ascii="Times New Roman" w:hAnsi="Times New Roman"/>
        </w:rPr>
        <w:t xml:space="preserve">Labklājības ekonomikas īstenošanā īpaša nozīme būs ieguldījumiem kopienās, publiskajā telpā, veselības aprūpē, izglītībā, sociālajos pakalpojumos, bezoglekļa mājokļos un infrastruktūrā, bioloģiskās daudzveidības aizsardzībā un atjaunošanā, kā arī enerģijas ražošanas decentralizācijā.</w:t>
      </w:r>
      <w:r>
        <w:rPr>
          <w:sz w:val="22"/>
          <w:rFonts w:ascii="Times New Roman" w:hAnsi="Times New Roman"/>
        </w:rPr>
        <w:t xml:space="preserve"> </w:t>
      </w:r>
      <w:r>
        <w:rPr>
          <w:sz w:val="22"/>
          <w:rFonts w:ascii="Times New Roman" w:hAnsi="Times New Roman"/>
        </w:rPr>
        <w:t xml:space="preserve">Viena no jomām, kas būtu jānosaka par prioritāru, ir ēku energorenovācija.</w:t>
      </w:r>
    </w:p>
    <w:p w:rsidRPr="00206A21" w:rsidR="009B1F54" w:rsidP="009B1F54" w:rsidRDefault="009B1F54">
      <w:pPr>
        <w:spacing w:line="288" w:lineRule="auto"/>
        <w:jc w:val="both"/>
        <w:rPr>
          <w:rFonts w:ascii="Times New Roman" w:hAnsi="Times New Roman"/>
          <w:sz w:val="22"/>
          <w:lang w:val="en-GB"/>
        </w:rPr>
      </w:pPr>
    </w:p>
    <w:p w:rsidRPr="00206A21" w:rsidR="009B1F54" w:rsidP="009B1F54" w:rsidRDefault="009B1F54">
      <w:pPr>
        <w:pStyle w:val="ListParagraph"/>
        <w:numPr>
          <w:ilvl w:val="0"/>
          <w:numId w:val="2"/>
        </w:numPr>
        <w:spacing w:line="288" w:lineRule="auto"/>
        <w:ind w:left="567" w:hanging="567"/>
        <w:jc w:val="both"/>
        <w:rPr>
          <w:sz w:val="20"/>
          <w:szCs w:val="20"/>
          <w:rFonts w:ascii="Times New Roman" w:hAnsi="Times New Roman" w:eastAsia="Times New Roman"/>
        </w:rPr>
      </w:pPr>
      <w:r>
        <w:rPr>
          <w:color w:val="000000"/>
          <w:shd w:val="clear" w:color="auto" w:fill="FFFFFF"/>
          <w:sz w:val="22"/>
          <w:szCs w:val="22"/>
          <w:rFonts w:ascii="Times New Roman" w:hAnsi="Times New Roman"/>
        </w:rPr>
        <w:t xml:space="preserve">EESK ir pārliecināta, ka Eiropas Savienības ražošanas sistēmas darbība būtu jāatsāk, stiprinot MVU sistēmu, lielos uzņēmumus un sociālos uzņēmumus.</w:t>
      </w:r>
      <w:r>
        <w:rPr>
          <w:color w:val="000000"/>
          <w:shd w:val="clear" w:color="auto" w:fill="FFFFFF"/>
          <w:sz w:val="22"/>
          <w:szCs w:val="22"/>
          <w:rFonts w:ascii="Times New Roman" w:hAnsi="Times New Roman"/>
        </w:rPr>
        <w:t xml:space="preserve"> </w:t>
      </w:r>
      <w:r>
        <w:rPr>
          <w:color w:val="000000"/>
          <w:shd w:val="clear" w:color="auto" w:fill="FFFFFF"/>
          <w:sz w:val="22"/>
          <w:szCs w:val="22"/>
          <w:rFonts w:ascii="Times New Roman" w:hAnsi="Times New Roman"/>
        </w:rPr>
        <w:t xml:space="preserve">Tādējādi tie attīstības ceļā stimulētu zaļu un digitālu pārkārtošanos un pienācīgas kvalitātes darbvietu piedāvājumu.</w:t>
      </w:r>
    </w:p>
    <w:p w:rsidRPr="009441FE" w:rsidR="009B1F54" w:rsidP="009B1F54" w:rsidRDefault="009B1F54">
      <w:pPr>
        <w:spacing w:line="288" w:lineRule="auto"/>
        <w:rPr>
          <w:rFonts w:ascii="Times New Roman" w:hAnsi="Times New Roman" w:eastAsia="Times New Roman"/>
          <w:color w:val="000000"/>
          <w:sz w:val="22"/>
          <w:szCs w:val="22"/>
          <w:shd w:val="clear" w:color="auto" w:fill="FFFFFF"/>
          <w:lang w:val="en-GB"/>
        </w:rPr>
      </w:pPr>
    </w:p>
    <w:p w:rsidRPr="00206A21" w:rsidR="009B1F54" w:rsidP="009B1F54" w:rsidRDefault="009B1F54">
      <w:pPr>
        <w:pStyle w:val="ListParagraph"/>
        <w:numPr>
          <w:ilvl w:val="0"/>
          <w:numId w:val="2"/>
        </w:numPr>
        <w:spacing w:line="288" w:lineRule="auto"/>
        <w:ind w:left="567" w:hanging="567"/>
        <w:jc w:val="both"/>
        <w:rPr>
          <w:sz w:val="22"/>
          <w:szCs w:val="22"/>
          <w:rFonts w:ascii="Times New Roman" w:hAnsi="Times New Roman" w:eastAsia="Times New Roman"/>
        </w:rPr>
      </w:pPr>
      <w:r>
        <w:rPr>
          <w:color w:val="000000"/>
          <w:sz w:val="22"/>
          <w:szCs w:val="22"/>
          <w:shd w:val="clear" w:color="auto" w:fill="FFFFFF"/>
          <w:rFonts w:ascii="Times New Roman" w:hAnsi="Times New Roman"/>
        </w:rPr>
        <w:t xml:space="preserve">Nodarbinātības un ienākumu saglabāšana visiem strādājošajiem ir prioritāte un šodienas politika mums ir jāveido, domājot par ilgtermiņa perspektīvu (apmācību, mūžizglītību u. c.).</w:t>
      </w:r>
      <w:r>
        <w:rPr>
          <w:color w:val="000000"/>
          <w:sz w:val="22"/>
          <w:szCs w:val="22"/>
          <w:shd w:val="clear" w:color="auto" w:fill="FFFFFF"/>
          <w:rFonts w:ascii="Times New Roman" w:hAnsi="Times New Roman"/>
        </w:rPr>
        <w:t xml:space="preserve"> </w:t>
      </w:r>
      <w:r>
        <w:rPr>
          <w:color w:val="000000"/>
          <w:sz w:val="22"/>
          <w:szCs w:val="22"/>
          <w:shd w:val="clear" w:color="auto" w:fill="FFFFFF"/>
          <w:rFonts w:ascii="Times New Roman" w:hAnsi="Times New Roman"/>
        </w:rPr>
        <w:t xml:space="preserve">Šajā procesā mums būtu arī jānodrošina aizsardzība mazaizsargātām grupām (cilvēkiem, kuru nodarbinātība ir nestabila, nabadzīgiem bērniem, cilvēkiem ar invaliditāti, marginalizētu teritoriju iedzīvotājiem u. c.).</w:t>
      </w:r>
    </w:p>
    <w:p w:rsidRPr="00206A21" w:rsidR="009B1F54" w:rsidP="009B1F54" w:rsidRDefault="009B1F54">
      <w:pPr>
        <w:spacing w:line="288" w:lineRule="auto"/>
        <w:jc w:val="both"/>
        <w:rPr>
          <w:rFonts w:ascii="Times New Roman" w:hAnsi="Times New Roman"/>
          <w:sz w:val="22"/>
          <w:lang w:val="en-GB"/>
        </w:rPr>
      </w:pPr>
    </w:p>
    <w:p w:rsidRPr="00206A21" w:rsidR="009B1F54" w:rsidP="009B1F54" w:rsidRDefault="009B1F54">
      <w:pPr>
        <w:pStyle w:val="ListParagraph"/>
        <w:numPr>
          <w:ilvl w:val="0"/>
          <w:numId w:val="2"/>
        </w:numPr>
        <w:spacing w:line="288" w:lineRule="auto"/>
        <w:ind w:left="567" w:hanging="567"/>
        <w:jc w:val="both"/>
        <w:rPr>
          <w:sz w:val="22"/>
          <w:rFonts w:ascii="Times New Roman" w:hAnsi="Times New Roman"/>
        </w:rPr>
      </w:pPr>
      <w:r>
        <w:rPr>
          <w:sz w:val="22"/>
          <w:szCs w:val="22"/>
          <w:rFonts w:ascii="Times New Roman" w:hAnsi="Times New Roman"/>
        </w:rPr>
        <w:t xml:space="preserve">Balstoties uz atveseļošanas instrumentu </w:t>
      </w:r>
      <w:r>
        <w:rPr>
          <w:sz w:val="22"/>
          <w:szCs w:val="22"/>
          <w:i/>
          <w:iCs/>
          <w:rFonts w:ascii="Times New Roman" w:hAnsi="Times New Roman"/>
        </w:rPr>
        <w:t xml:space="preserve">“Next Generation EU”</w:t>
      </w:r>
      <w:r>
        <w:rPr>
          <w:sz w:val="22"/>
          <w:szCs w:val="22"/>
          <w:rFonts w:ascii="Times New Roman" w:hAnsi="Times New Roman"/>
        </w:rPr>
        <w:t xml:space="preserve">, būs pakāpeniski jāpaaugstina ES pašu resursu apmērs, šajā nolūkā ieviešot pamatotus un piemērotus ienākumus, kuru avots varētu būt, piemēram, ES emisijas kvotu tirdzniecības sistēma, kopējā konsolidētā uzņēmumu ienākuma nodokļa bāze, digitālais nodoklis, finanšu darījumu nodoklis, CO</w:t>
      </w:r>
      <w:r>
        <w:rPr>
          <w:sz w:val="22"/>
          <w:szCs w:val="22"/>
          <w:vertAlign w:val="subscript"/>
          <w:rFonts w:ascii="Times New Roman" w:hAnsi="Times New Roman"/>
        </w:rPr>
        <w:t xml:space="preserve">2</w:t>
      </w:r>
      <w:r>
        <w:rPr>
          <w:sz w:val="22"/>
          <w:szCs w:val="22"/>
          <w:rFonts w:ascii="Times New Roman" w:hAnsi="Times New Roman"/>
        </w:rPr>
        <w:t xml:space="preserve"> nodoklis vai naudas emisijas peļņas nodoklis.</w:t>
      </w:r>
      <w:r>
        <w:rPr>
          <w:sz w:val="22"/>
          <w:szCs w:val="22"/>
          <w:rFonts w:ascii="Times New Roman" w:hAnsi="Times New Roman"/>
        </w:rPr>
        <w:t xml:space="preserve"> </w:t>
      </w:r>
      <w:r>
        <w:rPr>
          <w:sz w:val="22"/>
          <w:szCs w:val="22"/>
          <w:rFonts w:ascii="Times New Roman" w:hAnsi="Times New Roman"/>
        </w:rPr>
        <w:t xml:space="preserve">Pagaidām Eiropas Savienībai būtu jāstiprina sava apņēmība apkarot izvairīšanos no nodokļu maksāšanas un agresīvu nodokļu plānošanu; iedarbināt tādu koordinācijas mehānismu, kas spētu neitralizēt agresīvu nodokļu plānošanu un apkarot izvairīšanos no nodokļu maksāšanas; aktivizēt spēcīgu stratēģiju nelikumīgi iegūtu līdzekļu legalizācijas novēršanai.</w:t>
      </w:r>
    </w:p>
    <w:p w:rsidRPr="00206A21" w:rsidR="009B1F54" w:rsidP="009B1F54" w:rsidRDefault="009B1F54">
      <w:pPr>
        <w:spacing w:line="288" w:lineRule="auto"/>
        <w:jc w:val="both"/>
        <w:rPr>
          <w:rFonts w:ascii="Times New Roman" w:hAnsi="Times New Roman"/>
          <w:sz w:val="22"/>
          <w:lang w:val="en-GB"/>
        </w:rPr>
      </w:pPr>
    </w:p>
    <w:p w:rsidRPr="00206A21" w:rsidR="009B1F54" w:rsidP="009B1F54" w:rsidRDefault="009B1F54">
      <w:pPr>
        <w:pStyle w:val="ListParagraph"/>
        <w:numPr>
          <w:ilvl w:val="0"/>
          <w:numId w:val="2"/>
        </w:numPr>
        <w:spacing w:line="288" w:lineRule="auto"/>
        <w:ind w:left="567" w:hanging="567"/>
        <w:jc w:val="both"/>
        <w:rPr>
          <w:sz w:val="22"/>
          <w:rFonts w:ascii="Times New Roman" w:hAnsi="Times New Roman"/>
        </w:rPr>
      </w:pPr>
      <w:r>
        <w:rPr>
          <w:sz w:val="22"/>
          <w:rFonts w:ascii="Times New Roman" w:hAnsi="Times New Roman"/>
        </w:rPr>
        <w:t xml:space="preserve">Pilnvērtīgi jāizmanto priekšrocības, kuras dod jaunie ilgtspējīgas uzņēmējdarbības modeļi (aprites, dalīšanās, sociālā ekonomika u. c.).</w:t>
      </w:r>
      <w:r>
        <w:rPr>
          <w:sz w:val="22"/>
          <w:rFonts w:ascii="Times New Roman" w:hAnsi="Times New Roman"/>
        </w:rPr>
        <w:t xml:space="preserve"> </w:t>
      </w:r>
      <w:r>
        <w:rPr>
          <w:sz w:val="22"/>
          <w:rFonts w:ascii="Times New Roman" w:hAnsi="Times New Roman"/>
        </w:rPr>
        <w:t xml:space="preserve">Tie arī raksturo Eiropas Savienības sabiedrības modeli un vienlaikus rada divas vērtības: ekonomikas un sociālo vērtību, kā arī kalpo par instrumentiem Eiropas zaļā kursa un ilgtspējīgas attīstības mērķu īstenošanai.</w:t>
      </w:r>
      <w:r>
        <w:rPr>
          <w:sz w:val="22"/>
          <w:rFonts w:ascii="Times New Roman" w:hAnsi="Times New Roman"/>
        </w:rPr>
        <w:t xml:space="preserve"> </w:t>
      </w:r>
      <w:r>
        <w:rPr>
          <w:sz w:val="22"/>
          <w:rFonts w:ascii="Times New Roman" w:hAnsi="Times New Roman"/>
        </w:rPr>
        <w:t xml:space="preserve">Šie uzņēmējdarbības modeļi dod iespēju veicināt ekonomikas atveseļošanu un vienlaikus risināt sabiedrības problēmas.</w:t>
      </w:r>
      <w:r>
        <w:rPr>
          <w:sz w:val="22"/>
          <w:rFonts w:ascii="Times New Roman" w:hAnsi="Times New Roman"/>
        </w:rPr>
        <w:t xml:space="preserve"> </w:t>
      </w:r>
      <w:r>
        <w:rPr>
          <w:sz w:val="22"/>
          <w:rFonts w:ascii="Times New Roman" w:hAnsi="Times New Roman"/>
        </w:rPr>
        <w:t xml:space="preserve">Tāpēc izšķiroša nozīme būs Eiropas Savienības aprites plānam, kā arī paredzētajam Eiropas Savienības sociālās ekonomikas rīcības plānam (2021. gada pavasarī).</w:t>
      </w:r>
    </w:p>
    <w:p w:rsidRPr="00206A21" w:rsidR="009B1F54" w:rsidP="009B1F54" w:rsidRDefault="009B1F54">
      <w:pPr>
        <w:pStyle w:val="ListParagraph"/>
        <w:spacing w:line="288" w:lineRule="auto"/>
        <w:ind w:left="567"/>
        <w:jc w:val="both"/>
        <w:rPr>
          <w:rFonts w:ascii="Times New Roman" w:hAnsi="Times New Roman"/>
          <w:sz w:val="22"/>
          <w:lang w:val="en-GB"/>
        </w:rPr>
      </w:pPr>
    </w:p>
    <w:p w:rsidRPr="00206A21" w:rsidR="009B1F54" w:rsidP="009B1F54" w:rsidRDefault="009B1F54">
      <w:pPr>
        <w:pStyle w:val="ListParagraph"/>
        <w:numPr>
          <w:ilvl w:val="0"/>
          <w:numId w:val="2"/>
        </w:numPr>
        <w:spacing w:line="288" w:lineRule="auto"/>
        <w:ind w:left="567" w:hanging="567"/>
        <w:jc w:val="both"/>
        <w:rPr>
          <w:sz w:val="22"/>
          <w:rFonts w:ascii="Times New Roman" w:hAnsi="Times New Roman"/>
        </w:rPr>
      </w:pPr>
      <w:r>
        <w:rPr>
          <w:sz w:val="22"/>
          <w:rFonts w:ascii="Times New Roman" w:hAnsi="Times New Roman"/>
        </w:rPr>
        <w:t xml:space="preserve">Atveseļošanas plāna uzdevums būs veicināt: pārtikas sistēmu ilgtspējības celšanu gan ražošanas, gan patēriņa līmenī atbilstoši Komisijas iecerēm, kuras saistītas ar ilgtspējīgas pārtikas stratēģiju “No lauka līdz galdam”; Eiropas Savienības uztursuverenitāti, balstoties uz solidaritāti starp dažādiem Eiropas lauksaimniecības veidiem un uz ekonomikas, sociālo un vides aspektu integrāciju; mērķtiecīgu jaunās Eiropas Savienības bioloģiskās daudzveidības stratēģijas priekšlikumu īstenošanu.</w:t>
      </w:r>
    </w:p>
    <w:p w:rsidRPr="00206A21" w:rsidR="009B1F54" w:rsidP="009B1F54" w:rsidRDefault="009B1F54">
      <w:pPr>
        <w:pStyle w:val="ListParagraph"/>
        <w:spacing w:line="288" w:lineRule="auto"/>
        <w:ind w:left="567"/>
        <w:jc w:val="both"/>
        <w:rPr>
          <w:rFonts w:ascii="Times New Roman" w:hAnsi="Times New Roman"/>
          <w:sz w:val="22"/>
          <w:lang w:val="en-GB"/>
        </w:rPr>
      </w:pPr>
    </w:p>
    <w:p w:rsidRPr="00206A21" w:rsidR="009B1F54" w:rsidP="009B1F54" w:rsidRDefault="009B1F54">
      <w:pPr>
        <w:pStyle w:val="ListParagraph"/>
        <w:numPr>
          <w:ilvl w:val="0"/>
          <w:numId w:val="2"/>
        </w:numPr>
        <w:spacing w:line="288" w:lineRule="auto"/>
        <w:ind w:left="567" w:hanging="567"/>
        <w:jc w:val="both"/>
        <w:rPr>
          <w:sz w:val="22"/>
          <w:rFonts w:ascii="Times New Roman" w:hAnsi="Times New Roman"/>
        </w:rPr>
      </w:pPr>
      <w:r>
        <w:rPr>
          <w:sz w:val="22"/>
          <w:rFonts w:ascii="Times New Roman" w:hAnsi="Times New Roman"/>
        </w:rPr>
        <w:t xml:space="preserve">Ir būtiski ievērot vienu no galvenajām koronavīrusa krīzes mācībām – gandrīz visās Eiropas valstīs ir jāstiprina veselības aizsardzības sistēmas un šajā nolūkā ir jāveido ES veselības savienība.</w:t>
      </w:r>
    </w:p>
    <w:p w:rsidRPr="00137A40" w:rsidR="009B1F54" w:rsidP="009B1F54" w:rsidRDefault="009B1F54">
      <w:pPr>
        <w:spacing w:line="288" w:lineRule="auto"/>
        <w:ind w:left="567" w:hanging="567"/>
        <w:jc w:val="both"/>
        <w:rPr>
          <w:rFonts w:ascii="Times New Roman" w:hAnsi="Times New Roman"/>
          <w:sz w:val="22"/>
          <w:szCs w:val="22"/>
        </w:rPr>
      </w:pPr>
    </w:p>
    <w:p w:rsidRPr="008A2D42" w:rsidR="009B1F54" w:rsidP="009B1F54" w:rsidRDefault="009B1F54">
      <w:pPr>
        <w:pStyle w:val="ListParagraph"/>
        <w:numPr>
          <w:ilvl w:val="0"/>
          <w:numId w:val="2"/>
        </w:numPr>
        <w:spacing w:line="288" w:lineRule="auto"/>
        <w:ind w:left="567" w:hanging="567"/>
        <w:jc w:val="both"/>
        <w:rPr>
          <w:sz w:val="22"/>
          <w:szCs w:val="22"/>
          <w:rFonts w:ascii="Times New Roman" w:hAnsi="Times New Roman"/>
        </w:rPr>
      </w:pPr>
      <w:r>
        <w:rPr>
          <w:sz w:val="22"/>
          <w:szCs w:val="22"/>
          <w:rFonts w:ascii="Times New Roman" w:hAnsi="Times New Roman"/>
        </w:rPr>
        <w:t xml:space="preserve">Ir svarīgi, lai Eiropas Savienība atsāktu pildīt savu ģeopolitiski stratēģisko lomu pasaules miera procesa veicināšanā Eiropas Savienības kaimiņvalstīs – Rietumbalkānos, </w:t>
      </w:r>
      <w:r>
        <w:rPr>
          <w:sz w:val="22"/>
          <w:szCs w:val="22"/>
          <w:i/>
          <w:iCs/>
          <w:rFonts w:ascii="Times New Roman" w:hAnsi="Times New Roman"/>
        </w:rPr>
        <w:t xml:space="preserve">Euromed</w:t>
      </w:r>
      <w:r>
        <w:rPr>
          <w:sz w:val="22"/>
          <w:szCs w:val="22"/>
          <w:rFonts w:ascii="Times New Roman" w:hAnsi="Times New Roman"/>
        </w:rPr>
        <w:t xml:space="preserve"> valstīs un Austrumu partnerības valstīs, kā ar citās konfliktu skartas teritorijās.</w:t>
      </w:r>
    </w:p>
    <w:p w:rsidRPr="00206A21" w:rsidR="009B1F54" w:rsidP="009B1F54" w:rsidRDefault="009B1F54">
      <w:pPr>
        <w:pStyle w:val="ListParagraph"/>
        <w:spacing w:line="288" w:lineRule="auto"/>
        <w:ind w:left="567" w:hanging="567"/>
        <w:rPr>
          <w:rFonts w:ascii="Times New Roman" w:hAnsi="Times New Roman" w:eastAsia="Times New Roman"/>
          <w:sz w:val="22"/>
          <w:szCs w:val="22"/>
          <w:lang w:val="en-GB"/>
        </w:rPr>
      </w:pPr>
    </w:p>
    <w:p w:rsidRPr="008A2D42" w:rsidR="009B1F54" w:rsidP="009B1F54" w:rsidRDefault="009B1F54">
      <w:pPr>
        <w:pStyle w:val="ListParagraph"/>
        <w:numPr>
          <w:ilvl w:val="0"/>
          <w:numId w:val="2"/>
        </w:numPr>
        <w:spacing w:line="288" w:lineRule="auto"/>
        <w:ind w:left="567" w:hanging="567"/>
        <w:jc w:val="both"/>
        <w:rPr>
          <w:sz w:val="22"/>
          <w:szCs w:val="22"/>
          <w:rFonts w:ascii="Times New Roman" w:hAnsi="Times New Roman"/>
        </w:rPr>
      </w:pPr>
      <w:r>
        <w:rPr>
          <w:sz w:val="22"/>
          <w:szCs w:val="22"/>
          <w:rFonts w:ascii="Times New Roman" w:hAnsi="Times New Roman"/>
        </w:rPr>
        <w:t xml:space="preserve">Tomēr, neraugoties uz to, cik labi un izcili pasākumi būtu paredzēti, tie būs efektīvi un gūs atbalstu tikai tad, ja to rezultāti būs jūtami reālos apstākļos un sasniegs cilvēkus, kuriem tie būs paredzēti.</w:t>
      </w:r>
      <w:r>
        <w:rPr>
          <w:sz w:val="22"/>
          <w:szCs w:val="22"/>
          <w:rFonts w:ascii="Times New Roman" w:hAnsi="Times New Roman"/>
        </w:rPr>
        <w:t xml:space="preserve"> </w:t>
      </w:r>
      <w:r>
        <w:rPr>
          <w:sz w:val="22"/>
          <w:szCs w:val="22"/>
          <w:rFonts w:ascii="Times New Roman" w:hAnsi="Times New Roman"/>
        </w:rPr>
        <w:t xml:space="preserve">Tāpēc ir ļoti svarīgi cītīgi rūpēties par to efektīvu īstenošanu gan ES iestādēs, gan dalībvalstīs.</w:t>
      </w:r>
    </w:p>
    <w:p w:rsidRPr="00206A21" w:rsidR="009B1F54" w:rsidP="009B1F54" w:rsidRDefault="009B1F54">
      <w:pPr>
        <w:spacing w:line="288" w:lineRule="auto"/>
        <w:ind w:hanging="567"/>
        <w:jc w:val="both"/>
        <w:rPr>
          <w:rFonts w:ascii="Times New Roman" w:hAnsi="Times New Roman"/>
          <w:bCs/>
          <w:sz w:val="22"/>
          <w:szCs w:val="22"/>
          <w:lang w:val="en-GB"/>
        </w:rPr>
      </w:pPr>
    </w:p>
    <w:p w:rsidRPr="00206A21" w:rsidR="009B1F54" w:rsidP="009B1F54" w:rsidRDefault="009B1F54">
      <w:pPr>
        <w:overflowPunct w:val="0"/>
        <w:autoSpaceDE w:val="0"/>
        <w:autoSpaceDN w:val="0"/>
        <w:adjustRightInd w:val="0"/>
        <w:spacing w:line="288" w:lineRule="auto"/>
        <w:jc w:val="center"/>
        <w:textAlignment w:val="baseline"/>
        <w:rPr>
          <w:sz w:val="22"/>
          <w:szCs w:val="22"/>
          <w:rFonts w:ascii="Times New Roman" w:hAnsi="Times New Roman"/>
        </w:rPr>
      </w:pPr>
      <w:r>
        <w:rPr>
          <w:sz w:val="22"/>
          <w:szCs w:val="22"/>
          <w:rFonts w:ascii="Times New Roman" w:hAnsi="Times New Roman"/>
        </w:rPr>
        <w:t xml:space="preserve">_____________</w:t>
      </w:r>
    </w:p>
    <w:p w:rsidRPr="009B1F54" w:rsidR="00474E33" w:rsidP="009B1F54" w:rsidRDefault="00474E33"/>
    <w:sectPr w:rsidRPr="009B1F54" w:rsidR="00474E33" w:rsidSect="009441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F54" w:rsidRDefault="009B1F54">
      <w:r>
        <w:separator/>
      </w:r>
    </w:p>
  </w:endnote>
  <w:endnote w:type="continuationSeparator" w:id="0">
    <w:p w:rsidR="009B1F54" w:rsidRDefault="009B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69" w:rsidRDefault="00AD7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AD7669" w:rsidR="00BD080C" w:rsidP="009441FE" w:rsidRDefault="009B1F54">
    <w:pPr>
      <w:pStyle w:val="Footer"/>
      <w:rPr>
        <w:sz w:val="22"/>
        <w:szCs w:val="22"/>
        <w:rFonts w:ascii="Times New Roman" w:hAnsi="Times New Roman"/>
      </w:rPr>
    </w:pPr>
    <w:r>
      <w:rPr>
        <w:sz w:val="22"/>
        <w:szCs w:val="22"/>
        <w:rFonts w:ascii="Times New Roman" w:hAnsi="Times New Roman"/>
      </w:rPr>
      <w:t xml:space="preserve">EESC-2020-02549-00-00-ANN-TRA (EN) </w:t>
    </w:r>
    <w:r w:rsidRPr="00AD7669">
      <w:rPr>
        <w:sz w:val="22"/>
        <w:szCs w:val="22"/>
        <w:rFonts w:ascii="Times New Roman" w:hAnsi="Times New Roman"/>
      </w:rPr>
      <w:fldChar w:fldCharType="begin"/>
    </w:r>
    <w:r w:rsidRPr="00AD7669">
      <w:rPr>
        <w:sz w:val="22"/>
        <w:szCs w:val="22"/>
        <w:rFonts w:ascii="Times New Roman" w:hAnsi="Times New Roman"/>
      </w:rPr>
      <w:instrText xml:space="preserve"> PAGE  \* Arabic  \* MERGEFORMAT </w:instrText>
    </w:r>
    <w:r w:rsidRPr="00AD7669">
      <w:rPr>
        <w:sz w:val="22"/>
        <w:szCs w:val="22"/>
        <w:rFonts w:ascii="Times New Roman" w:hAnsi="Times New Roman"/>
      </w:rPr>
      <w:fldChar w:fldCharType="separate"/>
    </w:r>
    <w:r w:rsidR="00AD7669">
      <w:rPr>
        <w:sz w:val="22"/>
        <w:szCs w:val="22"/>
        <w:rFonts w:ascii="Times New Roman" w:hAnsi="Times New Roman"/>
      </w:rPr>
      <w:t>1</w:t>
    </w:r>
    <w:r w:rsidRPr="00AD7669">
      <w:rPr>
        <w:sz w:val="22"/>
        <w:szCs w:val="22"/>
        <w:rFonts w:ascii="Times New Roman" w:hAnsi="Times New Roman"/>
      </w:rPr>
      <w:fldChar w:fldCharType="end"/>
    </w:r>
    <w:r>
      <w:rPr>
        <w:sz w:val="22"/>
        <w:szCs w:val="22"/>
        <w:rFonts w:ascii="Times New Roman" w:hAnsi="Times New Roman"/>
      </w:rPr>
      <w:t xml:space="preserve">/</w:t>
    </w:r>
    <w:r w:rsidRPr="00AD7669">
      <w:rPr>
        <w:sz w:val="22"/>
        <w:szCs w:val="22"/>
        <w:rFonts w:ascii="Times New Roman" w:hAnsi="Times New Roman"/>
      </w:rPr>
      <w:fldChar w:fldCharType="begin"/>
    </w:r>
    <w:r w:rsidRPr="00AD7669">
      <w:rPr>
        <w:sz w:val="22"/>
        <w:szCs w:val="22"/>
        <w:rFonts w:ascii="Times New Roman" w:hAnsi="Times New Roman"/>
      </w:rPr>
      <w:instrText xml:space="preserve"> = </w:instrText>
    </w:r>
    <w:r w:rsidRPr="00AD7669">
      <w:rPr>
        <w:sz w:val="22"/>
        <w:szCs w:val="22"/>
        <w:rFonts w:ascii="Times New Roman" w:hAnsi="Times New Roman"/>
      </w:rPr>
      <w:fldChar w:fldCharType="begin" w:dirty="true"/>
    </w:r>
    <w:r w:rsidRPr="00AD7669">
      <w:rPr>
        <w:sz w:val="22"/>
        <w:szCs w:val="22"/>
        <w:rFonts w:ascii="Times New Roman" w:hAnsi="Times New Roman"/>
      </w:rPr>
      <w:instrText xml:space="preserve"> NUMPAGES </w:instrText>
    </w:r>
    <w:r w:rsidRPr="00AD7669">
      <w:rPr>
        <w:sz w:val="22"/>
        <w:szCs w:val="22"/>
        <w:rFonts w:ascii="Times New Roman" w:hAnsi="Times New Roman"/>
      </w:rPr>
      <w:fldChar w:fldCharType="separate"/>
    </w:r>
    <w:r w:rsidR="00AD7669">
      <w:rPr>
        <w:sz w:val="22"/>
        <w:szCs w:val="22"/>
        <w:rFonts w:ascii="Times New Roman" w:hAnsi="Times New Roman"/>
      </w:rPr>
      <w:instrText>3</w:instrText>
    </w:r>
    <w:r w:rsidRPr="00AD7669">
      <w:rPr>
        <w:sz w:val="22"/>
        <w:szCs w:val="22"/>
        <w:rFonts w:ascii="Times New Roman" w:hAnsi="Times New Roman"/>
      </w:rPr>
      <w:fldChar w:fldCharType="end"/>
    </w:r>
    <w:r w:rsidRPr="00AD7669">
      <w:rPr>
        <w:sz w:val="22"/>
        <w:szCs w:val="22"/>
        <w:rFonts w:ascii="Times New Roman" w:hAnsi="Times New Roman"/>
      </w:rPr>
      <w:instrText xml:space="preserve"> </w:instrText>
    </w:r>
    <w:r w:rsidRPr="00AD7669">
      <w:rPr>
        <w:sz w:val="22"/>
        <w:szCs w:val="22"/>
        <w:rFonts w:ascii="Times New Roman" w:hAnsi="Times New Roman"/>
      </w:rPr>
      <w:fldChar w:fldCharType="separate"/>
    </w:r>
    <w:r w:rsidR="00AD7669">
      <w:rPr>
        <w:sz w:val="22"/>
        <w:szCs w:val="22"/>
        <w:rFonts w:ascii="Times New Roman" w:hAnsi="Times New Roman"/>
      </w:rPr>
      <w:t>3</w:t>
    </w:r>
    <w:r w:rsidRPr="00AD7669">
      <w:rPr>
        <w:sz w:val="22"/>
        <w:szCs w:val="22"/>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69" w:rsidRDefault="00AD7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F54" w:rsidRDefault="009B1F54">
      <w:r>
        <w:separator/>
      </w:r>
    </w:p>
  </w:footnote>
  <w:footnote w:type="continuationSeparator" w:id="0">
    <w:p w:rsidR="009B1F54" w:rsidRDefault="009B1F54">
      <w:r>
        <w:continuationSeparator/>
      </w:r>
    </w:p>
  </w:footnote>
  <w:footnote w:id="1">
    <w:p w:rsidRPr="00D43001" w:rsidR="009B1F54" w:rsidP="009B1F54" w:rsidRDefault="009B1F54">
      <w:pPr>
        <w:pStyle w:val="FootnoteText"/>
        <w:rPr>
          <w:szCs w:val="16"/>
          <w:rFonts w:ascii="Times New Roman" w:hAnsi="Times New Roman"/>
        </w:rPr>
      </w:pPr>
      <w:r>
        <w:rPr>
          <w:rStyle w:val="FootnoteReference"/>
          <w:rFonts w:ascii="Times New Roman" w:hAnsi="Times New Roman"/>
        </w:rPr>
        <w:footnoteRef/>
      </w:r>
      <w:r>
        <w:rPr>
          <w:vertAlign w:val="superscript"/>
          <w:rFonts w:ascii="Times New Roman" w:hAnsi="Times New Roman"/>
        </w:rPr>
        <w:t xml:space="preserve"> </w:t>
      </w:r>
      <w:r>
        <w:rPr>
          <w:vertAlign w:val="superscript"/>
        </w:rPr>
        <w:tab/>
      </w:r>
      <w:r>
        <w:rPr>
          <w:szCs w:val="16"/>
          <w:rFonts w:ascii="Times New Roman" w:hAnsi="Times New Roman"/>
        </w:rPr>
        <w:t xml:space="preserve">EESK atzinums SC/052 “ES nākotne: Savienības iedzīvotāju ieguvumi un Eiropas vērtību respektēšana”.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69" w:rsidRDefault="00AD7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69" w:rsidRDefault="00AD76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69" w:rsidRDefault="00AD7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5EA2AF2"/>
    <w:multiLevelType w:val="multilevel"/>
    <w:tmpl w:val="6E86891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43666D"/>
    <w:multiLevelType w:val="hybridMultilevel"/>
    <w:tmpl w:val="6AAC9F00"/>
    <w:lvl w:ilvl="0" w:tplc="0413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54"/>
    <w:rsid w:val="00005DE0"/>
    <w:rsid w:val="003B3882"/>
    <w:rsid w:val="00474E33"/>
    <w:rsid w:val="00525110"/>
    <w:rsid w:val="006C3B43"/>
    <w:rsid w:val="00815995"/>
    <w:rsid w:val="008220CE"/>
    <w:rsid w:val="008A2D42"/>
    <w:rsid w:val="008B2610"/>
    <w:rsid w:val="009441C7"/>
    <w:rsid w:val="009A6695"/>
    <w:rsid w:val="009B1F54"/>
    <w:rsid w:val="00AD7669"/>
    <w:rsid w:val="00BE33B4"/>
    <w:rsid w:val="00D01AED"/>
    <w:rsid w:val="00D34362"/>
    <w:rsid w:val="00F443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en-US" w:bidi="ar-SA"/>
      </w:rPr>
    </w:rPrDefault>
    <w:pPrDefault>
      <w:pPr>
        <w:spacing w:line="288"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uiPriority="99" w:qFormat="1"/>
    <w:lsdException w:name="caption" w:semiHidden="1" w:unhideWhenUsed="1" w:qFormat="1"/>
    <w:lsdException w:name="footnote reference" w:qFormat="1"/>
    <w:lsdException w:name="endnote referenc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B1F54"/>
    <w:pPr>
      <w:spacing w:line="240" w:lineRule="auto"/>
      <w:jc w:val="left"/>
    </w:pPr>
    <w:rPr>
      <w:rFonts w:ascii="Cambria" w:eastAsia="MS Mincho" w:hAnsi="Cambria"/>
      <w:sz w:val="24"/>
      <w:szCs w:val="24"/>
      <w:lang w:val="lv-LV" w:eastAsia="it-IT"/>
    </w:rPr>
  </w:style>
  <w:style w:type="paragraph" w:styleId="Heading1">
    <w:name w:val="heading 1"/>
    <w:basedOn w:val="Normal"/>
    <w:next w:val="Normal"/>
    <w:qFormat/>
    <w:rsid w:val="00F44330"/>
    <w:pPr>
      <w:numPr>
        <w:numId w:val="1"/>
      </w:numPr>
      <w:ind w:left="567" w:hanging="567"/>
      <w:outlineLvl w:val="0"/>
    </w:pPr>
    <w:rPr>
      <w:kern w:val="28"/>
    </w:rPr>
  </w:style>
  <w:style w:type="paragraph" w:styleId="Heading2">
    <w:name w:val="heading 2"/>
    <w:basedOn w:val="Normal"/>
    <w:next w:val="Normal"/>
    <w:qFormat/>
    <w:rsid w:val="00F44330"/>
    <w:pPr>
      <w:numPr>
        <w:ilvl w:val="1"/>
        <w:numId w:val="1"/>
      </w:numPr>
      <w:ind w:left="567" w:hanging="567"/>
      <w:outlineLvl w:val="1"/>
    </w:pPr>
  </w:style>
  <w:style w:type="paragraph" w:styleId="Heading3">
    <w:name w:val="heading 3"/>
    <w:basedOn w:val="Normal"/>
    <w:next w:val="Normal"/>
    <w:qFormat/>
    <w:rsid w:val="00F44330"/>
    <w:pPr>
      <w:numPr>
        <w:ilvl w:val="2"/>
        <w:numId w:val="1"/>
      </w:numPr>
      <w:ind w:left="567" w:hanging="567"/>
      <w:outlineLvl w:val="2"/>
    </w:pPr>
  </w:style>
  <w:style w:type="paragraph" w:styleId="Heading4">
    <w:name w:val="heading 4"/>
    <w:basedOn w:val="Normal"/>
    <w:next w:val="Normal"/>
    <w:qFormat/>
    <w:rsid w:val="00F44330"/>
    <w:pPr>
      <w:numPr>
        <w:ilvl w:val="3"/>
        <w:numId w:val="1"/>
      </w:numPr>
      <w:ind w:left="567" w:hanging="567"/>
      <w:outlineLvl w:val="3"/>
    </w:pPr>
  </w:style>
  <w:style w:type="paragraph" w:styleId="Heading5">
    <w:name w:val="heading 5"/>
    <w:basedOn w:val="Normal"/>
    <w:next w:val="Normal"/>
    <w:qFormat/>
    <w:rsid w:val="00F44330"/>
    <w:pPr>
      <w:numPr>
        <w:ilvl w:val="4"/>
        <w:numId w:val="1"/>
      </w:numPr>
      <w:ind w:left="567" w:hanging="567"/>
      <w:outlineLvl w:val="4"/>
    </w:pPr>
  </w:style>
  <w:style w:type="paragraph" w:styleId="Heading6">
    <w:name w:val="heading 6"/>
    <w:basedOn w:val="Normal"/>
    <w:next w:val="Normal"/>
    <w:qFormat/>
    <w:rsid w:val="00F44330"/>
    <w:pPr>
      <w:numPr>
        <w:ilvl w:val="5"/>
        <w:numId w:val="1"/>
      </w:numPr>
      <w:ind w:left="567" w:hanging="567"/>
      <w:outlineLvl w:val="5"/>
    </w:pPr>
  </w:style>
  <w:style w:type="paragraph" w:styleId="Heading7">
    <w:name w:val="heading 7"/>
    <w:basedOn w:val="Normal"/>
    <w:next w:val="Normal"/>
    <w:qFormat/>
    <w:rsid w:val="00F44330"/>
    <w:pPr>
      <w:numPr>
        <w:ilvl w:val="6"/>
        <w:numId w:val="1"/>
      </w:numPr>
      <w:ind w:left="567" w:hanging="567"/>
      <w:outlineLvl w:val="6"/>
    </w:pPr>
  </w:style>
  <w:style w:type="paragraph" w:styleId="Heading8">
    <w:name w:val="heading 8"/>
    <w:basedOn w:val="Normal"/>
    <w:next w:val="Normal"/>
    <w:qFormat/>
    <w:rsid w:val="00F44330"/>
    <w:pPr>
      <w:numPr>
        <w:ilvl w:val="7"/>
        <w:numId w:val="1"/>
      </w:numPr>
      <w:ind w:left="567" w:hanging="567"/>
      <w:outlineLvl w:val="7"/>
    </w:pPr>
  </w:style>
  <w:style w:type="paragraph" w:styleId="Heading9">
    <w:name w:val="heading 9"/>
    <w:basedOn w:val="Normal"/>
    <w:next w:val="Normal"/>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style>
  <w:style w:type="paragraph" w:styleId="FootnoteText">
    <w:name w:val="footnote text"/>
    <w:basedOn w:val="Normal"/>
    <w:link w:val="FootnoteTextChar"/>
    <w:qFormat/>
    <w:rsid w:val="00F44330"/>
    <w:pPr>
      <w:keepLines/>
      <w:spacing w:after="60"/>
      <w:ind w:left="567" w:hanging="567"/>
    </w:pPr>
    <w:rPr>
      <w:sz w:val="16"/>
    </w:rPr>
  </w:style>
  <w:style w:type="paragraph" w:styleId="Header">
    <w:name w:val="header"/>
    <w:basedOn w:val="Normal"/>
    <w:link w:val="HeaderChar"/>
    <w:uiPriority w:val="99"/>
    <w:qFormat/>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paragraph" w:styleId="ListParagraph">
    <w:name w:val="List Paragraph"/>
    <w:basedOn w:val="Normal"/>
    <w:uiPriority w:val="34"/>
    <w:qFormat/>
    <w:rsid w:val="009B1F54"/>
    <w:pPr>
      <w:ind w:left="720"/>
      <w:contextualSpacing/>
    </w:pPr>
  </w:style>
  <w:style w:type="character" w:customStyle="1" w:styleId="HeaderChar">
    <w:name w:val="Header Char"/>
    <w:basedOn w:val="DefaultParagraphFont"/>
    <w:link w:val="Header"/>
    <w:uiPriority w:val="99"/>
    <w:rsid w:val="009B1F54"/>
  </w:style>
  <w:style w:type="character" w:customStyle="1" w:styleId="FooterChar">
    <w:name w:val="Footer Char"/>
    <w:basedOn w:val="DefaultParagraphFont"/>
    <w:link w:val="Footer"/>
    <w:uiPriority w:val="99"/>
    <w:rsid w:val="009B1F54"/>
  </w:style>
  <w:style w:type="character" w:customStyle="1" w:styleId="FootnoteTextChar">
    <w:name w:val="Footnote Text Char"/>
    <w:basedOn w:val="DefaultParagraphFont"/>
    <w:link w:val="FootnoteText"/>
    <w:rsid w:val="009B1F54"/>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uiPriority="99" w:qFormat="1"/>
    <w:lsdException w:name="caption" w:semiHidden="1" w:unhideWhenUsed="1" w:qFormat="1"/>
    <w:lsdException w:name="footnote reference" w:qFormat="1"/>
    <w:lsdException w:name="endnote referenc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B1F54"/>
    <w:pPr>
      <w:spacing w:line="240" w:lineRule="auto"/>
      <w:jc w:val="left"/>
    </w:pPr>
    <w:rPr>
      <w:rFonts w:ascii="Cambria" w:eastAsia="MS Mincho" w:hAnsi="Cambria"/>
      <w:sz w:val="24"/>
      <w:szCs w:val="24"/>
      <w:lang w:val="it-IT" w:eastAsia="it-IT"/>
    </w:rPr>
  </w:style>
  <w:style w:type="paragraph" w:styleId="Heading1">
    <w:name w:val="heading 1"/>
    <w:basedOn w:val="Normal"/>
    <w:next w:val="Normal"/>
    <w:qFormat/>
    <w:rsid w:val="00F44330"/>
    <w:pPr>
      <w:numPr>
        <w:numId w:val="1"/>
      </w:numPr>
      <w:ind w:left="567" w:hanging="567"/>
      <w:outlineLvl w:val="0"/>
    </w:pPr>
    <w:rPr>
      <w:kern w:val="28"/>
    </w:rPr>
  </w:style>
  <w:style w:type="paragraph" w:styleId="Heading2">
    <w:name w:val="heading 2"/>
    <w:basedOn w:val="Normal"/>
    <w:next w:val="Normal"/>
    <w:qFormat/>
    <w:rsid w:val="00F44330"/>
    <w:pPr>
      <w:numPr>
        <w:ilvl w:val="1"/>
        <w:numId w:val="1"/>
      </w:numPr>
      <w:ind w:left="567" w:hanging="567"/>
      <w:outlineLvl w:val="1"/>
    </w:pPr>
  </w:style>
  <w:style w:type="paragraph" w:styleId="Heading3">
    <w:name w:val="heading 3"/>
    <w:basedOn w:val="Normal"/>
    <w:next w:val="Normal"/>
    <w:qFormat/>
    <w:rsid w:val="00F44330"/>
    <w:pPr>
      <w:numPr>
        <w:ilvl w:val="2"/>
        <w:numId w:val="1"/>
      </w:numPr>
      <w:ind w:left="567" w:hanging="567"/>
      <w:outlineLvl w:val="2"/>
    </w:pPr>
  </w:style>
  <w:style w:type="paragraph" w:styleId="Heading4">
    <w:name w:val="heading 4"/>
    <w:basedOn w:val="Normal"/>
    <w:next w:val="Normal"/>
    <w:qFormat/>
    <w:rsid w:val="00F44330"/>
    <w:pPr>
      <w:numPr>
        <w:ilvl w:val="3"/>
        <w:numId w:val="1"/>
      </w:numPr>
      <w:ind w:left="567" w:hanging="567"/>
      <w:outlineLvl w:val="3"/>
    </w:pPr>
  </w:style>
  <w:style w:type="paragraph" w:styleId="Heading5">
    <w:name w:val="heading 5"/>
    <w:basedOn w:val="Normal"/>
    <w:next w:val="Normal"/>
    <w:qFormat/>
    <w:rsid w:val="00F44330"/>
    <w:pPr>
      <w:numPr>
        <w:ilvl w:val="4"/>
        <w:numId w:val="1"/>
      </w:numPr>
      <w:ind w:left="567" w:hanging="567"/>
      <w:outlineLvl w:val="4"/>
    </w:pPr>
  </w:style>
  <w:style w:type="paragraph" w:styleId="Heading6">
    <w:name w:val="heading 6"/>
    <w:basedOn w:val="Normal"/>
    <w:next w:val="Normal"/>
    <w:qFormat/>
    <w:rsid w:val="00F44330"/>
    <w:pPr>
      <w:numPr>
        <w:ilvl w:val="5"/>
        <w:numId w:val="1"/>
      </w:numPr>
      <w:ind w:left="567" w:hanging="567"/>
      <w:outlineLvl w:val="5"/>
    </w:pPr>
  </w:style>
  <w:style w:type="paragraph" w:styleId="Heading7">
    <w:name w:val="heading 7"/>
    <w:basedOn w:val="Normal"/>
    <w:next w:val="Normal"/>
    <w:qFormat/>
    <w:rsid w:val="00F44330"/>
    <w:pPr>
      <w:numPr>
        <w:ilvl w:val="6"/>
        <w:numId w:val="1"/>
      </w:numPr>
      <w:ind w:left="567" w:hanging="567"/>
      <w:outlineLvl w:val="6"/>
    </w:pPr>
  </w:style>
  <w:style w:type="paragraph" w:styleId="Heading8">
    <w:name w:val="heading 8"/>
    <w:basedOn w:val="Normal"/>
    <w:next w:val="Normal"/>
    <w:qFormat/>
    <w:rsid w:val="00F44330"/>
    <w:pPr>
      <w:numPr>
        <w:ilvl w:val="7"/>
        <w:numId w:val="1"/>
      </w:numPr>
      <w:ind w:left="567" w:hanging="567"/>
      <w:outlineLvl w:val="7"/>
    </w:pPr>
  </w:style>
  <w:style w:type="paragraph" w:styleId="Heading9">
    <w:name w:val="heading 9"/>
    <w:basedOn w:val="Normal"/>
    <w:next w:val="Normal"/>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style>
  <w:style w:type="paragraph" w:styleId="FootnoteText">
    <w:name w:val="footnote text"/>
    <w:basedOn w:val="Normal"/>
    <w:link w:val="FootnoteTextChar"/>
    <w:qFormat/>
    <w:rsid w:val="00F44330"/>
    <w:pPr>
      <w:keepLines/>
      <w:spacing w:after="60"/>
      <w:ind w:left="567" w:hanging="567"/>
    </w:pPr>
    <w:rPr>
      <w:sz w:val="16"/>
    </w:rPr>
  </w:style>
  <w:style w:type="paragraph" w:styleId="Header">
    <w:name w:val="header"/>
    <w:basedOn w:val="Normal"/>
    <w:link w:val="HeaderChar"/>
    <w:uiPriority w:val="99"/>
    <w:qFormat/>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paragraph" w:styleId="ListParagraph">
    <w:name w:val="List Paragraph"/>
    <w:basedOn w:val="Normal"/>
    <w:uiPriority w:val="34"/>
    <w:qFormat/>
    <w:rsid w:val="009B1F54"/>
    <w:pPr>
      <w:ind w:left="720"/>
      <w:contextualSpacing/>
    </w:pPr>
  </w:style>
  <w:style w:type="character" w:customStyle="1" w:styleId="HeaderChar">
    <w:name w:val="Header Char"/>
    <w:basedOn w:val="DefaultParagraphFont"/>
    <w:link w:val="Header"/>
    <w:uiPriority w:val="99"/>
    <w:rsid w:val="009B1F54"/>
  </w:style>
  <w:style w:type="character" w:customStyle="1" w:styleId="FooterChar">
    <w:name w:val="Footer Char"/>
    <w:basedOn w:val="DefaultParagraphFont"/>
    <w:link w:val="Footer"/>
    <w:uiPriority w:val="99"/>
    <w:rsid w:val="009B1F54"/>
  </w:style>
  <w:style w:type="character" w:customStyle="1" w:styleId="FootnoteTextChar">
    <w:name w:val="Footnote Text Char"/>
    <w:basedOn w:val="DefaultParagraphFont"/>
    <w:link w:val="FootnoteText"/>
    <w:rsid w:val="009B1F5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VV634QRNENMJ-1826176032-3337</_dlc_DocId>
    <_dlc_DocIdUrl xmlns="cda99570-6012-4083-bfeb-7d32ad1ce1a3">
      <Url>http://dm2016/eesc/2020/_layouts/15/DocIdRedir.aspx?ID=VV634QRNENMJ-1826176032-3337</Url>
      <Description>VV634QRNENMJ-1826176032-3337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ANN</TermName>
          <TermId xmlns="http://schemas.microsoft.com/office/infopath/2007/PartnerControls">77e6295a-5435-4751-8cb4-ca5555443730</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2020-06-09T12:00:00+00:00</ProductionDate>
    <FicheYear xmlns="cda99570-6012-4083-bfeb-7d32ad1ce1a3">2020</FicheYear>
    <DocumentNumber xmlns="73bac5c4-8a91-4dc7-b814-def809a8194f">2549</DocumentNumber>
    <DocumentVersion xmlns="cda99570-6012-4083-bfeb-7d32ad1ce1a3">0</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2020-06-09T12:00:00+00:00</MeetingDate>
    <TaxCatchAll xmlns="cda99570-6012-4083-bfeb-7d32ad1ce1a3">
      <Value>86</Value>
      <Value>67</Value>
      <Value>48</Value>
      <Value>47</Value>
      <Value>46</Value>
      <Value>45</Value>
      <Value>44</Value>
      <Value>43</Value>
      <Value>41</Value>
      <Value>40</Value>
      <Value>39</Value>
      <Value>38</Value>
      <Value>36</Value>
      <Value>34</Value>
      <Value>32</Value>
      <Value>31</Value>
      <Value>30</Value>
      <Value>29</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5614</FicheNumber>
    <DocumentPart xmlns="cda99570-6012-4083-bfeb-7d32ad1ce1a3">0</DocumentPart>
    <AdoptionDate xmlns="cda99570-6012-4083-bfeb-7d32ad1ce1a3">2020-06-11T12:00:00+00:00</AdoptionDate>
    <RequestingService xmlns="cda99570-6012-4083-bfeb-7d32ad1ce1a3">Coordination législative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BUR CESE</TermName>
          <TermId xmlns="http://schemas.microsoft.com/office/infopath/2007/PartnerControls">4274fb1d-1fa2-4436-baac-f79426b09598</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3bac5c4-8a91-4dc7-b814-def809a8194f"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524A67B585C316428632A8520FD87D85" ma:contentTypeVersion="4" ma:contentTypeDescription="Defines the documents for Document Manager V2" ma:contentTypeScope="" ma:versionID="7ace0c734ee3fcf8eeec41f2ae65c711">
  <xsd:schema xmlns:xsd="http://www.w3.org/2001/XMLSchema" xmlns:xs="http://www.w3.org/2001/XMLSchema" xmlns:p="http://schemas.microsoft.com/office/2006/metadata/properties" xmlns:ns2="cda99570-6012-4083-bfeb-7d32ad1ce1a3" xmlns:ns3="http://schemas.microsoft.com/sharepoint/v3/fields" xmlns:ns4="73bac5c4-8a91-4dc7-b814-def809a8194f" targetNamespace="http://schemas.microsoft.com/office/2006/metadata/properties" ma:root="true" ma:fieldsID="45710bd41127e21873434a4f5fbbc3a7" ns2:_="" ns3:_="" ns4:_="">
    <xsd:import namespace="cda99570-6012-4083-bfeb-7d32ad1ce1a3"/>
    <xsd:import namespace="http://schemas.microsoft.com/sharepoint/v3/fields"/>
    <xsd:import namespace="73bac5c4-8a91-4dc7-b814-def809a819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bac5c4-8a91-4dc7-b814-def809a819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32B37-A1BF-40C9-8078-3CDBEB80B5B8}"/>
</file>

<file path=customXml/itemProps2.xml><?xml version="1.0" encoding="utf-8"?>
<ds:datastoreItem xmlns:ds="http://schemas.openxmlformats.org/officeDocument/2006/customXml" ds:itemID="{1C2C9CAE-FE69-48B3-B71A-2DC2E4118950}"/>
</file>

<file path=customXml/itemProps3.xml><?xml version="1.0" encoding="utf-8"?>
<ds:datastoreItem xmlns:ds="http://schemas.openxmlformats.org/officeDocument/2006/customXml" ds:itemID="{8FF0A014-2A3F-4B73-A310-17265CEE1FA6}"/>
</file>

<file path=customXml/itemProps4.xml><?xml version="1.0" encoding="utf-8"?>
<ds:datastoreItem xmlns:ds="http://schemas.openxmlformats.org/officeDocument/2006/customXml" ds:itemID="{4203889F-706D-43F1-9FC2-C10B01741BBC}"/>
</file>

<file path=docProps/app.xml><?xml version="1.0" encoding="utf-8"?>
<Properties xmlns="http://schemas.openxmlformats.org/officeDocument/2006/extended-properties" xmlns:vt="http://schemas.openxmlformats.org/officeDocument/2006/docPropsVTypes">
  <Template>Styles.dotm</Template>
  <TotalTime>0</TotalTime>
  <Pages>3</Pages>
  <Words>1202</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REZOLŪCIJAS KOPSAVILKUMSEESK priekšlikums par pārveidi un atveseļošanos pēc Covid-19 krīzes:Eiropas Savienībai jāvadās pēc principa, ka tā ir kopīga likteņa kopiena.</dc:title>
  <dc:creator>Emma Nieddu</dc:creator>
  <cp:keywords>EESC-2020-02549-00-00-ANN-TRA-EN</cp:keywords>
  <dc:description>Rapporteur:  - Original language: EN - Date of document: 09/06/2020 - Date of meeting: 09/06/2020 - External documents:  - Administrator: M. COSMAI Domenico</dc:description>
  <cp:lastModifiedBy>Emma Nieddu</cp:lastModifiedBy>
  <cp:revision>2</cp:revision>
  <dcterms:created xsi:type="dcterms:W3CDTF">2020-06-06T08:52:00Z</dcterms:created>
  <dcterms:modified xsi:type="dcterms:W3CDTF">2020-06-06T08:52:00Z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06/06/2020</vt:lpwstr>
  </property>
  <property fmtid="{D5CDD505-2E9C-101B-9397-08002B2CF9AE}" pid="4" name="Pref_Time">
    <vt:lpwstr>10:48:46</vt:lpwstr>
  </property>
  <property fmtid="{D5CDD505-2E9C-101B-9397-08002B2CF9AE}" pid="5" name="Pref_User">
    <vt:lpwstr>enied</vt:lpwstr>
  </property>
  <property fmtid="{D5CDD505-2E9C-101B-9397-08002B2CF9AE}" pid="6" name="Pref_FileName">
    <vt:lpwstr>EESC-2020-02549-00-00-ANN-ORI.docx</vt:lpwstr>
  </property>
  <property fmtid="{D5CDD505-2E9C-101B-9397-08002B2CF9AE}" pid="7" name="ContentTypeId">
    <vt:lpwstr>0x010100EA97B91038054C99906057A708A1480A00524A67B585C316428632A8520FD87D85</vt:lpwstr>
  </property>
  <property fmtid="{D5CDD505-2E9C-101B-9397-08002B2CF9AE}" pid="8" name="_dlc_DocIdItemGuid">
    <vt:lpwstr>b018aca3-cf37-4df2-87bf-c096bcf3d38d</vt:lpwstr>
  </property>
  <property fmtid="{D5CDD505-2E9C-101B-9397-08002B2CF9AE}" pid="9" name="AvailableTranslations">
    <vt:lpwstr>10;#DE|f6b31e5a-26fa-4935-b661-318e46daf27e;#34;#SL|98a412ae-eb01-49e9-ae3d-585a81724cfc;#47;#ET|ff6c3f4c-b02c-4c3c-ab07-2c37995a7a0a;#9;#PL|1e03da61-4678-4e07-b136-b5024ca9197b;#30;#LT|a7ff5ce7-6123-4f68-865a-a57c31810414;#29;#PT|50ccc04a-eadd-42ae-a0cb-acaf45f812ba;#43;#HR|2f555653-ed1a-4fe6-8362-9082d95989e5;#46;#SK|46d9fce0-ef79-4f71-b89b-cd6aa82426b8;#40;#SV|c2ed69e7-a339-43d7-8f22-d93680a92aa0;#16;#ES|e7a6b05b-ae16-40c8-add9-68b64b03aeba;#36;#MT|7df99101-6854-4a26-b53a-b88c0da02c26;#48;#RO|feb747a2-64cd-4299-af12-4833ddc30497;#4;#EN|f2175f21-25d7-44a3-96da-d6a61b075e1b;#31;#CS|72f9705b-0217-4fd3-bea2-cbc7ed80e26e;#41;#NL|55c6556c-b4f4-441d-9acf-c498d4f838bd;#11;#FR|d2afafd3-4c81-4f60-8f52-ee33f2f54ff3;#13;#IT|0774613c-01ed-4e5d-a25d-11d2388de825;#24;#LV|46f7e311-5d9f-4663-b433-18aeccb7ace7;#45;#FI|87606a43-d45f-42d6-b8c9-e1a3457db5b7;#38;#EL|6d4f4d51-af9b-4650-94b4-4276bee85c91;#44;#BG|1a1b3951-7821-4e6a-85f5-5673fc08bd2c;#32;#DA|5d49c027-8956-412b-aa16-e85a0f96ad0e;#39;#HU|6b229040-c589-4408-b4c1-4285663d20a8</vt:lpwstr>
  </property>
  <property fmtid="{D5CDD505-2E9C-101B-9397-08002B2CF9AE}" pid="10" name="DocumentType_0">
    <vt:lpwstr>ANN|77e6295a-5435-4751-8cb4-ca5555443730</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2549</vt:i4>
  </property>
  <property fmtid="{D5CDD505-2E9C-101B-9397-08002B2CF9AE}" pid="14" name="FicheYear">
    <vt:i4>2020</vt:i4>
  </property>
  <property fmtid="{D5CDD505-2E9C-101B-9397-08002B2CF9AE}" pid="15" name="DocumentVersion">
    <vt:i4>0</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AdoptionDate">
    <vt:filetime>2020-06-11T12:00:00Z</vt:filetime>
  </property>
  <property fmtid="{D5CDD505-2E9C-101B-9397-08002B2CF9AE}" pid="21" name="DocumentType">
    <vt:lpwstr>67;#ANN|77e6295a-5435-4751-8cb4-ca5555443730</vt:lpwstr>
  </property>
  <property fmtid="{D5CDD505-2E9C-101B-9397-08002B2CF9AE}" pid="22" name="RequestingService">
    <vt:lpwstr>Coordination législative</vt:lpwstr>
  </property>
  <property fmtid="{D5CDD505-2E9C-101B-9397-08002B2CF9AE}" pid="23" name="Confidentiality">
    <vt:lpwstr>5;#Unrestricted|826e22d7-d029-4ec0-a450-0c28ff673572</vt:lpwstr>
  </property>
  <property fmtid="{D5CDD505-2E9C-101B-9397-08002B2CF9AE}" pid="24" name="MeetingName_0">
    <vt:lpwstr>BUR CESE|4274fb1d-1fa2-4436-baac-f79426b09598</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86;#BUR CESE|4274fb1d-1fa2-4436-baac-f79426b09598</vt:lpwstr>
  </property>
  <property fmtid="{D5CDD505-2E9C-101B-9397-08002B2CF9AE}" pid="28" name="MeetingDate">
    <vt:filetime>2020-06-09T12:00:00Z</vt:filetime>
  </property>
  <property fmtid="{D5CDD505-2E9C-101B-9397-08002B2CF9AE}" pid="29" name="AvailableTranslations_0">
    <vt:lpwstr>DE|f6b31e5a-26fa-4935-b661-318e46daf27e;PL|1e03da61-4678-4e07-b136-b5024ca9197b;PT|50ccc04a-eadd-42ae-a0cb-acaf45f812ba;MT|7df99101-6854-4a26-b53a-b88c0da02c26;RO|feb747a2-64cd-4299-af12-4833ddc30497;EN|f2175f21-25d7-44a3-96da-d6a61b075e1b;CS|72f9705b-0217-4fd3-bea2-cbc7ed80e26e;NL|55c6556c-b4f4-441d-9acf-c498d4f838bd;FR|d2afafd3-4c81-4f60-8f52-ee33f2f54ff3;IT|0774613c-01ed-4e5d-a25d-11d2388de825;DA|5d49c027-8956-412b-aa16-e85a0f96ad0e;HU|6b229040-c589-4408-b4c1-4285663d20a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MT|7df99101-6854-4a26-b53a-b88c0da02c26;#11;#FR|d2afafd3-4c81-4f60-8f52-ee33f2f54ff3;#32;#DA|5d49c027-8956-412b-aa16-e85a0f96ad0e;#31;#CS|72f9705b-0217-4fd3-bea2-cbc7ed80e26e;#67;#ANN|77e6295a-5435-4751-8cb4-ca5555443730;#29;#PT|50ccc04a-eadd-42ae-a0cb-acaf45f812ba;#39;#HU|6b229040-c589-4408-b4c1-4285663d20a8;#13;#IT|0774613c-01ed-4e5d-a25d-11d2388de825;#86;#BUR CESE|4274fb1d-1fa2-4436-baac-f79426b09598;#48;#RO|feb747a2-64cd-4299-af12-4833ddc30497;#10;#DE|f6b31e5a-26fa-4935-b661-318e46daf27e;#9;#PL|1e03da61-4678-4e07-b136-b5024ca9197b;#41;#NL|55c6556c-b4f4-441d-9acf-c498d4f838bd;#6;#Final|ea5e6674-7b27-4bac-b091-73adbb394efe;#5;#Unrestricted|826e22d7-d029-4ec0-a450-0c28ff673572;#4;#EN|f2175f21-25d7-44a3-96da-d6a61b075e1b;#2;#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5614</vt:i4>
  </property>
  <property fmtid="{D5CDD505-2E9C-101B-9397-08002B2CF9AE}" pid="37" name="DocumentLanguage">
    <vt:lpwstr>24;#LV|46f7e311-5d9f-4663-b433-18aeccb7ace7</vt:lpwstr>
  </property>
</Properties>
</file>