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54" w:rsidRDefault="009B1F54" w:rsidP="009B1F54">
      <w:pPr>
        <w:spacing w:line="288" w:lineRule="auto"/>
        <w:jc w:val="center"/>
        <w:rPr>
          <w:rFonts w:ascii="Times New Roman" w:hAnsi="Times New Roman"/>
          <w:b/>
          <w:bCs/>
          <w:iCs/>
          <w:sz w:val="22"/>
          <w:szCs w:val="22"/>
        </w:rPr>
      </w:pPr>
      <w:r>
        <w:rPr>
          <w:rFonts w:ascii="Times New Roman" w:hAnsi="Times New Roman"/>
          <w:b/>
          <w:bCs/>
          <w:iCs/>
          <w:sz w:val="22"/>
          <w:szCs w:val="22"/>
        </w:rPr>
        <w:t>ΣΥΝΟΨΗ ΤΟΥ ΨΗΦΙΣΜΑΤΟΣ</w:t>
      </w:r>
    </w:p>
    <w:p w:rsidR="00D34362" w:rsidRPr="00206A21" w:rsidRDefault="00D34362" w:rsidP="009B1F54">
      <w:pPr>
        <w:spacing w:line="288" w:lineRule="auto"/>
        <w:jc w:val="center"/>
        <w:rPr>
          <w:rFonts w:ascii="Times New Roman" w:hAnsi="Times New Roman"/>
          <w:b/>
          <w:bCs/>
          <w:iCs/>
          <w:sz w:val="22"/>
          <w:szCs w:val="22"/>
          <w:lang w:val="en-GB"/>
        </w:rPr>
      </w:pPr>
    </w:p>
    <w:p w:rsidR="009B1F54" w:rsidRPr="00206A21" w:rsidRDefault="009B1F54" w:rsidP="009B1F54">
      <w:pPr>
        <w:spacing w:line="288" w:lineRule="auto"/>
        <w:jc w:val="center"/>
        <w:rPr>
          <w:rFonts w:ascii="Times New Roman" w:hAnsi="Times New Roman"/>
          <w:b/>
          <w:bCs/>
          <w:iCs/>
          <w:sz w:val="22"/>
          <w:szCs w:val="22"/>
        </w:rPr>
      </w:pPr>
      <w:r>
        <w:rPr>
          <w:rFonts w:ascii="Times New Roman" w:hAnsi="Times New Roman"/>
          <w:b/>
          <w:sz w:val="22"/>
          <w:szCs w:val="22"/>
        </w:rPr>
        <w:t>Προτάσεις της ΕΟΚΕ για την ανασυγκρότηση και την ανάκαμψη μετά την κρίση της νόσου COVID-19:</w:t>
      </w:r>
      <w:r>
        <w:rPr>
          <w:rFonts w:ascii="Times New Roman" w:hAnsi="Times New Roman"/>
          <w:b/>
          <w:sz w:val="22"/>
          <w:szCs w:val="22"/>
        </w:rPr>
        <w:br/>
      </w:r>
      <w:r>
        <w:rPr>
          <w:rFonts w:ascii="Times New Roman" w:hAnsi="Times New Roman"/>
          <w:b/>
          <w:i/>
          <w:sz w:val="22"/>
          <w:szCs w:val="22"/>
        </w:rPr>
        <w:t>«Η ΕΕ οφείλει να πορευθεί με πυξίδα την αρχή σύμφωνα με την οποία η εικόνα που προβάλλει αντικατοπτρίζει μια κοινότητα με κοινό πεπρωμένο»</w:t>
      </w:r>
    </w:p>
    <w:p w:rsidR="009B1F54" w:rsidRPr="00206A21" w:rsidRDefault="00BC187A" w:rsidP="009B1F54">
      <w:pPr>
        <w:spacing w:line="288" w:lineRule="auto"/>
        <w:ind w:left="709" w:hanging="709"/>
        <w:jc w:val="both"/>
        <w:rPr>
          <w:rFonts w:ascii="Times New Roman" w:hAnsi="Times New Roman"/>
          <w:bCs/>
          <w:iCs/>
          <w:sz w:val="22"/>
          <w:lang w:val="en-GB"/>
        </w:rPr>
      </w:pPr>
      <w:r w:rsidRPr="00BC187A">
        <w:rPr>
          <w:rFonts w:ascii="Times New Roman" w:hAnsi="Times New Roman"/>
          <w:bCs/>
          <w:iCs/>
          <w:noProof/>
          <w:sz w:val="20"/>
          <w:lang w:eastAsia="el-GR"/>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7A" w:rsidRPr="00260E65" w:rsidRDefault="00BC187A">
                            <w:pPr>
                              <w:jc w:val="center"/>
                              <w:rPr>
                                <w:rFonts w:ascii="Arial" w:hAnsi="Arial" w:cs="Arial"/>
                                <w:b/>
                                <w:bCs/>
                                <w:sz w:val="48"/>
                                <w:lang w:val="nl-BE"/>
                              </w:rPr>
                            </w:pPr>
                            <w:r>
                              <w:rPr>
                                <w:rFonts w:ascii="Arial" w:hAnsi="Arial" w:cs="Arial"/>
                                <w:b/>
                                <w:bCs/>
                                <w:sz w:val="48"/>
                                <w:lang w:val="nl-BE"/>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V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IwdlW3AgAA&#10;ugUAAA4AAAAAAAAAAAAAAAAALgIAAGRycy9lMm9Eb2MueG1sUEsBAi0AFAAGAAgAAAAhAOtUMVre&#10;AAAADwEAAA8AAAAAAAAAAAAAAAAAEQUAAGRycy9kb3ducmV2LnhtbFBLBQYAAAAABAAEAPMAAAAc&#10;BgAAAAA=&#10;" o:allowincell="f" filled="f" stroked="f">
                <v:textbox>
                  <w:txbxContent>
                    <w:p w:rsidR="00BC187A" w:rsidRPr="00260E65" w:rsidRDefault="00BC187A">
                      <w:pPr>
                        <w:jc w:val="center"/>
                        <w:rPr>
                          <w:rFonts w:ascii="Arial" w:hAnsi="Arial" w:cs="Arial"/>
                          <w:b/>
                          <w:bCs/>
                          <w:sz w:val="48"/>
                          <w:lang w:val="nl-BE"/>
                        </w:rPr>
                      </w:pPr>
                      <w:r>
                        <w:rPr>
                          <w:rFonts w:ascii="Arial" w:hAnsi="Arial" w:cs="Arial"/>
                          <w:b/>
                          <w:bCs/>
                          <w:sz w:val="48"/>
                          <w:lang w:val="nl-BE"/>
                        </w:rPr>
                        <w:t>EL</w:t>
                      </w:r>
                    </w:p>
                  </w:txbxContent>
                </v:textbox>
                <w10:wrap anchorx="page" anchory="page"/>
              </v:shape>
            </w:pict>
          </mc:Fallback>
        </mc:AlternateContent>
      </w:r>
      <w:bookmarkStart w:id="0" w:name="_GoBack"/>
      <w:bookmarkEnd w:id="0"/>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rPr>
      </w:pPr>
      <w:r>
        <w:rPr>
          <w:rFonts w:ascii="Times New Roman" w:hAnsi="Times New Roman"/>
          <w:bCs/>
          <w:iCs/>
          <w:sz w:val="22"/>
        </w:rPr>
        <w:t>Η ΕΟΚΕ επικροτεί και στηρίζει πλήρως τις προτάσεις της Ευρωπαϊκής Επιτροπής: το σχέδιο της ΕΕ για την επόμενη γενιά και τον συνολικό ενωσιακό προϋπολογισμό για την περίοδο 2021-2027.</w:t>
      </w:r>
      <w:r>
        <w:rPr>
          <w:rFonts w:ascii="Times New Roman" w:hAnsi="Times New Roman"/>
          <w:bCs/>
          <w:sz w:val="22"/>
        </w:rPr>
        <w:t xml:space="preserve"> Η λειτουργία του μελλοντικού μέσου «Επόμενη Γενιά ΕΕ» πρέπει να είναι συμπληρωματική προς το νέο ΠΔΠ, στο οποίο πρέπει επίσης να λαμβάνονται επαρκώς υπόψη και άλλες προτεραιότητες της ΕΕ, οι οποίες δεν συνδέονται κατ’ ανάγκη με την πανδημία. </w:t>
      </w:r>
    </w:p>
    <w:p w:rsidR="009B1F54" w:rsidRPr="00206A21" w:rsidRDefault="009B1F54" w:rsidP="009B1F54">
      <w:pPr>
        <w:spacing w:line="288" w:lineRule="auto"/>
        <w:ind w:left="567" w:hanging="567"/>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rPr>
      </w:pPr>
      <w:r>
        <w:rPr>
          <w:rFonts w:ascii="Times New Roman" w:hAnsi="Times New Roman"/>
          <w:bCs/>
          <w:iCs/>
          <w:sz w:val="22"/>
        </w:rPr>
        <w:t xml:space="preserve">Η ΕΟΚΕ είναι πεπεισμένη ότι η ανάκαμψη από τις επιπτώσεις της κρίσης του κορονοϊού θα στεφθεί με επιτυχία μόνο εάν συνδυαστεί με την αναδιάρθρωση της κοινωνίας μας: οφείλουμε να επικεντρωθούμε εξίσου στην ανασυγκρότηση και στην ανάκαμψη. Δεν μπορούμε απλώς να αποκαταστήσουμε ό,τι προϋπήρχε ήδη: χρειάζεται να το αναδιαρθρώσουμε και να το βελτιώσουμε. </w:t>
      </w:r>
    </w:p>
    <w:p w:rsidR="009B1F54" w:rsidRPr="00206A21" w:rsidRDefault="009B1F54" w:rsidP="009B1F54">
      <w:pPr>
        <w:spacing w:line="288" w:lineRule="auto"/>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rPr>
      </w:pPr>
      <w:r>
        <w:rPr>
          <w:rFonts w:ascii="Times New Roman" w:hAnsi="Times New Roman"/>
          <w:bCs/>
          <w:sz w:val="22"/>
        </w:rPr>
        <w:t>Κατά την ΕΟΚΕ, η αναδιάρθρωση και η βελτίωση θα πρέπει να βασιστούν στις αρχές που διαπνέουν το σύνολο του έργου μας: προστασία των ανθρωπίνων και των κοινωνικών δικαιωμάτων, των δημοκρατικών αξιών και του κράτους δικαίου· πλήρης αξιοποίηση του δυναμικού της ενιαίας αγοράς· επίτευξη των στόχων βιώσιμης ανάπτυξης (ΣΒΑ)· ανάπτυξη της κυκλικής οικονομίας· και επίτευξη της κλιματικής ουδετερότητας στην ΕΕ το αργότερο έως το 2050 και πλήρης εφαρμογή του Ευρωπαϊκού πυλώνα κοινωνικών δικαιωμάτων.</w:t>
      </w:r>
      <w:r>
        <w:rPr>
          <w:rFonts w:ascii="Times New Roman" w:hAnsi="Times New Roman"/>
          <w:bCs/>
          <w:iCs/>
          <w:sz w:val="22"/>
        </w:rPr>
        <w:t xml:space="preserve"> Οφείλουμε επίσης να διασφαλίσουμε τη χρηστή διακυβέρνηση και τη δημοκρατική λογοδοσία.</w:t>
      </w:r>
    </w:p>
    <w:p w:rsidR="009B1F54" w:rsidRPr="00206A21" w:rsidRDefault="009B1F54" w:rsidP="009B1F54">
      <w:pPr>
        <w:spacing w:line="288" w:lineRule="auto"/>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szCs w:val="22"/>
        </w:rPr>
      </w:pPr>
      <w:r>
        <w:rPr>
          <w:rFonts w:ascii="Times New Roman" w:hAnsi="Times New Roman"/>
          <w:sz w:val="22"/>
        </w:rPr>
        <w:t xml:space="preserve">Η συμμετοχή όλων των πολιτών μέσω των οργανώσεων των κοινωνικών εταίρων και της κοινωνίας των πολιτών, θα καταστήσει δυνατή τη μεταρρύθμιση της οικονομίας και την αναδιαμόρφωση της κοινωνίας. </w:t>
      </w:r>
      <w:r>
        <w:t>Η διαδικασία του Ευρωπαϊκού Εξαμήνου θα αποκτήσει ολοένα και πιο σημαντικό ρόλο στην παρακολούθηση και την αξιολόγηση των παρεμβάσεων που προβλέπονται στο σχέδιο «Επόμενη Γενιά ΕΕ».</w:t>
      </w:r>
      <w:r>
        <w:rPr>
          <w:rFonts w:ascii="Times New Roman" w:hAnsi="Times New Roman"/>
          <w:sz w:val="22"/>
        </w:rPr>
        <w:t xml:space="preserve"> Τα κράτη μέλη και η ΕΕ πρέπει, συνεπώς, να διασφαλίσουν ότι κανείς δεν θα αφεθεί στο περιθώριο αυτής της περίπλοκης διαδικασίας.</w:t>
      </w:r>
    </w:p>
    <w:p w:rsidR="009B1F54" w:rsidRPr="00206A21" w:rsidRDefault="009B1F54" w:rsidP="009B1F54">
      <w:pPr>
        <w:spacing w:line="288" w:lineRule="auto"/>
        <w:ind w:left="567" w:hanging="567"/>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szCs w:val="22"/>
        </w:rPr>
        <w:t>Η Ευρωπαϊκή Ένωση θεμελιώνεται σε κοινές ευρωπαϊκές αξίες που δεν είναι σε καμία περίπτωση διαπραγματεύσιμες</w:t>
      </w:r>
      <w:r w:rsidRPr="00206A21">
        <w:rPr>
          <w:rStyle w:val="FootnoteReference"/>
          <w:rFonts w:ascii="Times New Roman" w:hAnsi="Times New Roman"/>
          <w:sz w:val="22"/>
          <w:szCs w:val="22"/>
          <w:lang w:val="en-GB"/>
        </w:rPr>
        <w:footnoteReference w:id="1"/>
      </w:r>
      <w:r>
        <w:rPr>
          <w:rFonts w:ascii="Times New Roman" w:hAnsi="Times New Roman"/>
          <w:sz w:val="22"/>
          <w:szCs w:val="22"/>
        </w:rPr>
        <w:t xml:space="preserve">: σεβασμός της ανθρώπινης αξιοπρέπειας και των ανθρωπίνων δικαιωμάτων, ελευθερία, δημοκρατία, ισότητα και κράτος δικαίου. Οι αξίες αυτές δεν μπορούν να παραβλέπονται όταν η ΕΕ και τα κράτη μέλη της αντιμετωπίζουν μια κατάσταση έκτακτης ανάγκης και τις επιπτώσεις της όσον αφορά τις οικονομικές και κοινωνικές προκλήσεις. Παρότι η απάντηση στην τρέχουσα κρίση πρέπει να είναι ταχεία και δικαιολογεί ορισμένα έκτακτα και περιορισμένης διάρκειας μέτρα, τα μέτρα αυτά δεν μπορούν να αντιβαίνουν στο κράτος δικαίου ούτε να θέτουν σε κίνδυνο τη δημοκρατία, τη διάκριση των εξουσιών και τα θεμελιώδη </w:t>
      </w:r>
      <w:r>
        <w:rPr>
          <w:rFonts w:ascii="Times New Roman" w:hAnsi="Times New Roman"/>
          <w:sz w:val="22"/>
          <w:szCs w:val="22"/>
        </w:rPr>
        <w:lastRenderedPageBreak/>
        <w:t>δικαιώματα των Ευρωπαίων πολιτών. Η ΕΟΚΕ υπογραμμίζει ότι όλα τα σχετικά μέτρα πολιτικής πρέπει να συνάδουν πλήρως με τις κοινές μας αξίες, όπως αυτές ορίζονται στο άρθρο 2 της ΣΕΕ.</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Στο πλαίσιο αυτής της νέας διαδικασίας ανάκαμψης και ανασυγκρότησης, η ΕΟΚΕ ευελπιστεί ότι η προσεχής διάσκεψη για το μέλλον της Ευρώπης θα αποτελέσει ευκαιρία για την ενδυνάμωση και την εμβάθυνση της θεσμικής δομής της ΕΕ, καθώς και για την πραγματική ανανέωση του εγχειρήματος της ΕΕ προκειμένου να είναι σε θέση να αντιμετωπίσει τις προκλήσεις των επόμενων δεκαετιών</w:t>
      </w:r>
      <w:r>
        <w:rPr>
          <w:rFonts w:ascii="Times New Roman" w:hAnsi="Times New Roman"/>
          <w:bCs/>
          <w:iCs/>
          <w:sz w:val="22"/>
        </w:rPr>
        <w:t>.</w:t>
      </w:r>
    </w:p>
    <w:p w:rsidR="009B1F54" w:rsidRPr="00206A21" w:rsidRDefault="009B1F54" w:rsidP="009B1F54">
      <w:pPr>
        <w:spacing w:line="288" w:lineRule="auto"/>
        <w:ind w:left="567" w:hanging="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sz w:val="22"/>
        </w:rPr>
      </w:pPr>
      <w:r>
        <w:rPr>
          <w:rFonts w:ascii="Times New Roman" w:hAnsi="Times New Roman"/>
          <w:bCs/>
          <w:sz w:val="22"/>
        </w:rPr>
        <w:t>Στα κύρια ζητούμενα της διαδικασίας ανάκαμψης και ανασυγκρότησης περιλαμβάνονται τα εξής:</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η προώθηση της μεταρρύθμισης της Ευρωπαϊκής Οικονομικής Διακυβέρνησης, με την αναθεώρηση του Συμφώνου Σταθερότητας και Ανάπτυξης για την ταυτόχρονη διασφάλιση σταθερότητας και ανάπτυξης·</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η αξιοποίηση του πλήρους δυναμικού της ενιαίας αγοράς με σκοπό τη διατήρηση του ολοκληρωμένου, λειτουργικού και αποδοτικού χαρακτήρα της και την αποκατάσταση της ανταγωνιστικότητας·</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η συνέχιση των απαραίτητων διαρθρωτικών αλλαγών και των συναφών επενδυτικών δραστηριοτήτων, κυρίως όσον αφορά τις ψηφιακές, έξυπνες και κοινωνικές καινοτομίες και την οικολογική μετάβαση·</w:t>
      </w:r>
    </w:p>
    <w:p w:rsidR="009B1F54" w:rsidRPr="00206A21" w:rsidRDefault="009B1F54" w:rsidP="009B1F54">
      <w:pPr>
        <w:pStyle w:val="ListParagraph"/>
        <w:numPr>
          <w:ilvl w:val="0"/>
          <w:numId w:val="3"/>
        </w:numPr>
        <w:spacing w:line="288" w:lineRule="auto"/>
        <w:ind w:left="851" w:hanging="284"/>
        <w:jc w:val="both"/>
        <w:rPr>
          <w:rFonts w:ascii="Times New Roman" w:eastAsia="Times New Roman" w:hAnsi="Times New Roman"/>
          <w:sz w:val="22"/>
          <w:szCs w:val="22"/>
        </w:rPr>
      </w:pPr>
      <w:r>
        <w:rPr>
          <w:rFonts w:ascii="Times New Roman" w:hAnsi="Times New Roman"/>
          <w:bCs/>
          <w:sz w:val="22"/>
        </w:rPr>
        <w:t>η συνεχής βελτίωση της ανταγωνιστικότητας της ΕΕ·</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color w:val="000000"/>
          <w:sz w:val="22"/>
          <w:szCs w:val="22"/>
          <w:shd w:val="clear" w:color="auto" w:fill="FFFFFF"/>
        </w:rPr>
        <w:t>η δημιουργία των προϋποθέσεων ενίσχυσης του ρόλου της εργασίας ως ενός από τους κύριους μοχλούς για την επανεκκίνηση του Ευρωπαϊκού Οικονομικού Συστήματος·</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η δημιουργία των προϋποθέσεων ενίσχυσης της αυτάρκειας και της ανθεκτικότητας της ΕΕ για την αντιμετώπιση των παγκόσμιων επιπτώσεων·</w:t>
      </w:r>
    </w:p>
    <w:p w:rsidR="009B1F54" w:rsidRPr="00206A21" w:rsidRDefault="009B1F54" w:rsidP="009B1F54">
      <w:pPr>
        <w:pStyle w:val="ListParagraph"/>
        <w:numPr>
          <w:ilvl w:val="0"/>
          <w:numId w:val="3"/>
        </w:numPr>
        <w:spacing w:line="288" w:lineRule="auto"/>
        <w:ind w:left="924" w:hanging="357"/>
        <w:jc w:val="both"/>
      </w:pPr>
      <w:r>
        <w:rPr>
          <w:rFonts w:ascii="Times New Roman" w:hAnsi="Times New Roman"/>
          <w:bCs/>
          <w:sz w:val="22"/>
        </w:rPr>
        <w:t>η διαμόρφωση των κατάλληλων συνθηκών για τη διατήρηση του ελέγχου των στρατηγικών πόρων και βιομηχανιών της ΕΕ·</w:t>
      </w:r>
    </w:p>
    <w:p w:rsidR="009B1F54" w:rsidRPr="00206A21" w:rsidRDefault="009B1F54" w:rsidP="009B1F54">
      <w:pPr>
        <w:pStyle w:val="ListParagraph"/>
        <w:numPr>
          <w:ilvl w:val="0"/>
          <w:numId w:val="3"/>
        </w:numPr>
        <w:spacing w:line="288" w:lineRule="auto"/>
        <w:ind w:left="924" w:hanging="357"/>
        <w:jc w:val="both"/>
      </w:pPr>
      <w:r>
        <w:rPr>
          <w:rFonts w:ascii="Times New Roman" w:hAnsi="Times New Roman"/>
          <w:bCs/>
          <w:sz w:val="22"/>
        </w:rPr>
        <w:t>η ουσιαστική βελτίωση των αλυσίδων εφοδιασμού της ΕΕ σε περίπτωση κινδύνων και καταστάσεων έκτακτης ανάγκης·</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Οι επενδύσεις που πραγματοποιούνται μέσω της παροχής βραχυπρόθεσμων οικονομικών κινήτρων θα πρέπει είτε να έχουν ουδέτερη επίδραση είτε να επιταχύνουν τον διαρθρωτικό μετασχηματισμό της ευρωπαϊκής οικονομίας προς μηδενική ρύπανση, αποκατάσταση της βιοποικιλότητας και κλιματική ουδετερότητα έως το 2050.</w:t>
      </w:r>
    </w:p>
    <w:p w:rsidR="009B1F54" w:rsidRPr="00206A21" w:rsidRDefault="009B1F54" w:rsidP="009B1F54">
      <w:pPr>
        <w:spacing w:line="288" w:lineRule="auto"/>
        <w:ind w:left="567" w:hanging="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Οι βιώσιμες επενδύσεις σε κοινότητες, σε δημόσιους χώρους, στην ιατροφαρμακευτική περίθαλψη, στην εκπαίδευση, στις κοινωνικές υπηρεσίες, σε κατοικίες και σε υποδομές μηδενικών ανθρακούχων εκπομπών και στην προστασία και αποκατάσταση της βιοποικιλότητας, στην αποκέντρωση της ενεργειακής παραγωγής, θα είναι καθοριστικής σημασίας για την επίτευξη μιας «οικονομίας της ευημερίας». Ένας τέτοιος τομέας, στον οποίο πρέπει να δοθεί προτεραιότητα, είναι η ενεργειακή ανακαίνιση των κτιρίων.</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eastAsia="Times New Roman" w:hAnsi="Times New Roman"/>
          <w:sz w:val="20"/>
          <w:szCs w:val="20"/>
        </w:rPr>
      </w:pPr>
      <w:r>
        <w:rPr>
          <w:rFonts w:ascii="Times New Roman" w:hAnsi="Times New Roman"/>
          <w:color w:val="000000"/>
          <w:sz w:val="22"/>
          <w:szCs w:val="22"/>
          <w:shd w:val="clear" w:color="auto" w:fill="FFFFFF"/>
        </w:rPr>
        <w:t xml:space="preserve">Η ΕΟΚΕ πιστεύει ότι η ανταγωνιστικότητα του παραγωγικού συστήματος της ΕΕ θα πρέπει να δρομολογηθεί εκ νέου μέσω της ενίσχυσης του συστήματος των ΜΜΕ, των μεγάλων </w:t>
      </w:r>
      <w:r>
        <w:rPr>
          <w:rFonts w:ascii="Times New Roman" w:hAnsi="Times New Roman"/>
          <w:color w:val="000000"/>
          <w:sz w:val="22"/>
          <w:szCs w:val="22"/>
          <w:shd w:val="clear" w:color="auto" w:fill="FFFFFF"/>
        </w:rPr>
        <w:lastRenderedPageBreak/>
        <w:t xml:space="preserve">επιχειρήσεων και των κοινωνικών επιχειρήσεων. </w:t>
      </w:r>
      <w:r>
        <w:rPr>
          <w:color w:val="000000"/>
          <w:shd w:val="clear" w:color="auto" w:fill="FFFFFF"/>
        </w:rPr>
        <w:t>Με τον τρόπο αυτό θα πρέπει να αντιπροσωπεύουν τους αναπτυξιακούς παράγοντες για την οικολογική και ψηφιακή μετάβαση και την προσφορά αξιοπρεπούς εργασίας.</w:t>
      </w:r>
    </w:p>
    <w:p w:rsidR="009B1F54" w:rsidRPr="009441FE" w:rsidRDefault="009B1F54" w:rsidP="009B1F54">
      <w:pPr>
        <w:spacing w:line="288" w:lineRule="auto"/>
        <w:rPr>
          <w:rFonts w:ascii="Times New Roman" w:eastAsia="Times New Roman" w:hAnsi="Times New Roman"/>
          <w:color w:val="000000"/>
          <w:sz w:val="22"/>
          <w:szCs w:val="22"/>
          <w:shd w:val="clear" w:color="auto" w:fill="FFFFFF"/>
          <w:lang w:val="en-GB"/>
        </w:rPr>
      </w:pPr>
    </w:p>
    <w:p w:rsidR="009B1F54" w:rsidRPr="00206A21" w:rsidRDefault="009B1F54" w:rsidP="009B1F54">
      <w:pPr>
        <w:pStyle w:val="ListParagraph"/>
        <w:numPr>
          <w:ilvl w:val="0"/>
          <w:numId w:val="2"/>
        </w:numPr>
        <w:spacing w:line="288" w:lineRule="auto"/>
        <w:ind w:left="567" w:hanging="567"/>
        <w:jc w:val="both"/>
        <w:rPr>
          <w:rFonts w:ascii="Times New Roman" w:eastAsia="Times New Roman" w:hAnsi="Times New Roman"/>
          <w:sz w:val="22"/>
          <w:szCs w:val="22"/>
        </w:rPr>
      </w:pPr>
      <w:r>
        <w:rPr>
          <w:rFonts w:ascii="Times New Roman" w:hAnsi="Times New Roman"/>
          <w:color w:val="000000"/>
          <w:sz w:val="22"/>
          <w:szCs w:val="22"/>
          <w:shd w:val="clear" w:color="auto" w:fill="FFFFFF"/>
        </w:rPr>
        <w:t>Η διασφάλιση της απασχόλησης και του εισοδήματος όλων των εργαζομένων αποτελεί προτεραιότητα και επιβάλλει τη διαμόρφωση των πολιτικών του σήμερα έχοντας κατά νου μια μακροπρόθεσμη προοπτική (κατάρτιση, διά βίου μάθηση κ.λπ.). Με αυτόν τον τρόπο θα πρέπει επίσης να εξασφαλιστεί η προστασία ευάλωτων ομάδων (εργαζόμενοι σε πεισφαλείς θέσεις εργασίας, παιδιά σε φτώχεια, άτομα με αναπηρία, πολίτες σε περιθωριοποιημένες περιοχές κ.λπ.).</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szCs w:val="22"/>
        </w:rPr>
        <w:t xml:space="preserve">Με βάση το μέσο ανάκαμψης «Επόμενη Γενιά ΕΕ» θα είναι αναγκαίο να εξασφαλιστεί σταδιακή αύξηση των ιδίων πόρων της ΕΕ με την εισαγωγή σχετικών και κατάλληλων εσόδων προς επιλογή, για παράδειγμα: συστημάτων εμπορίας δικαιωμάτων εκπομπής της ΕΕ, κοινής ενοποιημένης βάσης φορολογίας εταιρειών (ΚΕΒΦΕ), ψηφιακού φόρου, φόρου επί των χρηματοπιστωτικών συναλλαγών, εισφοράς CO2 ή εσόδων από τη νομισματοκοπή. </w:t>
      </w:r>
      <w:r>
        <w:rPr>
          <w:sz w:val="22"/>
          <w:szCs w:val="22"/>
        </w:rPr>
        <w:t>Εν τω μεταξύ, η ΕΕ πρέπει να ενισχύσει τη δέσμευσή της: καταπολέμηση της φορολογικής απάτης και του επιθετικού φορολογικού σχεδιασμού· ενεργοποίηση ενός μηχανισμού συντονισμού ικανού να εξουδετερώσει τον επιθετικό φορολογικό σχεδιασμό και να καταπολεμήσει το φαινόμενο της φοροδιαφυγής· και ενεργοποίηση μιας ισχυρής στρατηγικής για την καταπολέμηση της νομιμοποίησης εσόδων από παράνομες δραστηριότητες.</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Είναι απαραίτητο να αξιοποιηθούν πλήρως τα νέα, πιο βιώσιμα επιχειρηματικά μοντέλα που εμφανίζονται (κυκλική, συνεργατική, κοινωνική οικονομία κ.λπ.). Τα μοντέλα αυτά αποτελούν επίσης ένα χαρακτηριστικό του κοινωνικού μοντέλου της ΕΕ και δημιουργούν διττή αξία — οικονομική και κοινωνική αξία, καθώς και μέσα για την υλοποίηση της Ευρωπαϊκής Πράσινης Συμφωνίας και των Στόχων Βιώσιμης Ανάπτυξης (ΣΒΑ). Αυτά τα επιχειρηματικά μοντέλα προσφέρουν την ευκαιρία να βοηθηθεί η οικονομία να ανακάμψει και να αντιμετωπίσει ταυτόχρονα τα κοινωνικά ζητήματα. Στο πλαίσιο αυτό, το σχέδιο δράσης για την κυκλική οικονομία της ΕΕ θα είναι ζωτικής σημασίας, όπως και το σχέδιο δράσης της ΕΕ για την κοινωνική οικονομία (άνοιξη του 2021).</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Το σχέδιο ανασυγκρότησης θα πρέπει να προωθήσει: πιο βιώσιμα συστήματα τροφίμων, τόσο σε επίπεδο παραγωγής όσο και σε επίπεδο κατανάλωσης, σύμφωνα με τις προθέσεις της Επιτροπής σχετικά με τη στρατηγική «Από το αγρόκτημα στο πιρούνι» για βιώσιμα τρόφιμα· την επισιτιστική κυριαρχία της ΕΕ σε πνεύμα αλληλεγγύης μεταξύ των διαφόρων μορφών της ευρωπαϊκής γεωργίας και της ολοκλήρωσης των οικονομικών, κοινωνικών και περιβαλλοντικών πτυχών· τη φιλόδοξη πρόταση της νέας στρατηγικής της ΕΕ για τη βιοποικιλότητα.</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Πρωτίστως, ένα από τα κύρια διδάγματα της κρίσης του κορονοϊού είναι ότι τα συστήματα υγείας σε όλες σχεδόν τις ευρωπαϊκές χώρες πρέπει να ενισχυθούν μέσω της δημιουργίας μιας «Ένωσης της ΕΕ στον τομέα της υγείας».</w:t>
      </w:r>
    </w:p>
    <w:p w:rsidR="009B1F54" w:rsidRPr="00137A40" w:rsidRDefault="009B1F54" w:rsidP="009B1F54">
      <w:pPr>
        <w:spacing w:line="288" w:lineRule="auto"/>
        <w:ind w:left="567" w:hanging="567"/>
        <w:jc w:val="both"/>
        <w:rPr>
          <w:rFonts w:ascii="Times New Roman" w:hAnsi="Times New Roman"/>
          <w:sz w:val="22"/>
          <w:szCs w:val="22"/>
        </w:rPr>
      </w:pPr>
    </w:p>
    <w:p w:rsidR="009B1F54" w:rsidRPr="008A2D42" w:rsidRDefault="009B1F54" w:rsidP="009B1F54">
      <w:pPr>
        <w:pStyle w:val="ListParagraph"/>
        <w:numPr>
          <w:ilvl w:val="0"/>
          <w:numId w:val="2"/>
        </w:numPr>
        <w:spacing w:line="288" w:lineRule="auto"/>
        <w:ind w:left="567" w:hanging="567"/>
        <w:jc w:val="both"/>
        <w:rPr>
          <w:rFonts w:ascii="Times New Roman" w:hAnsi="Times New Roman"/>
          <w:sz w:val="22"/>
          <w:szCs w:val="22"/>
        </w:rPr>
      </w:pPr>
      <w:r>
        <w:rPr>
          <w:rFonts w:ascii="Times New Roman" w:hAnsi="Times New Roman"/>
          <w:sz w:val="22"/>
          <w:szCs w:val="22"/>
        </w:rPr>
        <w:lastRenderedPageBreak/>
        <w:t>Είναι απαραίτητο να ενεργοποιηθεί εκ νέου ο γεωπολιτικός στρατηγικός ρόλος της ΕΕ στην προώθηση σε παγκόσμιο επίπεδο των ειρηνευτικών διαδικασιών, ώστε να δοθούν εκ νέου οι ευκαιρίες για οικονομική ανάπτυξη στη γειτονιά της ΕΕ: Δυτικά Βαλκάνια, Ευρωμεσογειακοί και Ανατολικοί εταίροι, και σε άλλες περιοχές που πλήττονται από συγκρούσεις.</w:t>
      </w:r>
    </w:p>
    <w:p w:rsidR="009B1F54" w:rsidRPr="00206A21" w:rsidRDefault="009B1F54" w:rsidP="009B1F54">
      <w:pPr>
        <w:pStyle w:val="ListParagraph"/>
        <w:spacing w:line="288" w:lineRule="auto"/>
        <w:ind w:left="567" w:hanging="567"/>
        <w:rPr>
          <w:rFonts w:ascii="Times New Roman" w:eastAsia="Times New Roman" w:hAnsi="Times New Roman"/>
          <w:sz w:val="22"/>
          <w:szCs w:val="22"/>
          <w:lang w:val="en-GB"/>
        </w:rPr>
      </w:pPr>
    </w:p>
    <w:p w:rsidR="009B1F54" w:rsidRPr="008A2D42" w:rsidRDefault="009B1F54" w:rsidP="009B1F54">
      <w:pPr>
        <w:pStyle w:val="ListParagraph"/>
        <w:numPr>
          <w:ilvl w:val="0"/>
          <w:numId w:val="2"/>
        </w:numPr>
        <w:spacing w:line="288" w:lineRule="auto"/>
        <w:ind w:left="567" w:hanging="567"/>
        <w:jc w:val="both"/>
        <w:rPr>
          <w:rFonts w:ascii="Times New Roman" w:hAnsi="Times New Roman"/>
          <w:sz w:val="22"/>
          <w:szCs w:val="22"/>
        </w:rPr>
      </w:pPr>
      <w:r>
        <w:rPr>
          <w:rFonts w:ascii="Times New Roman" w:hAnsi="Times New Roman"/>
          <w:sz w:val="22"/>
          <w:szCs w:val="22"/>
        </w:rPr>
        <w:t>Ωστόσο, όσο θετικά και εκτεταμένα και αν είναι τα μέτρα που πρέπει να ληφθούν, θα είναι αποτελεσματικά και ευρέως αποδεκτά μόνο εάν φθάνουν μέχρι τη βάση της κοινωνίας και τα άτομα στα οποία απευθύνονται. Επομένως, είναι ζήτημα ζωτικής σημασίας τόσο τα θεσμικά όργανα της ΕΕ όσο και τα κράτη μέλη να καταβάλλουν σύντονη προσπάθεια για την αποτελεσματική εφαρμογή τους</w:t>
      </w:r>
    </w:p>
    <w:p w:rsidR="009B1F54" w:rsidRPr="00206A21" w:rsidRDefault="009B1F54" w:rsidP="009B1F54">
      <w:pPr>
        <w:spacing w:line="288" w:lineRule="auto"/>
        <w:ind w:hanging="567"/>
        <w:jc w:val="both"/>
        <w:rPr>
          <w:rFonts w:ascii="Times New Roman" w:hAnsi="Times New Roman"/>
          <w:bCs/>
          <w:sz w:val="22"/>
          <w:szCs w:val="22"/>
          <w:lang w:val="en-GB"/>
        </w:rPr>
      </w:pPr>
    </w:p>
    <w:p w:rsidR="009B1F54" w:rsidRPr="00206A21" w:rsidRDefault="009B1F54" w:rsidP="009B1F54">
      <w:pPr>
        <w:overflowPunct w:val="0"/>
        <w:autoSpaceDE w:val="0"/>
        <w:autoSpaceDN w:val="0"/>
        <w:adjustRightInd w:val="0"/>
        <w:spacing w:line="288" w:lineRule="auto"/>
        <w:jc w:val="center"/>
        <w:textAlignment w:val="baseline"/>
        <w:rPr>
          <w:rFonts w:ascii="Times New Roman" w:hAnsi="Times New Roman"/>
          <w:sz w:val="22"/>
          <w:szCs w:val="22"/>
        </w:rPr>
      </w:pPr>
      <w:r>
        <w:rPr>
          <w:rFonts w:ascii="Times New Roman" w:hAnsi="Times New Roman"/>
          <w:sz w:val="22"/>
          <w:szCs w:val="22"/>
        </w:rPr>
        <w:t>_____________</w:t>
      </w:r>
    </w:p>
    <w:p w:rsidR="00474E33" w:rsidRPr="009B1F54" w:rsidRDefault="00474E33" w:rsidP="009B1F54"/>
    <w:sectPr w:rsidR="00474E33" w:rsidRPr="009B1F54" w:rsidSect="00BC18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54" w:rsidRDefault="009B1F54">
      <w:r>
        <w:separator/>
      </w:r>
    </w:p>
  </w:endnote>
  <w:endnote w:type="continuationSeparator" w:id="0">
    <w:p w:rsidR="009B1F54" w:rsidRDefault="009B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Pr="00BC187A" w:rsidRDefault="00AD7669" w:rsidP="00BC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0C" w:rsidRPr="00BC187A" w:rsidRDefault="00BC187A" w:rsidP="00BC187A">
    <w:pPr>
      <w:pStyle w:val="Footer"/>
    </w:pPr>
    <w:r>
      <w:t xml:space="preserve">EESC-2020-02549-00-00-ANN-TRA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4</w:instrText>
      </w:r>
    </w:fldSimple>
    <w:r>
      <w:instrText xml:space="preserve"> -0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Pr="00BC187A" w:rsidRDefault="00AD7669" w:rsidP="00BC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54" w:rsidRDefault="009B1F54">
      <w:r>
        <w:separator/>
      </w:r>
    </w:p>
  </w:footnote>
  <w:footnote w:type="continuationSeparator" w:id="0">
    <w:p w:rsidR="009B1F54" w:rsidRDefault="009B1F54">
      <w:r>
        <w:continuationSeparator/>
      </w:r>
    </w:p>
  </w:footnote>
  <w:footnote w:id="1">
    <w:p w:rsidR="009B1F54" w:rsidRPr="00D43001" w:rsidRDefault="009B1F54" w:rsidP="009B1F54">
      <w:pPr>
        <w:pStyle w:val="FootnoteText"/>
        <w:rPr>
          <w:rFonts w:ascii="Times New Roman" w:hAnsi="Times New Roman"/>
          <w:szCs w:val="16"/>
        </w:rPr>
      </w:pPr>
      <w:r>
        <w:rPr>
          <w:rStyle w:val="FootnoteReference"/>
          <w:rFonts w:ascii="Times New Roman" w:hAnsi="Times New Roman"/>
        </w:rPr>
        <w:footnoteRef/>
      </w:r>
      <w:r>
        <w:rPr>
          <w:rFonts w:ascii="Times New Roman" w:hAnsi="Times New Roman"/>
          <w:vertAlign w:val="superscript"/>
        </w:rPr>
        <w:t xml:space="preserve"> </w:t>
      </w:r>
      <w:r>
        <w:rPr>
          <w:vertAlign w:val="superscript"/>
        </w:rPr>
        <w:tab/>
      </w:r>
      <w:r>
        <w:rPr>
          <w:rFonts w:ascii="Times New Roman" w:hAnsi="Times New Roman"/>
          <w:szCs w:val="16"/>
        </w:rPr>
        <w:t>Γνωμοδότηση SC/052 της ΕΟΚΕ με θέμα «</w:t>
      </w:r>
      <w:r>
        <w:rPr>
          <w:rFonts w:ascii="Times New Roman" w:hAnsi="Times New Roman"/>
          <w:i/>
          <w:szCs w:val="16"/>
        </w:rPr>
        <w:t>Το μέλλον της ΕΕ: οφέλη για τους πολίτες και σεβασμός των ευρωπαϊκών αξιών</w:t>
      </w:r>
      <w:r>
        <w:rPr>
          <w:rFonts w:ascii="Times New Roman" w:hAnsi="Times New Roman"/>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Pr="00BC187A" w:rsidRDefault="00AD7669" w:rsidP="00BC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Pr="00BC187A" w:rsidRDefault="00AD7669" w:rsidP="00BC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Pr="00BC187A" w:rsidRDefault="00AD7669" w:rsidP="00BC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EA2AF2"/>
    <w:multiLevelType w:val="multilevel"/>
    <w:tmpl w:val="6E8689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54"/>
    <w:rsid w:val="00005DE0"/>
    <w:rsid w:val="003B3882"/>
    <w:rsid w:val="00474E33"/>
    <w:rsid w:val="00525110"/>
    <w:rsid w:val="006C3B43"/>
    <w:rsid w:val="00815995"/>
    <w:rsid w:val="008220CE"/>
    <w:rsid w:val="008A2D42"/>
    <w:rsid w:val="008B2610"/>
    <w:rsid w:val="009441C7"/>
    <w:rsid w:val="009A6695"/>
    <w:rsid w:val="009B1F54"/>
    <w:rsid w:val="00AD7669"/>
    <w:rsid w:val="00BC187A"/>
    <w:rsid w:val="00BE33B4"/>
    <w:rsid w:val="00D01AED"/>
    <w:rsid w:val="00D34362"/>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9E05"/>
  <w15:docId w15:val="{3BF27C10-C79B-4C6C-A754-E9E4277E5FA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54"/>
    <w:pPr>
      <w:spacing w:line="240" w:lineRule="auto"/>
      <w:jc w:val="left"/>
    </w:pPr>
    <w:rPr>
      <w:rFonts w:ascii="Cambria" w:eastAsia="MS Mincho" w:hAnsi="Cambria"/>
      <w:sz w:val="24"/>
      <w:szCs w:val="24"/>
      <w:lang w:eastAsia="it-IT"/>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qFormat/>
    <w:rsid w:val="009B1F54"/>
    <w:pPr>
      <w:ind w:left="720"/>
      <w:contextualSpacing/>
    </w:pPr>
  </w:style>
  <w:style w:type="character" w:customStyle="1" w:styleId="HeaderChar">
    <w:name w:val="Header Char"/>
    <w:basedOn w:val="DefaultParagraphFont"/>
    <w:link w:val="Header"/>
    <w:uiPriority w:val="99"/>
    <w:rsid w:val="009B1F54"/>
  </w:style>
  <w:style w:type="character" w:customStyle="1" w:styleId="FooterChar">
    <w:name w:val="Footer Char"/>
    <w:basedOn w:val="DefaultParagraphFont"/>
    <w:link w:val="Footer"/>
    <w:uiPriority w:val="99"/>
    <w:rsid w:val="009B1F54"/>
  </w:style>
  <w:style w:type="character" w:customStyle="1" w:styleId="FootnoteTextChar">
    <w:name w:val="Footnote Text Char"/>
    <w:basedOn w:val="DefaultParagraphFont"/>
    <w:link w:val="FootnoteText"/>
    <w:rsid w:val="009B1F5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VV634QRNENMJ-1826176032-3380</_dlc_DocId>
    <_dlc_DocIdUrl xmlns="cda99570-6012-4083-bfeb-7d32ad1ce1a3">
      <Url>http://dm2016/eesc/2020/_layouts/15/DocIdRedir.aspx?ID=VV634QRNENMJ-1826176032-3380</Url>
      <Description>VV634QRNENMJ-1826176032-3380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ANN</TermName>
          <TermId xmlns="http://schemas.microsoft.com/office/infopath/2007/PartnerControls">77e6295a-5435-4751-8cb4-ca5555443730</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2020-06-09T12:00:00+00:00</ProductionDate>
    <FicheYear xmlns="cda99570-6012-4083-bfeb-7d32ad1ce1a3">2020</FicheYear>
    <DocumentNumber xmlns="73bac5c4-8a91-4dc7-b814-def809a8194f">2549</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2020-06-09T12:00:00+00:00</MeetingDate>
    <TaxCatchAll xmlns="cda99570-6012-4083-bfeb-7d32ad1ce1a3">
      <Value>86</Value>
      <Value>67</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5614</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E32CC14-F6BF-410B-84D5-79FAEB6349F5}"/>
</file>

<file path=customXml/itemProps2.xml><?xml version="1.0" encoding="utf-8"?>
<ds:datastoreItem xmlns:ds="http://schemas.openxmlformats.org/officeDocument/2006/customXml" ds:itemID="{8B5CCEFC-A091-41F8-8E34-58F9E8A19125}"/>
</file>

<file path=customXml/itemProps3.xml><?xml version="1.0" encoding="utf-8"?>
<ds:datastoreItem xmlns:ds="http://schemas.openxmlformats.org/officeDocument/2006/customXml" ds:itemID="{8AEB04CE-198D-4A22-AFB8-9C85CEB4C05F}"/>
</file>

<file path=customXml/itemProps4.xml><?xml version="1.0" encoding="utf-8"?>
<ds:datastoreItem xmlns:ds="http://schemas.openxmlformats.org/officeDocument/2006/customXml" ds:itemID="{4670241B-5513-463E-BA2E-617A0F025AFD}"/>
</file>

<file path=docProps/app.xml><?xml version="1.0" encoding="utf-8"?>
<Properties xmlns="http://schemas.openxmlformats.org/officeDocument/2006/extended-properties" xmlns:vt="http://schemas.openxmlformats.org/officeDocument/2006/docPropsVTypes">
  <Template>Styles.dotm</Template>
  <TotalTime>1</TotalTime>
  <Pages>4</Pages>
  <Words>1432</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Προτάσεις της ΕΟΚΕ για την ανασυγκρότηση και την ανάκαμψη μετά την κρίση της νόσου COVID-19</dc:title>
  <dc:subject>Παράρτημα</dc:subject>
  <dc:creator>Emma Nieddu</dc:creator>
  <cp:keywords>EESC-2020-02549-00-00-ANN-TRA-EN</cp:keywords>
  <dc:description>Rapporteur:  - Original language: EN - Date of document: 09/06/2020 - Date of meeting: 09/06/2020 - External documents:  - Administrator: M. COSMAI Domenico</dc:description>
  <cp:lastModifiedBy>Georgios Skarpas</cp:lastModifiedBy>
  <cp:revision>3</cp:revision>
  <dcterms:created xsi:type="dcterms:W3CDTF">2020-06-06T08:52:00Z</dcterms:created>
  <dcterms:modified xsi:type="dcterms:W3CDTF">2020-06-09T09:44:00Z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06/06/2020</vt:lpwstr>
  </property>
  <property fmtid="{D5CDD505-2E9C-101B-9397-08002B2CF9AE}" pid="4" name="Pref_Time">
    <vt:lpwstr>10:48:46</vt:lpwstr>
  </property>
  <property fmtid="{D5CDD505-2E9C-101B-9397-08002B2CF9AE}" pid="5" name="Pref_User">
    <vt:lpwstr>enied</vt:lpwstr>
  </property>
  <property fmtid="{D5CDD505-2E9C-101B-9397-08002B2CF9AE}" pid="6" name="Pref_FileName">
    <vt:lpwstr>EESC-2020-02549-00-00-ANN-ORI.docx</vt:lpwstr>
  </property>
  <property fmtid="{D5CDD505-2E9C-101B-9397-08002B2CF9AE}" pid="7" name="ContentTypeId">
    <vt:lpwstr>0x010100EA97B91038054C99906057A708A1480A00524A67B585C316428632A8520FD87D85</vt:lpwstr>
  </property>
  <property fmtid="{D5CDD505-2E9C-101B-9397-08002B2CF9AE}" pid="8" name="_dlc_DocIdItemGuid">
    <vt:lpwstr>206ca3c4-d338-4b2e-af14-e41d1c76382f</vt:lpwstr>
  </property>
  <property fmtid="{D5CDD505-2E9C-101B-9397-08002B2CF9AE}" pid="9" name="AvailableTranslations">
    <vt:lpwstr>10;#DE|f6b31e5a-26fa-4935-b661-318e46daf27e;#34;#SL|98a412ae-eb01-49e9-ae3d-585a81724cfc;#47;#ET|ff6c3f4c-b02c-4c3c-ab07-2c37995a7a0a;#9;#PL|1e03da61-4678-4e07-b136-b5024ca9197b;#30;#LT|a7ff5ce7-6123-4f68-865a-a57c31810414;#29;#PT|50ccc04a-eadd-42ae-a0cb-acaf45f812ba;#43;#HR|2f555653-ed1a-4fe6-8362-9082d95989e5;#46;#SK|46d9fce0-ef79-4f71-b89b-cd6aa82426b8;#40;#SV|c2ed69e7-a339-43d7-8f22-d93680a92aa0;#16;#ES|e7a6b05b-ae16-40c8-add9-68b64b03aeba;#36;#MT|7df99101-6854-4a26-b53a-b88c0da02c26;#48;#RO|feb747a2-64cd-4299-af12-4833ddc30497;#4;#EN|f2175f21-25d7-44a3-96da-d6a61b075e1b;#31;#CS|72f9705b-0217-4fd3-bea2-cbc7ed80e26e;#41;#NL|55c6556c-b4f4-441d-9acf-c498d4f838bd;#11;#FR|d2afafd3-4c81-4f60-8f52-ee33f2f54ff3;#13;#IT|0774613c-01ed-4e5d-a25d-11d2388de825;#24;#LV|46f7e311-5d9f-4663-b433-18aeccb7ace7;#45;#FI|87606a43-d45f-42d6-b8c9-e1a3457db5b7;#38;#EL|6d4f4d51-af9b-4650-94b4-4276bee85c91;#44;#BG|1a1b3951-7821-4e6a-85f5-5673fc08bd2c;#32;#DA|5d49c027-8956-412b-aa16-e85a0f96ad0e;#39;#HU|6b229040-c589-4408-b4c1-4285663d20a8</vt:lpwstr>
  </property>
  <property fmtid="{D5CDD505-2E9C-101B-9397-08002B2CF9AE}" pid="10" name="DocumentType_0">
    <vt:lpwstr>ANN|77e6295a-5435-4751-8cb4-ca5555443730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67;#ANN|77e6295a-5435-4751-8cb4-ca5555443730</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BUR CESE|4274fb1d-1fa2-4436-baac-f79426b09598</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MeetingDate">
    <vt:filetime>2020-06-09T12:00:00Z</vt:filetime>
  </property>
  <property fmtid="{D5CDD505-2E9C-101B-9397-08002B2CF9AE}" pid="29" name="AvailableTranslations_0">
    <vt:lpwstr>DE|f6b31e5a-26fa-4935-b661-318e46daf27e;ET|ff6c3f4c-b02c-4c3c-ab07-2c37995a7a0a;PL|1e03da61-4678-4e07-b136-b5024ca9197b;LT|a7ff5ce7-6123-4f68-865a-a57c31810414;PT|50ccc04a-eadd-42ae-a0cb-acaf45f812ba;MT|7df99101-6854-4a26-b53a-b88c0da02c26;RO|feb747a2-64cd-4299-af12-4833ddc30497;EN|f2175f21-25d7-44a3-96da-d6a61b075e1b;CS|72f9705b-0217-4fd3-bea2-cbc7ed80e26e;NL|55c6556c-b4f4-441d-9acf-c498d4f838bd;FR|d2afafd3-4c81-4f60-8f52-ee33f2f54ff3;IT|0774613c-01ed-4e5d-a25d-11d2388de825;LV|46f7e311-5d9f-4663-b433-18aeccb7ace7;FI|87606a43-d45f-42d6-b8c9-e1a3457db5b7;DA|5d49c027-8956-412b-aa16-e85a0f96ad0e;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39;#HU|6b229040-c589-4408-b4c1-4285663d20a8;#11;#FR|d2afafd3-4c81-4f60-8f52-ee33f2f54ff3;#32;#DA|5d49c027-8956-412b-aa16-e85a0f96ad0e;#31;#CS|72f9705b-0217-4fd3-bea2-cbc7ed80e26e;#30;#LT|a7ff5ce7-6123-4f68-865a-a57c31810414;#29;#PT|50ccc04a-eadd-42ae-a0cb-acaf45f812ba;#67;#ANN|77e6295a-5435-4751-8cb4-ca5555443730;#24;#LV|46f7e311-5d9f-4663-b433-18aeccb7ace7;#45;#FI|87606a43-d45f-42d6-b8c9-e1a3457db5b7;#13;#IT|0774613c-01ed-4e5d-a25d-11d2388de825;#86;#BUR CESE|4274fb1d-1fa2-4436-baac-f79426b09598;#48;#RO|feb747a2-64cd-4299-af12-4833ddc30497;#10;#DE|f6b31e5a-26fa-4935-b661-318e46daf27e;#9;#PL|1e03da61-4678-4e07-b136-b5024ca9197b;#41;#NL|55c6556c-b4f4-441d-9acf-c498d4f838bd;#6;#Final|ea5e6674-7b27-4bac-b091-73adbb394efe;#5;#Unrestricted|826e22d7-d029-4ec0-a450-0c28ff673572;#4;#EN|f2175f21-25d7-44a3-96da-d6a61b075e1b;#2;#TRA|150d2a88-1431-44e6-a8ca-0bb753ab8672;#1;#EESC|422833ec-8d7e-4e65-8e4e-8bed07ffb729;#47;#ET|ff6c3f4c-b02c-4c3c-ab07-2c37995a7a0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5614</vt:i4>
  </property>
  <property fmtid="{D5CDD505-2E9C-101B-9397-08002B2CF9AE}" pid="37" name="DocumentLanguage">
    <vt:lpwstr>38;#EL|6d4f4d51-af9b-4650-94b4-4276bee85c91</vt:lpwstr>
  </property>
</Properties>
</file>