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A8" w:rsidRPr="006B6888" w:rsidRDefault="00764B3C" w:rsidP="00C364B9">
      <w:pPr>
        <w:jc w:val="center"/>
        <w:rPr>
          <w:noProof/>
          <w:lang w:val="fr-BE" w:eastAsia="en-US"/>
        </w:rPr>
      </w:pPr>
      <w:r>
        <w:rPr>
          <w:noProof/>
          <w:lang w:val="en-US" w:eastAsia="en-US"/>
        </w:rPr>
        <w:drawing>
          <wp:inline distT="0" distB="0" distL="0" distR="0" wp14:anchorId="73B44F5A" wp14:editId="67551333">
            <wp:extent cx="1792800" cy="1242000"/>
            <wp:effectExtent l="0" t="0" r="0" b="0"/>
            <wp:docPr id="2" name="Picture 2" title="EESC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fr-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r w:rsidR="00DD0188" w:rsidRPr="00DD0188">
        <w:rPr>
          <w:noProof/>
          <w:sz w:val="20"/>
          <w:lang w:val="en-US" w:eastAsia="en-US"/>
        </w:rPr>
        <mc:AlternateContent>
          <mc:Choice Requires="wps">
            <w:drawing>
              <wp:anchor distT="0" distB="0" distL="114300" distR="114300" simplePos="0" relativeHeight="251663360" behindDoc="1" locked="0" layoutInCell="0" allowOverlap="1" wp14:anchorId="45CE6DC2" wp14:editId="1B558A57">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188" w:rsidRPr="00260E65" w:rsidRDefault="00DD0188">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E6DC2"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DD0188" w:rsidRPr="00260E65" w:rsidRDefault="00DD0188">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rsidR="00A12FA8" w:rsidRPr="006B6888" w:rsidRDefault="00A12FA8" w:rsidP="00C364B9">
      <w:pPr>
        <w:jc w:val="center"/>
        <w:rPr>
          <w:rFonts w:ascii="Arial" w:hAnsi="Arial" w:cs="Arial"/>
          <w:b/>
          <w:szCs w:val="24"/>
          <w:u w:val="single"/>
          <w:lang w:val="fr-BE"/>
        </w:rPr>
      </w:pPr>
    </w:p>
    <w:p w:rsidR="005A1121" w:rsidRPr="006B6888" w:rsidRDefault="005A1121" w:rsidP="00C364B9">
      <w:pPr>
        <w:jc w:val="center"/>
        <w:rPr>
          <w:rFonts w:ascii="Arial" w:hAnsi="Arial" w:cs="Arial"/>
          <w:b/>
          <w:szCs w:val="24"/>
          <w:u w:val="single"/>
          <w:lang w:val="fr-BE"/>
        </w:rPr>
      </w:pPr>
    </w:p>
    <w:p w:rsidR="00C364B9" w:rsidRPr="006B6888" w:rsidRDefault="00C364B9" w:rsidP="00C364B9">
      <w:pPr>
        <w:jc w:val="center"/>
        <w:rPr>
          <w:rFonts w:ascii="Arial" w:hAnsi="Arial" w:cs="Arial"/>
          <w:b/>
          <w:szCs w:val="24"/>
          <w:u w:val="single"/>
          <w:lang w:val="fr-BE"/>
        </w:rPr>
      </w:pPr>
      <w:r w:rsidRPr="006B6888">
        <w:rPr>
          <w:rFonts w:ascii="Arial" w:hAnsi="Arial" w:cs="Arial"/>
          <w:b/>
          <w:szCs w:val="24"/>
          <w:u w:val="single"/>
          <w:lang w:val="fr-BE"/>
        </w:rPr>
        <w:t>Conclusions et recommandations du CESE sur le commerce de détail</w:t>
      </w:r>
    </w:p>
    <w:p w:rsidR="00C364B9" w:rsidRPr="006B6888" w:rsidRDefault="00C364B9" w:rsidP="00C364B9">
      <w:pPr>
        <w:rPr>
          <w:rFonts w:asciiTheme="minorHAnsi" w:hAnsiTheme="minorHAnsi" w:cstheme="minorHAnsi"/>
          <w:sz w:val="32"/>
          <w:szCs w:val="32"/>
          <w:lang w:val="fr-BE"/>
        </w:rPr>
      </w:pPr>
    </w:p>
    <w:p w:rsidR="00C364B9" w:rsidRPr="006B6888" w:rsidRDefault="00C47098" w:rsidP="00C364B9">
      <w:pPr>
        <w:jc w:val="both"/>
        <w:rPr>
          <w:rFonts w:ascii="Arial" w:hAnsi="Arial" w:cs="Arial"/>
          <w:szCs w:val="24"/>
          <w:lang w:val="fr-BE"/>
        </w:rPr>
      </w:pPr>
      <w:r>
        <w:rPr>
          <w:rFonts w:ascii="Arial" w:hAnsi="Arial" w:cs="Arial"/>
          <w:szCs w:val="24"/>
          <w:lang w:val="fr-BE"/>
        </w:rPr>
        <w:t>Á la s</w:t>
      </w:r>
      <w:r w:rsidR="00C364B9" w:rsidRPr="006B6888">
        <w:rPr>
          <w:rFonts w:ascii="Arial" w:hAnsi="Arial" w:cs="Arial"/>
          <w:szCs w:val="24"/>
          <w:lang w:val="fr-BE"/>
        </w:rPr>
        <w:t xml:space="preserve">uite </w:t>
      </w:r>
      <w:r>
        <w:rPr>
          <w:rFonts w:ascii="Arial" w:hAnsi="Arial" w:cs="Arial"/>
          <w:szCs w:val="24"/>
          <w:lang w:val="fr-BE"/>
        </w:rPr>
        <w:t>de</w:t>
      </w:r>
      <w:r w:rsidRPr="006B6888">
        <w:rPr>
          <w:rFonts w:ascii="Arial" w:hAnsi="Arial" w:cs="Arial"/>
          <w:szCs w:val="24"/>
          <w:lang w:val="fr-BE"/>
        </w:rPr>
        <w:t xml:space="preserve"> </w:t>
      </w:r>
      <w:r w:rsidR="00C364B9" w:rsidRPr="006B6888">
        <w:rPr>
          <w:rFonts w:ascii="Arial" w:hAnsi="Arial" w:cs="Arial"/>
          <w:szCs w:val="24"/>
          <w:lang w:val="fr-BE"/>
        </w:rPr>
        <w:t xml:space="preserve">la publication du document de la Commission </w:t>
      </w:r>
      <w:r>
        <w:rPr>
          <w:rFonts w:ascii="Arial" w:hAnsi="Arial" w:cs="Arial"/>
          <w:szCs w:val="24"/>
          <w:lang w:val="fr-BE"/>
        </w:rPr>
        <w:t>«</w:t>
      </w:r>
      <w:r w:rsidR="00C364B9" w:rsidRPr="006B6888">
        <w:rPr>
          <w:rFonts w:ascii="Arial" w:hAnsi="Arial" w:cs="Arial"/>
          <w:szCs w:val="24"/>
          <w:lang w:val="fr-BE"/>
        </w:rPr>
        <w:t>Communication de la Commission au Parlement européen, au Conseil, au Comité économique et social européen et au Comité des régions – Adapter le commerce de détail de l</w:t>
      </w:r>
      <w:r>
        <w:rPr>
          <w:rFonts w:ascii="Arial" w:hAnsi="Arial" w:cs="Arial"/>
          <w:szCs w:val="24"/>
          <w:lang w:val="fr-BE"/>
        </w:rPr>
        <w:t>’</w:t>
      </w:r>
      <w:r w:rsidR="00C364B9" w:rsidRPr="006B6888">
        <w:rPr>
          <w:rFonts w:ascii="Arial" w:hAnsi="Arial" w:cs="Arial"/>
          <w:szCs w:val="24"/>
          <w:lang w:val="fr-BE"/>
        </w:rPr>
        <w:t>UE aux exigences du XXI</w:t>
      </w:r>
      <w:r w:rsidR="00C364B9" w:rsidRPr="006B6888">
        <w:rPr>
          <w:rFonts w:ascii="Arial" w:hAnsi="Arial" w:cs="Arial"/>
          <w:szCs w:val="24"/>
          <w:vertAlign w:val="superscript"/>
          <w:lang w:val="fr-BE"/>
        </w:rPr>
        <w:t>e</w:t>
      </w:r>
      <w:r w:rsidR="00C364B9" w:rsidRPr="006B6888">
        <w:rPr>
          <w:rFonts w:ascii="Arial" w:hAnsi="Arial" w:cs="Arial"/>
          <w:szCs w:val="24"/>
          <w:lang w:val="fr-BE"/>
        </w:rPr>
        <w:t> siècle</w:t>
      </w:r>
      <w:r>
        <w:rPr>
          <w:rFonts w:ascii="Arial" w:hAnsi="Arial" w:cs="Arial"/>
          <w:szCs w:val="24"/>
          <w:lang w:val="fr-BE"/>
        </w:rPr>
        <w:t>»</w:t>
      </w:r>
      <w:r w:rsidR="00C364B9" w:rsidRPr="006B6888">
        <w:rPr>
          <w:rFonts w:ascii="Arial" w:hAnsi="Arial" w:cs="Arial"/>
          <w:szCs w:val="24"/>
          <w:lang w:val="fr-BE"/>
        </w:rPr>
        <w:t xml:space="preserve">, [COM(2018) 219 final], le CESE a adopté un </w:t>
      </w:r>
      <w:hyperlink r:id="rId12" w:history="1">
        <w:r w:rsidR="00C364B9" w:rsidRPr="006B6888">
          <w:rPr>
            <w:rStyle w:val="Hyperlink"/>
            <w:rFonts w:ascii="Arial" w:hAnsi="Arial" w:cs="Arial"/>
            <w:szCs w:val="24"/>
            <w:lang w:val="fr-BE"/>
          </w:rPr>
          <w:t>avis</w:t>
        </w:r>
      </w:hyperlink>
      <w:r w:rsidR="00C364B9" w:rsidRPr="006B6888">
        <w:rPr>
          <w:rFonts w:ascii="Arial" w:hAnsi="Arial" w:cs="Arial"/>
          <w:szCs w:val="24"/>
          <w:lang w:val="fr-BE"/>
        </w:rPr>
        <w:t xml:space="preserve"> en décembre</w:t>
      </w:r>
      <w:r>
        <w:rPr>
          <w:rFonts w:ascii="Arial" w:hAnsi="Arial" w:cs="Arial"/>
          <w:szCs w:val="24"/>
          <w:lang w:val="fr-BE"/>
        </w:rPr>
        <w:t> </w:t>
      </w:r>
      <w:r w:rsidR="00C364B9" w:rsidRPr="006B6888">
        <w:rPr>
          <w:rFonts w:ascii="Arial" w:hAnsi="Arial" w:cs="Arial"/>
          <w:szCs w:val="24"/>
          <w:lang w:val="fr-BE"/>
        </w:rPr>
        <w:t>2018.</w:t>
      </w:r>
    </w:p>
    <w:p w:rsidR="00C364B9" w:rsidRPr="006B6888" w:rsidRDefault="00C364B9" w:rsidP="00C364B9">
      <w:pPr>
        <w:ind w:left="-567"/>
        <w:jc w:val="both"/>
        <w:rPr>
          <w:rFonts w:ascii="Arial" w:hAnsi="Arial" w:cs="Arial"/>
          <w:szCs w:val="24"/>
          <w:lang w:val="fr-BE"/>
        </w:rPr>
      </w:pPr>
    </w:p>
    <w:p w:rsidR="00C364B9" w:rsidRPr="006B6888" w:rsidRDefault="00C364B9" w:rsidP="008D0F1A">
      <w:pPr>
        <w:jc w:val="both"/>
        <w:rPr>
          <w:rFonts w:ascii="Arial" w:hAnsi="Arial" w:cs="Arial"/>
          <w:szCs w:val="24"/>
          <w:lang w:val="fr-BE"/>
        </w:rPr>
      </w:pPr>
      <w:r w:rsidRPr="006B6888">
        <w:rPr>
          <w:rFonts w:ascii="Arial" w:hAnsi="Arial" w:cs="Arial"/>
          <w:szCs w:val="24"/>
          <w:lang w:val="fr-BE"/>
        </w:rPr>
        <w:t>Dans le cadre du suivi de cet avis, le CESE s</w:t>
      </w:r>
      <w:r w:rsidR="00C47098">
        <w:rPr>
          <w:rFonts w:ascii="Arial" w:hAnsi="Arial" w:cs="Arial"/>
          <w:szCs w:val="24"/>
          <w:lang w:val="fr-BE"/>
        </w:rPr>
        <w:t>’</w:t>
      </w:r>
      <w:r w:rsidRPr="006B6888">
        <w:rPr>
          <w:rFonts w:ascii="Arial" w:hAnsi="Arial" w:cs="Arial"/>
          <w:szCs w:val="24"/>
          <w:lang w:val="fr-BE"/>
        </w:rPr>
        <w:t>est penché plus en détail sur la situation du secteur du détail dans 4</w:t>
      </w:r>
      <w:r w:rsidR="00620EB7">
        <w:rPr>
          <w:rFonts w:ascii="Arial" w:hAnsi="Arial" w:cs="Arial"/>
          <w:szCs w:val="24"/>
          <w:lang w:val="fr-BE"/>
        </w:rPr>
        <w:t> </w:t>
      </w:r>
      <w:r w:rsidRPr="006B6888">
        <w:rPr>
          <w:rFonts w:ascii="Arial" w:hAnsi="Arial" w:cs="Arial"/>
          <w:szCs w:val="24"/>
          <w:lang w:val="fr-BE"/>
        </w:rPr>
        <w:t>États membres: l</w:t>
      </w:r>
      <w:r w:rsidR="00C47098">
        <w:rPr>
          <w:rFonts w:ascii="Arial" w:hAnsi="Arial" w:cs="Arial"/>
          <w:szCs w:val="24"/>
          <w:lang w:val="fr-BE"/>
        </w:rPr>
        <w:t>’</w:t>
      </w:r>
      <w:r w:rsidRPr="006B6888">
        <w:rPr>
          <w:rFonts w:ascii="Arial" w:hAnsi="Arial" w:cs="Arial"/>
          <w:szCs w:val="24"/>
          <w:lang w:val="fr-BE"/>
        </w:rPr>
        <w:t xml:space="preserve">Italie, la Pologne, la </w:t>
      </w:r>
      <w:r w:rsidR="00BC6D92" w:rsidRPr="006B6888">
        <w:rPr>
          <w:rFonts w:ascii="Arial" w:hAnsi="Arial" w:cs="Arial"/>
          <w:szCs w:val="24"/>
          <w:lang w:val="fr-BE"/>
        </w:rPr>
        <w:t>Belgique</w:t>
      </w:r>
      <w:r w:rsidR="00620EB7">
        <w:rPr>
          <w:rFonts w:ascii="Arial" w:hAnsi="Arial" w:cs="Arial"/>
          <w:szCs w:val="24"/>
          <w:lang w:val="fr-BE"/>
        </w:rPr>
        <w:t xml:space="preserve"> </w:t>
      </w:r>
      <w:r w:rsidRPr="006B6888">
        <w:rPr>
          <w:rFonts w:ascii="Arial" w:hAnsi="Arial" w:cs="Arial"/>
          <w:szCs w:val="24"/>
          <w:lang w:val="fr-BE"/>
        </w:rPr>
        <w:t>et la Finlande. Ces pays ont été cho</w:t>
      </w:r>
      <w:r w:rsidR="00BC6D92" w:rsidRPr="006B6888">
        <w:rPr>
          <w:rFonts w:ascii="Arial" w:hAnsi="Arial" w:cs="Arial"/>
          <w:szCs w:val="24"/>
          <w:lang w:val="fr-BE"/>
        </w:rPr>
        <w:t>isis dans un souci d</w:t>
      </w:r>
      <w:r w:rsidR="00C47098">
        <w:rPr>
          <w:rFonts w:ascii="Arial" w:hAnsi="Arial" w:cs="Arial"/>
          <w:szCs w:val="24"/>
          <w:lang w:val="fr-BE"/>
        </w:rPr>
        <w:t>’</w:t>
      </w:r>
      <w:r w:rsidR="00BC6D92" w:rsidRPr="006B6888">
        <w:rPr>
          <w:rFonts w:ascii="Arial" w:hAnsi="Arial" w:cs="Arial"/>
          <w:szCs w:val="24"/>
          <w:lang w:val="fr-BE"/>
        </w:rPr>
        <w:t xml:space="preserve">équilibre </w:t>
      </w:r>
      <w:r w:rsidRPr="006B6888">
        <w:rPr>
          <w:rFonts w:ascii="Arial" w:hAnsi="Arial" w:cs="Arial"/>
          <w:szCs w:val="24"/>
          <w:lang w:val="fr-BE"/>
        </w:rPr>
        <w:t>géographique, afin d</w:t>
      </w:r>
      <w:r w:rsidR="00C47098">
        <w:rPr>
          <w:rFonts w:ascii="Arial" w:hAnsi="Arial" w:cs="Arial"/>
          <w:szCs w:val="24"/>
          <w:lang w:val="fr-BE"/>
        </w:rPr>
        <w:t>’</w:t>
      </w:r>
      <w:r w:rsidRPr="006B6888">
        <w:rPr>
          <w:rFonts w:ascii="Arial" w:hAnsi="Arial" w:cs="Arial"/>
          <w:szCs w:val="24"/>
          <w:lang w:val="fr-BE"/>
        </w:rPr>
        <w:t>inclure dans l</w:t>
      </w:r>
      <w:r w:rsidR="00C47098">
        <w:rPr>
          <w:rFonts w:ascii="Arial" w:hAnsi="Arial" w:cs="Arial"/>
          <w:szCs w:val="24"/>
          <w:lang w:val="fr-BE"/>
        </w:rPr>
        <w:t>’</w:t>
      </w:r>
      <w:r w:rsidRPr="006B6888">
        <w:rPr>
          <w:rFonts w:ascii="Arial" w:hAnsi="Arial" w:cs="Arial"/>
          <w:szCs w:val="24"/>
          <w:lang w:val="fr-BE"/>
        </w:rPr>
        <w:t>analyse les quatre coi</w:t>
      </w:r>
      <w:r w:rsidR="00BC6D92" w:rsidRPr="006B6888">
        <w:rPr>
          <w:rFonts w:ascii="Arial" w:hAnsi="Arial" w:cs="Arial"/>
          <w:szCs w:val="24"/>
          <w:lang w:val="fr-BE"/>
        </w:rPr>
        <w:t>ns de l</w:t>
      </w:r>
      <w:r w:rsidR="00C47098">
        <w:rPr>
          <w:rFonts w:ascii="Arial" w:hAnsi="Arial" w:cs="Arial"/>
          <w:szCs w:val="24"/>
          <w:lang w:val="fr-BE"/>
        </w:rPr>
        <w:t>’</w:t>
      </w:r>
      <w:r w:rsidR="00BC6D92" w:rsidRPr="006B6888">
        <w:rPr>
          <w:rFonts w:ascii="Arial" w:hAnsi="Arial" w:cs="Arial"/>
          <w:szCs w:val="24"/>
          <w:lang w:val="fr-BE"/>
        </w:rPr>
        <w:t>Europe: le sud, l</w:t>
      </w:r>
      <w:r w:rsidR="00C47098">
        <w:rPr>
          <w:rFonts w:ascii="Arial" w:hAnsi="Arial" w:cs="Arial"/>
          <w:szCs w:val="24"/>
          <w:lang w:val="fr-BE"/>
        </w:rPr>
        <w:t>’</w:t>
      </w:r>
      <w:r w:rsidR="00BC6D92" w:rsidRPr="006B6888">
        <w:rPr>
          <w:rFonts w:ascii="Arial" w:hAnsi="Arial" w:cs="Arial"/>
          <w:szCs w:val="24"/>
          <w:lang w:val="fr-BE"/>
        </w:rPr>
        <w:t xml:space="preserve">est, </w:t>
      </w:r>
      <w:r w:rsidRPr="006B6888">
        <w:rPr>
          <w:rFonts w:ascii="Arial" w:hAnsi="Arial" w:cs="Arial"/>
          <w:szCs w:val="24"/>
          <w:lang w:val="fr-BE"/>
        </w:rPr>
        <w:t>le centre et le nord.</w:t>
      </w:r>
    </w:p>
    <w:p w:rsidR="00C364B9" w:rsidRPr="006B6888" w:rsidRDefault="00C364B9" w:rsidP="008D0F1A">
      <w:pPr>
        <w:jc w:val="both"/>
        <w:rPr>
          <w:rFonts w:ascii="Arial" w:hAnsi="Arial" w:cs="Arial"/>
          <w:szCs w:val="24"/>
          <w:lang w:val="fr-BE"/>
        </w:rPr>
      </w:pPr>
    </w:p>
    <w:p w:rsidR="00C364B9" w:rsidRPr="006B6888" w:rsidRDefault="00771032" w:rsidP="008D0F1A">
      <w:pPr>
        <w:jc w:val="both"/>
        <w:rPr>
          <w:rFonts w:ascii="Arial" w:hAnsi="Arial" w:cs="Arial"/>
          <w:szCs w:val="24"/>
          <w:lang w:val="fr-BE"/>
        </w:rPr>
      </w:pPr>
      <w:r>
        <w:rPr>
          <w:rFonts w:ascii="Arial" w:hAnsi="Arial" w:cs="Arial"/>
          <w:szCs w:val="24"/>
          <w:lang w:val="fr-BE"/>
        </w:rPr>
        <w:t>Au moyen</w:t>
      </w:r>
      <w:r w:rsidR="00C364B9" w:rsidRPr="006B6888">
        <w:rPr>
          <w:rFonts w:ascii="Arial" w:hAnsi="Arial" w:cs="Arial"/>
          <w:szCs w:val="24"/>
          <w:lang w:val="fr-BE"/>
        </w:rPr>
        <w:t xml:space="preserve"> de missions d</w:t>
      </w:r>
      <w:r w:rsidR="00C47098">
        <w:rPr>
          <w:rFonts w:ascii="Arial" w:hAnsi="Arial" w:cs="Arial"/>
          <w:szCs w:val="24"/>
          <w:lang w:val="fr-BE"/>
        </w:rPr>
        <w:t>’</w:t>
      </w:r>
      <w:r w:rsidR="00C364B9" w:rsidRPr="006B6888">
        <w:rPr>
          <w:rFonts w:ascii="Arial" w:hAnsi="Arial" w:cs="Arial"/>
          <w:szCs w:val="24"/>
          <w:lang w:val="fr-BE"/>
        </w:rPr>
        <w:t>enquête, le CESE a recueilli les préoccupations de l</w:t>
      </w:r>
      <w:r w:rsidR="00C47098">
        <w:rPr>
          <w:rFonts w:ascii="Arial" w:hAnsi="Arial" w:cs="Arial"/>
          <w:szCs w:val="24"/>
          <w:lang w:val="fr-BE"/>
        </w:rPr>
        <w:t>’</w:t>
      </w:r>
      <w:r w:rsidR="00C364B9" w:rsidRPr="006B6888">
        <w:rPr>
          <w:rFonts w:ascii="Arial" w:hAnsi="Arial" w:cs="Arial"/>
          <w:szCs w:val="24"/>
          <w:lang w:val="fr-BE"/>
        </w:rPr>
        <w:t>ensemble des parties prenantes de ce secteur: producteurs, fournisseurs, détaillants, travailleurs et consommateurs.</w:t>
      </w:r>
    </w:p>
    <w:p w:rsidR="00C364B9" w:rsidRPr="006B6888" w:rsidRDefault="00C364B9" w:rsidP="008D0F1A">
      <w:pPr>
        <w:jc w:val="both"/>
        <w:rPr>
          <w:rFonts w:ascii="Arial" w:hAnsi="Arial" w:cs="Arial"/>
          <w:szCs w:val="24"/>
          <w:lang w:val="fr-BE"/>
        </w:rPr>
      </w:pPr>
    </w:p>
    <w:p w:rsidR="00C364B9" w:rsidRPr="006B6888" w:rsidRDefault="00C364B9" w:rsidP="008D0F1A">
      <w:pPr>
        <w:jc w:val="both"/>
        <w:rPr>
          <w:rFonts w:ascii="Arial" w:hAnsi="Arial" w:cs="Arial"/>
          <w:szCs w:val="24"/>
          <w:lang w:val="fr-BE"/>
        </w:rPr>
      </w:pPr>
      <w:r w:rsidRPr="006B6888">
        <w:rPr>
          <w:rFonts w:ascii="Arial" w:hAnsi="Arial" w:cs="Arial"/>
          <w:szCs w:val="24"/>
          <w:lang w:val="fr-BE"/>
        </w:rPr>
        <w:t>Il est ressorti des missions d</w:t>
      </w:r>
      <w:r w:rsidR="00C47098">
        <w:rPr>
          <w:rFonts w:ascii="Arial" w:hAnsi="Arial" w:cs="Arial"/>
          <w:szCs w:val="24"/>
          <w:lang w:val="fr-BE"/>
        </w:rPr>
        <w:t>’</w:t>
      </w:r>
      <w:r w:rsidRPr="006B6888">
        <w:rPr>
          <w:rFonts w:ascii="Arial" w:hAnsi="Arial" w:cs="Arial"/>
          <w:szCs w:val="24"/>
          <w:lang w:val="fr-BE"/>
        </w:rPr>
        <w:t xml:space="preserve">enquête réalisées par le CESE que le secteur du commerce de détail est en pleine mutation: on observe par exemple une transition sociétale, avec des citoyens de plus en plus mobiles, ou encore une transition numérique, avec le </w:t>
      </w:r>
      <w:r w:rsidRPr="006B6888">
        <w:rPr>
          <w:rFonts w:ascii="Arial" w:hAnsi="Arial" w:cs="Arial"/>
          <w:szCs w:val="24"/>
          <w:lang w:val="fr-BE"/>
        </w:rPr>
        <w:tab/>
        <w:t xml:space="preserve">commerce électronique qui efface les frontières. Ces éléments favorisent le développement de nouveaux modes de consommation. </w:t>
      </w:r>
    </w:p>
    <w:p w:rsidR="00C364B9" w:rsidRPr="006B6888" w:rsidRDefault="00C364B9" w:rsidP="008D0F1A">
      <w:pPr>
        <w:jc w:val="both"/>
        <w:rPr>
          <w:rFonts w:ascii="Arial" w:hAnsi="Arial" w:cs="Arial"/>
          <w:szCs w:val="24"/>
          <w:lang w:val="fr-BE"/>
        </w:rPr>
      </w:pPr>
    </w:p>
    <w:p w:rsidR="00C364B9" w:rsidRPr="006B6888" w:rsidRDefault="00C364B9" w:rsidP="008D0F1A">
      <w:pPr>
        <w:jc w:val="both"/>
        <w:rPr>
          <w:rFonts w:ascii="Arial" w:hAnsi="Arial" w:cs="Arial"/>
          <w:szCs w:val="24"/>
          <w:lang w:val="fr-BE"/>
        </w:rPr>
      </w:pPr>
      <w:r w:rsidRPr="006B6888">
        <w:rPr>
          <w:rFonts w:ascii="Arial" w:hAnsi="Arial" w:cs="Arial"/>
          <w:szCs w:val="24"/>
          <w:lang w:val="fr-BE"/>
        </w:rPr>
        <w:t>Fort de la réflexion menée dans le cadre de l</w:t>
      </w:r>
      <w:r w:rsidR="00C47098">
        <w:rPr>
          <w:rFonts w:ascii="Arial" w:hAnsi="Arial" w:cs="Arial"/>
          <w:szCs w:val="24"/>
          <w:lang w:val="fr-BE"/>
        </w:rPr>
        <w:t>’</w:t>
      </w:r>
      <w:r w:rsidRPr="006B6888">
        <w:rPr>
          <w:rFonts w:ascii="Arial" w:hAnsi="Arial" w:cs="Arial"/>
          <w:szCs w:val="24"/>
          <w:lang w:val="fr-BE"/>
        </w:rPr>
        <w:t>élaboration de son avis et de la contribution des personnes interrogées, le CESE formule aujourd</w:t>
      </w:r>
      <w:r w:rsidR="00C47098">
        <w:rPr>
          <w:rFonts w:ascii="Arial" w:hAnsi="Arial" w:cs="Arial"/>
          <w:szCs w:val="24"/>
          <w:lang w:val="fr-BE"/>
        </w:rPr>
        <w:t>’</w:t>
      </w:r>
      <w:r w:rsidRPr="006B6888">
        <w:rPr>
          <w:rFonts w:ascii="Arial" w:hAnsi="Arial" w:cs="Arial"/>
          <w:szCs w:val="24"/>
          <w:lang w:val="fr-BE"/>
        </w:rPr>
        <w:t>hui à l</w:t>
      </w:r>
      <w:r w:rsidR="00C47098">
        <w:rPr>
          <w:rFonts w:ascii="Arial" w:hAnsi="Arial" w:cs="Arial"/>
          <w:szCs w:val="24"/>
          <w:lang w:val="fr-BE"/>
        </w:rPr>
        <w:t>’</w:t>
      </w:r>
      <w:r w:rsidRPr="006B6888">
        <w:rPr>
          <w:rFonts w:ascii="Arial" w:hAnsi="Arial" w:cs="Arial"/>
          <w:szCs w:val="24"/>
          <w:lang w:val="fr-BE"/>
        </w:rPr>
        <w:t>intention de la Commission européenne les conclusions et recommandations ci-dessous:</w:t>
      </w:r>
    </w:p>
    <w:p w:rsidR="00C364B9" w:rsidRPr="006B6888" w:rsidRDefault="00C364B9" w:rsidP="00C364B9">
      <w:pPr>
        <w:pStyle w:val="ListParagraph"/>
        <w:ind w:left="16" w:hanging="16"/>
        <w:jc w:val="both"/>
        <w:rPr>
          <w:rFonts w:ascii="Arial" w:hAnsi="Arial" w:cs="Arial"/>
          <w:sz w:val="28"/>
          <w:szCs w:val="28"/>
          <w:lang w:val="fr-BE"/>
        </w:rPr>
      </w:pPr>
    </w:p>
    <w:tbl>
      <w:tblPr>
        <w:tblStyle w:val="TableGrid"/>
        <w:tblW w:w="9782" w:type="dxa"/>
        <w:tblInd w:w="-176" w:type="dxa"/>
        <w:tblLook w:val="04A0" w:firstRow="1" w:lastRow="0" w:firstColumn="1" w:lastColumn="0" w:noHBand="0" w:noVBand="1"/>
      </w:tblPr>
      <w:tblGrid>
        <w:gridCol w:w="3006"/>
        <w:gridCol w:w="3513"/>
        <w:gridCol w:w="3263"/>
      </w:tblGrid>
      <w:tr w:rsidR="00065300" w:rsidTr="00DC56AA">
        <w:tc>
          <w:tcPr>
            <w:tcW w:w="3006" w:type="dxa"/>
          </w:tcPr>
          <w:p w:rsidR="00C364B9" w:rsidRPr="006B6888" w:rsidRDefault="00C364B9" w:rsidP="008B3C8C">
            <w:pPr>
              <w:pStyle w:val="ListParagraph"/>
              <w:ind w:left="0"/>
              <w:jc w:val="both"/>
              <w:rPr>
                <w:rFonts w:ascii="Arial" w:hAnsi="Arial" w:cs="Arial"/>
                <w:b/>
                <w:sz w:val="24"/>
                <w:szCs w:val="24"/>
                <w:lang w:val="fr-BE"/>
              </w:rPr>
            </w:pPr>
            <w:r w:rsidRPr="006B6888">
              <w:rPr>
                <w:rFonts w:ascii="Arial" w:hAnsi="Arial" w:cs="Arial"/>
                <w:b/>
                <w:sz w:val="24"/>
                <w:szCs w:val="24"/>
                <w:lang w:val="fr-BE"/>
              </w:rPr>
              <w:t>Les éléments clé des débats</w:t>
            </w:r>
          </w:p>
        </w:tc>
        <w:tc>
          <w:tcPr>
            <w:tcW w:w="3513" w:type="dxa"/>
          </w:tcPr>
          <w:p w:rsidR="00C364B9" w:rsidRPr="006B6888" w:rsidRDefault="00C364B9" w:rsidP="008B3C8C">
            <w:pPr>
              <w:pStyle w:val="ListParagraph"/>
              <w:ind w:left="0"/>
              <w:jc w:val="both"/>
              <w:rPr>
                <w:rFonts w:ascii="Arial" w:hAnsi="Arial" w:cs="Arial"/>
                <w:b/>
                <w:sz w:val="24"/>
                <w:szCs w:val="24"/>
                <w:lang w:val="fr-BE"/>
              </w:rPr>
            </w:pPr>
            <w:r w:rsidRPr="006B6888">
              <w:rPr>
                <w:rFonts w:ascii="Arial" w:hAnsi="Arial" w:cs="Arial"/>
                <w:b/>
                <w:sz w:val="24"/>
                <w:szCs w:val="24"/>
                <w:lang w:val="fr-BE"/>
              </w:rPr>
              <w:t>Les constatations</w:t>
            </w:r>
          </w:p>
        </w:tc>
        <w:tc>
          <w:tcPr>
            <w:tcW w:w="3263" w:type="dxa"/>
          </w:tcPr>
          <w:p w:rsidR="00C364B9" w:rsidRPr="006B6888" w:rsidRDefault="00C364B9" w:rsidP="008B3C8C">
            <w:pPr>
              <w:pStyle w:val="ListParagraph"/>
              <w:ind w:left="0"/>
              <w:jc w:val="both"/>
              <w:rPr>
                <w:rFonts w:ascii="Arial" w:hAnsi="Arial" w:cs="Arial"/>
                <w:b/>
                <w:sz w:val="24"/>
                <w:szCs w:val="24"/>
                <w:lang w:val="fr-BE"/>
              </w:rPr>
            </w:pPr>
            <w:r w:rsidRPr="006B6888">
              <w:rPr>
                <w:rFonts w:ascii="Arial" w:hAnsi="Arial" w:cs="Arial"/>
                <w:b/>
                <w:sz w:val="24"/>
                <w:szCs w:val="24"/>
                <w:lang w:val="fr-BE"/>
              </w:rPr>
              <w:t>Les recommandations du CESE à la Commission</w:t>
            </w:r>
          </w:p>
        </w:tc>
      </w:tr>
      <w:tr w:rsidR="00065300" w:rsidTr="00DC56AA">
        <w:tc>
          <w:tcPr>
            <w:tcW w:w="3006" w:type="dxa"/>
          </w:tcPr>
          <w:p w:rsidR="00C364B9" w:rsidRPr="006B6888" w:rsidRDefault="00C364B9" w:rsidP="008B3C8C">
            <w:pPr>
              <w:pStyle w:val="ListParagraph"/>
              <w:ind w:left="0"/>
              <w:rPr>
                <w:rFonts w:ascii="Arial" w:hAnsi="Arial" w:cs="Arial"/>
                <w:sz w:val="24"/>
                <w:szCs w:val="24"/>
                <w:lang w:val="fr-BE"/>
              </w:rPr>
            </w:pPr>
            <w:r w:rsidRPr="006B6888">
              <w:rPr>
                <w:rFonts w:ascii="Arial" w:hAnsi="Arial" w:cs="Arial"/>
                <w:sz w:val="24"/>
                <w:szCs w:val="24"/>
                <w:lang w:val="fr-BE"/>
              </w:rPr>
              <w:t>La transition</w:t>
            </w:r>
          </w:p>
        </w:tc>
        <w:tc>
          <w:tcPr>
            <w:tcW w:w="3513" w:type="dxa"/>
          </w:tcPr>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Inquiétude observée dans tout le secteur, notamment parmi les PME</w:t>
            </w:r>
            <w:r w:rsidR="009C5FE3">
              <w:rPr>
                <w:rFonts w:ascii="Arial" w:hAnsi="Arial" w:cs="Arial"/>
                <w:sz w:val="24"/>
                <w:szCs w:val="24"/>
                <w:lang w:val="fr-BE"/>
              </w:rPr>
              <w:t>.</w:t>
            </w:r>
          </w:p>
          <w:p w:rsidR="00C364B9" w:rsidRPr="006B6888" w:rsidRDefault="00C364B9" w:rsidP="00620EB7">
            <w:pPr>
              <w:pStyle w:val="ListParagraph"/>
              <w:ind w:left="0"/>
              <w:jc w:val="both"/>
              <w:rPr>
                <w:rFonts w:ascii="Arial" w:hAnsi="Arial" w:cs="Arial"/>
                <w:sz w:val="24"/>
                <w:szCs w:val="24"/>
                <w:lang w:val="fr-BE"/>
              </w:rPr>
            </w:pPr>
          </w:p>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Inquiétude focalisée sur les investissements, leur financement, la rentabilité et la formation, que ce soit celle des chefs d</w:t>
            </w:r>
            <w:r w:rsidR="00C47098">
              <w:rPr>
                <w:rFonts w:ascii="Arial" w:hAnsi="Arial" w:cs="Arial"/>
                <w:sz w:val="24"/>
                <w:szCs w:val="24"/>
                <w:lang w:val="fr-BE"/>
              </w:rPr>
              <w:t>’</w:t>
            </w:r>
            <w:r w:rsidRPr="006B6888">
              <w:rPr>
                <w:rFonts w:ascii="Arial" w:hAnsi="Arial" w:cs="Arial"/>
                <w:sz w:val="24"/>
                <w:szCs w:val="24"/>
                <w:lang w:val="fr-BE"/>
              </w:rPr>
              <w:t>entreprises, des indépe</w:t>
            </w:r>
            <w:bookmarkStart w:id="0" w:name="_GoBack"/>
            <w:bookmarkEnd w:id="0"/>
            <w:r w:rsidRPr="006B6888">
              <w:rPr>
                <w:rFonts w:ascii="Arial" w:hAnsi="Arial" w:cs="Arial"/>
                <w:sz w:val="24"/>
                <w:szCs w:val="24"/>
                <w:lang w:val="fr-BE"/>
              </w:rPr>
              <w:t xml:space="preserve">ndants ou de leur </w:t>
            </w:r>
            <w:r w:rsidRPr="006B6888">
              <w:rPr>
                <w:rFonts w:ascii="Arial" w:hAnsi="Arial" w:cs="Arial"/>
                <w:sz w:val="24"/>
                <w:szCs w:val="24"/>
                <w:lang w:val="fr-BE"/>
              </w:rPr>
              <w:lastRenderedPageBreak/>
              <w:t>personnel.</w:t>
            </w:r>
          </w:p>
        </w:tc>
        <w:tc>
          <w:tcPr>
            <w:tcW w:w="3263" w:type="dxa"/>
          </w:tcPr>
          <w:p w:rsidR="00C364B9" w:rsidRPr="006B6888" w:rsidRDefault="00C364B9" w:rsidP="00DC56AA">
            <w:pPr>
              <w:pStyle w:val="ListParagraph"/>
              <w:numPr>
                <w:ilvl w:val="0"/>
                <w:numId w:val="4"/>
              </w:numPr>
              <w:rPr>
                <w:rFonts w:ascii="Arial" w:hAnsi="Arial" w:cs="Arial"/>
                <w:sz w:val="24"/>
                <w:szCs w:val="24"/>
                <w:lang w:val="fr-BE"/>
              </w:rPr>
            </w:pPr>
            <w:r w:rsidRPr="006B6888">
              <w:rPr>
                <w:rFonts w:ascii="Arial" w:hAnsi="Arial" w:cs="Arial"/>
                <w:sz w:val="24"/>
                <w:szCs w:val="24"/>
                <w:lang w:val="fr-BE"/>
              </w:rPr>
              <w:lastRenderedPageBreak/>
              <w:t>Aider le secteur du détail à faire face à la transition</w:t>
            </w:r>
            <w:r w:rsidR="00481048">
              <w:rPr>
                <w:rFonts w:ascii="Arial" w:hAnsi="Arial" w:cs="Arial"/>
                <w:sz w:val="24"/>
                <w:szCs w:val="24"/>
                <w:lang w:val="fr-BE"/>
              </w:rPr>
              <w:t>.</w:t>
            </w:r>
          </w:p>
          <w:p w:rsidR="00C364B9" w:rsidRPr="006B6888" w:rsidRDefault="00C364B9" w:rsidP="00620EB7">
            <w:pPr>
              <w:pStyle w:val="ListParagraph"/>
              <w:ind w:left="0"/>
              <w:jc w:val="both"/>
              <w:rPr>
                <w:rFonts w:ascii="Arial" w:hAnsi="Arial" w:cs="Arial"/>
                <w:sz w:val="24"/>
                <w:szCs w:val="24"/>
                <w:lang w:val="fr-BE"/>
              </w:rPr>
            </w:pPr>
          </w:p>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Prévoir un soutien financier pour les investissements à réaliser (entre autres via COSME)</w:t>
            </w:r>
            <w:r w:rsidR="009C5FE3">
              <w:rPr>
                <w:rFonts w:ascii="Arial" w:hAnsi="Arial" w:cs="Arial"/>
                <w:sz w:val="24"/>
                <w:szCs w:val="24"/>
                <w:lang w:val="fr-BE"/>
              </w:rPr>
              <w:t>.</w:t>
            </w:r>
          </w:p>
          <w:p w:rsidR="00C364B9" w:rsidRPr="006B6888" w:rsidRDefault="00C364B9" w:rsidP="00620EB7">
            <w:pPr>
              <w:pStyle w:val="ListParagraph"/>
              <w:ind w:left="0"/>
              <w:jc w:val="both"/>
              <w:rPr>
                <w:rFonts w:ascii="Arial" w:hAnsi="Arial" w:cs="Arial"/>
                <w:sz w:val="24"/>
                <w:szCs w:val="24"/>
                <w:lang w:val="fr-BE"/>
              </w:rPr>
            </w:pPr>
          </w:p>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 xml:space="preserve">Prévoir un soutien </w:t>
            </w:r>
            <w:r w:rsidRPr="006B6888">
              <w:rPr>
                <w:rFonts w:ascii="Arial" w:hAnsi="Arial" w:cs="Arial"/>
                <w:sz w:val="24"/>
                <w:szCs w:val="24"/>
                <w:lang w:val="fr-BE"/>
              </w:rPr>
              <w:lastRenderedPageBreak/>
              <w:t>financier pour les informations et les formations, en coopération avec les organisations concernées.</w:t>
            </w:r>
          </w:p>
        </w:tc>
      </w:tr>
      <w:tr w:rsidR="00065300" w:rsidTr="00DC56AA">
        <w:tc>
          <w:tcPr>
            <w:tcW w:w="3006" w:type="dxa"/>
          </w:tcPr>
          <w:p w:rsidR="00C364B9" w:rsidRPr="006B6888" w:rsidRDefault="00C364B9" w:rsidP="008D0F1A">
            <w:pPr>
              <w:pStyle w:val="ListParagraph"/>
              <w:ind w:left="0"/>
              <w:jc w:val="both"/>
              <w:rPr>
                <w:rFonts w:ascii="Arial" w:hAnsi="Arial" w:cs="Arial"/>
                <w:sz w:val="24"/>
                <w:szCs w:val="24"/>
                <w:lang w:val="fr-BE"/>
              </w:rPr>
            </w:pPr>
            <w:r w:rsidRPr="006B6888">
              <w:rPr>
                <w:rFonts w:ascii="Arial" w:hAnsi="Arial" w:cs="Arial"/>
                <w:sz w:val="24"/>
                <w:szCs w:val="24"/>
                <w:lang w:val="fr-BE"/>
              </w:rPr>
              <w:lastRenderedPageBreak/>
              <w:t>Les spécificités propres au secteur</w:t>
            </w:r>
          </w:p>
        </w:tc>
        <w:tc>
          <w:tcPr>
            <w:tcW w:w="3513" w:type="dxa"/>
          </w:tcPr>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L</w:t>
            </w:r>
            <w:r w:rsidR="00C47098">
              <w:rPr>
                <w:rFonts w:ascii="Arial" w:hAnsi="Arial" w:cs="Arial"/>
                <w:sz w:val="24"/>
                <w:szCs w:val="24"/>
                <w:lang w:val="fr-BE"/>
              </w:rPr>
              <w:t>’</w:t>
            </w:r>
            <w:r w:rsidRPr="006B6888">
              <w:rPr>
                <w:rFonts w:ascii="Arial" w:hAnsi="Arial" w:cs="Arial"/>
                <w:sz w:val="24"/>
                <w:szCs w:val="24"/>
                <w:lang w:val="fr-BE"/>
              </w:rPr>
              <w:t>accessibilité des commerces (qui dépend souvent de la présence de parkings), l</w:t>
            </w:r>
            <w:r w:rsidR="00C47098">
              <w:rPr>
                <w:rFonts w:ascii="Arial" w:hAnsi="Arial" w:cs="Arial"/>
                <w:sz w:val="24"/>
                <w:szCs w:val="24"/>
                <w:lang w:val="fr-BE"/>
              </w:rPr>
              <w:t>’</w:t>
            </w:r>
            <w:r w:rsidRPr="006B6888">
              <w:rPr>
                <w:rFonts w:ascii="Arial" w:hAnsi="Arial" w:cs="Arial"/>
                <w:sz w:val="24"/>
                <w:szCs w:val="24"/>
                <w:lang w:val="fr-BE"/>
              </w:rPr>
              <w:t>aménagement des centres villes (qui varie en fonction de la présence de zones piétonnes), la proximité géographique des consommateurs (cas des commerces de quartiers, des commerces situés dans des régions rurales ou sur des îles) constituent des spécificités socioéconomiques et sociétales qui so</w:t>
            </w:r>
            <w:r w:rsidR="00B24DF5" w:rsidRPr="006B6888">
              <w:rPr>
                <w:rFonts w:ascii="Arial" w:hAnsi="Arial" w:cs="Arial"/>
                <w:sz w:val="24"/>
                <w:szCs w:val="24"/>
                <w:lang w:val="fr-BE"/>
              </w:rPr>
              <w:t>nt propres au secteur du détail</w:t>
            </w:r>
            <w:r w:rsidR="009C5FE3">
              <w:rPr>
                <w:rFonts w:ascii="Arial" w:hAnsi="Arial" w:cs="Arial"/>
                <w:sz w:val="24"/>
                <w:szCs w:val="24"/>
                <w:lang w:val="fr-BE"/>
              </w:rPr>
              <w:t>.</w:t>
            </w:r>
          </w:p>
          <w:p w:rsidR="00C364B9" w:rsidRPr="006B6888" w:rsidRDefault="00C364B9" w:rsidP="00620EB7">
            <w:pPr>
              <w:pStyle w:val="ListParagraph"/>
              <w:ind w:left="0"/>
              <w:jc w:val="both"/>
              <w:rPr>
                <w:rFonts w:ascii="Arial" w:hAnsi="Arial" w:cs="Arial"/>
                <w:sz w:val="24"/>
                <w:szCs w:val="24"/>
                <w:lang w:val="fr-BE"/>
              </w:rPr>
            </w:pPr>
          </w:p>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La spécialisation peut apporter une réponse partielle (survie d</w:t>
            </w:r>
            <w:r w:rsidR="00C47098">
              <w:rPr>
                <w:rFonts w:ascii="Arial" w:hAnsi="Arial" w:cs="Arial"/>
                <w:sz w:val="24"/>
                <w:szCs w:val="24"/>
                <w:lang w:val="fr-BE"/>
              </w:rPr>
              <w:t>’</w:t>
            </w:r>
            <w:r w:rsidRPr="006B6888">
              <w:rPr>
                <w:rFonts w:ascii="Arial" w:hAnsi="Arial" w:cs="Arial"/>
                <w:sz w:val="24"/>
                <w:szCs w:val="24"/>
                <w:lang w:val="fr-BE"/>
              </w:rPr>
              <w:t>un détaillant dans une zone difficilement accessible par exemple), mais elle va de pair avec un rétrécissement de la part de marché.</w:t>
            </w:r>
          </w:p>
        </w:tc>
        <w:tc>
          <w:tcPr>
            <w:tcW w:w="3263" w:type="dxa"/>
          </w:tcPr>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Avant toute prise de position, la Commission devrait avoir une vue d</w:t>
            </w:r>
            <w:r w:rsidR="00C47098">
              <w:rPr>
                <w:rFonts w:ascii="Arial" w:hAnsi="Arial" w:cs="Arial"/>
                <w:sz w:val="24"/>
                <w:szCs w:val="24"/>
                <w:lang w:val="fr-BE"/>
              </w:rPr>
              <w:t>’</w:t>
            </w:r>
            <w:r w:rsidRPr="006B6888">
              <w:rPr>
                <w:rFonts w:ascii="Arial" w:hAnsi="Arial" w:cs="Arial"/>
                <w:sz w:val="24"/>
                <w:szCs w:val="24"/>
                <w:lang w:val="fr-BE"/>
              </w:rPr>
              <w:t>ensemble de la</w:t>
            </w:r>
            <w:r w:rsidR="00B24DF5" w:rsidRPr="006B6888">
              <w:rPr>
                <w:rFonts w:ascii="Arial" w:hAnsi="Arial" w:cs="Arial"/>
                <w:sz w:val="24"/>
                <w:szCs w:val="24"/>
                <w:lang w:val="fr-BE"/>
              </w:rPr>
              <w:t xml:space="preserve"> situation du secteur du détail</w:t>
            </w:r>
            <w:r w:rsidR="009C5FE3">
              <w:rPr>
                <w:rFonts w:ascii="Arial" w:hAnsi="Arial" w:cs="Arial"/>
                <w:sz w:val="24"/>
                <w:szCs w:val="24"/>
                <w:lang w:val="fr-BE"/>
              </w:rPr>
              <w:t>.</w:t>
            </w:r>
          </w:p>
          <w:p w:rsidR="00C364B9" w:rsidRPr="006B6888" w:rsidRDefault="00C364B9" w:rsidP="00620EB7">
            <w:pPr>
              <w:pStyle w:val="ListParagraph"/>
              <w:ind w:left="0"/>
              <w:jc w:val="both"/>
              <w:rPr>
                <w:rFonts w:ascii="Arial" w:hAnsi="Arial" w:cs="Arial"/>
                <w:sz w:val="24"/>
                <w:szCs w:val="24"/>
                <w:lang w:val="fr-BE"/>
              </w:rPr>
            </w:pPr>
          </w:p>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La Commission devrait tenir compte du cas particulier de l</w:t>
            </w:r>
            <w:r w:rsidR="00C47098">
              <w:rPr>
                <w:rFonts w:ascii="Arial" w:hAnsi="Arial" w:cs="Arial"/>
                <w:sz w:val="24"/>
                <w:szCs w:val="24"/>
                <w:lang w:val="fr-BE"/>
              </w:rPr>
              <w:t>’</w:t>
            </w:r>
            <w:r w:rsidRPr="006B6888">
              <w:rPr>
                <w:rFonts w:ascii="Arial" w:hAnsi="Arial" w:cs="Arial"/>
                <w:sz w:val="24"/>
                <w:szCs w:val="24"/>
                <w:lang w:val="fr-BE"/>
              </w:rPr>
              <w:t>artisanat et l</w:t>
            </w:r>
            <w:r w:rsidR="00C47098">
              <w:rPr>
                <w:rFonts w:ascii="Arial" w:hAnsi="Arial" w:cs="Arial"/>
                <w:sz w:val="24"/>
                <w:szCs w:val="24"/>
                <w:lang w:val="fr-BE"/>
              </w:rPr>
              <w:t>’</w:t>
            </w:r>
            <w:r w:rsidRPr="006B6888">
              <w:rPr>
                <w:rFonts w:ascii="Arial" w:hAnsi="Arial" w:cs="Arial"/>
                <w:sz w:val="24"/>
                <w:szCs w:val="24"/>
                <w:lang w:val="fr-BE"/>
              </w:rPr>
              <w:t>inclure dans sa stratégie: souvent, les artisans fabriquent et vendent simultanément (par exemple les boulangers, les pâtissiers, les bijoutiers).</w:t>
            </w:r>
          </w:p>
          <w:p w:rsidR="00C364B9" w:rsidRPr="006B6888" w:rsidRDefault="00C364B9" w:rsidP="00620EB7">
            <w:pPr>
              <w:pStyle w:val="ListParagraph"/>
              <w:ind w:left="0"/>
              <w:jc w:val="both"/>
              <w:rPr>
                <w:rFonts w:ascii="Arial" w:hAnsi="Arial" w:cs="Arial"/>
                <w:sz w:val="24"/>
                <w:szCs w:val="24"/>
                <w:lang w:val="fr-BE"/>
              </w:rPr>
            </w:pPr>
          </w:p>
          <w:p w:rsidR="00C364B9" w:rsidRPr="006B6888" w:rsidRDefault="00C364B9" w:rsidP="00620EB7">
            <w:pPr>
              <w:pStyle w:val="ListParagraph"/>
              <w:ind w:left="0"/>
              <w:jc w:val="both"/>
              <w:rPr>
                <w:rFonts w:ascii="Arial" w:hAnsi="Arial" w:cs="Arial"/>
                <w:sz w:val="24"/>
                <w:szCs w:val="24"/>
                <w:lang w:val="fr-BE"/>
              </w:rPr>
            </w:pPr>
          </w:p>
        </w:tc>
      </w:tr>
      <w:tr w:rsidR="00065300" w:rsidTr="00DC56AA">
        <w:tc>
          <w:tcPr>
            <w:tcW w:w="3006" w:type="dxa"/>
          </w:tcPr>
          <w:p w:rsidR="00C364B9" w:rsidRPr="006B6888" w:rsidRDefault="00C364B9" w:rsidP="008D0F1A">
            <w:pPr>
              <w:pStyle w:val="ListParagraph"/>
              <w:ind w:left="0"/>
              <w:jc w:val="both"/>
              <w:rPr>
                <w:rFonts w:ascii="Arial" w:hAnsi="Arial" w:cs="Arial"/>
                <w:sz w:val="24"/>
                <w:szCs w:val="24"/>
                <w:lang w:val="fr-BE"/>
              </w:rPr>
            </w:pPr>
            <w:r w:rsidRPr="006B6888">
              <w:rPr>
                <w:rFonts w:ascii="Arial" w:hAnsi="Arial" w:cs="Arial"/>
                <w:sz w:val="24"/>
                <w:szCs w:val="24"/>
                <w:lang w:val="fr-BE"/>
              </w:rPr>
              <w:t>Le commerce électronique</w:t>
            </w:r>
          </w:p>
        </w:tc>
        <w:tc>
          <w:tcPr>
            <w:tcW w:w="3513" w:type="dxa"/>
          </w:tcPr>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Dans la plupart des cas, lorsqu</w:t>
            </w:r>
            <w:r w:rsidR="00C47098">
              <w:rPr>
                <w:rFonts w:ascii="Arial" w:hAnsi="Arial" w:cs="Arial"/>
                <w:sz w:val="24"/>
                <w:szCs w:val="24"/>
                <w:lang w:val="fr-BE"/>
              </w:rPr>
              <w:t>’</w:t>
            </w:r>
            <w:r w:rsidRPr="006B6888">
              <w:rPr>
                <w:rFonts w:ascii="Arial" w:hAnsi="Arial" w:cs="Arial"/>
                <w:sz w:val="24"/>
                <w:szCs w:val="24"/>
                <w:lang w:val="fr-BE"/>
              </w:rPr>
              <w:t>il est combiné à un point de vente physique, le commerce électronique peut être un atout pour les détaillants: il permet de cibler davantage de nouveaux clients tout en conservant un service personnalisé et de proximité.</w:t>
            </w:r>
          </w:p>
        </w:tc>
        <w:tc>
          <w:tcPr>
            <w:tcW w:w="3263" w:type="dxa"/>
          </w:tcPr>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Adopter une approche inclusive dans toute mesure qui serait prise pour favoriser l</w:t>
            </w:r>
            <w:r w:rsidR="00C47098">
              <w:rPr>
                <w:rFonts w:ascii="Arial" w:hAnsi="Arial" w:cs="Arial"/>
                <w:sz w:val="24"/>
                <w:szCs w:val="24"/>
                <w:lang w:val="fr-BE"/>
              </w:rPr>
              <w:t>’</w:t>
            </w:r>
            <w:r w:rsidRPr="006B6888">
              <w:rPr>
                <w:rFonts w:ascii="Arial" w:hAnsi="Arial" w:cs="Arial"/>
                <w:sz w:val="24"/>
                <w:szCs w:val="24"/>
                <w:lang w:val="fr-BE"/>
              </w:rPr>
              <w:t>accès au commerce électronique (financement, formation).</w:t>
            </w:r>
          </w:p>
        </w:tc>
      </w:tr>
      <w:tr w:rsidR="00065300" w:rsidTr="00DC56AA">
        <w:tc>
          <w:tcPr>
            <w:tcW w:w="3006" w:type="dxa"/>
          </w:tcPr>
          <w:p w:rsidR="00C364B9" w:rsidRPr="006B6888" w:rsidRDefault="00C364B9" w:rsidP="008B3C8C">
            <w:pPr>
              <w:pStyle w:val="ListParagraph"/>
              <w:ind w:left="0"/>
              <w:jc w:val="both"/>
              <w:rPr>
                <w:rFonts w:ascii="Arial" w:hAnsi="Arial" w:cs="Arial"/>
                <w:sz w:val="24"/>
                <w:szCs w:val="24"/>
                <w:lang w:val="fr-BE"/>
              </w:rPr>
            </w:pPr>
            <w:r w:rsidRPr="006B6888">
              <w:rPr>
                <w:rFonts w:ascii="Arial" w:hAnsi="Arial" w:cs="Arial"/>
                <w:sz w:val="24"/>
                <w:szCs w:val="24"/>
                <w:lang w:val="fr-BE"/>
              </w:rPr>
              <w:t>La concurrence</w:t>
            </w:r>
          </w:p>
        </w:tc>
        <w:tc>
          <w:tcPr>
            <w:tcW w:w="3513" w:type="dxa"/>
          </w:tcPr>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 xml:space="preserve">Avec le développement du commerce électronique, la concurrence équitable est devenue un défi encore plus difficile à relever, que ce soit au niveau fiscal, </w:t>
            </w:r>
            <w:r w:rsidRPr="006B6888">
              <w:rPr>
                <w:rFonts w:ascii="Arial" w:hAnsi="Arial" w:cs="Arial"/>
                <w:sz w:val="24"/>
                <w:szCs w:val="24"/>
                <w:lang w:val="fr-BE"/>
              </w:rPr>
              <w:lastRenderedPageBreak/>
              <w:t>social, sanitaire, au niveau de l</w:t>
            </w:r>
            <w:r w:rsidR="00C47098">
              <w:rPr>
                <w:rFonts w:ascii="Arial" w:hAnsi="Arial" w:cs="Arial"/>
                <w:sz w:val="24"/>
                <w:szCs w:val="24"/>
                <w:lang w:val="fr-BE"/>
              </w:rPr>
              <w:t>’</w:t>
            </w:r>
            <w:r w:rsidRPr="006B6888">
              <w:rPr>
                <w:rFonts w:ascii="Arial" w:hAnsi="Arial" w:cs="Arial"/>
                <w:sz w:val="24"/>
                <w:szCs w:val="24"/>
                <w:lang w:val="fr-BE"/>
              </w:rPr>
              <w:t>énergie, de la numérisation, de la normalisation, de la durabilité, de la protection des consommateurs ou encore de l</w:t>
            </w:r>
            <w:r w:rsidR="00C47098">
              <w:rPr>
                <w:rFonts w:ascii="Arial" w:hAnsi="Arial" w:cs="Arial"/>
                <w:sz w:val="24"/>
                <w:szCs w:val="24"/>
                <w:lang w:val="fr-BE"/>
              </w:rPr>
              <w:t>’</w:t>
            </w:r>
            <w:r w:rsidRPr="006B6888">
              <w:rPr>
                <w:rFonts w:ascii="Arial" w:hAnsi="Arial" w:cs="Arial"/>
                <w:sz w:val="24"/>
                <w:szCs w:val="24"/>
                <w:lang w:val="fr-BE"/>
              </w:rPr>
              <w:t>environnement.</w:t>
            </w:r>
          </w:p>
        </w:tc>
        <w:tc>
          <w:tcPr>
            <w:tcW w:w="3263" w:type="dxa"/>
          </w:tcPr>
          <w:p w:rsidR="00C364B9" w:rsidRPr="006B6888" w:rsidRDefault="00C364B9">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lastRenderedPageBreak/>
              <w:t>Garantir une concurrence équitable (</w:t>
            </w:r>
            <w:r w:rsidR="00771032">
              <w:rPr>
                <w:rFonts w:ascii="Arial" w:hAnsi="Arial" w:cs="Arial"/>
                <w:sz w:val="24"/>
                <w:szCs w:val="24"/>
                <w:lang w:val="fr-BE"/>
              </w:rPr>
              <w:t>«</w:t>
            </w:r>
            <w:proofErr w:type="spellStart"/>
            <w:r w:rsidRPr="006B6888">
              <w:rPr>
                <w:rFonts w:ascii="Arial" w:hAnsi="Arial" w:cs="Arial"/>
                <w:sz w:val="24"/>
                <w:szCs w:val="24"/>
                <w:lang w:val="fr-BE"/>
              </w:rPr>
              <w:t>level</w:t>
            </w:r>
            <w:proofErr w:type="spellEnd"/>
            <w:r w:rsidRPr="006B6888">
              <w:rPr>
                <w:rFonts w:ascii="Arial" w:hAnsi="Arial" w:cs="Arial"/>
                <w:sz w:val="24"/>
                <w:szCs w:val="24"/>
                <w:lang w:val="fr-BE"/>
              </w:rPr>
              <w:t xml:space="preserve"> </w:t>
            </w:r>
            <w:proofErr w:type="spellStart"/>
            <w:r w:rsidRPr="006B6888">
              <w:rPr>
                <w:rFonts w:ascii="Arial" w:hAnsi="Arial" w:cs="Arial"/>
                <w:sz w:val="24"/>
                <w:szCs w:val="24"/>
                <w:lang w:val="fr-BE"/>
              </w:rPr>
              <w:t>playing</w:t>
            </w:r>
            <w:proofErr w:type="spellEnd"/>
            <w:r w:rsidRPr="006B6888">
              <w:rPr>
                <w:rFonts w:ascii="Arial" w:hAnsi="Arial" w:cs="Arial"/>
                <w:sz w:val="24"/>
                <w:szCs w:val="24"/>
                <w:lang w:val="fr-BE"/>
              </w:rPr>
              <w:t xml:space="preserve"> </w:t>
            </w:r>
            <w:proofErr w:type="spellStart"/>
            <w:r w:rsidRPr="006B6888">
              <w:rPr>
                <w:rFonts w:ascii="Arial" w:hAnsi="Arial" w:cs="Arial"/>
                <w:sz w:val="24"/>
                <w:szCs w:val="24"/>
                <w:lang w:val="fr-BE"/>
              </w:rPr>
              <w:t>field</w:t>
            </w:r>
            <w:proofErr w:type="spellEnd"/>
            <w:r w:rsidR="00771032">
              <w:rPr>
                <w:rFonts w:ascii="Arial" w:hAnsi="Arial" w:cs="Arial"/>
                <w:sz w:val="24"/>
                <w:szCs w:val="24"/>
                <w:lang w:val="fr-BE"/>
              </w:rPr>
              <w:t>»</w:t>
            </w:r>
            <w:r w:rsidRPr="006B6888">
              <w:rPr>
                <w:rFonts w:ascii="Arial" w:hAnsi="Arial" w:cs="Arial"/>
                <w:sz w:val="24"/>
                <w:szCs w:val="24"/>
                <w:lang w:val="fr-BE"/>
              </w:rPr>
              <w:t>) aussi bien entre les États membres de l</w:t>
            </w:r>
            <w:r w:rsidR="00C47098">
              <w:rPr>
                <w:rFonts w:ascii="Arial" w:hAnsi="Arial" w:cs="Arial"/>
                <w:sz w:val="24"/>
                <w:szCs w:val="24"/>
                <w:lang w:val="fr-BE"/>
              </w:rPr>
              <w:t>’</w:t>
            </w:r>
            <w:r w:rsidRPr="006B6888">
              <w:rPr>
                <w:rFonts w:ascii="Arial" w:hAnsi="Arial" w:cs="Arial"/>
                <w:sz w:val="24"/>
                <w:szCs w:val="24"/>
                <w:lang w:val="fr-BE"/>
              </w:rPr>
              <w:t>UE qu</w:t>
            </w:r>
            <w:r w:rsidR="00C47098">
              <w:rPr>
                <w:rFonts w:ascii="Arial" w:hAnsi="Arial" w:cs="Arial"/>
                <w:sz w:val="24"/>
                <w:szCs w:val="24"/>
                <w:lang w:val="fr-BE"/>
              </w:rPr>
              <w:t>’</w:t>
            </w:r>
            <w:r w:rsidRPr="006B6888">
              <w:rPr>
                <w:rFonts w:ascii="Arial" w:hAnsi="Arial" w:cs="Arial"/>
                <w:sz w:val="24"/>
                <w:szCs w:val="24"/>
                <w:lang w:val="fr-BE"/>
              </w:rPr>
              <w:t xml:space="preserve">avec les pays tiers, </w:t>
            </w:r>
            <w:r w:rsidRPr="006B6888">
              <w:rPr>
                <w:rFonts w:ascii="Arial" w:hAnsi="Arial" w:cs="Arial"/>
                <w:sz w:val="24"/>
                <w:szCs w:val="24"/>
                <w:lang w:val="fr-BE"/>
              </w:rPr>
              <w:lastRenderedPageBreak/>
              <w:t>dans l</w:t>
            </w:r>
            <w:r w:rsidR="00C47098">
              <w:rPr>
                <w:rFonts w:ascii="Arial" w:hAnsi="Arial" w:cs="Arial"/>
                <w:sz w:val="24"/>
                <w:szCs w:val="24"/>
                <w:lang w:val="fr-BE"/>
              </w:rPr>
              <w:t>’</w:t>
            </w:r>
            <w:r w:rsidRPr="006B6888">
              <w:rPr>
                <w:rFonts w:ascii="Arial" w:hAnsi="Arial" w:cs="Arial"/>
                <w:sz w:val="24"/>
                <w:szCs w:val="24"/>
                <w:lang w:val="fr-BE"/>
              </w:rPr>
              <w:t>intérêt de toutes les parties prenantes.</w:t>
            </w:r>
          </w:p>
        </w:tc>
      </w:tr>
      <w:tr w:rsidR="00065300" w:rsidTr="00DC56AA">
        <w:tc>
          <w:tcPr>
            <w:tcW w:w="3006" w:type="dxa"/>
          </w:tcPr>
          <w:p w:rsidR="00C364B9" w:rsidRPr="006B6888" w:rsidRDefault="00C364B9" w:rsidP="008D0F1A">
            <w:pPr>
              <w:pStyle w:val="ListParagraph"/>
              <w:ind w:left="0"/>
              <w:jc w:val="both"/>
              <w:rPr>
                <w:rFonts w:ascii="Arial" w:hAnsi="Arial" w:cs="Arial"/>
                <w:sz w:val="24"/>
                <w:szCs w:val="24"/>
                <w:lang w:val="fr-BE"/>
              </w:rPr>
            </w:pPr>
            <w:r w:rsidRPr="006B6888">
              <w:rPr>
                <w:rFonts w:ascii="Arial" w:hAnsi="Arial" w:cs="Arial"/>
                <w:sz w:val="24"/>
                <w:szCs w:val="24"/>
                <w:lang w:val="fr-BE"/>
              </w:rPr>
              <w:lastRenderedPageBreak/>
              <w:t>Les heures d</w:t>
            </w:r>
            <w:r w:rsidR="00C47098">
              <w:rPr>
                <w:rFonts w:ascii="Arial" w:hAnsi="Arial" w:cs="Arial"/>
                <w:sz w:val="24"/>
                <w:szCs w:val="24"/>
                <w:lang w:val="fr-BE"/>
              </w:rPr>
              <w:t>’</w:t>
            </w:r>
            <w:r w:rsidRPr="006B6888">
              <w:rPr>
                <w:rFonts w:ascii="Arial" w:hAnsi="Arial" w:cs="Arial"/>
                <w:sz w:val="24"/>
                <w:szCs w:val="24"/>
                <w:lang w:val="fr-BE"/>
              </w:rPr>
              <w:t>ouverture des magasins et le travail du dimanche</w:t>
            </w:r>
          </w:p>
        </w:tc>
        <w:tc>
          <w:tcPr>
            <w:tcW w:w="3513" w:type="dxa"/>
          </w:tcPr>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Les représentants des PME et des travailleurs estiment qu</w:t>
            </w:r>
            <w:r w:rsidR="00C47098">
              <w:rPr>
                <w:rFonts w:ascii="Arial" w:hAnsi="Arial" w:cs="Arial"/>
                <w:sz w:val="24"/>
                <w:szCs w:val="24"/>
                <w:lang w:val="fr-BE"/>
              </w:rPr>
              <w:t>’</w:t>
            </w:r>
            <w:r w:rsidRPr="006B6888">
              <w:rPr>
                <w:rFonts w:ascii="Arial" w:hAnsi="Arial" w:cs="Arial"/>
                <w:sz w:val="24"/>
                <w:szCs w:val="24"/>
                <w:lang w:val="fr-BE"/>
              </w:rPr>
              <w:t>il faudrait conserver le pouvoir subsidiaire des États, des régions et des pouvoirs locaux, même si un certain nombre de représentants de la grande distribution semblent préférer une réglementation plus libérale.</w:t>
            </w:r>
          </w:p>
        </w:tc>
        <w:tc>
          <w:tcPr>
            <w:tcW w:w="3263" w:type="dxa"/>
          </w:tcPr>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Conserver la subsidiarité dans la réglementation.</w:t>
            </w:r>
          </w:p>
        </w:tc>
      </w:tr>
      <w:tr w:rsidR="00065300" w:rsidTr="00DC56AA">
        <w:tc>
          <w:tcPr>
            <w:tcW w:w="3006" w:type="dxa"/>
          </w:tcPr>
          <w:p w:rsidR="00C364B9" w:rsidRPr="006B6888" w:rsidRDefault="00C364B9" w:rsidP="008D0F1A">
            <w:pPr>
              <w:pStyle w:val="ListParagraph"/>
              <w:ind w:left="0"/>
              <w:jc w:val="both"/>
              <w:rPr>
                <w:rFonts w:ascii="Arial" w:hAnsi="Arial" w:cs="Arial"/>
                <w:sz w:val="24"/>
                <w:szCs w:val="24"/>
                <w:lang w:val="fr-BE"/>
              </w:rPr>
            </w:pPr>
            <w:r w:rsidRPr="006B6888">
              <w:rPr>
                <w:rFonts w:ascii="Arial" w:hAnsi="Arial" w:cs="Arial"/>
                <w:sz w:val="24"/>
                <w:szCs w:val="24"/>
                <w:lang w:val="fr-BE"/>
              </w:rPr>
              <w:t>Suivi à donner aux travaux de la Commission européenne</w:t>
            </w:r>
          </w:p>
        </w:tc>
        <w:tc>
          <w:tcPr>
            <w:tcW w:w="3513" w:type="dxa"/>
          </w:tcPr>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Les formations proposées par la Commission européenne à l</w:t>
            </w:r>
            <w:r w:rsidR="00C47098">
              <w:rPr>
                <w:rFonts w:ascii="Arial" w:hAnsi="Arial" w:cs="Arial"/>
                <w:sz w:val="24"/>
                <w:szCs w:val="24"/>
                <w:lang w:val="fr-BE"/>
              </w:rPr>
              <w:t>’</w:t>
            </w:r>
            <w:r w:rsidRPr="006B6888">
              <w:rPr>
                <w:rFonts w:ascii="Arial" w:hAnsi="Arial" w:cs="Arial"/>
                <w:sz w:val="24"/>
                <w:szCs w:val="24"/>
                <w:lang w:val="fr-BE"/>
              </w:rPr>
              <w:t xml:space="preserve">intention du secteur du détail ne sont pas assez connues. </w:t>
            </w:r>
          </w:p>
        </w:tc>
        <w:tc>
          <w:tcPr>
            <w:tcW w:w="3263" w:type="dxa"/>
          </w:tcPr>
          <w:p w:rsidR="00C364B9" w:rsidRPr="006B6888" w:rsidRDefault="00C364B9" w:rsidP="008B66CE">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Établir un plan d</w:t>
            </w:r>
            <w:r w:rsidR="00C47098">
              <w:rPr>
                <w:rFonts w:ascii="Arial" w:hAnsi="Arial" w:cs="Arial"/>
                <w:sz w:val="24"/>
                <w:szCs w:val="24"/>
                <w:lang w:val="fr-BE"/>
              </w:rPr>
              <w:t>’</w:t>
            </w:r>
            <w:r w:rsidRPr="006B6888">
              <w:rPr>
                <w:rFonts w:ascii="Arial" w:hAnsi="Arial" w:cs="Arial"/>
                <w:sz w:val="24"/>
                <w:szCs w:val="24"/>
                <w:lang w:val="fr-BE"/>
              </w:rPr>
              <w:t>action concret sur le secteur du commerce de détail, en coopération avec tous les acteurs concernés. Ce plan d</w:t>
            </w:r>
            <w:r w:rsidR="00C47098">
              <w:rPr>
                <w:rFonts w:ascii="Arial" w:hAnsi="Arial" w:cs="Arial"/>
                <w:sz w:val="24"/>
                <w:szCs w:val="24"/>
                <w:lang w:val="fr-BE"/>
              </w:rPr>
              <w:t>’</w:t>
            </w:r>
            <w:r w:rsidRPr="006B6888">
              <w:rPr>
                <w:rFonts w:ascii="Arial" w:hAnsi="Arial" w:cs="Arial"/>
                <w:sz w:val="24"/>
                <w:szCs w:val="24"/>
                <w:lang w:val="fr-BE"/>
              </w:rPr>
              <w:t>action pourrait comporter un chapitre sur le commerce électronique, qui serait assorti d</w:t>
            </w:r>
            <w:r w:rsidR="00C47098">
              <w:rPr>
                <w:rFonts w:ascii="Arial" w:hAnsi="Arial" w:cs="Arial"/>
                <w:sz w:val="24"/>
                <w:szCs w:val="24"/>
                <w:lang w:val="fr-BE"/>
              </w:rPr>
              <w:t>’</w:t>
            </w:r>
            <w:r w:rsidRPr="006B6888">
              <w:rPr>
                <w:rFonts w:ascii="Arial" w:hAnsi="Arial" w:cs="Arial"/>
                <w:sz w:val="24"/>
                <w:szCs w:val="24"/>
                <w:lang w:val="fr-BE"/>
              </w:rPr>
              <w:t>un volet sur la gestion des plaintes et les retours gratuits. Il pourrait également comporter un chapitre sur la coopération entre les différentes branches du secteur du détail et aborder par exemple la que</w:t>
            </w:r>
            <w:r w:rsidR="00B24DF5" w:rsidRPr="006B6888">
              <w:rPr>
                <w:rFonts w:ascii="Arial" w:hAnsi="Arial" w:cs="Arial"/>
                <w:sz w:val="24"/>
                <w:szCs w:val="24"/>
                <w:lang w:val="fr-BE"/>
              </w:rPr>
              <w:t>stion des contrats de franchise</w:t>
            </w:r>
            <w:r w:rsidR="008B66CE">
              <w:rPr>
                <w:rFonts w:ascii="Arial" w:hAnsi="Arial" w:cs="Arial"/>
                <w:sz w:val="24"/>
                <w:szCs w:val="24"/>
                <w:lang w:val="fr-BE"/>
              </w:rPr>
              <w:t xml:space="preserve"> </w:t>
            </w:r>
            <w:r w:rsidR="008B66CE" w:rsidRPr="008B66CE">
              <w:rPr>
                <w:rFonts w:ascii="Arial" w:hAnsi="Arial" w:cs="Arial"/>
                <w:sz w:val="24"/>
                <w:szCs w:val="24"/>
                <w:lang w:val="fr-BE"/>
              </w:rPr>
              <w:t>qui, vu la concurrence croissante, s</w:t>
            </w:r>
            <w:r w:rsidR="00903408">
              <w:rPr>
                <w:rFonts w:ascii="Arial" w:hAnsi="Arial" w:cs="Arial"/>
                <w:szCs w:val="24"/>
                <w:lang w:val="fr-BE"/>
              </w:rPr>
              <w:t>’</w:t>
            </w:r>
            <w:r w:rsidR="008B66CE" w:rsidRPr="008B66CE">
              <w:rPr>
                <w:rFonts w:ascii="Arial" w:hAnsi="Arial" w:cs="Arial"/>
                <w:sz w:val="24"/>
                <w:szCs w:val="24"/>
                <w:lang w:val="fr-BE"/>
              </w:rPr>
              <w:t>avèrent un modèle d</w:t>
            </w:r>
            <w:r w:rsidR="00903408">
              <w:rPr>
                <w:rFonts w:ascii="Arial" w:hAnsi="Arial" w:cs="Arial"/>
                <w:szCs w:val="24"/>
                <w:lang w:val="fr-BE"/>
              </w:rPr>
              <w:t>’</w:t>
            </w:r>
            <w:r w:rsidR="008B66CE" w:rsidRPr="008B66CE">
              <w:rPr>
                <w:rFonts w:ascii="Arial" w:hAnsi="Arial" w:cs="Arial"/>
                <w:sz w:val="24"/>
                <w:szCs w:val="24"/>
                <w:lang w:val="fr-BE"/>
              </w:rPr>
              <w:t>avenir. Cependant, afin d</w:t>
            </w:r>
            <w:r w:rsidR="00903408">
              <w:rPr>
                <w:rFonts w:ascii="Arial" w:hAnsi="Arial" w:cs="Arial"/>
                <w:szCs w:val="24"/>
                <w:lang w:val="fr-BE"/>
              </w:rPr>
              <w:t>’</w:t>
            </w:r>
            <w:r w:rsidR="008B66CE" w:rsidRPr="008B66CE">
              <w:rPr>
                <w:rFonts w:ascii="Arial" w:hAnsi="Arial" w:cs="Arial"/>
                <w:sz w:val="24"/>
                <w:szCs w:val="24"/>
                <w:lang w:val="fr-BE"/>
              </w:rPr>
              <w:t>assurer la libre concurrence, il faudrait éviter que les franchiseurs ne ferment leurs marchés par des contrats qui limitent la liberté du franchisé de quitter la formule.</w:t>
            </w:r>
          </w:p>
          <w:p w:rsidR="00C364B9" w:rsidRPr="006B6888" w:rsidRDefault="00C364B9" w:rsidP="00620EB7">
            <w:pPr>
              <w:pStyle w:val="ListParagraph"/>
              <w:ind w:left="0"/>
              <w:jc w:val="both"/>
              <w:rPr>
                <w:rFonts w:ascii="Arial" w:hAnsi="Arial" w:cs="Arial"/>
                <w:sz w:val="24"/>
                <w:szCs w:val="24"/>
                <w:lang w:val="fr-BE"/>
              </w:rPr>
            </w:pPr>
          </w:p>
          <w:p w:rsidR="00C364B9" w:rsidRPr="006B6888" w:rsidRDefault="00C364B9" w:rsidP="00620EB7">
            <w:pPr>
              <w:pStyle w:val="ListParagraph"/>
              <w:numPr>
                <w:ilvl w:val="0"/>
                <w:numId w:val="4"/>
              </w:numPr>
              <w:jc w:val="both"/>
              <w:rPr>
                <w:rFonts w:ascii="Arial" w:hAnsi="Arial" w:cs="Arial"/>
                <w:sz w:val="24"/>
                <w:szCs w:val="24"/>
                <w:lang w:val="fr-BE"/>
              </w:rPr>
            </w:pPr>
            <w:r w:rsidRPr="006B6888">
              <w:rPr>
                <w:rFonts w:ascii="Arial" w:hAnsi="Arial" w:cs="Arial"/>
                <w:sz w:val="24"/>
                <w:szCs w:val="24"/>
                <w:lang w:val="fr-BE"/>
              </w:rPr>
              <w:t>Mettre en place, avec la coopération des acteurs concernés, une plateforme électronique qui regrouperait les meilleures pratiques des territoires en matière de commerce de détail.</w:t>
            </w:r>
          </w:p>
        </w:tc>
      </w:tr>
    </w:tbl>
    <w:p w:rsidR="00C364B9" w:rsidRPr="006B6888" w:rsidRDefault="00C364B9" w:rsidP="00C364B9">
      <w:pPr>
        <w:pStyle w:val="ListParagraph"/>
        <w:ind w:left="1440"/>
        <w:jc w:val="both"/>
        <w:rPr>
          <w:rFonts w:asciiTheme="minorHAnsi" w:hAnsiTheme="minorHAnsi" w:cstheme="minorHAnsi"/>
          <w:sz w:val="24"/>
          <w:szCs w:val="24"/>
          <w:lang w:val="fr-BE"/>
        </w:rPr>
      </w:pPr>
    </w:p>
    <w:p w:rsidR="00C364B9" w:rsidRPr="006B6888" w:rsidRDefault="00C364B9" w:rsidP="00C364B9">
      <w:pPr>
        <w:jc w:val="both"/>
        <w:rPr>
          <w:rFonts w:ascii="Arial" w:hAnsi="Arial" w:cs="Arial"/>
          <w:sz w:val="28"/>
          <w:szCs w:val="28"/>
          <w:lang w:val="fr-BE"/>
        </w:rPr>
      </w:pPr>
      <w:r w:rsidRPr="006B6888">
        <w:rPr>
          <w:noProof/>
          <w:lang w:val="en-US" w:eastAsia="en-US"/>
        </w:rPr>
        <mc:AlternateContent>
          <mc:Choice Requires="wps">
            <w:drawing>
              <wp:anchor distT="0" distB="0" distL="114300" distR="114300" simplePos="0" relativeHeight="251657216" behindDoc="0" locked="0" layoutInCell="1" allowOverlap="1" wp14:anchorId="3BA8DD6F" wp14:editId="5843BD2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364B9" w:rsidRPr="0047299D" w:rsidRDefault="00C364B9" w:rsidP="00C364B9">
                            <w:pPr>
                              <w:jc w:val="center"/>
                              <w:rPr>
                                <w:rFonts w:ascii="Arial" w:hAnsi="Arial" w:cs="Arial"/>
                                <w:szCs w:val="24"/>
                                <w:lang w:val="fr-FR"/>
                              </w:rPr>
                            </w:pPr>
                            <w:r w:rsidRPr="0047299D">
                              <w:rPr>
                                <w:rFonts w:ascii="Arial" w:hAnsi="Arial" w:cs="Arial"/>
                                <w:szCs w:val="24"/>
                                <w:lang w:val="fr-FR"/>
                              </w:rPr>
                              <w:t>EN BREF</w:t>
                            </w:r>
                          </w:p>
                          <w:p w:rsidR="00C364B9" w:rsidRPr="0047299D" w:rsidRDefault="00C364B9" w:rsidP="00C364B9">
                            <w:pPr>
                              <w:pStyle w:val="ListParagraph"/>
                              <w:jc w:val="center"/>
                              <w:rPr>
                                <w:rFonts w:ascii="Arial" w:hAnsi="Arial" w:cs="Arial"/>
                                <w:sz w:val="24"/>
                                <w:szCs w:val="24"/>
                                <w:u w:val="single"/>
                                <w:lang w:val="fr-FR"/>
                              </w:rPr>
                            </w:pPr>
                          </w:p>
                          <w:p w:rsidR="00C364B9" w:rsidRPr="0047299D" w:rsidRDefault="00C364B9" w:rsidP="00C364B9">
                            <w:pPr>
                              <w:pStyle w:val="ListParagraph"/>
                              <w:jc w:val="center"/>
                              <w:rPr>
                                <w:rFonts w:ascii="Arial" w:hAnsi="Arial" w:cs="Arial"/>
                                <w:sz w:val="24"/>
                                <w:szCs w:val="24"/>
                                <w:u w:val="single"/>
                                <w:lang w:val="fr-FR"/>
                              </w:rPr>
                            </w:pPr>
                            <w:r w:rsidRPr="0047299D">
                              <w:rPr>
                                <w:rFonts w:ascii="Arial" w:hAnsi="Arial" w:cs="Arial"/>
                                <w:sz w:val="24"/>
                                <w:szCs w:val="24"/>
                                <w:u w:val="single"/>
                                <w:lang w:val="fr-FR"/>
                              </w:rPr>
                              <w:t>Position des employeurs, des travailleurs et des consommateurs</w:t>
                            </w:r>
                          </w:p>
                          <w:p w:rsidR="00C364B9" w:rsidRPr="0047299D" w:rsidRDefault="00C364B9" w:rsidP="00C364B9">
                            <w:pPr>
                              <w:pStyle w:val="ListParagraph"/>
                              <w:ind w:left="1440"/>
                              <w:jc w:val="both"/>
                              <w:rPr>
                                <w:rFonts w:ascii="Arial" w:hAnsi="Arial" w:cs="Arial"/>
                                <w:sz w:val="24"/>
                                <w:szCs w:val="24"/>
                                <w:u w:val="single"/>
                                <w:lang w:val="fr-FR"/>
                              </w:rPr>
                            </w:pPr>
                          </w:p>
                          <w:p w:rsidR="00C364B9" w:rsidRPr="0047299D" w:rsidRDefault="00C364B9" w:rsidP="003A4EBD">
                            <w:pPr>
                              <w:pStyle w:val="ListParagraph"/>
                              <w:numPr>
                                <w:ilvl w:val="0"/>
                                <w:numId w:val="3"/>
                              </w:numPr>
                              <w:ind w:left="1080"/>
                              <w:jc w:val="both"/>
                              <w:rPr>
                                <w:rFonts w:ascii="Arial" w:hAnsi="Arial" w:cs="Arial"/>
                                <w:sz w:val="24"/>
                                <w:szCs w:val="24"/>
                                <w:lang w:val="fr-FR"/>
                              </w:rPr>
                            </w:pPr>
                            <w:r w:rsidRPr="0047299D">
                              <w:rPr>
                                <w:rFonts w:ascii="Arial" w:hAnsi="Arial" w:cs="Arial"/>
                                <w:sz w:val="24"/>
                                <w:szCs w:val="24"/>
                                <w:lang w:val="fr-FR"/>
                              </w:rPr>
                              <w:t xml:space="preserve">Les détaillants indépendants </w:t>
                            </w:r>
                            <w:r>
                              <w:rPr>
                                <w:rFonts w:ascii="Arial" w:hAnsi="Arial" w:cs="Arial"/>
                                <w:sz w:val="24"/>
                                <w:szCs w:val="24"/>
                                <w:lang w:val="fr-FR"/>
                              </w:rPr>
                              <w:t>se montrent inquiets par rapport aux investissements à réaliser pour faire face à la transition, au financement de ces investissements et à leur rentabilité. Par ailleurs, ils prônent la subsidiarité dans la réglementation des horaires d</w:t>
                            </w:r>
                            <w:r w:rsidR="00C47098">
                              <w:rPr>
                                <w:rFonts w:ascii="Arial" w:hAnsi="Arial" w:cs="Arial"/>
                                <w:sz w:val="24"/>
                                <w:szCs w:val="24"/>
                                <w:lang w:val="fr-FR"/>
                              </w:rPr>
                              <w:t>'</w:t>
                            </w:r>
                            <w:r>
                              <w:rPr>
                                <w:rFonts w:ascii="Arial" w:hAnsi="Arial" w:cs="Arial"/>
                                <w:sz w:val="24"/>
                                <w:szCs w:val="24"/>
                                <w:lang w:val="fr-FR"/>
                              </w:rPr>
                              <w:t>ouverture des magasins et du travail du dimanche.</w:t>
                            </w:r>
                          </w:p>
                          <w:p w:rsidR="00C364B9" w:rsidRDefault="00C364B9" w:rsidP="003A4EBD">
                            <w:pPr>
                              <w:pStyle w:val="ListParagraph"/>
                              <w:ind w:left="1080"/>
                              <w:jc w:val="both"/>
                              <w:rPr>
                                <w:rFonts w:ascii="Arial" w:hAnsi="Arial" w:cs="Arial"/>
                                <w:sz w:val="24"/>
                                <w:szCs w:val="24"/>
                                <w:lang w:val="fr-FR"/>
                              </w:rPr>
                            </w:pPr>
                          </w:p>
                          <w:p w:rsidR="00C364B9" w:rsidRPr="0047299D" w:rsidRDefault="00C364B9" w:rsidP="003A4EBD">
                            <w:pPr>
                              <w:pStyle w:val="ListParagraph"/>
                              <w:numPr>
                                <w:ilvl w:val="0"/>
                                <w:numId w:val="3"/>
                              </w:numPr>
                              <w:ind w:left="1080"/>
                              <w:jc w:val="both"/>
                              <w:rPr>
                                <w:rFonts w:ascii="Arial" w:hAnsi="Arial" w:cs="Arial"/>
                                <w:sz w:val="24"/>
                                <w:szCs w:val="24"/>
                                <w:lang w:val="fr-FR"/>
                              </w:rPr>
                            </w:pPr>
                            <w:r w:rsidRPr="0047299D">
                              <w:rPr>
                                <w:rFonts w:ascii="Arial" w:hAnsi="Arial" w:cs="Arial"/>
                                <w:sz w:val="24"/>
                                <w:szCs w:val="24"/>
                                <w:lang w:val="fr-FR"/>
                              </w:rPr>
                              <w:t>Les patrons de la grande distribution ont un point de vue plutôt libéral, notamment par rapport à la réglementation des heures d</w:t>
                            </w:r>
                            <w:r w:rsidR="00C47098">
                              <w:rPr>
                                <w:rFonts w:ascii="Arial" w:hAnsi="Arial" w:cs="Arial"/>
                                <w:sz w:val="24"/>
                                <w:szCs w:val="24"/>
                                <w:lang w:val="fr-FR"/>
                              </w:rPr>
                              <w:t>'</w:t>
                            </w:r>
                            <w:r w:rsidRPr="0047299D">
                              <w:rPr>
                                <w:rFonts w:ascii="Arial" w:hAnsi="Arial" w:cs="Arial"/>
                                <w:sz w:val="24"/>
                                <w:szCs w:val="24"/>
                                <w:lang w:val="fr-FR"/>
                              </w:rPr>
                              <w:t>ouverture des magasins et du travail du dimanche.</w:t>
                            </w:r>
                          </w:p>
                          <w:p w:rsidR="00C364B9" w:rsidRDefault="00C364B9" w:rsidP="003A4EBD">
                            <w:pPr>
                              <w:pStyle w:val="ListParagraph"/>
                              <w:ind w:left="1080"/>
                              <w:jc w:val="both"/>
                              <w:rPr>
                                <w:rFonts w:ascii="Arial" w:hAnsi="Arial" w:cs="Arial"/>
                                <w:sz w:val="24"/>
                                <w:szCs w:val="24"/>
                                <w:lang w:val="fr-FR"/>
                              </w:rPr>
                            </w:pPr>
                          </w:p>
                          <w:p w:rsidR="00C364B9" w:rsidRPr="0047299D" w:rsidRDefault="00C364B9" w:rsidP="003A4EBD">
                            <w:pPr>
                              <w:pStyle w:val="ListParagraph"/>
                              <w:numPr>
                                <w:ilvl w:val="0"/>
                                <w:numId w:val="3"/>
                              </w:numPr>
                              <w:ind w:left="1080"/>
                              <w:jc w:val="both"/>
                              <w:rPr>
                                <w:rFonts w:ascii="Arial" w:hAnsi="Arial" w:cs="Arial"/>
                                <w:sz w:val="24"/>
                                <w:szCs w:val="24"/>
                                <w:lang w:val="fr-FR"/>
                              </w:rPr>
                            </w:pPr>
                            <w:r w:rsidRPr="0047299D">
                              <w:rPr>
                                <w:rFonts w:ascii="Arial" w:hAnsi="Arial" w:cs="Arial"/>
                                <w:sz w:val="24"/>
                                <w:szCs w:val="24"/>
                                <w:lang w:val="fr-FR"/>
                              </w:rPr>
                              <w:t>Les représentants des travailleurs soulignent la nécessité d</w:t>
                            </w:r>
                            <w:r w:rsidR="00C47098">
                              <w:rPr>
                                <w:rFonts w:ascii="Arial" w:hAnsi="Arial" w:cs="Arial"/>
                                <w:sz w:val="24"/>
                                <w:szCs w:val="24"/>
                                <w:lang w:val="fr-FR"/>
                              </w:rPr>
                              <w:t>'</w:t>
                            </w:r>
                            <w:r w:rsidRPr="0047299D">
                              <w:rPr>
                                <w:rFonts w:ascii="Arial" w:hAnsi="Arial" w:cs="Arial"/>
                                <w:sz w:val="24"/>
                                <w:szCs w:val="24"/>
                                <w:lang w:val="fr-FR"/>
                              </w:rPr>
                              <w:t>avoir une situation de travail équitable dans le cadre d</w:t>
                            </w:r>
                            <w:r w:rsidR="00C47098">
                              <w:rPr>
                                <w:rFonts w:ascii="Arial" w:hAnsi="Arial" w:cs="Arial"/>
                                <w:sz w:val="24"/>
                                <w:szCs w:val="24"/>
                                <w:lang w:val="fr-FR"/>
                              </w:rPr>
                              <w:t>'</w:t>
                            </w:r>
                            <w:r w:rsidRPr="0047299D">
                              <w:rPr>
                                <w:rFonts w:ascii="Arial" w:hAnsi="Arial" w:cs="Arial"/>
                                <w:sz w:val="24"/>
                                <w:szCs w:val="24"/>
                                <w:lang w:val="fr-FR"/>
                              </w:rPr>
                              <w:t xml:space="preserve">un dialogue social performant et équilibré, ainsi que des contrats corrects. </w:t>
                            </w:r>
                            <w:r w:rsidR="00ED25B8">
                              <w:rPr>
                                <w:rFonts w:ascii="Arial" w:hAnsi="Arial" w:cs="Arial"/>
                                <w:sz w:val="24"/>
                                <w:szCs w:val="24"/>
                                <w:lang w:val="fr-FR"/>
                              </w:rPr>
                              <w:t>À</w:t>
                            </w:r>
                            <w:r w:rsidR="00ED25B8" w:rsidRPr="0047299D">
                              <w:rPr>
                                <w:rFonts w:ascii="Arial" w:hAnsi="Arial" w:cs="Arial"/>
                                <w:sz w:val="24"/>
                                <w:szCs w:val="24"/>
                                <w:lang w:val="fr-FR"/>
                              </w:rPr>
                              <w:t xml:space="preserve"> </w:t>
                            </w:r>
                            <w:r w:rsidRPr="0047299D">
                              <w:rPr>
                                <w:rFonts w:ascii="Arial" w:hAnsi="Arial" w:cs="Arial"/>
                                <w:sz w:val="24"/>
                                <w:szCs w:val="24"/>
                                <w:lang w:val="fr-FR"/>
                              </w:rPr>
                              <w:t>leurs yeux, il importe d</w:t>
                            </w:r>
                            <w:r w:rsidR="00C47098">
                              <w:rPr>
                                <w:rFonts w:ascii="Arial" w:hAnsi="Arial" w:cs="Arial"/>
                                <w:sz w:val="24"/>
                                <w:szCs w:val="24"/>
                                <w:lang w:val="fr-FR"/>
                              </w:rPr>
                              <w:t>'</w:t>
                            </w:r>
                            <w:r w:rsidRPr="0047299D">
                              <w:rPr>
                                <w:rFonts w:ascii="Arial" w:hAnsi="Arial" w:cs="Arial"/>
                                <w:sz w:val="24"/>
                                <w:szCs w:val="24"/>
                                <w:lang w:val="fr-FR"/>
                              </w:rPr>
                              <w:t>avoir une juste part du profit dans chaque maill</w:t>
                            </w:r>
                            <w:r>
                              <w:rPr>
                                <w:rFonts w:ascii="Arial" w:hAnsi="Arial" w:cs="Arial"/>
                                <w:sz w:val="24"/>
                                <w:szCs w:val="24"/>
                                <w:lang w:val="fr-FR"/>
                              </w:rPr>
                              <w:t xml:space="preserve">on de la </w:t>
                            </w:r>
                            <w:r w:rsidR="00ED25B8">
                              <w:rPr>
                                <w:rFonts w:ascii="Arial" w:hAnsi="Arial" w:cs="Arial"/>
                                <w:sz w:val="24"/>
                                <w:szCs w:val="24"/>
                                <w:lang w:val="fr-FR"/>
                              </w:rPr>
                              <w:t xml:space="preserve">chaîne </w:t>
                            </w:r>
                            <w:r>
                              <w:rPr>
                                <w:rFonts w:ascii="Arial" w:hAnsi="Arial" w:cs="Arial"/>
                                <w:sz w:val="24"/>
                                <w:szCs w:val="24"/>
                                <w:lang w:val="fr-FR"/>
                              </w:rPr>
                              <w:t>de distribution:</w:t>
                            </w:r>
                            <w:r w:rsidRPr="0047299D">
                              <w:rPr>
                                <w:rFonts w:ascii="Arial" w:hAnsi="Arial" w:cs="Arial"/>
                                <w:sz w:val="24"/>
                                <w:szCs w:val="24"/>
                                <w:lang w:val="fr-FR"/>
                              </w:rPr>
                              <w:t xml:space="preserve"> producteur, fournisseur, grande et petite distribution. Par conséquent, de leur perspective, la course au prix le plus bas est jugée néfaste.</w:t>
                            </w:r>
                          </w:p>
                          <w:p w:rsidR="00C364B9" w:rsidRPr="0047299D" w:rsidRDefault="00C364B9" w:rsidP="003A4EBD">
                            <w:pPr>
                              <w:pStyle w:val="ListParagraph"/>
                              <w:ind w:left="1080"/>
                              <w:jc w:val="both"/>
                              <w:rPr>
                                <w:rFonts w:ascii="Arial" w:hAnsi="Arial" w:cs="Arial"/>
                                <w:sz w:val="24"/>
                                <w:szCs w:val="24"/>
                                <w:lang w:val="fr-FR"/>
                              </w:rPr>
                            </w:pPr>
                          </w:p>
                          <w:p w:rsidR="00C364B9" w:rsidRPr="0047299D" w:rsidRDefault="00C364B9" w:rsidP="003A4EBD">
                            <w:pPr>
                              <w:pStyle w:val="ListParagraph"/>
                              <w:numPr>
                                <w:ilvl w:val="0"/>
                                <w:numId w:val="3"/>
                              </w:numPr>
                              <w:ind w:left="1080"/>
                              <w:jc w:val="both"/>
                              <w:rPr>
                                <w:rFonts w:ascii="Arial" w:hAnsi="Arial" w:cs="Arial"/>
                                <w:sz w:val="24"/>
                                <w:szCs w:val="24"/>
                                <w:lang w:val="fr-FR"/>
                              </w:rPr>
                            </w:pPr>
                            <w:r w:rsidRPr="0047299D">
                              <w:rPr>
                                <w:rFonts w:ascii="Arial" w:hAnsi="Arial" w:cs="Arial"/>
                                <w:sz w:val="24"/>
                                <w:szCs w:val="24"/>
                                <w:lang w:val="fr-FR"/>
                              </w:rPr>
                              <w:t>Les organisations de consommateurs sont sensibles aux préoccupations du secteur du détail en général et des PME en particulier, notamment en c</w:t>
                            </w:r>
                            <w:r>
                              <w:rPr>
                                <w:rFonts w:ascii="Arial" w:hAnsi="Arial" w:cs="Arial"/>
                                <w:sz w:val="24"/>
                                <w:szCs w:val="24"/>
                                <w:lang w:val="fr-FR"/>
                              </w:rPr>
                              <w:t xml:space="preserve">e qui concerne les éléments suivants: la nécessité de </w:t>
                            </w:r>
                            <w:r w:rsidRPr="0047299D">
                              <w:rPr>
                                <w:rFonts w:ascii="Arial" w:hAnsi="Arial" w:cs="Arial"/>
                                <w:sz w:val="24"/>
                                <w:szCs w:val="24"/>
                                <w:lang w:val="fr-FR"/>
                              </w:rPr>
                              <w:t>promouvoir la diversit</w:t>
                            </w:r>
                            <w:r>
                              <w:rPr>
                                <w:rFonts w:ascii="Arial" w:hAnsi="Arial" w:cs="Arial"/>
                                <w:sz w:val="24"/>
                                <w:szCs w:val="24"/>
                                <w:lang w:val="fr-FR"/>
                              </w:rPr>
                              <w:t xml:space="preserve">é </w:t>
                            </w:r>
                            <w:r w:rsidRPr="0047299D">
                              <w:rPr>
                                <w:rFonts w:ascii="Arial" w:hAnsi="Arial" w:cs="Arial"/>
                                <w:sz w:val="24"/>
                                <w:szCs w:val="24"/>
                                <w:lang w:val="fr-FR"/>
                              </w:rPr>
                              <w:t>des as</w:t>
                            </w:r>
                            <w:r>
                              <w:rPr>
                                <w:rFonts w:ascii="Arial" w:hAnsi="Arial" w:cs="Arial"/>
                                <w:sz w:val="24"/>
                                <w:szCs w:val="24"/>
                                <w:lang w:val="fr-FR"/>
                              </w:rPr>
                              <w:t>sortiments, le rapport qualité-</w:t>
                            </w:r>
                            <w:r w:rsidRPr="0047299D">
                              <w:rPr>
                                <w:rFonts w:ascii="Arial" w:hAnsi="Arial" w:cs="Arial"/>
                                <w:sz w:val="24"/>
                                <w:szCs w:val="24"/>
                                <w:lang w:val="fr-FR"/>
                              </w:rPr>
                              <w:t>prix, la</w:t>
                            </w:r>
                            <w:r>
                              <w:rPr>
                                <w:rFonts w:ascii="Arial" w:hAnsi="Arial" w:cs="Arial"/>
                                <w:sz w:val="24"/>
                                <w:szCs w:val="24"/>
                                <w:lang w:val="fr-FR"/>
                              </w:rPr>
                              <w:t xml:space="preserve"> question de la</w:t>
                            </w:r>
                            <w:r w:rsidRPr="0047299D">
                              <w:rPr>
                                <w:rFonts w:ascii="Arial" w:hAnsi="Arial" w:cs="Arial"/>
                                <w:sz w:val="24"/>
                                <w:szCs w:val="24"/>
                                <w:lang w:val="fr-FR"/>
                              </w:rPr>
                              <w:t xml:space="preserve"> proximité</w:t>
                            </w:r>
                            <w:r>
                              <w:rPr>
                                <w:rFonts w:ascii="Arial" w:hAnsi="Arial" w:cs="Arial"/>
                                <w:sz w:val="24"/>
                                <w:szCs w:val="24"/>
                                <w:lang w:val="fr-FR"/>
                              </w:rPr>
                              <w:t xml:space="preserve">, </w:t>
                            </w:r>
                            <w:r w:rsidRPr="0047299D">
                              <w:rPr>
                                <w:rFonts w:ascii="Arial" w:hAnsi="Arial" w:cs="Arial"/>
                                <w:sz w:val="24"/>
                                <w:szCs w:val="24"/>
                                <w:lang w:val="fr-FR"/>
                              </w:rPr>
                              <w:t>le da</w:t>
                            </w:r>
                            <w:r>
                              <w:rPr>
                                <w:rFonts w:ascii="Arial" w:hAnsi="Arial" w:cs="Arial"/>
                                <w:sz w:val="24"/>
                                <w:szCs w:val="24"/>
                                <w:lang w:val="fr-FR"/>
                              </w:rPr>
                              <w:t xml:space="preserve">nger de monopole international et </w:t>
                            </w:r>
                            <w:r w:rsidRPr="0047299D">
                              <w:rPr>
                                <w:rFonts w:ascii="Arial" w:hAnsi="Arial" w:cs="Arial"/>
                                <w:sz w:val="24"/>
                                <w:szCs w:val="24"/>
                                <w:lang w:val="fr-FR"/>
                              </w:rPr>
                              <w:t>le problème des retours gratuits. Il n</w:t>
                            </w:r>
                            <w:r w:rsidR="00C47098">
                              <w:rPr>
                                <w:rFonts w:ascii="Arial" w:hAnsi="Arial" w:cs="Arial"/>
                                <w:sz w:val="24"/>
                                <w:szCs w:val="24"/>
                                <w:lang w:val="fr-FR"/>
                              </w:rPr>
                              <w:t>'</w:t>
                            </w:r>
                            <w:r w:rsidRPr="0047299D">
                              <w:rPr>
                                <w:rFonts w:ascii="Arial" w:hAnsi="Arial" w:cs="Arial"/>
                                <w:sz w:val="24"/>
                                <w:szCs w:val="24"/>
                                <w:lang w:val="fr-FR"/>
                              </w:rPr>
                              <w:t>en demeure pas moins que le prix reste un aspect très important pour beaucoup de consommateurs.</w:t>
                            </w:r>
                          </w:p>
                          <w:p w:rsidR="00C364B9" w:rsidRPr="000C7C35" w:rsidRDefault="00C364B9" w:rsidP="00C364B9">
                            <w:pPr>
                              <w:jc w:val="both"/>
                              <w:rPr>
                                <w:rFonts w:ascii="Arial" w:hAnsi="Arial" w:cs="Arial"/>
                                <w:sz w:val="28"/>
                                <w:szCs w:val="28"/>
                                <w:lang w:val="fr-FR"/>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A8DD6F" id="Text Box 1" o:spid="_x0000_s1027"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" filled="f" strokeweight=".5pt">
                <v:textbox style="mso-fit-shape-to-text:t">
                  <w:txbxContent>
                    <w:p w:rsidR="00C364B9" w:rsidRPr="0047299D" w:rsidRDefault="00C364B9" w:rsidP="00C364B9">
                      <w:pPr>
                        <w:jc w:val="center"/>
                        <w:rPr>
                          <w:rFonts w:ascii="Arial" w:hAnsi="Arial" w:cs="Arial"/>
                          <w:szCs w:val="24"/>
                          <w:lang w:val="fr-FR"/>
                        </w:rPr>
                      </w:pPr>
                      <w:r w:rsidRPr="0047299D">
                        <w:rPr>
                          <w:rFonts w:ascii="Arial" w:hAnsi="Arial" w:cs="Arial"/>
                          <w:szCs w:val="24"/>
                          <w:lang w:val="fr-FR"/>
                        </w:rPr>
                        <w:t>EN BREF</w:t>
                      </w:r>
                    </w:p>
                    <w:p w:rsidR="00C364B9" w:rsidRPr="0047299D" w:rsidRDefault="00C364B9" w:rsidP="00C364B9">
                      <w:pPr>
                        <w:pStyle w:val="ListParagraph"/>
                        <w:jc w:val="center"/>
                        <w:rPr>
                          <w:rFonts w:ascii="Arial" w:hAnsi="Arial" w:cs="Arial"/>
                          <w:sz w:val="24"/>
                          <w:szCs w:val="24"/>
                          <w:u w:val="single"/>
                          <w:lang w:val="fr-FR"/>
                        </w:rPr>
                      </w:pPr>
                    </w:p>
                    <w:p w:rsidR="00C364B9" w:rsidRPr="0047299D" w:rsidRDefault="00C364B9" w:rsidP="00C364B9">
                      <w:pPr>
                        <w:pStyle w:val="ListParagraph"/>
                        <w:jc w:val="center"/>
                        <w:rPr>
                          <w:rFonts w:ascii="Arial" w:hAnsi="Arial" w:cs="Arial"/>
                          <w:sz w:val="24"/>
                          <w:szCs w:val="24"/>
                          <w:u w:val="single"/>
                          <w:lang w:val="fr-FR"/>
                        </w:rPr>
                      </w:pPr>
                      <w:r w:rsidRPr="0047299D">
                        <w:rPr>
                          <w:rFonts w:ascii="Arial" w:hAnsi="Arial" w:cs="Arial"/>
                          <w:sz w:val="24"/>
                          <w:szCs w:val="24"/>
                          <w:u w:val="single"/>
                          <w:lang w:val="fr-FR"/>
                        </w:rPr>
                        <w:t>Position des employeurs, des travailleurs et des consommateurs</w:t>
                      </w:r>
                    </w:p>
                    <w:p w:rsidR="00C364B9" w:rsidRPr="0047299D" w:rsidRDefault="00C364B9" w:rsidP="00C364B9">
                      <w:pPr>
                        <w:pStyle w:val="ListParagraph"/>
                        <w:ind w:left="1440"/>
                        <w:jc w:val="both"/>
                        <w:rPr>
                          <w:rFonts w:ascii="Arial" w:hAnsi="Arial" w:cs="Arial"/>
                          <w:sz w:val="24"/>
                          <w:szCs w:val="24"/>
                          <w:u w:val="single"/>
                          <w:lang w:val="fr-FR"/>
                        </w:rPr>
                      </w:pPr>
                    </w:p>
                    <w:p w:rsidR="00C364B9" w:rsidRPr="0047299D" w:rsidRDefault="00C364B9" w:rsidP="003A4EBD">
                      <w:pPr>
                        <w:pStyle w:val="ListParagraph"/>
                        <w:numPr>
                          <w:ilvl w:val="0"/>
                          <w:numId w:val="3"/>
                        </w:numPr>
                        <w:ind w:left="1080"/>
                        <w:jc w:val="both"/>
                        <w:rPr>
                          <w:rFonts w:ascii="Arial" w:hAnsi="Arial" w:cs="Arial"/>
                          <w:sz w:val="24"/>
                          <w:szCs w:val="24"/>
                          <w:lang w:val="fr-FR"/>
                        </w:rPr>
                      </w:pPr>
                      <w:r w:rsidRPr="0047299D">
                        <w:rPr>
                          <w:rFonts w:ascii="Arial" w:hAnsi="Arial" w:cs="Arial"/>
                          <w:sz w:val="24"/>
                          <w:szCs w:val="24"/>
                          <w:lang w:val="fr-FR"/>
                        </w:rPr>
                        <w:t xml:space="preserve">Les détaillants indépendants </w:t>
                      </w:r>
                      <w:r>
                        <w:rPr>
                          <w:rFonts w:ascii="Arial" w:hAnsi="Arial" w:cs="Arial"/>
                          <w:sz w:val="24"/>
                          <w:szCs w:val="24"/>
                          <w:lang w:val="fr-FR"/>
                        </w:rPr>
                        <w:t>se montrent inquiets par rapport aux investissements à réaliser pour faire face à la transition, au financement de ces investissements et à leur rentabilité. Par ailleurs, ils prônent la subsidiarité dans la réglementation des horaires d</w:t>
                      </w:r>
                      <w:r w:rsidR="00C47098">
                        <w:rPr>
                          <w:rFonts w:ascii="Arial" w:hAnsi="Arial" w:cs="Arial"/>
                          <w:sz w:val="24"/>
                          <w:szCs w:val="24"/>
                          <w:lang w:val="fr-FR"/>
                        </w:rPr>
                        <w:t>'</w:t>
                      </w:r>
                      <w:r>
                        <w:rPr>
                          <w:rFonts w:ascii="Arial" w:hAnsi="Arial" w:cs="Arial"/>
                          <w:sz w:val="24"/>
                          <w:szCs w:val="24"/>
                          <w:lang w:val="fr-FR"/>
                        </w:rPr>
                        <w:t>ouverture des magasins et du travail du dimanche.</w:t>
                      </w:r>
                    </w:p>
                    <w:p w:rsidR="00C364B9" w:rsidRDefault="00C364B9" w:rsidP="003A4EBD">
                      <w:pPr>
                        <w:pStyle w:val="ListParagraph"/>
                        <w:ind w:left="1080"/>
                        <w:jc w:val="both"/>
                        <w:rPr>
                          <w:rFonts w:ascii="Arial" w:hAnsi="Arial" w:cs="Arial"/>
                          <w:sz w:val="24"/>
                          <w:szCs w:val="24"/>
                          <w:lang w:val="fr-FR"/>
                        </w:rPr>
                      </w:pPr>
                    </w:p>
                    <w:p w:rsidR="00C364B9" w:rsidRPr="0047299D" w:rsidRDefault="00C364B9" w:rsidP="003A4EBD">
                      <w:pPr>
                        <w:pStyle w:val="ListParagraph"/>
                        <w:numPr>
                          <w:ilvl w:val="0"/>
                          <w:numId w:val="3"/>
                        </w:numPr>
                        <w:ind w:left="1080"/>
                        <w:jc w:val="both"/>
                        <w:rPr>
                          <w:rFonts w:ascii="Arial" w:hAnsi="Arial" w:cs="Arial"/>
                          <w:sz w:val="24"/>
                          <w:szCs w:val="24"/>
                          <w:lang w:val="fr-FR"/>
                        </w:rPr>
                      </w:pPr>
                      <w:r w:rsidRPr="0047299D">
                        <w:rPr>
                          <w:rFonts w:ascii="Arial" w:hAnsi="Arial" w:cs="Arial"/>
                          <w:sz w:val="24"/>
                          <w:szCs w:val="24"/>
                          <w:lang w:val="fr-FR"/>
                        </w:rPr>
                        <w:t>Les patrons de la grande distribution ont un point de vue plutôt libéral, notamment par rapport à la réglementation des heures d</w:t>
                      </w:r>
                      <w:r w:rsidR="00C47098">
                        <w:rPr>
                          <w:rFonts w:ascii="Arial" w:hAnsi="Arial" w:cs="Arial"/>
                          <w:sz w:val="24"/>
                          <w:szCs w:val="24"/>
                          <w:lang w:val="fr-FR"/>
                        </w:rPr>
                        <w:t>'</w:t>
                      </w:r>
                      <w:r w:rsidRPr="0047299D">
                        <w:rPr>
                          <w:rFonts w:ascii="Arial" w:hAnsi="Arial" w:cs="Arial"/>
                          <w:sz w:val="24"/>
                          <w:szCs w:val="24"/>
                          <w:lang w:val="fr-FR"/>
                        </w:rPr>
                        <w:t>ouverture des magasins et du travail du dimanche.</w:t>
                      </w:r>
                    </w:p>
                    <w:p w:rsidR="00C364B9" w:rsidRDefault="00C364B9" w:rsidP="003A4EBD">
                      <w:pPr>
                        <w:pStyle w:val="ListParagraph"/>
                        <w:ind w:left="1080"/>
                        <w:jc w:val="both"/>
                        <w:rPr>
                          <w:rFonts w:ascii="Arial" w:hAnsi="Arial" w:cs="Arial"/>
                          <w:sz w:val="24"/>
                          <w:szCs w:val="24"/>
                          <w:lang w:val="fr-FR"/>
                        </w:rPr>
                      </w:pPr>
                    </w:p>
                    <w:p w:rsidR="00C364B9" w:rsidRPr="0047299D" w:rsidRDefault="00C364B9" w:rsidP="003A4EBD">
                      <w:pPr>
                        <w:pStyle w:val="ListParagraph"/>
                        <w:numPr>
                          <w:ilvl w:val="0"/>
                          <w:numId w:val="3"/>
                        </w:numPr>
                        <w:ind w:left="1080"/>
                        <w:jc w:val="both"/>
                        <w:rPr>
                          <w:rFonts w:ascii="Arial" w:hAnsi="Arial" w:cs="Arial"/>
                          <w:sz w:val="24"/>
                          <w:szCs w:val="24"/>
                          <w:lang w:val="fr-FR"/>
                        </w:rPr>
                      </w:pPr>
                      <w:r w:rsidRPr="0047299D">
                        <w:rPr>
                          <w:rFonts w:ascii="Arial" w:hAnsi="Arial" w:cs="Arial"/>
                          <w:sz w:val="24"/>
                          <w:szCs w:val="24"/>
                          <w:lang w:val="fr-FR"/>
                        </w:rPr>
                        <w:t>Les représentants des travailleurs soulignent la nécessité d</w:t>
                      </w:r>
                      <w:r w:rsidR="00C47098">
                        <w:rPr>
                          <w:rFonts w:ascii="Arial" w:hAnsi="Arial" w:cs="Arial"/>
                          <w:sz w:val="24"/>
                          <w:szCs w:val="24"/>
                          <w:lang w:val="fr-FR"/>
                        </w:rPr>
                        <w:t>'</w:t>
                      </w:r>
                      <w:r w:rsidRPr="0047299D">
                        <w:rPr>
                          <w:rFonts w:ascii="Arial" w:hAnsi="Arial" w:cs="Arial"/>
                          <w:sz w:val="24"/>
                          <w:szCs w:val="24"/>
                          <w:lang w:val="fr-FR"/>
                        </w:rPr>
                        <w:t>avoir une situation de travail équitable dans le cadre d</w:t>
                      </w:r>
                      <w:r w:rsidR="00C47098">
                        <w:rPr>
                          <w:rFonts w:ascii="Arial" w:hAnsi="Arial" w:cs="Arial"/>
                          <w:sz w:val="24"/>
                          <w:szCs w:val="24"/>
                          <w:lang w:val="fr-FR"/>
                        </w:rPr>
                        <w:t>'</w:t>
                      </w:r>
                      <w:r w:rsidRPr="0047299D">
                        <w:rPr>
                          <w:rFonts w:ascii="Arial" w:hAnsi="Arial" w:cs="Arial"/>
                          <w:sz w:val="24"/>
                          <w:szCs w:val="24"/>
                          <w:lang w:val="fr-FR"/>
                        </w:rPr>
                        <w:t xml:space="preserve">un dialogue social performant et équilibré, ainsi que des contrats corrects. </w:t>
                      </w:r>
                      <w:r w:rsidR="00ED25B8">
                        <w:rPr>
                          <w:rFonts w:ascii="Arial" w:hAnsi="Arial" w:cs="Arial"/>
                          <w:sz w:val="24"/>
                          <w:szCs w:val="24"/>
                          <w:lang w:val="fr-FR"/>
                        </w:rPr>
                        <w:t>À</w:t>
                      </w:r>
                      <w:r w:rsidR="00ED25B8" w:rsidRPr="0047299D">
                        <w:rPr>
                          <w:rFonts w:ascii="Arial" w:hAnsi="Arial" w:cs="Arial"/>
                          <w:sz w:val="24"/>
                          <w:szCs w:val="24"/>
                          <w:lang w:val="fr-FR"/>
                        </w:rPr>
                        <w:t xml:space="preserve"> </w:t>
                      </w:r>
                      <w:r w:rsidRPr="0047299D">
                        <w:rPr>
                          <w:rFonts w:ascii="Arial" w:hAnsi="Arial" w:cs="Arial"/>
                          <w:sz w:val="24"/>
                          <w:szCs w:val="24"/>
                          <w:lang w:val="fr-FR"/>
                        </w:rPr>
                        <w:t>leurs yeux, il importe d</w:t>
                      </w:r>
                      <w:r w:rsidR="00C47098">
                        <w:rPr>
                          <w:rFonts w:ascii="Arial" w:hAnsi="Arial" w:cs="Arial"/>
                          <w:sz w:val="24"/>
                          <w:szCs w:val="24"/>
                          <w:lang w:val="fr-FR"/>
                        </w:rPr>
                        <w:t>'</w:t>
                      </w:r>
                      <w:r w:rsidRPr="0047299D">
                        <w:rPr>
                          <w:rFonts w:ascii="Arial" w:hAnsi="Arial" w:cs="Arial"/>
                          <w:sz w:val="24"/>
                          <w:szCs w:val="24"/>
                          <w:lang w:val="fr-FR"/>
                        </w:rPr>
                        <w:t>avoir une juste part du profit dans chaque maill</w:t>
                      </w:r>
                      <w:r>
                        <w:rPr>
                          <w:rFonts w:ascii="Arial" w:hAnsi="Arial" w:cs="Arial"/>
                          <w:sz w:val="24"/>
                          <w:szCs w:val="24"/>
                          <w:lang w:val="fr-FR"/>
                        </w:rPr>
                        <w:t xml:space="preserve">on de la </w:t>
                      </w:r>
                      <w:r w:rsidR="00ED25B8">
                        <w:rPr>
                          <w:rFonts w:ascii="Arial" w:hAnsi="Arial" w:cs="Arial"/>
                          <w:sz w:val="24"/>
                          <w:szCs w:val="24"/>
                          <w:lang w:val="fr-FR"/>
                        </w:rPr>
                        <w:t xml:space="preserve">chaîne </w:t>
                      </w:r>
                      <w:r>
                        <w:rPr>
                          <w:rFonts w:ascii="Arial" w:hAnsi="Arial" w:cs="Arial"/>
                          <w:sz w:val="24"/>
                          <w:szCs w:val="24"/>
                          <w:lang w:val="fr-FR"/>
                        </w:rPr>
                        <w:t>de distribution:</w:t>
                      </w:r>
                      <w:r w:rsidRPr="0047299D">
                        <w:rPr>
                          <w:rFonts w:ascii="Arial" w:hAnsi="Arial" w:cs="Arial"/>
                          <w:sz w:val="24"/>
                          <w:szCs w:val="24"/>
                          <w:lang w:val="fr-FR"/>
                        </w:rPr>
                        <w:t xml:space="preserve"> producteur, fournisseur, grande et petite distribution. Par conséquent, de leur perspective, la course au prix le plus bas est jugée néfaste.</w:t>
                      </w:r>
                    </w:p>
                    <w:p w:rsidR="00C364B9" w:rsidRPr="0047299D" w:rsidRDefault="00C364B9" w:rsidP="003A4EBD">
                      <w:pPr>
                        <w:pStyle w:val="ListParagraph"/>
                        <w:ind w:left="1080"/>
                        <w:jc w:val="both"/>
                        <w:rPr>
                          <w:rFonts w:ascii="Arial" w:hAnsi="Arial" w:cs="Arial"/>
                          <w:sz w:val="24"/>
                          <w:szCs w:val="24"/>
                          <w:lang w:val="fr-FR"/>
                        </w:rPr>
                      </w:pPr>
                    </w:p>
                    <w:p w:rsidR="00C364B9" w:rsidRPr="0047299D" w:rsidRDefault="00C364B9" w:rsidP="003A4EBD">
                      <w:pPr>
                        <w:pStyle w:val="ListParagraph"/>
                        <w:numPr>
                          <w:ilvl w:val="0"/>
                          <w:numId w:val="3"/>
                        </w:numPr>
                        <w:ind w:left="1080"/>
                        <w:jc w:val="both"/>
                        <w:rPr>
                          <w:rFonts w:ascii="Arial" w:hAnsi="Arial" w:cs="Arial"/>
                          <w:sz w:val="24"/>
                          <w:szCs w:val="24"/>
                          <w:lang w:val="fr-FR"/>
                        </w:rPr>
                      </w:pPr>
                      <w:r w:rsidRPr="0047299D">
                        <w:rPr>
                          <w:rFonts w:ascii="Arial" w:hAnsi="Arial" w:cs="Arial"/>
                          <w:sz w:val="24"/>
                          <w:szCs w:val="24"/>
                          <w:lang w:val="fr-FR"/>
                        </w:rPr>
                        <w:t>Les organisations de consommateurs sont sensibles aux préoccupations du secteur du détail en général et des PME en particulier, notamment en c</w:t>
                      </w:r>
                      <w:r>
                        <w:rPr>
                          <w:rFonts w:ascii="Arial" w:hAnsi="Arial" w:cs="Arial"/>
                          <w:sz w:val="24"/>
                          <w:szCs w:val="24"/>
                          <w:lang w:val="fr-FR"/>
                        </w:rPr>
                        <w:t xml:space="preserve">e qui concerne les éléments suivants: la nécessité de </w:t>
                      </w:r>
                      <w:r w:rsidRPr="0047299D">
                        <w:rPr>
                          <w:rFonts w:ascii="Arial" w:hAnsi="Arial" w:cs="Arial"/>
                          <w:sz w:val="24"/>
                          <w:szCs w:val="24"/>
                          <w:lang w:val="fr-FR"/>
                        </w:rPr>
                        <w:t>promouvoir la diversit</w:t>
                      </w:r>
                      <w:r>
                        <w:rPr>
                          <w:rFonts w:ascii="Arial" w:hAnsi="Arial" w:cs="Arial"/>
                          <w:sz w:val="24"/>
                          <w:szCs w:val="24"/>
                          <w:lang w:val="fr-FR"/>
                        </w:rPr>
                        <w:t xml:space="preserve">é </w:t>
                      </w:r>
                      <w:r w:rsidRPr="0047299D">
                        <w:rPr>
                          <w:rFonts w:ascii="Arial" w:hAnsi="Arial" w:cs="Arial"/>
                          <w:sz w:val="24"/>
                          <w:szCs w:val="24"/>
                          <w:lang w:val="fr-FR"/>
                        </w:rPr>
                        <w:t>des as</w:t>
                      </w:r>
                      <w:r>
                        <w:rPr>
                          <w:rFonts w:ascii="Arial" w:hAnsi="Arial" w:cs="Arial"/>
                          <w:sz w:val="24"/>
                          <w:szCs w:val="24"/>
                          <w:lang w:val="fr-FR"/>
                        </w:rPr>
                        <w:t>sortiments, le rapport qualité-</w:t>
                      </w:r>
                      <w:r w:rsidRPr="0047299D">
                        <w:rPr>
                          <w:rFonts w:ascii="Arial" w:hAnsi="Arial" w:cs="Arial"/>
                          <w:sz w:val="24"/>
                          <w:szCs w:val="24"/>
                          <w:lang w:val="fr-FR"/>
                        </w:rPr>
                        <w:t>prix, la</w:t>
                      </w:r>
                      <w:r>
                        <w:rPr>
                          <w:rFonts w:ascii="Arial" w:hAnsi="Arial" w:cs="Arial"/>
                          <w:sz w:val="24"/>
                          <w:szCs w:val="24"/>
                          <w:lang w:val="fr-FR"/>
                        </w:rPr>
                        <w:t xml:space="preserve"> question de la</w:t>
                      </w:r>
                      <w:r w:rsidRPr="0047299D">
                        <w:rPr>
                          <w:rFonts w:ascii="Arial" w:hAnsi="Arial" w:cs="Arial"/>
                          <w:sz w:val="24"/>
                          <w:szCs w:val="24"/>
                          <w:lang w:val="fr-FR"/>
                        </w:rPr>
                        <w:t xml:space="preserve"> proximité</w:t>
                      </w:r>
                      <w:r>
                        <w:rPr>
                          <w:rFonts w:ascii="Arial" w:hAnsi="Arial" w:cs="Arial"/>
                          <w:sz w:val="24"/>
                          <w:szCs w:val="24"/>
                          <w:lang w:val="fr-FR"/>
                        </w:rPr>
                        <w:t xml:space="preserve">, </w:t>
                      </w:r>
                      <w:r w:rsidRPr="0047299D">
                        <w:rPr>
                          <w:rFonts w:ascii="Arial" w:hAnsi="Arial" w:cs="Arial"/>
                          <w:sz w:val="24"/>
                          <w:szCs w:val="24"/>
                          <w:lang w:val="fr-FR"/>
                        </w:rPr>
                        <w:t>le da</w:t>
                      </w:r>
                      <w:r>
                        <w:rPr>
                          <w:rFonts w:ascii="Arial" w:hAnsi="Arial" w:cs="Arial"/>
                          <w:sz w:val="24"/>
                          <w:szCs w:val="24"/>
                          <w:lang w:val="fr-FR"/>
                        </w:rPr>
                        <w:t xml:space="preserve">nger de monopole international et </w:t>
                      </w:r>
                      <w:r w:rsidRPr="0047299D">
                        <w:rPr>
                          <w:rFonts w:ascii="Arial" w:hAnsi="Arial" w:cs="Arial"/>
                          <w:sz w:val="24"/>
                          <w:szCs w:val="24"/>
                          <w:lang w:val="fr-FR"/>
                        </w:rPr>
                        <w:t>le problème des retours gratuits. Il n</w:t>
                      </w:r>
                      <w:r w:rsidR="00C47098">
                        <w:rPr>
                          <w:rFonts w:ascii="Arial" w:hAnsi="Arial" w:cs="Arial"/>
                          <w:sz w:val="24"/>
                          <w:szCs w:val="24"/>
                          <w:lang w:val="fr-FR"/>
                        </w:rPr>
                        <w:t>'</w:t>
                      </w:r>
                      <w:r w:rsidRPr="0047299D">
                        <w:rPr>
                          <w:rFonts w:ascii="Arial" w:hAnsi="Arial" w:cs="Arial"/>
                          <w:sz w:val="24"/>
                          <w:szCs w:val="24"/>
                          <w:lang w:val="fr-FR"/>
                        </w:rPr>
                        <w:t>en demeure pas moins que le prix reste un aspect très important pour beaucoup de consommateurs.</w:t>
                      </w:r>
                    </w:p>
                    <w:p w:rsidR="00C364B9" w:rsidRPr="000C7C35" w:rsidRDefault="00C364B9" w:rsidP="00C364B9">
                      <w:pPr>
                        <w:jc w:val="both"/>
                        <w:rPr>
                          <w:rFonts w:ascii="Arial" w:hAnsi="Arial" w:cs="Arial"/>
                          <w:sz w:val="28"/>
                          <w:szCs w:val="28"/>
                          <w:lang w:val="fr-FR"/>
                        </w:rPr>
                      </w:pPr>
                    </w:p>
                  </w:txbxContent>
                </v:textbox>
                <w10:wrap type="square"/>
              </v:shape>
            </w:pict>
          </mc:Fallback>
        </mc:AlternateContent>
      </w:r>
    </w:p>
    <w:p w:rsidR="00C364B9" w:rsidRPr="006B6888" w:rsidRDefault="00C364B9" w:rsidP="00C364B9">
      <w:pPr>
        <w:pStyle w:val="ListParagraph"/>
        <w:rPr>
          <w:rFonts w:ascii="Arial" w:hAnsi="Arial" w:cs="Arial"/>
          <w:sz w:val="24"/>
          <w:szCs w:val="24"/>
          <w:lang w:val="fr-BE"/>
        </w:rPr>
      </w:pPr>
      <w:r w:rsidRPr="006B6888">
        <w:rPr>
          <w:rFonts w:ascii="Arial" w:hAnsi="Arial" w:cs="Arial"/>
          <w:sz w:val="24"/>
          <w:szCs w:val="24"/>
          <w:u w:val="single"/>
          <w:lang w:val="fr-BE"/>
        </w:rPr>
        <w:t>Suivi à donner par le CESE</w:t>
      </w:r>
      <w:r w:rsidRPr="008D0F1A">
        <w:rPr>
          <w:rFonts w:ascii="Arial" w:hAnsi="Arial" w:cs="Arial"/>
          <w:sz w:val="24"/>
          <w:szCs w:val="24"/>
          <w:u w:val="single"/>
          <w:lang w:val="fr-BE"/>
        </w:rPr>
        <w:t>:</w:t>
      </w:r>
    </w:p>
    <w:p w:rsidR="00C364B9" w:rsidRPr="006B6888" w:rsidRDefault="00C364B9" w:rsidP="00C364B9">
      <w:pPr>
        <w:pStyle w:val="ListParagraph"/>
        <w:jc w:val="both"/>
        <w:rPr>
          <w:rFonts w:ascii="Arial" w:hAnsi="Arial" w:cs="Arial"/>
          <w:sz w:val="24"/>
          <w:szCs w:val="24"/>
          <w:lang w:val="fr-BE"/>
        </w:rPr>
      </w:pPr>
    </w:p>
    <w:p w:rsidR="00C364B9" w:rsidRPr="006B6888" w:rsidRDefault="00C364B9" w:rsidP="00C364B9">
      <w:pPr>
        <w:pStyle w:val="ListParagraph"/>
        <w:numPr>
          <w:ilvl w:val="0"/>
          <w:numId w:val="2"/>
        </w:numPr>
        <w:jc w:val="both"/>
        <w:rPr>
          <w:rFonts w:ascii="Arial" w:hAnsi="Arial" w:cs="Arial"/>
          <w:sz w:val="24"/>
          <w:szCs w:val="24"/>
          <w:lang w:val="fr-BE"/>
        </w:rPr>
      </w:pPr>
      <w:r w:rsidRPr="006B6888">
        <w:rPr>
          <w:rFonts w:ascii="Arial" w:hAnsi="Arial" w:cs="Arial"/>
          <w:sz w:val="24"/>
          <w:szCs w:val="24"/>
          <w:lang w:val="fr-BE"/>
        </w:rPr>
        <w:t>Le CESE pourrait envisager d</w:t>
      </w:r>
      <w:r w:rsidR="00C47098">
        <w:rPr>
          <w:rFonts w:ascii="Arial" w:hAnsi="Arial" w:cs="Arial"/>
          <w:sz w:val="24"/>
          <w:szCs w:val="24"/>
          <w:lang w:val="fr-BE"/>
        </w:rPr>
        <w:t>’</w:t>
      </w:r>
      <w:r w:rsidRPr="006B6888">
        <w:rPr>
          <w:rFonts w:ascii="Arial" w:hAnsi="Arial" w:cs="Arial"/>
          <w:sz w:val="24"/>
          <w:szCs w:val="24"/>
          <w:lang w:val="fr-BE"/>
        </w:rPr>
        <w:t>élaborer un avis d</w:t>
      </w:r>
      <w:r w:rsidR="00C47098">
        <w:rPr>
          <w:rFonts w:ascii="Arial" w:hAnsi="Arial" w:cs="Arial"/>
          <w:sz w:val="24"/>
          <w:szCs w:val="24"/>
          <w:lang w:val="fr-BE"/>
        </w:rPr>
        <w:t>’</w:t>
      </w:r>
      <w:r w:rsidRPr="006B6888">
        <w:rPr>
          <w:rFonts w:ascii="Arial" w:hAnsi="Arial" w:cs="Arial"/>
          <w:sz w:val="24"/>
          <w:szCs w:val="24"/>
          <w:lang w:val="fr-BE"/>
        </w:rPr>
        <w:t>initiative sur les contrats de franchise.</w:t>
      </w:r>
    </w:p>
    <w:p w:rsidR="00C364B9" w:rsidRPr="006B6888" w:rsidRDefault="00C364B9" w:rsidP="00C364B9">
      <w:pPr>
        <w:pStyle w:val="ListParagraph"/>
        <w:numPr>
          <w:ilvl w:val="0"/>
          <w:numId w:val="2"/>
        </w:numPr>
        <w:jc w:val="both"/>
        <w:rPr>
          <w:rFonts w:ascii="Arial" w:hAnsi="Arial" w:cs="Arial"/>
          <w:sz w:val="24"/>
          <w:szCs w:val="24"/>
          <w:lang w:val="fr-BE"/>
        </w:rPr>
      </w:pPr>
      <w:r w:rsidRPr="006B6888">
        <w:rPr>
          <w:rFonts w:ascii="Arial" w:hAnsi="Arial" w:cs="Arial"/>
          <w:sz w:val="24"/>
          <w:szCs w:val="24"/>
          <w:lang w:val="fr-BE"/>
        </w:rPr>
        <w:t>Le CESE pourrait organiser une conférence sur le commerce de détail, sur la base des travaux qu</w:t>
      </w:r>
      <w:r w:rsidR="00C47098">
        <w:rPr>
          <w:rFonts w:ascii="Arial" w:hAnsi="Arial" w:cs="Arial"/>
          <w:sz w:val="24"/>
          <w:szCs w:val="24"/>
          <w:lang w:val="fr-BE"/>
        </w:rPr>
        <w:t>’</w:t>
      </w:r>
      <w:r w:rsidRPr="006B6888">
        <w:rPr>
          <w:rFonts w:ascii="Arial" w:hAnsi="Arial" w:cs="Arial"/>
          <w:sz w:val="24"/>
          <w:szCs w:val="24"/>
          <w:lang w:val="fr-BE"/>
        </w:rPr>
        <w:t>il a déjà réalisés en la matière.</w:t>
      </w:r>
    </w:p>
    <w:p w:rsidR="00C364B9" w:rsidRPr="006B6888" w:rsidRDefault="00C364B9" w:rsidP="00DC56AA">
      <w:pPr>
        <w:jc w:val="center"/>
        <w:rPr>
          <w:lang w:val="fr-BE"/>
        </w:rPr>
      </w:pPr>
      <w:r w:rsidRPr="006B6888">
        <w:rPr>
          <w:rFonts w:asciiTheme="minorHAnsi" w:hAnsiTheme="minorHAnsi" w:cstheme="minorHAnsi"/>
          <w:sz w:val="32"/>
          <w:szCs w:val="32"/>
          <w:lang w:val="fr-BE"/>
        </w:rPr>
        <w:t>____________</w:t>
      </w:r>
    </w:p>
    <w:sectPr w:rsidR="00C364B9" w:rsidRPr="006B6888" w:rsidSect="00FA6FE6">
      <w:footerReference w:type="default" r:id="rId13"/>
      <w:pgSz w:w="11907" w:h="16839" w:code="9"/>
      <w:pgMar w:top="1417" w:right="1417" w:bottom="1417" w:left="141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B9" w:rsidRDefault="00C364B9">
      <w:r>
        <w:separator/>
      </w:r>
    </w:p>
  </w:endnote>
  <w:endnote w:type="continuationSeparator" w:id="0">
    <w:p w:rsidR="00C364B9" w:rsidRDefault="00C3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4D" w:rsidRDefault="000B1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B9" w:rsidRDefault="00C364B9">
      <w:r>
        <w:separator/>
      </w:r>
    </w:p>
  </w:footnote>
  <w:footnote w:type="continuationSeparator" w:id="0">
    <w:p w:rsidR="00C364B9" w:rsidRDefault="00C36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CE6D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730"/>
      </v:shape>
    </w:pict>
  </w:numPicBullet>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4348F8"/>
    <w:multiLevelType w:val="hybridMultilevel"/>
    <w:tmpl w:val="6214EED6"/>
    <w:lvl w:ilvl="0" w:tplc="0809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D25007A"/>
    <w:multiLevelType w:val="hybridMultilevel"/>
    <w:tmpl w:val="A75AB304"/>
    <w:lvl w:ilvl="0" w:tplc="080C0007">
      <w:start w:val="1"/>
      <w:numFmt w:val="bullet"/>
      <w:lvlText w:val=""/>
      <w:lvlPicBulletId w:val="0"/>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6686023A"/>
    <w:multiLevelType w:val="hybridMultilevel"/>
    <w:tmpl w:val="94C4BBEE"/>
    <w:lvl w:ilvl="0" w:tplc="B4A4ADD0">
      <w:start w:val="1"/>
      <w:numFmt w:val="bullet"/>
      <w:lvlText w:val="­"/>
      <w:lvlJc w:val="left"/>
      <w:pPr>
        <w:ind w:left="360" w:hanging="360"/>
      </w:pPr>
      <w:rPr>
        <w:rFonts w:ascii="Times New Roman" w:hAnsi="Times New Roman" w:cs="Times New Roman" w:hint="default"/>
      </w:rPr>
    </w:lvl>
    <w:lvl w:ilvl="1" w:tplc="16343D0A">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B9"/>
    <w:rsid w:val="00005DE0"/>
    <w:rsid w:val="0003290D"/>
    <w:rsid w:val="00065300"/>
    <w:rsid w:val="00093E43"/>
    <w:rsid w:val="00096E29"/>
    <w:rsid w:val="000B1C4D"/>
    <w:rsid w:val="00114BF9"/>
    <w:rsid w:val="00190CE1"/>
    <w:rsid w:val="0019577D"/>
    <w:rsid w:val="00197E94"/>
    <w:rsid w:val="00261BA4"/>
    <w:rsid w:val="00274ED7"/>
    <w:rsid w:val="002B20B3"/>
    <w:rsid w:val="002B55AD"/>
    <w:rsid w:val="003A4EBD"/>
    <w:rsid w:val="003B1955"/>
    <w:rsid w:val="003E7EEE"/>
    <w:rsid w:val="00414125"/>
    <w:rsid w:val="00433338"/>
    <w:rsid w:val="00440898"/>
    <w:rsid w:val="00474E33"/>
    <w:rsid w:val="00477B08"/>
    <w:rsid w:val="00481048"/>
    <w:rsid w:val="004A3307"/>
    <w:rsid w:val="004C108A"/>
    <w:rsid w:val="004E05E5"/>
    <w:rsid w:val="00525110"/>
    <w:rsid w:val="005A1121"/>
    <w:rsid w:val="005B7F55"/>
    <w:rsid w:val="005C61BC"/>
    <w:rsid w:val="00620EB7"/>
    <w:rsid w:val="006B6888"/>
    <w:rsid w:val="006C4D73"/>
    <w:rsid w:val="006E5416"/>
    <w:rsid w:val="00726717"/>
    <w:rsid w:val="00764B3C"/>
    <w:rsid w:val="00771032"/>
    <w:rsid w:val="00792AAD"/>
    <w:rsid w:val="007E58A3"/>
    <w:rsid w:val="00815995"/>
    <w:rsid w:val="008B2610"/>
    <w:rsid w:val="008B579D"/>
    <w:rsid w:val="008B66CE"/>
    <w:rsid w:val="008D0F1A"/>
    <w:rsid w:val="00903408"/>
    <w:rsid w:val="009441C7"/>
    <w:rsid w:val="00977B4A"/>
    <w:rsid w:val="009A6695"/>
    <w:rsid w:val="009B1FE2"/>
    <w:rsid w:val="009C5FE3"/>
    <w:rsid w:val="009F3193"/>
    <w:rsid w:val="009F3FB7"/>
    <w:rsid w:val="00A12FA8"/>
    <w:rsid w:val="00AA6530"/>
    <w:rsid w:val="00B10F63"/>
    <w:rsid w:val="00B24DF5"/>
    <w:rsid w:val="00B43B69"/>
    <w:rsid w:val="00B9405D"/>
    <w:rsid w:val="00BC6D92"/>
    <w:rsid w:val="00BE33B4"/>
    <w:rsid w:val="00C017BF"/>
    <w:rsid w:val="00C364B9"/>
    <w:rsid w:val="00C47098"/>
    <w:rsid w:val="00CE1A44"/>
    <w:rsid w:val="00CF3A47"/>
    <w:rsid w:val="00D01AED"/>
    <w:rsid w:val="00D845D0"/>
    <w:rsid w:val="00D872A4"/>
    <w:rsid w:val="00DC56AA"/>
    <w:rsid w:val="00DD0188"/>
    <w:rsid w:val="00DF6EF7"/>
    <w:rsid w:val="00E0297A"/>
    <w:rsid w:val="00E84471"/>
    <w:rsid w:val="00ED25B8"/>
    <w:rsid w:val="00EE38B4"/>
    <w:rsid w:val="00F44330"/>
    <w:rsid w:val="00F60F14"/>
    <w:rsid w:val="00FA4777"/>
    <w:rsid w:val="00FA6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AE3AE3"/>
  <w15:docId w15:val="{8169230A-E6FD-45D5-8F92-F53F2360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B9"/>
    <w:pPr>
      <w:spacing w:line="240" w:lineRule="auto"/>
      <w:jc w:val="left"/>
    </w:pPr>
    <w:rPr>
      <w:rFonts w:ascii="Times" w:hAnsi="Times"/>
      <w:sz w:val="24"/>
      <w:szCs w:val="20"/>
      <w:lang w:val="nl-NL" w:eastAsia="nl-BE"/>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spacing w:line="288" w:lineRule="auto"/>
      <w:jc w:val="both"/>
    </w:pPr>
    <w:rPr>
      <w:rFonts w:ascii="Times New Roman" w:hAnsi="Times New Roman"/>
      <w:sz w:val="22"/>
    </w:rPr>
  </w:style>
  <w:style w:type="paragraph" w:styleId="FootnoteText">
    <w:name w:val="footnote text"/>
    <w:basedOn w:val="Normal"/>
    <w:qFormat/>
    <w:rsid w:val="00F44330"/>
    <w:pPr>
      <w:keepLines/>
      <w:spacing w:after="60"/>
      <w:ind w:left="567" w:hanging="567"/>
    </w:pPr>
    <w:rPr>
      <w:sz w:val="16"/>
    </w:rPr>
  </w:style>
  <w:style w:type="paragraph" w:styleId="Header">
    <w:name w:val="header"/>
    <w:basedOn w:val="Normal"/>
    <w:qFormat/>
    <w:pPr>
      <w:spacing w:line="288" w:lineRule="auto"/>
      <w:jc w:val="both"/>
    </w:pPr>
    <w:rPr>
      <w:rFonts w:ascii="Times New Roman" w:hAnsi="Times New Roman"/>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rsid w:val="00C364B9"/>
    <w:rPr>
      <w:color w:val="0000FF"/>
      <w:u w:val="single"/>
    </w:rPr>
  </w:style>
  <w:style w:type="paragraph" w:styleId="ListParagraph">
    <w:name w:val="List Paragraph"/>
    <w:basedOn w:val="Normal"/>
    <w:uiPriority w:val="34"/>
    <w:qFormat/>
    <w:rsid w:val="00C364B9"/>
    <w:pPr>
      <w:ind w:left="720"/>
    </w:pPr>
    <w:rPr>
      <w:rFonts w:ascii="Calibri" w:eastAsiaTheme="minorHAnsi" w:hAnsi="Calibri"/>
      <w:sz w:val="22"/>
      <w:szCs w:val="22"/>
      <w:lang w:val="nl-BE" w:eastAsia="en-US"/>
    </w:rPr>
  </w:style>
  <w:style w:type="table" w:styleId="TableGrid">
    <w:name w:val="Table Grid"/>
    <w:basedOn w:val="TableNormal"/>
    <w:rsid w:val="00C364B9"/>
    <w:pPr>
      <w:spacing w:line="240" w:lineRule="auto"/>
      <w:jc w:val="left"/>
    </w:pPr>
    <w:rPr>
      <w:rFonts w:ascii="Times" w:hAnsi="Times"/>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25B8"/>
    <w:rPr>
      <w:color w:val="800080" w:themeColor="followedHyperlink"/>
      <w:u w:val="single"/>
    </w:rPr>
  </w:style>
  <w:style w:type="paragraph" w:styleId="BalloonText">
    <w:name w:val="Balloon Text"/>
    <w:basedOn w:val="Normal"/>
    <w:link w:val="BalloonTextChar"/>
    <w:semiHidden/>
    <w:unhideWhenUsed/>
    <w:rsid w:val="008D0F1A"/>
    <w:rPr>
      <w:rFonts w:ascii="Tahoma" w:hAnsi="Tahoma" w:cs="Tahoma"/>
      <w:sz w:val="16"/>
      <w:szCs w:val="16"/>
    </w:rPr>
  </w:style>
  <w:style w:type="character" w:customStyle="1" w:styleId="BalloonTextChar">
    <w:name w:val="Balloon Text Char"/>
    <w:basedOn w:val="DefaultParagraphFont"/>
    <w:link w:val="BalloonText"/>
    <w:semiHidden/>
    <w:rsid w:val="008D0F1A"/>
    <w:rPr>
      <w:rFonts w:ascii="Tahoma" w:hAnsi="Tahoma" w:cs="Tahoma"/>
      <w:sz w:val="16"/>
      <w:szCs w:val="16"/>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fr/our-work/opinions-information-reports/opinions/commerce-de-detail-communi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VV634QRNENMJ-2004427339-310</_dlc_DocId>
    <_dlc_DocIdUrl xmlns="cda99570-6012-4083-bfeb-7d32ad1ce1a3">
      <Url>http://dm2016/eesc/2020/_layouts/15/DocIdRedir.aspx?ID=VV634QRNENMJ-2004427339-310</Url>
      <Description>VV634QRNENMJ-2004427339-310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2020-02-28T12:00:00+00:00</ProductionDate>
    <FicheYear xmlns="cda99570-6012-4083-bfeb-7d32ad1ce1a3">2020</FicheYear>
    <DocumentNumber xmlns="0381fa04-922e-4f8c-89b0-7415d369da52">1043</DocumentNumber>
    <DocumentVersion xmlns="cda99570-6012-4083-bfeb-7d32ad1ce1a3">1</DocumentVersion>
    <DossierNumber xmlns="cda99570-6012-4083-bfeb-7d32ad1ce1a3">854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8</Value>
      <Value>94</Value>
      <Value>45</Value>
      <Value>13</Value>
      <Value>11</Value>
      <Value>9</Value>
      <Value>41</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LARGHI  &amp; LANNOO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2215</FicheNumber>
    <DocumentPart xmlns="cda99570-6012-4083-bfeb-7d32ad1ce1a3">0</DocumentPart>
    <AdoptionDate xmlns="cda99570-6012-4083-bfeb-7d32ad1ce1a3" xsi:nil="true"/>
    <RequestingService xmlns="cda99570-6012-4083-bfeb-7d32ad1ce1a3">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E3209-C921-4649-B77D-79F430DF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F73A9-EC78-4DC8-ADF5-B97372FA18BB}">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3.xml><?xml version="1.0" encoding="utf-8"?>
<ds:datastoreItem xmlns:ds="http://schemas.openxmlformats.org/officeDocument/2006/customXml" ds:itemID="{FB0F84A0-AEAA-4AE9-B6F6-708C48DAC19D}">
  <ds:schemaRefs>
    <ds:schemaRef ds:uri="http://schemas.microsoft.com/sharepoint/events"/>
  </ds:schemaRefs>
</ds:datastoreItem>
</file>

<file path=customXml/itemProps4.xml><?xml version="1.0" encoding="utf-8"?>
<ds:datastoreItem xmlns:ds="http://schemas.openxmlformats.org/officeDocument/2006/customXml" ds:itemID="{53FD8129-7EDA-40C8-B0A0-09F4DEA77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Conclusions et recommandations</vt:lpstr>
    </vt:vector>
  </TitlesOfParts>
  <Company>CESE-CdR</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et recommandations</dc:title>
  <dc:subject>Travaux consultatifs, divers</dc:subject>
  <dc:creator>Alexandra Seidenberg</dc:creator>
  <cp:keywords>EESC-2020-01043-00-01-TCD-TRA-FR</cp:keywords>
  <dc:description>Rapporteur: - LARGHI  &amp; LANNOO Original language: - FR Date of document: - 28/02/2020 Date of meeting: -  External documents: - COM(2018)219-final Administrator responsible: - Mme DRILLON Marie-Laurence Anne Elisabeth</dc:description>
  <cp:lastModifiedBy>Alexandra Seidenberg</cp:lastModifiedBy>
  <cp:revision>5</cp:revision>
  <dcterms:created xsi:type="dcterms:W3CDTF">2020-02-28T15:49:00Z</dcterms:created>
  <dcterms:modified xsi:type="dcterms:W3CDTF">2020-03-09T10:52:00Z</dcterms:modified>
  <cp:category>INT/854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28/02/2020, 25/02/2020</vt:lpwstr>
  </property>
  <property fmtid="{D5CDD505-2E9C-101B-9397-08002B2CF9AE}" pid="4" name="Pref_Time">
    <vt:lpwstr>16:10:20, 11:51:55</vt:lpwstr>
  </property>
  <property fmtid="{D5CDD505-2E9C-101B-9397-08002B2CF9AE}" pid="5" name="Pref_User">
    <vt:lpwstr>jhvi, mkop</vt:lpwstr>
  </property>
  <property fmtid="{D5CDD505-2E9C-101B-9397-08002B2CF9AE}" pid="6" name="Pref_FileName">
    <vt:lpwstr>EESC-2020-01043-00-01-TCD-TRA-FR-CRR.docx, EESC-2020-01043-00-00-TCD-TRA-FR-CRR.docx</vt:lpwstr>
  </property>
  <property fmtid="{D5CDD505-2E9C-101B-9397-08002B2CF9AE}" pid="7" name="ContentTypeId">
    <vt:lpwstr>0x010100EA97B91038054C99906057A708A1480A0010FCE28FA6316941A8E63DE5CBD60CA0</vt:lpwstr>
  </property>
  <property fmtid="{D5CDD505-2E9C-101B-9397-08002B2CF9AE}" pid="8" name="_dlc_DocIdItemGuid">
    <vt:lpwstr>5cd3a445-ca9a-4d4c-ab44-4ee257e1dc16</vt:lpwstr>
  </property>
  <property fmtid="{D5CDD505-2E9C-101B-9397-08002B2CF9AE}" pid="9" name="AvailableTranslations">
    <vt:lpwstr>45;#FI|87606a43-d45f-42d6-b8c9-e1a3457db5b7;#13;#IT|0774613c-01ed-4e5d-a25d-11d2388de825;#11;#FR|d2afafd3-4c81-4f60-8f52-ee33f2f54ff3;#9;#PL|1e03da61-4678-4e07-b136-b5024ca9197b;#41;#NL|55c6556c-b4f4-441d-9acf-c498d4f838bd;#4;#EN|f2175f21-25d7-44a3-96da-d</vt:lpwstr>
  </property>
  <property fmtid="{D5CDD505-2E9C-101B-9397-08002B2CF9AE}" pid="10" name="DocumentType_0">
    <vt:lpwstr>TCD|cd9d6eb6-3f4f-424a-b2d1-57c9d450eaaf</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1043</vt:i4>
  </property>
  <property fmtid="{D5CDD505-2E9C-101B-9397-08002B2CF9AE}" pid="14" name="FicheYear">
    <vt:i4>2020</vt:i4>
  </property>
  <property fmtid="{D5CDD505-2E9C-101B-9397-08002B2CF9AE}" pid="15" name="DocumentVersion">
    <vt:i4>1</vt:i4>
  </property>
  <property fmtid="{D5CDD505-2E9C-101B-9397-08002B2CF9AE}" pid="16" name="DossierNumber">
    <vt:i4>854</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94;#INT|e1edfecb-ed43-427b-bb02-d45fe6645386</vt:lpwstr>
  </property>
  <property fmtid="{D5CDD505-2E9C-101B-9397-08002B2CF9AE}" pid="20"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Marché unique, production, consommation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11;#FR|d2afafd3-4c81-4f60-8f52-ee33f2f54ff3</vt:lpwstr>
  </property>
  <property fmtid="{D5CDD505-2E9C-101B-9397-08002B2CF9AE}" pid="27" name="MeetingName">
    <vt:lpwstr/>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FR|d2afafd3-4c81-4f60-8f52-ee33f2f54ff3</vt:lpwstr>
  </property>
  <property fmtid="{D5CDD505-2E9C-101B-9397-08002B2CF9AE}" pid="31" name="TaxCatchAll">
    <vt:lpwstr>11;#FR|d2afafd3-4c81-4f60-8f52-ee33f2f54ff3;#94;#INT|e1edfecb-ed43-427b-bb02-d45fe6645386;#8;#TCD|cd9d6eb6-3f4f-424a-b2d1-57c9d450eaaf;#6;#Final|ea5e6674-7b27-4bac-b091-73adbb394efe;#5;#Unrestricted|826e22d7-d029-4ec0-a450-0c28ff673572;#2;#TRA|150d2a88-14</vt:lpwstr>
  </property>
  <property fmtid="{D5CDD505-2E9C-101B-9397-08002B2CF9AE}" pid="32" name="Rapporteur">
    <vt:lpwstr>LARGHI  &amp; LANNOO</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2215</vt:i4>
  </property>
  <property fmtid="{D5CDD505-2E9C-101B-9397-08002B2CF9AE}" pid="37" name="DocumentLanguage">
    <vt:lpwstr>11;#FR|d2afafd3-4c81-4f60-8f52-ee33f2f54ff3</vt:lpwstr>
  </property>
  <property fmtid="{D5CDD505-2E9C-101B-9397-08002B2CF9AE}" pid="38" name="_docset_NoMedatataSyncRequired">
    <vt:lpwstr>False</vt:lpwstr>
  </property>
</Properties>
</file>