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8772A" w:rsidR="008405A0" w:rsidP="001F50B6" w:rsidRDefault="00CE06AD">
      <w:pPr>
        <w:snapToGrid w:val="0"/>
        <w:jc w:val="center"/>
        <w:rPr>
          <w:lang w:val="en-GB"/>
        </w:rPr>
      </w:pPr>
      <w:bookmarkStart w:name="_GoBack" w:id="0"/>
      <w:bookmarkEnd w:id="0"/>
      <w:r w:rsidRPr="00CE06AD">
        <w:rPr>
          <w:noProof/>
        </w:rPr>
        <w:drawing>
          <wp:inline distT="0" distB="0" distL="0" distR="0" wp14:anchorId="1E007677" wp14:editId="12CD7625">
            <wp:extent cx="1792800" cy="1240079"/>
            <wp:effectExtent l="0" t="0" r="0" b="0"/>
            <wp:docPr id="1" name="Picture 1"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3">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r w:rsidRPr="0098772A" w:rsidR="006A08D5">
        <w:rPr>
          <w:lang w:val="en-GB"/>
        </w:rPr>
        <w:fldChar w:fldCharType="begin"/>
      </w:r>
      <w:r w:rsidRPr="0098772A" w:rsidR="006A08D5">
        <w:rPr>
          <w:lang w:val="en-GB"/>
        </w:rPr>
        <w:instrText xml:space="preserve">  </w:instrText>
      </w:r>
      <w:r w:rsidRPr="0098772A" w:rsidR="006A08D5">
        <w:rPr>
          <w:lang w:val="en-GB"/>
        </w:rPr>
        <w:fldChar w:fldCharType="end"/>
      </w:r>
      <w:r w:rsidRPr="0098772A" w:rsidR="00EF53DD">
        <w:rPr>
          <w:noProof/>
          <w:sz w:val="20"/>
        </w:rPr>
        <mc:AlternateContent>
          <mc:Choice Requires="wps">
            <w:drawing>
              <wp:anchor distT="0" distB="0" distL="114300" distR="114300" simplePos="0" relativeHeight="251659264" behindDoc="1" locked="0" layoutInCell="0" allowOverlap="1" wp14:editId="24A20777" wp14:anchorId="6F3A24C8">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98772A" w:rsidRDefault="0098772A">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98772A" w:rsidRDefault="0098772A">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rsidRPr="0098772A" w:rsidR="008405A0" w:rsidP="001F50B6" w:rsidRDefault="008405A0">
      <w:pPr>
        <w:snapToGrid w:val="0"/>
        <w:rPr>
          <w:lang w:val="en-GB"/>
        </w:rPr>
      </w:pPr>
    </w:p>
    <w:p w:rsidRPr="0098772A" w:rsidR="008405A0" w:rsidP="001F50B6" w:rsidRDefault="008405A0">
      <w:pPr>
        <w:snapToGrid w:val="0"/>
        <w:rPr>
          <w:lang w:val="en-GB"/>
        </w:rPr>
      </w:pPr>
    </w:p>
    <w:p w:rsidRPr="0098772A" w:rsidR="008405A0" w:rsidP="001F50B6" w:rsidRDefault="00FC0B2C">
      <w:pPr>
        <w:snapToGrid w:val="0"/>
        <w:jc w:val="right"/>
        <w:rPr>
          <w:rFonts w:eastAsia="MS Mincho"/>
          <w:lang w:val="en-GB"/>
        </w:rPr>
      </w:pPr>
      <w:r w:rsidRPr="0098772A">
        <w:rPr>
          <w:lang w:val="en-GB"/>
        </w:rPr>
        <w:t xml:space="preserve">Brussels, </w:t>
      </w:r>
      <w:r w:rsidR="003E0485">
        <w:rPr>
          <w:lang w:val="en-GB"/>
        </w:rPr>
        <w:t>2</w:t>
      </w:r>
      <w:r w:rsidR="001479A6">
        <w:rPr>
          <w:lang w:val="en-GB"/>
        </w:rPr>
        <w:t>1</w:t>
      </w:r>
      <w:r w:rsidR="003E0485">
        <w:rPr>
          <w:lang w:val="en-GB"/>
        </w:rPr>
        <w:t xml:space="preserve"> </w:t>
      </w:r>
      <w:r w:rsidR="001479A6">
        <w:rPr>
          <w:lang w:val="en-GB"/>
        </w:rPr>
        <w:t>Febr</w:t>
      </w:r>
      <w:r w:rsidR="003E0485">
        <w:rPr>
          <w:lang w:val="en-GB"/>
        </w:rPr>
        <w:t>uary 2020</w:t>
      </w:r>
    </w:p>
    <w:p w:rsidRPr="0098772A" w:rsidR="008405A0" w:rsidP="001F50B6" w:rsidRDefault="008405A0">
      <w:pPr>
        <w:snapToGrid w:val="0"/>
        <w:rPr>
          <w:lang w:val="en-GB"/>
        </w:rPr>
      </w:pPr>
    </w:p>
    <w:p w:rsidRPr="0098772A" w:rsidR="008405A0" w:rsidP="001F50B6" w:rsidRDefault="008405A0">
      <w:pPr>
        <w:snapToGrid w:val="0"/>
        <w:rPr>
          <w:lang w:val="en-GB"/>
        </w:rPr>
      </w:pPr>
    </w:p>
    <w:p w:rsidRPr="0098772A" w:rsidR="00AF6F3E" w:rsidP="001F50B6" w:rsidRDefault="00AF6F3E">
      <w:pPr>
        <w:snapToGrid w:val="0"/>
        <w:rPr>
          <w:lang w:val="en-GB"/>
        </w:rPr>
      </w:pPr>
    </w:p>
    <w:p w:rsidRPr="0098772A" w:rsidR="006819C8" w:rsidP="001F50B6" w:rsidRDefault="006819C8">
      <w:pPr>
        <w:snapToGrid w:val="0"/>
        <w:rPr>
          <w:lang w:val="en-GB"/>
        </w:rPr>
      </w:pPr>
    </w:p>
    <w:tbl>
      <w:tblPr>
        <w:tblW w:w="0" w:type="auto"/>
        <w:tblLayout w:type="fixed"/>
        <w:tblLook w:val="0000" w:firstRow="0" w:lastRow="0" w:firstColumn="0" w:lastColumn="0" w:noHBand="0" w:noVBand="0"/>
      </w:tblPr>
      <w:tblGrid>
        <w:gridCol w:w="9289"/>
      </w:tblGrid>
      <w:tr w:rsidRPr="0098772A" w:rsidR="008405A0" w:rsidTr="00A72D7A">
        <w:tc>
          <w:tcPr>
            <w:tcW w:w="9289" w:type="dxa"/>
            <w:tcBorders>
              <w:top w:val="nil"/>
              <w:left w:val="nil"/>
              <w:bottom w:val="double" w:color="auto" w:sz="4" w:space="0"/>
              <w:right w:val="nil"/>
            </w:tcBorders>
          </w:tcPr>
          <w:p w:rsidR="003E0485" w:rsidP="001F50B6" w:rsidRDefault="00B83060">
            <w:pPr>
              <w:snapToGrid w:val="0"/>
              <w:jc w:val="center"/>
              <w:rPr>
                <w:b/>
                <w:sz w:val="32"/>
                <w:lang w:val="en-GB"/>
              </w:rPr>
            </w:pPr>
            <w:r w:rsidRPr="0098772A">
              <w:rPr>
                <w:b/>
                <w:sz w:val="32"/>
                <w:lang w:val="en-GB"/>
              </w:rPr>
              <w:t>PLENARY SESSION</w:t>
            </w:r>
            <w:r w:rsidRPr="0098772A" w:rsidR="00FC0B2C">
              <w:rPr>
                <w:b/>
                <w:sz w:val="32"/>
                <w:lang w:val="en-GB"/>
              </w:rPr>
              <w:br/>
              <w:t xml:space="preserve"> </w:t>
            </w:r>
            <w:r w:rsidRPr="0098772A" w:rsidR="00FC0B2C">
              <w:rPr>
                <w:b/>
                <w:sz w:val="32"/>
                <w:lang w:val="en-GB"/>
              </w:rPr>
              <w:br/>
            </w:r>
            <w:r w:rsidR="001479A6">
              <w:rPr>
                <w:b/>
                <w:sz w:val="32"/>
                <w:lang w:val="en-GB"/>
              </w:rPr>
              <w:t>19</w:t>
            </w:r>
            <w:r w:rsidRPr="0098772A" w:rsidR="00080B66">
              <w:rPr>
                <w:b/>
                <w:sz w:val="32"/>
                <w:lang w:val="en-GB"/>
              </w:rPr>
              <w:t xml:space="preserve"> </w:t>
            </w:r>
            <w:r w:rsidRPr="0098772A" w:rsidR="00BC579E">
              <w:rPr>
                <w:b/>
                <w:sz w:val="32"/>
                <w:lang w:val="en-GB"/>
              </w:rPr>
              <w:t>AND</w:t>
            </w:r>
            <w:r w:rsidRPr="0098772A" w:rsidR="00CB5E48">
              <w:rPr>
                <w:b/>
                <w:sz w:val="32"/>
                <w:lang w:val="en-GB"/>
              </w:rPr>
              <w:t xml:space="preserve"> 2</w:t>
            </w:r>
            <w:r w:rsidR="001479A6">
              <w:rPr>
                <w:b/>
                <w:sz w:val="32"/>
                <w:lang w:val="en-GB"/>
              </w:rPr>
              <w:t>0</w:t>
            </w:r>
            <w:r w:rsidRPr="0098772A" w:rsidR="00080B66">
              <w:rPr>
                <w:b/>
                <w:sz w:val="32"/>
                <w:lang w:val="en-GB"/>
              </w:rPr>
              <w:t xml:space="preserve"> </w:t>
            </w:r>
            <w:r w:rsidR="001479A6">
              <w:rPr>
                <w:b/>
                <w:sz w:val="32"/>
                <w:lang w:val="en-GB"/>
              </w:rPr>
              <w:t>FEBR</w:t>
            </w:r>
            <w:r w:rsidR="003E0485">
              <w:rPr>
                <w:b/>
                <w:sz w:val="32"/>
                <w:lang w:val="en-GB"/>
              </w:rPr>
              <w:t>UARY 2020</w:t>
            </w:r>
          </w:p>
          <w:p w:rsidRPr="0098772A" w:rsidR="008405A0" w:rsidP="001F50B6" w:rsidRDefault="00FC0B2C">
            <w:pPr>
              <w:snapToGrid w:val="0"/>
              <w:jc w:val="center"/>
              <w:rPr>
                <w:rFonts w:eastAsia="MS Mincho"/>
                <w:b/>
                <w:sz w:val="32"/>
                <w:lang w:val="en-GB"/>
              </w:rPr>
            </w:pPr>
            <w:r w:rsidRPr="0098772A">
              <w:rPr>
                <w:b/>
                <w:sz w:val="32"/>
                <w:lang w:val="en-GB"/>
              </w:rPr>
              <w:t xml:space="preserve"> </w:t>
            </w:r>
            <w:r w:rsidRPr="0098772A">
              <w:rPr>
                <w:b/>
                <w:sz w:val="32"/>
                <w:lang w:val="en-GB"/>
              </w:rPr>
              <w:br/>
              <w:t>SUMMARY OF OPINIONS ADOPTED</w:t>
            </w:r>
          </w:p>
          <w:p w:rsidRPr="0098772A" w:rsidR="008405A0" w:rsidP="001F50B6" w:rsidRDefault="008405A0">
            <w:pPr>
              <w:rPr>
                <w:lang w:val="en-GB"/>
              </w:rPr>
            </w:pPr>
          </w:p>
          <w:p w:rsidRPr="0098772A" w:rsidR="008405A0" w:rsidP="001F50B6" w:rsidRDefault="008405A0">
            <w:pPr>
              <w:rPr>
                <w:lang w:val="en-GB"/>
              </w:rPr>
            </w:pPr>
          </w:p>
        </w:tc>
      </w:tr>
      <w:tr w:rsidRPr="0098772A" w:rsidR="008405A0" w:rsidTr="00A72D7A">
        <w:tc>
          <w:tcPr>
            <w:tcW w:w="9289" w:type="dxa"/>
            <w:tcBorders>
              <w:top w:val="double" w:color="auto" w:sz="4" w:space="0"/>
              <w:left w:val="double" w:color="auto" w:sz="4" w:space="0"/>
              <w:bottom w:val="double" w:color="auto" w:sz="4" w:space="0"/>
              <w:right w:val="double" w:color="auto" w:sz="4" w:space="0"/>
            </w:tcBorders>
          </w:tcPr>
          <w:p w:rsidRPr="0098772A" w:rsidR="00FF15DA" w:rsidP="001F50B6" w:rsidRDefault="00FF15DA">
            <w:pPr>
              <w:snapToGrid w:val="0"/>
              <w:jc w:val="center"/>
              <w:rPr>
                <w:b/>
                <w:lang w:val="en-GB"/>
              </w:rPr>
            </w:pPr>
          </w:p>
          <w:p w:rsidRPr="0098772A" w:rsidR="00FC0B2C" w:rsidP="001F50B6" w:rsidRDefault="00FC0B2C">
            <w:pPr>
              <w:snapToGrid w:val="0"/>
              <w:jc w:val="center"/>
              <w:rPr>
                <w:rFonts w:eastAsia="MS Mincho"/>
                <w:b/>
                <w:lang w:val="en-GB"/>
              </w:rPr>
            </w:pPr>
            <w:r w:rsidRPr="0098772A">
              <w:rPr>
                <w:b/>
                <w:lang w:val="en-GB"/>
              </w:rPr>
              <w:t xml:space="preserve">This document is available in the official languages on the </w:t>
            </w:r>
            <w:r w:rsidRPr="0098772A" w:rsidR="00C561AD">
              <w:rPr>
                <w:b/>
                <w:lang w:val="en-GB"/>
              </w:rPr>
              <w:t xml:space="preserve">EESC </w:t>
            </w:r>
            <w:r w:rsidRPr="0098772A">
              <w:rPr>
                <w:b/>
                <w:lang w:val="en-GB"/>
              </w:rPr>
              <w:t>website at:</w:t>
            </w:r>
          </w:p>
          <w:p w:rsidRPr="0098772A" w:rsidR="00FC0B2C" w:rsidP="001F50B6" w:rsidRDefault="00FC0B2C">
            <w:pPr>
              <w:snapToGrid w:val="0"/>
              <w:jc w:val="center"/>
              <w:rPr>
                <w:b/>
                <w:lang w:val="en-GB"/>
              </w:rPr>
            </w:pPr>
          </w:p>
          <w:p w:rsidRPr="0098772A" w:rsidR="00FC0B2C" w:rsidP="001F50B6" w:rsidRDefault="00022E1D">
            <w:pPr>
              <w:jc w:val="center"/>
              <w:rPr>
                <w:rStyle w:val="Hyperlink"/>
                <w:b/>
                <w:lang w:val="en-GB"/>
              </w:rPr>
            </w:pPr>
            <w:hyperlink w:history="1" r:id="rId14">
              <w:r w:rsidRPr="0098772A" w:rsidR="003656EC">
                <w:rPr>
                  <w:rStyle w:val="Hyperlink"/>
                  <w:lang w:val="en-GB"/>
                </w:rPr>
                <w:t>https://www.eesc.europa.eu/en/our-work/opinions-information-reports/plenary-session-summaries</w:t>
              </w:r>
            </w:hyperlink>
          </w:p>
          <w:p w:rsidRPr="0098772A" w:rsidR="00FC0B2C" w:rsidP="001F50B6" w:rsidRDefault="00FC0B2C">
            <w:pPr>
              <w:snapToGrid w:val="0"/>
              <w:jc w:val="center"/>
              <w:rPr>
                <w:b/>
                <w:lang w:val="en-GB"/>
              </w:rPr>
            </w:pPr>
          </w:p>
          <w:p w:rsidRPr="0098772A" w:rsidR="00FC0B2C" w:rsidP="001F50B6" w:rsidRDefault="00FC0B2C">
            <w:pPr>
              <w:snapToGrid w:val="0"/>
              <w:jc w:val="center"/>
              <w:rPr>
                <w:rFonts w:eastAsia="SimSun"/>
                <w:b/>
                <w:lang w:val="en-GB"/>
              </w:rPr>
            </w:pPr>
          </w:p>
          <w:p w:rsidRPr="0098772A" w:rsidR="00FC0B2C" w:rsidP="001F50B6" w:rsidRDefault="00FC0B2C">
            <w:pPr>
              <w:snapToGrid w:val="0"/>
              <w:jc w:val="center"/>
              <w:rPr>
                <w:rFonts w:eastAsia="MS Mincho"/>
                <w:b/>
                <w:lang w:val="en-GB"/>
              </w:rPr>
            </w:pPr>
            <w:r w:rsidRPr="0098772A">
              <w:rPr>
                <w:b/>
                <w:lang w:val="en-GB"/>
              </w:rPr>
              <w:t xml:space="preserve">The opinions listed can be consulted online using the </w:t>
            </w:r>
            <w:r w:rsidRPr="0098772A" w:rsidR="00C561AD">
              <w:rPr>
                <w:b/>
                <w:lang w:val="en-GB"/>
              </w:rPr>
              <w:t xml:space="preserve">EESC </w:t>
            </w:r>
            <w:r w:rsidRPr="0098772A">
              <w:rPr>
                <w:b/>
                <w:lang w:val="en-GB"/>
              </w:rPr>
              <w:t>search engine:</w:t>
            </w:r>
          </w:p>
          <w:p w:rsidRPr="0098772A" w:rsidR="00FC0B2C" w:rsidP="001F50B6" w:rsidRDefault="00FC0B2C">
            <w:pPr>
              <w:snapToGrid w:val="0"/>
              <w:jc w:val="center"/>
              <w:rPr>
                <w:b/>
                <w:lang w:val="en-GB"/>
              </w:rPr>
            </w:pPr>
          </w:p>
          <w:p w:rsidRPr="0098772A" w:rsidR="00FC0B2C" w:rsidP="001F50B6" w:rsidRDefault="00022E1D">
            <w:pPr>
              <w:jc w:val="center"/>
              <w:rPr>
                <w:rStyle w:val="Hyperlink"/>
                <w:b/>
                <w:lang w:val="en-GB"/>
              </w:rPr>
            </w:pPr>
            <w:hyperlink w:history="1" r:id="rId15">
              <w:r w:rsidRPr="0098772A" w:rsidR="003656EC">
                <w:rPr>
                  <w:rStyle w:val="Hyperlink"/>
                  <w:lang w:val="en-GB"/>
                </w:rPr>
                <w:t>https://dmsearch.eesc.europa.eu/search/opinion</w:t>
              </w:r>
            </w:hyperlink>
          </w:p>
          <w:p w:rsidRPr="0098772A" w:rsidR="008405A0" w:rsidP="001F50B6" w:rsidRDefault="008405A0">
            <w:pPr>
              <w:snapToGrid w:val="0"/>
              <w:jc w:val="center"/>
              <w:rPr>
                <w:b/>
                <w:bCs/>
                <w:lang w:val="en-GB"/>
              </w:rPr>
            </w:pPr>
          </w:p>
        </w:tc>
      </w:tr>
    </w:tbl>
    <w:p w:rsidRPr="0098772A" w:rsidR="008F7791" w:rsidP="001F50B6" w:rsidRDefault="008F7791">
      <w:pPr>
        <w:rPr>
          <w:rFonts w:eastAsia="SimSun"/>
          <w:lang w:val="en-GB"/>
        </w:rPr>
      </w:pPr>
    </w:p>
    <w:p w:rsidRPr="0098772A" w:rsidR="00A9340A" w:rsidP="001F50B6" w:rsidRDefault="00A9340A">
      <w:pPr>
        <w:rPr>
          <w:rFonts w:eastAsia="SimSun"/>
          <w:lang w:val="en-GB"/>
        </w:rPr>
        <w:sectPr w:rsidRPr="0098772A" w:rsidR="00A9340A" w:rsidSect="008357C2">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Pr="0098772A" w:rsidR="008405A0" w:rsidP="001F50B6" w:rsidRDefault="00876D7B">
      <w:pPr>
        <w:snapToGrid w:val="0"/>
        <w:rPr>
          <w:b/>
          <w:lang w:val="en-GB"/>
        </w:rPr>
      </w:pPr>
      <w:r w:rsidRPr="0098772A">
        <w:rPr>
          <w:b/>
          <w:lang w:val="en-GB"/>
        </w:rPr>
        <w:lastRenderedPageBreak/>
        <w:t>Contents</w:t>
      </w:r>
      <w:r w:rsidRPr="0098772A" w:rsidR="008405A0">
        <w:rPr>
          <w:b/>
          <w:lang w:val="en-GB"/>
        </w:rPr>
        <w:t>:</w:t>
      </w:r>
    </w:p>
    <w:p w:rsidRPr="0098772A" w:rsidR="00D16D76" w:rsidP="001F50B6" w:rsidRDefault="00D16D76">
      <w:pPr>
        <w:rPr>
          <w:lang w:val="en-GB"/>
        </w:rPr>
      </w:pPr>
    </w:p>
    <w:p w:rsidR="002B35D6" w:rsidRDefault="003353E8">
      <w:pPr>
        <w:pStyle w:val="TOC1"/>
        <w:rPr>
          <w:rFonts w:asciiTheme="minorHAnsi" w:hAnsiTheme="minorHAnsi" w:eastAsiaTheme="minorEastAsia" w:cstheme="minorBidi"/>
          <w:noProof/>
          <w:lang w:val="en-GB" w:eastAsia="en-GB"/>
        </w:rPr>
      </w:pPr>
      <w:r w:rsidRPr="0098772A">
        <w:rPr>
          <w:lang w:val="en-GB"/>
        </w:rPr>
        <w:fldChar w:fldCharType="begin"/>
      </w:r>
      <w:r w:rsidRPr="0098772A">
        <w:rPr>
          <w:lang w:val="en-GB"/>
        </w:rPr>
        <w:instrText xml:space="preserve"> TOC \o "1-1" \h \z \u </w:instrText>
      </w:r>
      <w:r w:rsidRPr="0098772A">
        <w:rPr>
          <w:lang w:val="en-GB"/>
        </w:rPr>
        <w:fldChar w:fldCharType="separate"/>
      </w:r>
      <w:hyperlink w:history="1" w:anchor="_Toc32236816">
        <w:r w:rsidRPr="009E49C8" w:rsidR="002B35D6">
          <w:rPr>
            <w:rStyle w:val="Hyperlink"/>
            <w:b/>
            <w:noProof/>
            <w:lang w:val="en-GB"/>
          </w:rPr>
          <w:t>1.</w:t>
        </w:r>
        <w:r w:rsidR="002B35D6">
          <w:rPr>
            <w:rFonts w:asciiTheme="minorHAnsi" w:hAnsiTheme="minorHAnsi" w:eastAsiaTheme="minorEastAsia" w:cstheme="minorBidi"/>
            <w:noProof/>
            <w:lang w:val="en-GB" w:eastAsia="en-GB"/>
          </w:rPr>
          <w:tab/>
        </w:r>
        <w:r w:rsidRPr="009E49C8" w:rsidR="002B35D6">
          <w:rPr>
            <w:rStyle w:val="Hyperlink"/>
            <w:b/>
            <w:noProof/>
            <w:lang w:val="en-GB"/>
          </w:rPr>
          <w:t>ECONOMIC AND MONETARY UNION, ECONOMIC AND SOCIAL COHESION</w:t>
        </w:r>
        <w:r w:rsidR="002B35D6">
          <w:rPr>
            <w:noProof/>
            <w:webHidden/>
          </w:rPr>
          <w:tab/>
        </w:r>
        <w:r w:rsidR="002B35D6">
          <w:rPr>
            <w:noProof/>
            <w:webHidden/>
          </w:rPr>
          <w:fldChar w:fldCharType="begin"/>
        </w:r>
        <w:r w:rsidR="002B35D6">
          <w:rPr>
            <w:noProof/>
            <w:webHidden/>
          </w:rPr>
          <w:instrText xml:space="preserve"> PAGEREF _Toc32236816 \h </w:instrText>
        </w:r>
        <w:r w:rsidR="002B35D6">
          <w:rPr>
            <w:noProof/>
            <w:webHidden/>
          </w:rPr>
        </w:r>
        <w:r w:rsidR="002B35D6">
          <w:rPr>
            <w:noProof/>
            <w:webHidden/>
          </w:rPr>
          <w:fldChar w:fldCharType="separate"/>
        </w:r>
        <w:r w:rsidR="002B35D6">
          <w:rPr>
            <w:noProof/>
            <w:webHidden/>
          </w:rPr>
          <w:t>3</w:t>
        </w:r>
        <w:r w:rsidR="002B35D6">
          <w:rPr>
            <w:noProof/>
            <w:webHidden/>
          </w:rPr>
          <w:fldChar w:fldCharType="end"/>
        </w:r>
      </w:hyperlink>
    </w:p>
    <w:p w:rsidRPr="003B6610" w:rsidR="006D23AB" w:rsidP="003B6610" w:rsidRDefault="003353E8">
      <w:pPr>
        <w:rPr>
          <w:lang w:val="en-GB"/>
        </w:rPr>
      </w:pPr>
      <w:r w:rsidRPr="0098772A">
        <w:rPr>
          <w:lang w:val="en-GB"/>
        </w:rPr>
        <w:fldChar w:fldCharType="end"/>
      </w:r>
      <w:r w:rsidRPr="0098772A" w:rsidR="008405A0">
        <w:rPr>
          <w:lang w:val="en-GB"/>
        </w:rPr>
        <w:br w:type="page"/>
      </w:r>
      <w:r w:rsidRPr="0098772A" w:rsidR="006D23AB">
        <w:rPr>
          <w:lang w:val="en-GB"/>
        </w:rPr>
        <w:t xml:space="preserve">The plenary session of </w:t>
      </w:r>
      <w:r w:rsidR="001479A6">
        <w:rPr>
          <w:lang w:val="en-GB"/>
        </w:rPr>
        <w:t>19</w:t>
      </w:r>
      <w:r w:rsidR="003E0485">
        <w:rPr>
          <w:lang w:val="en-GB"/>
        </w:rPr>
        <w:t xml:space="preserve"> and </w:t>
      </w:r>
      <w:r w:rsidRPr="0098772A" w:rsidR="00CB5E48">
        <w:rPr>
          <w:lang w:val="en-GB"/>
        </w:rPr>
        <w:t>2</w:t>
      </w:r>
      <w:r w:rsidR="001479A6">
        <w:rPr>
          <w:lang w:val="en-GB"/>
        </w:rPr>
        <w:t>0</w:t>
      </w:r>
      <w:r w:rsidRPr="0098772A" w:rsidR="00CB5E48">
        <w:rPr>
          <w:lang w:val="en-GB"/>
        </w:rPr>
        <w:t xml:space="preserve"> </w:t>
      </w:r>
      <w:r w:rsidR="001479A6">
        <w:rPr>
          <w:lang w:val="en-GB"/>
        </w:rPr>
        <w:t>Febr</w:t>
      </w:r>
      <w:r w:rsidR="003E0485">
        <w:rPr>
          <w:lang w:val="en-GB"/>
        </w:rPr>
        <w:t xml:space="preserve">uary 2020 </w:t>
      </w:r>
      <w:r w:rsidRPr="0098772A" w:rsidR="006D23AB">
        <w:rPr>
          <w:lang w:val="en-GB"/>
        </w:rPr>
        <w:t xml:space="preserve">was attended by </w:t>
      </w:r>
      <w:r w:rsidRPr="008E0E04" w:rsidR="001479A6">
        <w:rPr>
          <w:b/>
          <w:lang w:val="en-GB"/>
        </w:rPr>
        <w:t>Guy Ryder</w:t>
      </w:r>
      <w:r w:rsidRPr="008E0E04" w:rsidR="001479A6">
        <w:rPr>
          <w:lang w:val="en-GB"/>
        </w:rPr>
        <w:t>, Director-General of the In</w:t>
      </w:r>
      <w:r w:rsidR="001479A6">
        <w:rPr>
          <w:lang w:val="en-GB"/>
        </w:rPr>
        <w:t xml:space="preserve">ternational Labour Organisation; </w:t>
      </w:r>
      <w:r w:rsidRPr="00A20993" w:rsidR="001479A6">
        <w:rPr>
          <w:b/>
          <w:lang w:val="en-GB"/>
        </w:rPr>
        <w:t>Paolo Di Stefano</w:t>
      </w:r>
      <w:r w:rsidRPr="008E0E04" w:rsidR="001479A6">
        <w:rPr>
          <w:lang w:val="en-GB"/>
        </w:rPr>
        <w:t xml:space="preserve">, </w:t>
      </w:r>
      <w:r w:rsidRPr="002562A2" w:rsidR="001479A6">
        <w:rPr>
          <w:lang w:val="en-GB"/>
        </w:rPr>
        <w:t>Head of Coldiretti EU Liaison Office</w:t>
      </w:r>
      <w:r w:rsidR="001479A6">
        <w:rPr>
          <w:lang w:val="en-GB"/>
        </w:rPr>
        <w:t xml:space="preserve">; and </w:t>
      </w:r>
      <w:r w:rsidRPr="008E0E04" w:rsidR="001479A6">
        <w:rPr>
          <w:b/>
          <w:lang w:val="en-GB"/>
        </w:rPr>
        <w:t>Maroš</w:t>
      </w:r>
      <w:r w:rsidR="001479A6">
        <w:rPr>
          <w:b/>
          <w:lang w:val="en-GB"/>
        </w:rPr>
        <w:t> </w:t>
      </w:r>
      <w:r w:rsidRPr="008E0E04" w:rsidR="001479A6">
        <w:rPr>
          <w:b/>
          <w:lang w:val="en-GB"/>
        </w:rPr>
        <w:t>Šefčovič</w:t>
      </w:r>
      <w:r w:rsidRPr="008E0E04" w:rsidR="001479A6">
        <w:rPr>
          <w:lang w:val="en-GB"/>
        </w:rPr>
        <w:t>, Vice-President of the European Commission - Interinstitutional Relations and Foresight</w:t>
      </w:r>
      <w:r w:rsidR="00317EAA">
        <w:rPr>
          <w:lang w:val="en-GB"/>
        </w:rPr>
        <w:t>.</w:t>
      </w:r>
    </w:p>
    <w:p w:rsidRPr="0098772A" w:rsidR="006D23AB" w:rsidP="001F50B6" w:rsidRDefault="006D23AB">
      <w:pPr>
        <w:rPr>
          <w:lang w:val="en-GB"/>
        </w:rPr>
      </w:pPr>
    </w:p>
    <w:p w:rsidR="00421682" w:rsidP="001F50B6" w:rsidRDefault="00AD7EE7">
      <w:pPr>
        <w:rPr>
          <w:lang w:val="en-GB"/>
        </w:rPr>
      </w:pPr>
      <w:r w:rsidRPr="0098772A">
        <w:rPr>
          <w:lang w:val="en-GB"/>
        </w:rPr>
        <w:t>The following opinions were adopted</w:t>
      </w:r>
      <w:r w:rsidRPr="0098772A" w:rsidR="006D23AB">
        <w:rPr>
          <w:lang w:val="en-GB"/>
        </w:rPr>
        <w:t xml:space="preserve"> at</w:t>
      </w:r>
      <w:r w:rsidRPr="0098772A" w:rsidR="0066437E">
        <w:rPr>
          <w:lang w:val="en-GB"/>
        </w:rPr>
        <w:t xml:space="preserve"> the plenary session</w:t>
      </w:r>
      <w:r w:rsidRPr="0098772A">
        <w:rPr>
          <w:lang w:val="en-GB"/>
        </w:rPr>
        <w:t>:</w:t>
      </w:r>
    </w:p>
    <w:p w:rsidRPr="0098772A" w:rsidR="003E0485" w:rsidP="001F50B6" w:rsidRDefault="003E0485">
      <w:pPr>
        <w:rPr>
          <w:lang w:val="en-GB"/>
        </w:rPr>
      </w:pPr>
    </w:p>
    <w:p w:rsidRPr="0098772A" w:rsidR="00B41FBD" w:rsidP="002B35D6" w:rsidRDefault="001479A6">
      <w:pPr>
        <w:pStyle w:val="Heading1"/>
        <w:keepNext/>
        <w:keepLines/>
        <w:numPr>
          <w:ilvl w:val="0"/>
          <w:numId w:val="23"/>
        </w:numPr>
        <w:ind w:hanging="720"/>
        <w:rPr>
          <w:b/>
          <w:lang w:val="en-GB"/>
        </w:rPr>
      </w:pPr>
      <w:bookmarkStart w:name="_Toc32236816" w:id="1"/>
      <w:r w:rsidRPr="001479A6">
        <w:rPr>
          <w:b/>
          <w:lang w:val="en-GB"/>
        </w:rPr>
        <w:t>ECONOMIC AND MONETARY UNION, ECONOMIC AND SOCIAL COHESION</w:t>
      </w:r>
      <w:bookmarkEnd w:id="1"/>
    </w:p>
    <w:p w:rsidRPr="0098772A" w:rsidR="00B41FBD" w:rsidP="00CE06AD" w:rsidRDefault="00B41FBD">
      <w:pPr>
        <w:keepNext/>
        <w:keepLines/>
        <w:jc w:val="left"/>
        <w:rPr>
          <w:iCs/>
          <w:lang w:val="en-GB"/>
        </w:rPr>
      </w:pPr>
    </w:p>
    <w:p w:rsidRPr="001479A6" w:rsidR="00F754F9" w:rsidP="001479A6" w:rsidRDefault="001479A6">
      <w:pPr>
        <w:pStyle w:val="ListParagraph"/>
        <w:keepNext/>
        <w:keepLines/>
        <w:numPr>
          <w:ilvl w:val="0"/>
          <w:numId w:val="3"/>
        </w:numPr>
        <w:ind w:left="567" w:hanging="567"/>
        <w:rPr>
          <w:b/>
          <w:i/>
          <w:sz w:val="28"/>
          <w:szCs w:val="28"/>
          <w:lang w:val="en-GB"/>
        </w:rPr>
      </w:pPr>
      <w:r w:rsidRPr="001479A6">
        <w:rPr>
          <w:b/>
          <w:i/>
          <w:sz w:val="28"/>
          <w:szCs w:val="28"/>
          <w:lang w:val="en-GB"/>
        </w:rPr>
        <w:t xml:space="preserve">Annual Sustainable Growth </w:t>
      </w:r>
      <w:r w:rsidR="001A5E94">
        <w:rPr>
          <w:b/>
          <w:i/>
          <w:sz w:val="28"/>
          <w:szCs w:val="28"/>
          <w:lang w:val="en-GB"/>
        </w:rPr>
        <w:t xml:space="preserve">Strategy </w:t>
      </w:r>
      <w:r w:rsidRPr="001479A6">
        <w:rPr>
          <w:b/>
          <w:i/>
          <w:sz w:val="28"/>
          <w:szCs w:val="28"/>
          <w:lang w:val="en-GB"/>
        </w:rPr>
        <w:t>2020</w:t>
      </w:r>
    </w:p>
    <w:p w:rsidRPr="0098772A" w:rsidR="00B41FBD" w:rsidP="00352678" w:rsidRDefault="00B41FBD">
      <w:pPr>
        <w:pStyle w:val="ListParagraph"/>
        <w:ind w:left="567"/>
        <w:rPr>
          <w:bCs/>
          <w:i/>
          <w:iCs/>
          <w:lang w:val="en-GB"/>
        </w:rPr>
      </w:pPr>
    </w:p>
    <w:p w:rsidRPr="00B14173" w:rsidR="00B41FBD" w:rsidP="00352678" w:rsidRDefault="00B41FBD">
      <w:pPr>
        <w:rPr>
          <w:lang w:val="fr-FR"/>
        </w:rPr>
      </w:pPr>
      <w:r w:rsidRPr="00B14173">
        <w:rPr>
          <w:b/>
          <w:lang w:val="fr-FR"/>
        </w:rPr>
        <w:t>Rapporteur:</w:t>
      </w:r>
      <w:r w:rsidRPr="00B14173">
        <w:rPr>
          <w:lang w:val="fr-FR"/>
        </w:rPr>
        <w:tab/>
      </w:r>
      <w:r w:rsidRPr="001479A6" w:rsidR="001479A6">
        <w:rPr>
          <w:lang w:val="fr-FR"/>
        </w:rPr>
        <w:t xml:space="preserve">Tommaso Di Fazio </w:t>
      </w:r>
      <w:r w:rsidRPr="00B14173" w:rsidR="00432D94">
        <w:rPr>
          <w:lang w:val="fr-FR"/>
        </w:rPr>
        <w:t>(</w:t>
      </w:r>
      <w:r w:rsidRPr="002B35D6" w:rsidR="002B35D6">
        <w:rPr>
          <w:lang w:val="fr-FR"/>
        </w:rPr>
        <w:t xml:space="preserve">Diversity Europe Group </w:t>
      </w:r>
      <w:r w:rsidRPr="00B14173" w:rsidR="000630D1">
        <w:rPr>
          <w:lang w:val="fr-FR"/>
        </w:rPr>
        <w:t xml:space="preserve">– </w:t>
      </w:r>
      <w:r w:rsidR="001479A6">
        <w:rPr>
          <w:lang w:val="fr-FR"/>
        </w:rPr>
        <w:t>IT</w:t>
      </w:r>
      <w:r w:rsidRPr="00B14173" w:rsidR="00E42454">
        <w:rPr>
          <w:lang w:val="fr-FR"/>
        </w:rPr>
        <w:t>)</w:t>
      </w:r>
    </w:p>
    <w:p w:rsidRPr="00B14173" w:rsidR="00B41FBD" w:rsidP="00352678" w:rsidRDefault="00B41FBD">
      <w:pPr>
        <w:rPr>
          <w:lang w:val="fr-FR"/>
        </w:rPr>
      </w:pPr>
    </w:p>
    <w:p w:rsidRPr="0098772A" w:rsidR="00B41FBD" w:rsidP="00352678" w:rsidRDefault="00B41FBD">
      <w:pPr>
        <w:ind w:left="-5"/>
        <w:rPr>
          <w:bCs/>
          <w:lang w:val="en-GB"/>
        </w:rPr>
      </w:pPr>
      <w:r w:rsidRPr="0098772A">
        <w:rPr>
          <w:b/>
          <w:bCs/>
          <w:lang w:val="en-GB"/>
        </w:rPr>
        <w:t>Reference:</w:t>
      </w:r>
      <w:r w:rsidRPr="0098772A">
        <w:rPr>
          <w:b/>
          <w:bCs/>
          <w:lang w:val="en-GB"/>
        </w:rPr>
        <w:tab/>
      </w:r>
      <w:r w:rsidRPr="0098772A">
        <w:rPr>
          <w:b/>
          <w:bCs/>
          <w:lang w:val="en-GB"/>
        </w:rPr>
        <w:tab/>
      </w:r>
      <w:r w:rsidRPr="008E0E04" w:rsidR="001479A6">
        <w:rPr>
          <w:color w:val="000000" w:themeColor="text1"/>
          <w:lang w:val="en-GB"/>
        </w:rPr>
        <w:t>COM(2019) 650 final</w:t>
      </w:r>
    </w:p>
    <w:p w:rsidRPr="0098772A" w:rsidR="00B41FBD" w:rsidP="00352678" w:rsidRDefault="00F754F9">
      <w:pPr>
        <w:ind w:left="1701"/>
        <w:rPr>
          <w:lang w:val="en-GB"/>
        </w:rPr>
      </w:pPr>
      <w:r>
        <w:rPr>
          <w:lang w:val="en-GB"/>
        </w:rPr>
        <w:t>EESC-2019-0</w:t>
      </w:r>
      <w:r w:rsidR="001479A6">
        <w:rPr>
          <w:lang w:val="en-GB"/>
        </w:rPr>
        <w:t>5232</w:t>
      </w:r>
      <w:r w:rsidR="003E0485">
        <w:rPr>
          <w:lang w:val="en-GB"/>
        </w:rPr>
        <w:t>-00-00-AC</w:t>
      </w:r>
    </w:p>
    <w:p w:rsidRPr="0098772A" w:rsidR="002817B5" w:rsidP="00352678" w:rsidRDefault="002817B5">
      <w:pPr>
        <w:jc w:val="left"/>
        <w:rPr>
          <w:lang w:val="en-GB"/>
        </w:rPr>
      </w:pPr>
    </w:p>
    <w:p w:rsidRPr="0098772A" w:rsidR="002817B5" w:rsidP="00352678" w:rsidRDefault="002817B5">
      <w:pPr>
        <w:tabs>
          <w:tab w:val="center" w:pos="284"/>
        </w:tabs>
        <w:ind w:left="266" w:hanging="266"/>
        <w:rPr>
          <w:b/>
          <w:lang w:val="en-GB"/>
        </w:rPr>
      </w:pPr>
      <w:r w:rsidRPr="0098772A">
        <w:rPr>
          <w:b/>
          <w:lang w:val="en-GB"/>
        </w:rPr>
        <w:t>Key points</w:t>
      </w:r>
    </w:p>
    <w:p w:rsidRPr="0015773A" w:rsidR="00CD785A" w:rsidP="0015773A" w:rsidRDefault="00CD785A">
      <w:pPr>
        <w:rPr>
          <w:u w:val="single"/>
          <w:lang w:val="en-GB"/>
        </w:rPr>
      </w:pPr>
    </w:p>
    <w:p w:rsidR="002B35D6" w:rsidP="002B35D6" w:rsidRDefault="002B35D6">
      <w:pPr>
        <w:pStyle w:val="Heading2"/>
        <w:overflowPunct w:val="0"/>
        <w:autoSpaceDE w:val="0"/>
        <w:autoSpaceDN w:val="0"/>
        <w:adjustRightInd w:val="0"/>
        <w:textAlignment w:val="baseline"/>
        <w:rPr>
          <w:lang w:val="en-GB"/>
        </w:rPr>
      </w:pPr>
      <w:r>
        <w:rPr>
          <w:lang w:val="en-GB"/>
        </w:rPr>
        <w:t>The EESC:</w:t>
      </w:r>
    </w:p>
    <w:p w:rsidRPr="002B35D6" w:rsidR="002B35D6" w:rsidP="002B35D6" w:rsidRDefault="002B35D6">
      <w:pPr>
        <w:rPr>
          <w:lang w:val="en-GB"/>
        </w:rPr>
      </w:pPr>
    </w:p>
    <w:p w:rsidRPr="002B35D6" w:rsidR="002B35D6" w:rsidP="002B35D6" w:rsidRDefault="002B35D6">
      <w:pPr>
        <w:pStyle w:val="Heading2"/>
        <w:numPr>
          <w:ilvl w:val="0"/>
          <w:numId w:val="40"/>
        </w:numPr>
        <w:overflowPunct w:val="0"/>
        <w:autoSpaceDE w:val="0"/>
        <w:autoSpaceDN w:val="0"/>
        <w:adjustRightInd w:val="0"/>
        <w:textAlignment w:val="baseline"/>
        <w:rPr>
          <w:lang w:val="en-GB"/>
        </w:rPr>
      </w:pPr>
      <w:r w:rsidRPr="002B35D6">
        <w:rPr>
          <w:lang w:val="en-GB"/>
        </w:rPr>
        <w:t>welcomes the approach taken by the annual growth strategy for 2020, based on the four key pillars that are the environment, productivity, stability and fairness and also welcomes the inclusion of the United Nations' 2030 Sustainable Development Go</w:t>
      </w:r>
      <w:r>
        <w:rPr>
          <w:lang w:val="en-GB"/>
        </w:rPr>
        <w:t>als;</w:t>
      </w:r>
    </w:p>
    <w:p w:rsidRPr="009A5369" w:rsidR="002B35D6" w:rsidP="0055252A" w:rsidRDefault="002B35D6">
      <w:pPr>
        <w:pStyle w:val="Heading2"/>
        <w:overflowPunct w:val="0"/>
        <w:autoSpaceDE w:val="0"/>
        <w:autoSpaceDN w:val="0"/>
        <w:adjustRightInd w:val="0"/>
        <w:ind w:left="720"/>
        <w:textAlignment w:val="baseline"/>
        <w:rPr>
          <w:lang w:val="en-GB"/>
        </w:rPr>
      </w:pPr>
    </w:p>
    <w:p w:rsidRPr="002B35D6" w:rsidR="002B35D6" w:rsidP="002B35D6" w:rsidRDefault="002B35D6">
      <w:pPr>
        <w:pStyle w:val="Heading2"/>
        <w:numPr>
          <w:ilvl w:val="0"/>
          <w:numId w:val="40"/>
        </w:numPr>
        <w:overflowPunct w:val="0"/>
        <w:autoSpaceDE w:val="0"/>
        <w:autoSpaceDN w:val="0"/>
        <w:adjustRightInd w:val="0"/>
        <w:textAlignment w:val="baseline"/>
        <w:rPr>
          <w:lang w:val="en-GB"/>
        </w:rPr>
      </w:pPr>
      <w:r w:rsidRPr="002B35D6">
        <w:rPr>
          <w:lang w:val="en-GB"/>
        </w:rPr>
        <w:t>welcomes the announced change in the annual strategy, moving away from the current thinking that focuses on programming and short- and medium-term objectives to finally make provision for long-term strategies. This is made necessary by the investment needed to implement the environmental sustainability strategy by means of complex, integrated energy and climate plans drawn up by the Member States</w:t>
      </w:r>
      <w:r>
        <w:rPr>
          <w:lang w:val="en-GB"/>
        </w:rPr>
        <w:t xml:space="preserve"> and approved by the Commission;</w:t>
      </w:r>
    </w:p>
    <w:p w:rsidRPr="002B35D6" w:rsidR="002B35D6" w:rsidP="002B35D6" w:rsidRDefault="002B35D6">
      <w:pPr>
        <w:pStyle w:val="Heading2"/>
        <w:overflowPunct w:val="0"/>
        <w:autoSpaceDE w:val="0"/>
        <w:autoSpaceDN w:val="0"/>
        <w:adjustRightInd w:val="0"/>
        <w:textAlignment w:val="baseline"/>
        <w:rPr>
          <w:lang w:val="en-GB"/>
        </w:rPr>
      </w:pPr>
    </w:p>
    <w:p w:rsidRPr="002B35D6" w:rsidR="002B35D6" w:rsidP="002B35D6" w:rsidRDefault="002B35D6">
      <w:pPr>
        <w:pStyle w:val="Heading2"/>
        <w:numPr>
          <w:ilvl w:val="0"/>
          <w:numId w:val="40"/>
        </w:numPr>
        <w:overflowPunct w:val="0"/>
        <w:autoSpaceDE w:val="0"/>
        <w:autoSpaceDN w:val="0"/>
        <w:adjustRightInd w:val="0"/>
        <w:textAlignment w:val="baseline"/>
        <w:rPr>
          <w:lang w:val="en-GB"/>
        </w:rPr>
      </w:pPr>
      <w:r w:rsidRPr="002B35D6">
        <w:rPr>
          <w:lang w:val="en-GB"/>
        </w:rPr>
        <w:t xml:space="preserve">agrees with the indications made in the annual strategy concerning investment in the intangible sectors of education, training and skills development, as it sees them as </w:t>
      </w:r>
      <w:r>
        <w:rPr>
          <w:lang w:val="en-GB"/>
        </w:rPr>
        <w:t>absolutely crucial and decisive;</w:t>
      </w:r>
    </w:p>
    <w:p w:rsidRPr="002B35D6" w:rsidR="002B35D6" w:rsidP="002B35D6" w:rsidRDefault="002B35D6">
      <w:pPr>
        <w:pStyle w:val="Heading2"/>
        <w:overflowPunct w:val="0"/>
        <w:autoSpaceDE w:val="0"/>
        <w:autoSpaceDN w:val="0"/>
        <w:adjustRightInd w:val="0"/>
        <w:textAlignment w:val="baseline"/>
        <w:rPr>
          <w:lang w:val="en-GB"/>
        </w:rPr>
      </w:pPr>
    </w:p>
    <w:p w:rsidRPr="002B35D6" w:rsidR="002B35D6" w:rsidP="002B35D6" w:rsidRDefault="002B35D6">
      <w:pPr>
        <w:pStyle w:val="Heading2"/>
        <w:numPr>
          <w:ilvl w:val="0"/>
          <w:numId w:val="40"/>
        </w:numPr>
        <w:overflowPunct w:val="0"/>
        <w:autoSpaceDE w:val="0"/>
        <w:autoSpaceDN w:val="0"/>
        <w:adjustRightInd w:val="0"/>
        <w:textAlignment w:val="baseline"/>
        <w:rPr>
          <w:lang w:val="en-GB"/>
        </w:rPr>
      </w:pPr>
      <w:r w:rsidRPr="002B35D6">
        <w:rPr>
          <w:lang w:val="en-GB"/>
        </w:rPr>
        <w:t>strongly supports the aim of boosting research and innovation and of increasing the funds earmarked for them - these are long-term strategic investments for the competitiveness of the EU as</w:t>
      </w:r>
      <w:r>
        <w:rPr>
          <w:lang w:val="en-GB"/>
        </w:rPr>
        <w:t xml:space="preserve"> a whole at international level;</w:t>
      </w:r>
    </w:p>
    <w:p w:rsidRPr="002B35D6" w:rsidR="002B35D6" w:rsidP="002B35D6" w:rsidRDefault="002B35D6">
      <w:pPr>
        <w:pStyle w:val="Heading2"/>
        <w:overflowPunct w:val="0"/>
        <w:autoSpaceDE w:val="0"/>
        <w:autoSpaceDN w:val="0"/>
        <w:adjustRightInd w:val="0"/>
        <w:textAlignment w:val="baseline"/>
        <w:rPr>
          <w:lang w:val="en-GB"/>
        </w:rPr>
      </w:pPr>
    </w:p>
    <w:p w:rsidRPr="002B35D6" w:rsidR="002B35D6" w:rsidP="002B35D6" w:rsidRDefault="002B35D6">
      <w:pPr>
        <w:pStyle w:val="Heading2"/>
        <w:numPr>
          <w:ilvl w:val="0"/>
          <w:numId w:val="40"/>
        </w:numPr>
        <w:overflowPunct w:val="0"/>
        <w:autoSpaceDE w:val="0"/>
        <w:autoSpaceDN w:val="0"/>
        <w:adjustRightInd w:val="0"/>
        <w:textAlignment w:val="baseline"/>
        <w:rPr>
          <w:lang w:val="en-GB"/>
        </w:rPr>
      </w:pPr>
      <w:r w:rsidRPr="002B35D6">
        <w:rPr>
          <w:lang w:val="en-GB"/>
        </w:rPr>
        <w:t xml:space="preserve">regrets that the Communication from the Commission gives little space to the annual report on growth in the Union. In the EESC's view, the greatest priority of all is to restore sustainable growth, above all in the weakest countries and regions, with a strong increase in European </w:t>
      </w:r>
      <w:r>
        <w:rPr>
          <w:lang w:val="en-GB"/>
        </w:rPr>
        <w:t>Gross Domestic Product</w:t>
      </w:r>
      <w:r w:rsidRPr="002B35D6">
        <w:rPr>
          <w:lang w:val="en-GB"/>
        </w:rPr>
        <w:t xml:space="preserve"> in order to generate prosperity and the wealth that is cru</w:t>
      </w:r>
      <w:r>
        <w:rPr>
          <w:lang w:val="en-GB"/>
        </w:rPr>
        <w:t>cial to supporting the strategy;</w:t>
      </w:r>
    </w:p>
    <w:p w:rsidRPr="002B35D6" w:rsidR="002B35D6" w:rsidP="002B35D6" w:rsidRDefault="002B35D6">
      <w:pPr>
        <w:pStyle w:val="Heading2"/>
        <w:overflowPunct w:val="0"/>
        <w:autoSpaceDE w:val="0"/>
        <w:autoSpaceDN w:val="0"/>
        <w:adjustRightInd w:val="0"/>
        <w:textAlignment w:val="baseline"/>
        <w:rPr>
          <w:lang w:val="en-GB"/>
        </w:rPr>
      </w:pPr>
    </w:p>
    <w:p w:rsidRPr="002B35D6" w:rsidR="002B35D6" w:rsidP="002B35D6" w:rsidRDefault="002B35D6">
      <w:pPr>
        <w:pStyle w:val="Heading2"/>
        <w:numPr>
          <w:ilvl w:val="0"/>
          <w:numId w:val="40"/>
        </w:numPr>
        <w:overflowPunct w:val="0"/>
        <w:autoSpaceDE w:val="0"/>
        <w:autoSpaceDN w:val="0"/>
        <w:adjustRightInd w:val="0"/>
        <w:textAlignment w:val="baseline"/>
        <w:rPr>
          <w:lang w:val="en-GB"/>
        </w:rPr>
      </w:pPr>
      <w:r w:rsidRPr="002B35D6">
        <w:rPr>
          <w:lang w:val="en-GB"/>
        </w:rPr>
        <w:t>hopes that measures governing investment will be studied and adopted and that they will, while taking account of the constraints of the Stability Pact – or by way of exception from them and from the State aid rules – enable all countries to invest the amounts needed to meet their own objectives set in the inte</w:t>
      </w:r>
      <w:r>
        <w:rPr>
          <w:lang w:val="en-GB"/>
        </w:rPr>
        <w:t>grated energy and climate plans;</w:t>
      </w:r>
    </w:p>
    <w:p w:rsidRPr="002B35D6" w:rsidR="002B35D6" w:rsidP="002B35D6" w:rsidRDefault="002B35D6">
      <w:pPr>
        <w:pStyle w:val="Heading2"/>
        <w:overflowPunct w:val="0"/>
        <w:autoSpaceDE w:val="0"/>
        <w:autoSpaceDN w:val="0"/>
        <w:adjustRightInd w:val="0"/>
        <w:textAlignment w:val="baseline"/>
        <w:rPr>
          <w:lang w:val="en-GB"/>
        </w:rPr>
      </w:pPr>
    </w:p>
    <w:p w:rsidRPr="002B35D6" w:rsidR="002B35D6" w:rsidP="002B35D6" w:rsidRDefault="002B35D6">
      <w:pPr>
        <w:pStyle w:val="Heading2"/>
        <w:numPr>
          <w:ilvl w:val="0"/>
          <w:numId w:val="40"/>
        </w:numPr>
        <w:overflowPunct w:val="0"/>
        <w:autoSpaceDE w:val="0"/>
        <w:autoSpaceDN w:val="0"/>
        <w:adjustRightInd w:val="0"/>
        <w:textAlignment w:val="baseline"/>
        <w:rPr>
          <w:lang w:val="en-GB"/>
        </w:rPr>
      </w:pPr>
      <w:r w:rsidRPr="002B35D6">
        <w:rPr>
          <w:lang w:val="en-GB"/>
        </w:rPr>
        <w:t>welcomes the proposal set out in the 2020 growth strategy to make use of every means and financial leverage that is already available through the current instruments under the 2021-2027 multiannual financial framework. It also hopes, however, that the financial means will be increased where there is needed to meet the objectives</w:t>
      </w:r>
      <w:r>
        <w:rPr>
          <w:lang w:val="en-GB"/>
        </w:rPr>
        <w:t>;</w:t>
      </w:r>
    </w:p>
    <w:p w:rsidRPr="002B35D6" w:rsidR="002B35D6" w:rsidP="002B35D6" w:rsidRDefault="002B35D6">
      <w:pPr>
        <w:pStyle w:val="Heading2"/>
        <w:overflowPunct w:val="0"/>
        <w:autoSpaceDE w:val="0"/>
        <w:autoSpaceDN w:val="0"/>
        <w:adjustRightInd w:val="0"/>
        <w:textAlignment w:val="baseline"/>
        <w:rPr>
          <w:lang w:val="en-GB"/>
        </w:rPr>
      </w:pPr>
    </w:p>
    <w:p w:rsidRPr="0055252A" w:rsidR="002B35D6" w:rsidP="002B35D6" w:rsidRDefault="002B35D6">
      <w:pPr>
        <w:pStyle w:val="Heading2"/>
        <w:numPr>
          <w:ilvl w:val="0"/>
          <w:numId w:val="40"/>
        </w:numPr>
        <w:overflowPunct w:val="0"/>
        <w:autoSpaceDE w:val="0"/>
        <w:autoSpaceDN w:val="0"/>
        <w:adjustRightInd w:val="0"/>
        <w:textAlignment w:val="baseline"/>
      </w:pPr>
      <w:r w:rsidRPr="0055252A">
        <w:t>agrees on the need to strengthen the stability and resilience of the financial system and tighten the rules governing the financial markets in order to reinforce the international role of the European currency and to take precautions against any future crises that may emerge elsewhere in the world and have an impact on Europe as a result of globalisation</w:t>
      </w:r>
      <w:r w:rsidRPr="0055252A" w:rsidR="009A5369">
        <w:t>. This can be done by beefing up macro prudential rules and other</w:t>
      </w:r>
      <w:r w:rsidRPr="0055252A" w:rsidR="005C0C79">
        <w:t xml:space="preserve"> </w:t>
      </w:r>
      <w:r w:rsidRPr="0055252A" w:rsidR="009A5369">
        <w:t>measures</w:t>
      </w:r>
      <w:r w:rsidRPr="0055252A" w:rsidR="005C0C79">
        <w:t xml:space="preserve"> </w:t>
      </w:r>
      <w:r w:rsidRPr="0055252A" w:rsidR="009A5369">
        <w:t>aimed at</w:t>
      </w:r>
      <w:r w:rsidRPr="0055252A" w:rsidR="005C0C79">
        <w:t xml:space="preserve"> </w:t>
      </w:r>
      <w:r w:rsidRPr="0055252A" w:rsidR="009A5369">
        <w:t>safeguarding the financial stability of the Member States. In addition to the ongoing process of completing the Banking and Capital Markets Unions,</w:t>
      </w:r>
      <w:r w:rsidRPr="0055252A" w:rsidR="005C0C79">
        <w:t xml:space="preserve"> </w:t>
      </w:r>
      <w:r w:rsidRPr="0055252A" w:rsidR="009A5369">
        <w:t>the upcoming strategic review of the ECB monetary policy should focus more specifically on fostering economic growth in the euro area and strengthening the international role of the euro</w:t>
      </w:r>
      <w:r w:rsidRPr="0055252A">
        <w:t>;</w:t>
      </w:r>
    </w:p>
    <w:p w:rsidRPr="002B35D6" w:rsidR="002B35D6" w:rsidP="002B35D6" w:rsidRDefault="002B35D6">
      <w:pPr>
        <w:pStyle w:val="Heading2"/>
        <w:overflowPunct w:val="0"/>
        <w:autoSpaceDE w:val="0"/>
        <w:autoSpaceDN w:val="0"/>
        <w:adjustRightInd w:val="0"/>
        <w:textAlignment w:val="baseline"/>
        <w:rPr>
          <w:lang w:val="en-GB"/>
        </w:rPr>
      </w:pPr>
    </w:p>
    <w:p w:rsidRPr="002B35D6" w:rsidR="002B35D6" w:rsidP="002B35D6" w:rsidRDefault="002B35D6">
      <w:pPr>
        <w:pStyle w:val="Heading2"/>
        <w:numPr>
          <w:ilvl w:val="0"/>
          <w:numId w:val="40"/>
        </w:numPr>
        <w:overflowPunct w:val="0"/>
        <w:autoSpaceDE w:val="0"/>
        <w:autoSpaceDN w:val="0"/>
        <w:adjustRightInd w:val="0"/>
        <w:textAlignment w:val="baseline"/>
        <w:rPr>
          <w:lang w:val="en-GB"/>
        </w:rPr>
      </w:pPr>
      <w:r w:rsidRPr="002B35D6">
        <w:rPr>
          <w:lang w:val="en-GB"/>
        </w:rPr>
        <w:t xml:space="preserve">highlights the importance of keeping the well-being of people at the heart of the 2020 growth strategy, by preserving and strengthening the social advances </w:t>
      </w:r>
      <w:r>
        <w:rPr>
          <w:lang w:val="en-GB"/>
        </w:rPr>
        <w:t>that make the EU a world leader;</w:t>
      </w:r>
    </w:p>
    <w:p w:rsidR="009A5369" w:rsidP="002B35D6" w:rsidRDefault="009A5369">
      <w:pPr>
        <w:pStyle w:val="Heading2"/>
        <w:overflowPunct w:val="0"/>
        <w:autoSpaceDE w:val="0"/>
        <w:autoSpaceDN w:val="0"/>
        <w:adjustRightInd w:val="0"/>
        <w:textAlignment w:val="baseline"/>
        <w:rPr>
          <w:lang w:val="en-GB"/>
        </w:rPr>
      </w:pPr>
    </w:p>
    <w:p w:rsidR="002B35D6" w:rsidP="0055252A" w:rsidRDefault="009A5369">
      <w:pPr>
        <w:pStyle w:val="Heading2"/>
        <w:numPr>
          <w:ilvl w:val="0"/>
          <w:numId w:val="40"/>
        </w:numPr>
        <w:overflowPunct w:val="0"/>
        <w:autoSpaceDE w:val="0"/>
        <w:autoSpaceDN w:val="0"/>
        <w:adjustRightInd w:val="0"/>
        <w:textAlignment w:val="baseline"/>
        <w:rPr>
          <w:lang w:val="en-GB"/>
        </w:rPr>
      </w:pPr>
      <w:r w:rsidRPr="000A0881">
        <w:rPr>
          <w:lang w:val="en-GB"/>
        </w:rPr>
        <w:t>welcomes the fact that these social rights are highlighted in the 2020 growth strategy. The EESC hopes that, among the objectives of the European Semester, special attention will be given to the gender issue</w:t>
      </w:r>
      <w:r w:rsidRPr="00883E90" w:rsidR="00883E90">
        <w:rPr>
          <w:lang w:val="en-GB"/>
        </w:rPr>
        <w:t>, particularly concerning women's rights at work, the achievement of pay parity, employment protection for mothers – not least to counter the negative demographic trend – and the introduction of significant enhancements to legislation protecting the family</w:t>
      </w:r>
      <w:r>
        <w:rPr>
          <w:lang w:val="en-GB"/>
        </w:rPr>
        <w:t>;</w:t>
      </w:r>
    </w:p>
    <w:p w:rsidRPr="009A5369" w:rsidR="009A5369" w:rsidP="009A5369" w:rsidRDefault="009A5369">
      <w:pPr>
        <w:rPr>
          <w:lang w:val="en-GB"/>
        </w:rPr>
      </w:pPr>
    </w:p>
    <w:p w:rsidRPr="002B35D6" w:rsidR="002B35D6" w:rsidP="002B35D6" w:rsidRDefault="002B35D6">
      <w:pPr>
        <w:pStyle w:val="Heading2"/>
        <w:numPr>
          <w:ilvl w:val="0"/>
          <w:numId w:val="40"/>
        </w:numPr>
        <w:overflowPunct w:val="0"/>
        <w:autoSpaceDE w:val="0"/>
        <w:autoSpaceDN w:val="0"/>
        <w:adjustRightInd w:val="0"/>
        <w:textAlignment w:val="baseline"/>
        <w:rPr>
          <w:lang w:val="en-GB"/>
        </w:rPr>
      </w:pPr>
      <w:r w:rsidRPr="002B35D6">
        <w:rPr>
          <w:lang w:val="en-GB"/>
        </w:rPr>
        <w:t>believes that more robust single market governance infrastructure needs to be put in place at EU and national level, together with thorough-going administrative simplification, an ambitious process of digitalisation and intensive capacity-building i</w:t>
      </w:r>
      <w:r>
        <w:rPr>
          <w:lang w:val="en-GB"/>
        </w:rPr>
        <w:t>nitiatives for all stakeholders;</w:t>
      </w:r>
    </w:p>
    <w:p w:rsidRPr="002B35D6" w:rsidR="002B35D6" w:rsidP="002B35D6" w:rsidRDefault="002B35D6">
      <w:pPr>
        <w:pStyle w:val="Heading2"/>
        <w:overflowPunct w:val="0"/>
        <w:autoSpaceDE w:val="0"/>
        <w:autoSpaceDN w:val="0"/>
        <w:adjustRightInd w:val="0"/>
        <w:textAlignment w:val="baseline"/>
        <w:rPr>
          <w:lang w:val="en-GB"/>
        </w:rPr>
      </w:pPr>
    </w:p>
    <w:p w:rsidR="000A0881" w:rsidP="000A0881" w:rsidRDefault="002B35D6">
      <w:pPr>
        <w:pStyle w:val="Heading2"/>
        <w:numPr>
          <w:ilvl w:val="0"/>
          <w:numId w:val="40"/>
        </w:numPr>
        <w:overflowPunct w:val="0"/>
        <w:autoSpaceDE w:val="0"/>
        <w:autoSpaceDN w:val="0"/>
        <w:adjustRightInd w:val="0"/>
        <w:textAlignment w:val="baseline"/>
        <w:rPr>
          <w:lang w:val="en-GB"/>
        </w:rPr>
      </w:pPr>
      <w:r w:rsidRPr="002B35D6">
        <w:rPr>
          <w:lang w:val="en-GB"/>
        </w:rPr>
        <w:t>advocates new governance structures across a range of levels that can ensure the involvement of the local economy and civil society in designing and implementing fair measures that reflect the circumstances in which they operate</w:t>
      </w:r>
      <w:r w:rsidR="000A0881">
        <w:rPr>
          <w:lang w:val="en-GB"/>
        </w:rPr>
        <w:t>.</w:t>
      </w:r>
    </w:p>
    <w:p w:rsidRPr="0098772A" w:rsidR="000A0881" w:rsidP="00352678" w:rsidRDefault="000A0881">
      <w:pPr>
        <w:tabs>
          <w:tab w:val="left" w:pos="1701"/>
        </w:tabs>
        <w:rPr>
          <w:bCs/>
          <w:i/>
          <w:iCs/>
          <w:lang w:val="en-GB"/>
        </w:rPr>
      </w:pPr>
    </w:p>
    <w:p w:rsidRPr="0098772A" w:rsidR="00E45A5E" w:rsidP="00352678" w:rsidRDefault="00E45A5E">
      <w:pPr>
        <w:tabs>
          <w:tab w:val="left" w:pos="1701"/>
        </w:tabs>
        <w:rPr>
          <w:i/>
          <w:iCs/>
          <w:lang w:val="en-GB"/>
        </w:rPr>
      </w:pPr>
      <w:r w:rsidRPr="0098772A">
        <w:rPr>
          <w:b/>
          <w:bCs/>
          <w:i/>
          <w:iCs/>
          <w:lang w:val="en-GB"/>
        </w:rPr>
        <w:t>Contact:</w:t>
      </w:r>
      <w:r w:rsidRPr="0098772A">
        <w:rPr>
          <w:b/>
          <w:bCs/>
          <w:i/>
          <w:iCs/>
          <w:lang w:val="en-GB"/>
        </w:rPr>
        <w:tab/>
      </w:r>
      <w:r w:rsidRPr="002B35D6" w:rsidR="002B35D6">
        <w:rPr>
          <w:i/>
          <w:lang w:val="en-GB"/>
        </w:rPr>
        <w:t>Susanne Johansson</w:t>
      </w:r>
    </w:p>
    <w:p w:rsidRPr="0015773A" w:rsidR="00E45A5E" w:rsidP="00352678" w:rsidRDefault="00E45A5E">
      <w:pPr>
        <w:tabs>
          <w:tab w:val="left" w:pos="1701"/>
        </w:tabs>
        <w:ind w:left="1701"/>
        <w:rPr>
          <w:iCs/>
          <w:highlight w:val="yellow"/>
          <w:u w:val="single"/>
          <w:lang w:val="en-GB"/>
        </w:rPr>
      </w:pPr>
      <w:r w:rsidRPr="002B35D6">
        <w:rPr>
          <w:i/>
          <w:iCs/>
          <w:lang w:val="en-GB"/>
        </w:rPr>
        <w:t xml:space="preserve">(Tel.: 00 32 2 546 </w:t>
      </w:r>
      <w:r w:rsidRPr="002B35D6" w:rsidR="002B35D6">
        <w:rPr>
          <w:i/>
          <w:iCs/>
          <w:lang w:val="en-GB"/>
        </w:rPr>
        <w:t>84 77</w:t>
      </w:r>
      <w:r w:rsidRPr="002B35D6">
        <w:rPr>
          <w:i/>
          <w:iCs/>
          <w:lang w:val="en-GB"/>
        </w:rPr>
        <w:t xml:space="preserve"> – email:</w:t>
      </w:r>
      <w:r w:rsidRPr="002B35D6">
        <w:rPr>
          <w:i/>
          <w:iCs/>
          <w:color w:val="0000FF"/>
          <w:lang w:val="en-GB"/>
        </w:rPr>
        <w:t xml:space="preserve"> </w:t>
      </w:r>
      <w:hyperlink w:history="1" r:id="rId22">
        <w:r w:rsidRPr="005D2886" w:rsidR="002B35D6">
          <w:rPr>
            <w:rStyle w:val="Hyperlink"/>
            <w:i/>
          </w:rPr>
          <w:t>Susanne.Johansson@eesc.europa.eu</w:t>
        </w:r>
      </w:hyperlink>
      <w:r w:rsidRPr="0098772A">
        <w:rPr>
          <w:i/>
          <w:iCs/>
          <w:lang w:val="en-GB"/>
        </w:rPr>
        <w:t>)</w:t>
      </w:r>
    </w:p>
    <w:p w:rsidR="0024607B" w:rsidRDefault="0024607B">
      <w:pPr>
        <w:spacing w:line="240" w:lineRule="auto"/>
        <w:jc w:val="left"/>
        <w:rPr>
          <w:iCs/>
          <w:lang w:val="en-GB"/>
        </w:rPr>
      </w:pPr>
    </w:p>
    <w:p w:rsidR="000A0881" w:rsidRDefault="000A0881">
      <w:pPr>
        <w:spacing w:line="240" w:lineRule="auto"/>
        <w:jc w:val="left"/>
        <w:rPr>
          <w:b/>
          <w:i/>
          <w:sz w:val="28"/>
          <w:szCs w:val="28"/>
          <w:lang w:val="en-GB"/>
        </w:rPr>
      </w:pPr>
      <w:r>
        <w:rPr>
          <w:b/>
          <w:i/>
          <w:sz w:val="28"/>
          <w:szCs w:val="28"/>
          <w:lang w:val="en-GB"/>
        </w:rPr>
        <w:br w:type="page"/>
      </w:r>
    </w:p>
    <w:p w:rsidRPr="00F754F9" w:rsidR="00F754F9" w:rsidP="001479A6" w:rsidRDefault="001479A6">
      <w:pPr>
        <w:pStyle w:val="ListParagraph"/>
        <w:keepNext/>
        <w:keepLines/>
        <w:numPr>
          <w:ilvl w:val="0"/>
          <w:numId w:val="3"/>
        </w:numPr>
        <w:rPr>
          <w:b/>
          <w:i/>
          <w:sz w:val="28"/>
          <w:szCs w:val="28"/>
          <w:lang w:val="en-GB"/>
        </w:rPr>
      </w:pPr>
      <w:r w:rsidRPr="001479A6">
        <w:rPr>
          <w:b/>
          <w:i/>
          <w:sz w:val="28"/>
          <w:szCs w:val="28"/>
          <w:lang w:val="en-GB"/>
        </w:rPr>
        <w:t>Euro area economic policy 2020</w:t>
      </w:r>
    </w:p>
    <w:p w:rsidRPr="0098772A" w:rsidR="00E45A5E" w:rsidP="00CE06AD" w:rsidRDefault="00E45A5E">
      <w:pPr>
        <w:pStyle w:val="ListParagraph"/>
        <w:keepNext/>
        <w:keepLines/>
        <w:ind w:left="567"/>
        <w:rPr>
          <w:bCs/>
          <w:i/>
          <w:iCs/>
          <w:lang w:val="en-GB"/>
        </w:rPr>
      </w:pPr>
    </w:p>
    <w:p w:rsidRPr="0098772A" w:rsidR="00E45A5E" w:rsidP="00352678" w:rsidRDefault="00461EB9">
      <w:pPr>
        <w:rPr>
          <w:lang w:val="en-GB"/>
        </w:rPr>
      </w:pPr>
      <w:r>
        <w:rPr>
          <w:b/>
          <w:lang w:val="en-GB"/>
        </w:rPr>
        <w:t>Rapporteur</w:t>
      </w:r>
      <w:r w:rsidR="003E0485">
        <w:rPr>
          <w:b/>
          <w:lang w:val="en-GB"/>
        </w:rPr>
        <w:t>-</w:t>
      </w:r>
      <w:r w:rsidR="00AD0688">
        <w:rPr>
          <w:b/>
          <w:lang w:val="en-GB"/>
        </w:rPr>
        <w:t>g</w:t>
      </w:r>
      <w:r w:rsidR="003E0485">
        <w:rPr>
          <w:b/>
          <w:lang w:val="en-GB"/>
        </w:rPr>
        <w:t>eneral</w:t>
      </w:r>
      <w:r>
        <w:rPr>
          <w:b/>
          <w:lang w:val="en-GB"/>
        </w:rPr>
        <w:t>:</w:t>
      </w:r>
      <w:r w:rsidRPr="0098772A" w:rsidR="00E45A5E">
        <w:rPr>
          <w:lang w:val="en-GB"/>
        </w:rPr>
        <w:tab/>
      </w:r>
      <w:r w:rsidR="001479A6">
        <w:rPr>
          <w:lang w:val="en-GB"/>
        </w:rPr>
        <w:t>Petr Zahradník</w:t>
      </w:r>
      <w:r w:rsidR="003E0485">
        <w:rPr>
          <w:lang w:val="en-GB"/>
        </w:rPr>
        <w:t xml:space="preserve"> </w:t>
      </w:r>
      <w:r w:rsidRPr="0098772A" w:rsidR="00445847">
        <w:rPr>
          <w:lang w:val="en-GB"/>
        </w:rPr>
        <w:t>(</w:t>
      </w:r>
      <w:r w:rsidRPr="002B35D6" w:rsidR="002B35D6">
        <w:rPr>
          <w:lang w:val="en-GB"/>
        </w:rPr>
        <w:t>Employers</w:t>
      </w:r>
      <w:r w:rsidR="00AD0688">
        <w:rPr>
          <w:lang w:val="en-GB"/>
        </w:rPr>
        <w:t>'</w:t>
      </w:r>
      <w:r w:rsidRPr="0098772A" w:rsidR="004802DF">
        <w:rPr>
          <w:lang w:val="en-GB"/>
        </w:rPr>
        <w:t xml:space="preserve"> Group</w:t>
      </w:r>
      <w:r w:rsidRPr="0098772A" w:rsidR="00CF56FB">
        <w:rPr>
          <w:lang w:val="en-GB"/>
        </w:rPr>
        <w:t xml:space="preserve"> – </w:t>
      </w:r>
      <w:r w:rsidR="001479A6">
        <w:rPr>
          <w:lang w:val="en-GB"/>
        </w:rPr>
        <w:t>CZ</w:t>
      </w:r>
      <w:r w:rsidR="00E324DA">
        <w:rPr>
          <w:lang w:val="en-GB"/>
        </w:rPr>
        <w:t>)</w:t>
      </w:r>
    </w:p>
    <w:p w:rsidRPr="0098772A" w:rsidR="00E45A5E" w:rsidP="00352678" w:rsidRDefault="00E45A5E">
      <w:pPr>
        <w:rPr>
          <w:lang w:val="en-GB"/>
        </w:rPr>
      </w:pPr>
    </w:p>
    <w:p w:rsidRPr="0098772A" w:rsidR="00E45A5E" w:rsidP="00352678" w:rsidRDefault="00E45A5E">
      <w:pPr>
        <w:ind w:left="-5"/>
        <w:rPr>
          <w:bCs/>
          <w:lang w:val="en-GB"/>
        </w:rPr>
      </w:pPr>
      <w:r w:rsidRPr="0098772A">
        <w:rPr>
          <w:b/>
          <w:bCs/>
          <w:lang w:val="en-GB"/>
        </w:rPr>
        <w:t>Reference:</w:t>
      </w:r>
      <w:r w:rsidRPr="0098772A">
        <w:rPr>
          <w:b/>
          <w:bCs/>
          <w:lang w:val="en-GB"/>
        </w:rPr>
        <w:tab/>
      </w:r>
      <w:r w:rsidRPr="0098772A">
        <w:rPr>
          <w:b/>
          <w:bCs/>
          <w:lang w:val="en-GB"/>
        </w:rPr>
        <w:tab/>
      </w:r>
      <w:r w:rsidR="00AD0688">
        <w:rPr>
          <w:b/>
          <w:bCs/>
          <w:lang w:val="en-GB"/>
        </w:rPr>
        <w:tab/>
      </w:r>
      <w:r w:rsidR="001479A6">
        <w:rPr>
          <w:lang w:val="en-GB"/>
        </w:rPr>
        <w:t xml:space="preserve">COM(2019) </w:t>
      </w:r>
      <w:r w:rsidR="003E0485">
        <w:rPr>
          <w:lang w:val="en-GB"/>
        </w:rPr>
        <w:t>6</w:t>
      </w:r>
      <w:r w:rsidR="001479A6">
        <w:rPr>
          <w:lang w:val="en-GB"/>
        </w:rPr>
        <w:t xml:space="preserve">52 </w:t>
      </w:r>
      <w:r w:rsidR="000A0881">
        <w:rPr>
          <w:lang w:val="en-GB"/>
        </w:rPr>
        <w:t>final</w:t>
      </w:r>
    </w:p>
    <w:p w:rsidRPr="0098772A" w:rsidR="00E45A5E" w:rsidP="00352678" w:rsidRDefault="008357C2">
      <w:pPr>
        <w:ind w:left="1701"/>
        <w:rPr>
          <w:lang w:val="en-GB"/>
        </w:rPr>
      </w:pPr>
      <w:r>
        <w:rPr>
          <w:lang w:val="en-GB"/>
        </w:rPr>
        <w:tab/>
      </w:r>
      <w:r w:rsidRPr="0098772A" w:rsidR="00E45A5E">
        <w:rPr>
          <w:lang w:val="en-GB"/>
        </w:rPr>
        <w:t>EESC-20</w:t>
      </w:r>
      <w:r w:rsidR="001479A6">
        <w:rPr>
          <w:lang w:val="en-GB"/>
        </w:rPr>
        <w:t>19</w:t>
      </w:r>
      <w:r w:rsidRPr="0098772A" w:rsidR="00E45A5E">
        <w:rPr>
          <w:lang w:val="en-GB"/>
        </w:rPr>
        <w:t>-0</w:t>
      </w:r>
      <w:r w:rsidR="001479A6">
        <w:rPr>
          <w:lang w:val="en-GB"/>
        </w:rPr>
        <w:t>4990</w:t>
      </w:r>
      <w:r w:rsidRPr="0098772A" w:rsidR="00E45A5E">
        <w:rPr>
          <w:lang w:val="en-GB"/>
        </w:rPr>
        <w:t>-00-00-AC</w:t>
      </w:r>
    </w:p>
    <w:p w:rsidRPr="0098772A" w:rsidR="00E45A5E" w:rsidP="00352678" w:rsidRDefault="00E45A5E">
      <w:pPr>
        <w:jc w:val="left"/>
        <w:rPr>
          <w:lang w:val="en-GB"/>
        </w:rPr>
      </w:pPr>
    </w:p>
    <w:p w:rsidRPr="0098772A" w:rsidR="00E45A5E" w:rsidP="00352678" w:rsidRDefault="00E45A5E">
      <w:pPr>
        <w:tabs>
          <w:tab w:val="center" w:pos="284"/>
        </w:tabs>
        <w:ind w:left="266" w:hanging="266"/>
        <w:rPr>
          <w:b/>
          <w:lang w:val="en-GB"/>
        </w:rPr>
      </w:pPr>
      <w:r w:rsidRPr="0098772A">
        <w:rPr>
          <w:b/>
          <w:lang w:val="en-GB"/>
        </w:rPr>
        <w:t>Key points</w:t>
      </w:r>
    </w:p>
    <w:p w:rsidRPr="0098772A" w:rsidR="0005133F" w:rsidP="00352678" w:rsidRDefault="0005133F">
      <w:pPr>
        <w:pStyle w:val="Heading2"/>
        <w:overflowPunct w:val="0"/>
        <w:autoSpaceDE w:val="0"/>
        <w:autoSpaceDN w:val="0"/>
        <w:adjustRightInd w:val="0"/>
        <w:textAlignment w:val="baseline"/>
        <w:rPr>
          <w:lang w:val="en-GB"/>
        </w:rPr>
      </w:pPr>
    </w:p>
    <w:p w:rsidR="000A0881" w:rsidP="005455BC" w:rsidRDefault="000A0881">
      <w:pPr>
        <w:outlineLvl w:val="1"/>
      </w:pPr>
      <w:r w:rsidRPr="000A4825">
        <w:t>The EESC</w:t>
      </w:r>
      <w:r>
        <w:t>:</w:t>
      </w:r>
    </w:p>
    <w:p w:rsidR="000A0881" w:rsidP="005455BC" w:rsidRDefault="000A0881">
      <w:pPr>
        <w:outlineLvl w:val="1"/>
      </w:pPr>
    </w:p>
    <w:p w:rsidRPr="000A4825" w:rsidR="000A0881" w:rsidP="005455BC" w:rsidRDefault="009A5369">
      <w:pPr>
        <w:pStyle w:val="ListParagraph"/>
        <w:numPr>
          <w:ilvl w:val="0"/>
          <w:numId w:val="41"/>
        </w:numPr>
        <w:outlineLvl w:val="1"/>
      </w:pPr>
      <w:r>
        <w:t>notes with concern</w:t>
      </w:r>
      <w:r w:rsidRPr="000A4825" w:rsidR="000A0881">
        <w:t xml:space="preserve"> the euro area's economic downturn and the gradual end to a fall in unemployment, wedded to the persistent higher incidence of risk factors affecting </w:t>
      </w:r>
      <w:r w:rsidR="000A0881">
        <w:t>economic performance;</w:t>
      </w:r>
    </w:p>
    <w:p w:rsidRPr="000A4825" w:rsidR="000A0881" w:rsidP="005455BC" w:rsidRDefault="000A0881"/>
    <w:p w:rsidRPr="000A4825" w:rsidR="000A0881" w:rsidP="005455BC" w:rsidRDefault="000A0881">
      <w:pPr>
        <w:pStyle w:val="ListParagraph"/>
        <w:numPr>
          <w:ilvl w:val="0"/>
          <w:numId w:val="41"/>
        </w:numPr>
        <w:outlineLvl w:val="1"/>
      </w:pPr>
      <w:r w:rsidRPr="000A4825">
        <w:t>is convinced that the structural reforms and investments required by the European Green Deal could do much to further the economic prosperity of the euro area</w:t>
      </w:r>
      <w:r>
        <w:t xml:space="preserve"> and the EU as a whole;</w:t>
      </w:r>
    </w:p>
    <w:p w:rsidRPr="000A4825" w:rsidR="000A0881" w:rsidP="005455BC" w:rsidRDefault="000A0881"/>
    <w:p w:rsidR="009A5369" w:rsidP="005455BC" w:rsidRDefault="009A5369">
      <w:pPr>
        <w:pStyle w:val="ListParagraph"/>
        <w:numPr>
          <w:ilvl w:val="0"/>
          <w:numId w:val="41"/>
        </w:numPr>
        <w:outlineLvl w:val="1"/>
      </w:pPr>
      <w:r>
        <w:t>is</w:t>
      </w:r>
      <w:r w:rsidRPr="000A4825" w:rsidR="000A0881">
        <w:t xml:space="preserve"> concerned about the shortfall in proposed funding for the Just Transition Fund and Mechanism</w:t>
      </w:r>
      <w:r>
        <w:t>;</w:t>
      </w:r>
    </w:p>
    <w:p w:rsidR="009A5369" w:rsidP="0055252A" w:rsidRDefault="009A5369">
      <w:pPr>
        <w:pStyle w:val="ListParagraph"/>
        <w:outlineLvl w:val="1"/>
      </w:pPr>
    </w:p>
    <w:p w:rsidRPr="000A4825" w:rsidR="000A0881" w:rsidP="005455BC" w:rsidRDefault="009A5369">
      <w:pPr>
        <w:pStyle w:val="ListParagraph"/>
        <w:numPr>
          <w:ilvl w:val="0"/>
          <w:numId w:val="41"/>
        </w:numPr>
        <w:outlineLvl w:val="1"/>
      </w:pPr>
      <w:r>
        <w:t xml:space="preserve"> points out that n</w:t>
      </w:r>
      <w:r w:rsidRPr="000A4825" w:rsidR="000A0881">
        <w:t>ational public and private resources will have to be enlisted and the mechanism provided for these to be allocat</w:t>
      </w:r>
      <w:r w:rsidR="000A0881">
        <w:t>ed to meet the Green Deal goals;</w:t>
      </w:r>
    </w:p>
    <w:p w:rsidRPr="000A4825" w:rsidR="000A0881" w:rsidP="005455BC" w:rsidRDefault="000A0881"/>
    <w:p w:rsidR="009A5369" w:rsidP="005455BC" w:rsidRDefault="000A0881">
      <w:pPr>
        <w:pStyle w:val="ListParagraph"/>
        <w:numPr>
          <w:ilvl w:val="0"/>
          <w:numId w:val="41"/>
        </w:numPr>
        <w:outlineLvl w:val="1"/>
      </w:pPr>
      <w:r w:rsidRPr="000A4825">
        <w:t xml:space="preserve">stresses the continuing need for a cautiously aggressive fiscal policy in the coming period, especially with a view to the expected economic slowdown, while at the same time ensuring a balanced interplay between economic policy and the pillars on which the </w:t>
      </w:r>
      <w:r w:rsidRPr="005455BC" w:rsidR="005455BC">
        <w:t>Economic and Monetary Union</w:t>
      </w:r>
      <w:r w:rsidR="005455BC">
        <w:t xml:space="preserve"> of the European Union</w:t>
      </w:r>
      <w:r w:rsidRPr="000A4825">
        <w:t xml:space="preserve"> is based</w:t>
      </w:r>
      <w:r w:rsidR="009A5369">
        <w:t>;</w:t>
      </w:r>
    </w:p>
    <w:p w:rsidR="009A5369" w:rsidP="0055252A" w:rsidRDefault="009A5369">
      <w:pPr>
        <w:pStyle w:val="ListParagraph"/>
        <w:outlineLvl w:val="1"/>
      </w:pPr>
    </w:p>
    <w:p w:rsidRPr="000A4825" w:rsidR="000A0881" w:rsidP="005455BC" w:rsidRDefault="001A5E94">
      <w:pPr>
        <w:pStyle w:val="ListParagraph"/>
        <w:numPr>
          <w:ilvl w:val="0"/>
          <w:numId w:val="41"/>
        </w:numPr>
        <w:outlineLvl w:val="1"/>
      </w:pPr>
      <w:r>
        <w:t>b</w:t>
      </w:r>
      <w:r w:rsidR="009A5369">
        <w:t>elieves that a</w:t>
      </w:r>
      <w:r w:rsidRPr="000A4825" w:rsidR="000A0881">
        <w:t>dopting the "golden rule" for public investment wo</w:t>
      </w:r>
      <w:r w:rsidR="000A0881">
        <w:t>uld help to achieve these goals;</w:t>
      </w:r>
    </w:p>
    <w:p w:rsidRPr="000A4825" w:rsidR="000A0881" w:rsidP="005455BC" w:rsidRDefault="000A0881"/>
    <w:p w:rsidRPr="000A4825" w:rsidR="000A0881" w:rsidP="005455BC" w:rsidRDefault="000A0881">
      <w:pPr>
        <w:pStyle w:val="ListParagraph"/>
        <w:numPr>
          <w:ilvl w:val="0"/>
          <w:numId w:val="41"/>
        </w:numPr>
        <w:ind w:left="714" w:hanging="357"/>
        <w:outlineLvl w:val="1"/>
      </w:pPr>
      <w:r w:rsidRPr="000A4825">
        <w:t>recommends that greater attention be given to tailoring the tax system to future needs, in terms both of encouraging more environmentally friendly behaviour</w:t>
      </w:r>
      <w:r w:rsidR="009A5369">
        <w:t>,</w:t>
      </w:r>
      <w:r w:rsidRPr="000A4825">
        <w:t xml:space="preserve"> </w:t>
      </w:r>
      <w:r w:rsidR="009A5369">
        <w:t xml:space="preserve">limiting </w:t>
      </w:r>
      <w:r w:rsidRPr="000A4825">
        <w:t xml:space="preserve">discrepancies in the level of income and wealth, </w:t>
      </w:r>
      <w:r w:rsidR="009A5369">
        <w:t>and</w:t>
      </w:r>
      <w:r w:rsidRPr="000A4825">
        <w:t xml:space="preserve"> prevent</w:t>
      </w:r>
      <w:r w:rsidR="009A5369">
        <w:t>ing</w:t>
      </w:r>
      <w:r w:rsidRPr="000A4825">
        <w:t xml:space="preserve"> t</w:t>
      </w:r>
      <w:r>
        <w:t>ax fraud, evasion and avoidance;</w:t>
      </w:r>
    </w:p>
    <w:p w:rsidRPr="000A4825" w:rsidR="000A0881" w:rsidP="005455BC" w:rsidRDefault="000A0881"/>
    <w:p w:rsidR="009A5369" w:rsidP="009A5369" w:rsidRDefault="000A0881">
      <w:pPr>
        <w:pStyle w:val="Heading2"/>
        <w:numPr>
          <w:ilvl w:val="0"/>
          <w:numId w:val="41"/>
        </w:numPr>
        <w:overflowPunct w:val="0"/>
        <w:autoSpaceDE w:val="0"/>
        <w:autoSpaceDN w:val="0"/>
        <w:adjustRightInd w:val="0"/>
        <w:textAlignment w:val="baseline"/>
      </w:pPr>
      <w:r w:rsidRPr="000A4825">
        <w:t>points out the need to strike the right balance between enabling financial innovation and setting rules for financial market supervision and regulation</w:t>
      </w:r>
      <w:r w:rsidR="009A5369">
        <w:t>;</w:t>
      </w:r>
    </w:p>
    <w:p w:rsidRPr="009A5369" w:rsidR="009A5369" w:rsidP="0055252A" w:rsidRDefault="009A5369"/>
    <w:p w:rsidRPr="00D40BFB" w:rsidR="0008631C" w:rsidP="005455BC" w:rsidRDefault="000A0881">
      <w:pPr>
        <w:pStyle w:val="Heading2"/>
        <w:numPr>
          <w:ilvl w:val="0"/>
          <w:numId w:val="41"/>
        </w:numPr>
        <w:overflowPunct w:val="0"/>
        <w:autoSpaceDE w:val="0"/>
        <w:autoSpaceDN w:val="0"/>
        <w:adjustRightInd w:val="0"/>
        <w:textAlignment w:val="baseline"/>
        <w:rPr>
          <w:lang w:val="en-GB"/>
        </w:rPr>
      </w:pPr>
      <w:r w:rsidRPr="000A4825">
        <w:t>points out the high importance of ensuring financial market stability</w:t>
      </w:r>
      <w:r w:rsidR="00D21BCE">
        <w:t xml:space="preserve"> by</w:t>
      </w:r>
      <w:r w:rsidRPr="000A4825">
        <w:t xml:space="preserve"> implementing the remaining key elements that are essential to completion of the financial union.</w:t>
      </w:r>
    </w:p>
    <w:p w:rsidRPr="00E66140" w:rsidR="00E66140" w:rsidP="003E0485" w:rsidRDefault="00E66140">
      <w:pPr>
        <w:pStyle w:val="Heading2"/>
        <w:overflowPunct w:val="0"/>
        <w:autoSpaceDE w:val="0"/>
        <w:autoSpaceDN w:val="0"/>
        <w:adjustRightInd w:val="0"/>
        <w:ind w:left="720"/>
        <w:textAlignment w:val="baseline"/>
        <w:rPr>
          <w:lang w:val="en-GB"/>
        </w:rPr>
      </w:pPr>
    </w:p>
    <w:p w:rsidR="00884728" w:rsidP="00884728" w:rsidRDefault="00884728">
      <w:pPr>
        <w:rPr>
          <w:i/>
          <w:iCs/>
          <w:lang w:val="fr-FR"/>
        </w:rPr>
      </w:pPr>
      <w:bookmarkStart w:name="_Toc8218613" w:id="2"/>
      <w:r>
        <w:rPr>
          <w:b/>
          <w:bCs/>
          <w:i/>
          <w:iCs/>
          <w:lang w:val="en-GB"/>
        </w:rPr>
        <w:t>Contact:</w:t>
      </w:r>
      <w:r w:rsidRPr="0081656D">
        <w:rPr>
          <w:bCs/>
          <w:iCs/>
          <w:lang w:val="en-GB"/>
        </w:rPr>
        <w:tab/>
      </w:r>
      <w:r w:rsidRPr="0081656D">
        <w:rPr>
          <w:bCs/>
          <w:iCs/>
          <w:lang w:val="en-GB"/>
        </w:rPr>
        <w:tab/>
      </w:r>
      <w:r w:rsidRPr="002B35D6" w:rsidR="002B35D6">
        <w:rPr>
          <w:i/>
          <w:lang w:val="fr-FR"/>
        </w:rPr>
        <w:t>Alexander Alexandrov</w:t>
      </w:r>
    </w:p>
    <w:p w:rsidR="00884728" w:rsidP="00884728" w:rsidRDefault="002B35D6">
      <w:pPr>
        <w:tabs>
          <w:tab w:val="left" w:pos="770"/>
        </w:tabs>
        <w:ind w:left="3131" w:hanging="1430"/>
        <w:rPr>
          <w:i/>
          <w:iCs/>
          <w:lang w:val="fr-FR"/>
        </w:rPr>
      </w:pPr>
      <w:r>
        <w:rPr>
          <w:i/>
          <w:iCs/>
          <w:lang w:val="fr-FR"/>
        </w:rPr>
        <w:t>(Tel.: 00 32 2 546 98 05</w:t>
      </w:r>
      <w:r w:rsidR="007D47F3">
        <w:rPr>
          <w:i/>
          <w:iCs/>
          <w:lang w:val="fr-FR"/>
        </w:rPr>
        <w:t xml:space="preserve"> </w:t>
      </w:r>
      <w:r w:rsidR="00884728">
        <w:rPr>
          <w:i/>
          <w:iCs/>
          <w:lang w:val="fr-FR"/>
        </w:rPr>
        <w:t>– email:</w:t>
      </w:r>
      <w:r w:rsidRPr="007578F7" w:rsidR="00884728">
        <w:rPr>
          <w:i/>
          <w:iCs/>
          <w:color w:val="0000FF"/>
          <w:lang w:val="fr-FR"/>
        </w:rPr>
        <w:t xml:space="preserve"> </w:t>
      </w:r>
      <w:hyperlink w:history="1" r:id="rId23">
        <w:r w:rsidRPr="002B35D6">
          <w:rPr>
            <w:rStyle w:val="Hyperlink"/>
            <w:i/>
            <w:iCs/>
            <w:lang w:val="fr-FR"/>
          </w:rPr>
          <w:t>Alexander.Alexandrov@eesc.europa.eu</w:t>
        </w:r>
      </w:hyperlink>
      <w:r w:rsidR="00884728">
        <w:rPr>
          <w:i/>
          <w:iCs/>
          <w:lang w:val="fr-FR"/>
        </w:rPr>
        <w:t>)</w:t>
      </w:r>
    </w:p>
    <w:bookmarkEnd w:id="2"/>
    <w:p w:rsidRPr="003E0485" w:rsidR="001F117F" w:rsidP="003E0485" w:rsidRDefault="001F117F">
      <w:pPr>
        <w:spacing w:line="240" w:lineRule="auto"/>
        <w:jc w:val="left"/>
        <w:rPr>
          <w:kern w:val="28"/>
          <w:lang w:val="en-GB"/>
        </w:rPr>
      </w:pPr>
    </w:p>
    <w:p w:rsidRPr="0098772A" w:rsidR="00411F08" w:rsidP="009F1860" w:rsidRDefault="00902EEB">
      <w:pPr>
        <w:ind w:left="1701" w:hanging="1701"/>
        <w:jc w:val="center"/>
        <w:rPr>
          <w:lang w:val="en-GB"/>
        </w:rPr>
      </w:pPr>
      <w:r w:rsidRPr="0098772A">
        <w:rPr>
          <w:i/>
          <w:szCs w:val="20"/>
          <w:lang w:val="en-GB"/>
        </w:rPr>
        <w:t>____________</w:t>
      </w:r>
    </w:p>
    <w:sectPr w:rsidRPr="0098772A" w:rsidR="00411F08" w:rsidSect="008357C2">
      <w:headerReference w:type="even" r:id="rId24"/>
      <w:headerReference w:type="default" r:id="rId25"/>
      <w:footerReference w:type="even" r:id="rId26"/>
      <w:footerReference w:type="default" r:id="rId27"/>
      <w:headerReference w:type="first" r:id="rId28"/>
      <w:footerReference w:type="first" r:id="rId2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21" w:rsidP="003B283B" w:rsidRDefault="00417421">
      <w:pPr>
        <w:spacing w:line="240" w:lineRule="auto"/>
      </w:pPr>
      <w:r>
        <w:separator/>
      </w:r>
    </w:p>
  </w:endnote>
  <w:endnote w:type="continuationSeparator" w:id="0">
    <w:p w:rsidR="00417421" w:rsidP="003B283B" w:rsidRDefault="00417421">
      <w:pPr>
        <w:spacing w:line="240" w:lineRule="auto"/>
      </w:pPr>
      <w:r>
        <w:continuationSeparator/>
      </w:r>
    </w:p>
  </w:endnote>
  <w:endnote w:type="continuationNotice" w:id="1">
    <w:p w:rsidR="00417421" w:rsidRDefault="004174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8357C2" w:rsidR="008357C2" w:rsidP="008357C2" w:rsidRDefault="00835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8357C2" w:rsidR="0098772A" w:rsidP="008357C2" w:rsidRDefault="008357C2">
    <w:pPr>
      <w:pStyle w:val="Footer"/>
    </w:pPr>
    <w:r>
      <w:t xml:space="preserve">EESC-2020-00533-00-01-TCD-TRA (EN) </w:t>
    </w:r>
    <w:r>
      <w:fldChar w:fldCharType="begin"/>
    </w:r>
    <w:r>
      <w:instrText xml:space="preserve"> PAGE  \* Arabic  \* MERGEFORMAT </w:instrText>
    </w:r>
    <w:r>
      <w:fldChar w:fldCharType="separate"/>
    </w:r>
    <w:r w:rsidR="00CF3A24">
      <w:rPr>
        <w:noProof/>
      </w:rPr>
      <w:t>1</w:t>
    </w:r>
    <w:r>
      <w:fldChar w:fldCharType="end"/>
    </w:r>
    <w:r>
      <w:t>/</w:t>
    </w:r>
    <w:r>
      <w:fldChar w:fldCharType="begin"/>
    </w:r>
    <w:r>
      <w:instrText xml:space="preserve"> NUMPAGES </w:instrText>
    </w:r>
    <w:r>
      <w:fldChar w:fldCharType="separate"/>
    </w:r>
    <w:r w:rsidR="00CF3A24">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8357C2" w:rsidR="008357C2" w:rsidP="008357C2" w:rsidRDefault="008357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8357C2" w:rsidR="0098772A" w:rsidP="008357C2" w:rsidRDefault="0098772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8357C2" w:rsidR="0098772A" w:rsidP="008357C2" w:rsidRDefault="008357C2">
    <w:pPr>
      <w:pStyle w:val="Footer"/>
    </w:pPr>
    <w:r>
      <w:t xml:space="preserve">EESC-2020-00533-00-01-TCD-TRA (EN) </w:t>
    </w:r>
    <w:r>
      <w:fldChar w:fldCharType="begin"/>
    </w:r>
    <w:r>
      <w:instrText xml:space="preserve"> PAGE  \* Arabic  \* MERGEFORMAT </w:instrText>
    </w:r>
    <w:r>
      <w:fldChar w:fldCharType="separate"/>
    </w:r>
    <w:r>
      <w:rPr>
        <w:noProof/>
      </w:rPr>
      <w:t>5</w:t>
    </w:r>
    <w:r>
      <w:fldChar w:fldCharType="end"/>
    </w:r>
    <w:r>
      <w:t>/</w:t>
    </w:r>
    <w:r>
      <w:fldChar w:fldCharType="begin"/>
    </w:r>
    <w:r>
      <w:instrText xml:space="preserve"> NUMPAGES </w:instrText>
    </w:r>
    <w:r>
      <w:fldChar w:fldCharType="separate"/>
    </w:r>
    <w:r>
      <w:rPr>
        <w:noProof/>
      </w:rPr>
      <w:t>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8357C2" w:rsidR="0098772A" w:rsidP="008357C2" w:rsidRDefault="00987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21" w:rsidP="003B283B" w:rsidRDefault="00417421">
      <w:pPr>
        <w:spacing w:line="240" w:lineRule="auto"/>
      </w:pPr>
      <w:r>
        <w:separator/>
      </w:r>
    </w:p>
  </w:footnote>
  <w:footnote w:type="continuationSeparator" w:id="0">
    <w:p w:rsidR="00417421" w:rsidP="003B283B" w:rsidRDefault="00417421">
      <w:pPr>
        <w:spacing w:line="240" w:lineRule="auto"/>
      </w:pPr>
      <w:r>
        <w:continuationSeparator/>
      </w:r>
    </w:p>
  </w:footnote>
  <w:footnote w:type="continuationNotice" w:id="1">
    <w:p w:rsidRPr="00377A77" w:rsidR="00417421" w:rsidRDefault="00417421">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8357C2" w:rsidR="008357C2" w:rsidP="008357C2" w:rsidRDefault="008357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8357C2" w:rsidR="008357C2" w:rsidP="008357C2" w:rsidRDefault="008357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8357C2" w:rsidR="008357C2" w:rsidP="008357C2" w:rsidRDefault="008357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8357C2" w:rsidR="0098772A" w:rsidP="008357C2" w:rsidRDefault="009877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8357C2" w:rsidR="0098772A" w:rsidP="008357C2" w:rsidRDefault="009877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8357C2" w:rsidR="0098772A" w:rsidP="008357C2" w:rsidRDefault="00987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24C785A"/>
    <w:lvl w:ilvl="0">
      <w:start w:val="1"/>
      <w:numFmt w:val="decimal"/>
      <w:lvlText w:val="%1."/>
      <w:lvlJc w:val="left"/>
      <w:pPr>
        <w:ind w:left="0"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FFFFFFFE"/>
    <w:multiLevelType w:val="singleLevel"/>
    <w:tmpl w:val="A8C2A524"/>
    <w:lvl w:ilvl="0">
      <w:numFmt w:val="decimal"/>
      <w:lvlText w:val="*"/>
      <w:lvlJc w:val="left"/>
    </w:lvl>
  </w:abstractNum>
  <w:abstractNum w:abstractNumId="2">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057458"/>
    <w:multiLevelType w:val="hybridMultilevel"/>
    <w:tmpl w:val="588EC4E8"/>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68209E"/>
    <w:multiLevelType w:val="hybridMultilevel"/>
    <w:tmpl w:val="E94EFE1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67F59FF"/>
    <w:multiLevelType w:val="hybridMultilevel"/>
    <w:tmpl w:val="BB3807D2"/>
    <w:lvl w:ilvl="0" w:tplc="EFA2B9F6">
      <w:start w:val="1"/>
      <w:numFmt w:val="bullet"/>
      <w:lvlText w:val=""/>
      <w:lvlJc w:val="left"/>
      <w:pPr>
        <w:tabs>
          <w:tab w:val="num" w:pos="0"/>
        </w:tabs>
        <w:ind w:left="369" w:hanging="369"/>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6E951AF"/>
    <w:multiLevelType w:val="hybridMultilevel"/>
    <w:tmpl w:val="D082B6F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092616FC"/>
    <w:multiLevelType w:val="hybridMultilevel"/>
    <w:tmpl w:val="D830272C"/>
    <w:lvl w:ilvl="0" w:tplc="3EACB21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09873857"/>
    <w:multiLevelType w:val="hybridMultilevel"/>
    <w:tmpl w:val="6826D0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0C467EB6"/>
    <w:multiLevelType w:val="hybridMultilevel"/>
    <w:tmpl w:val="A63002A0"/>
    <w:lvl w:ilvl="0" w:tplc="19FC62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9B17BB"/>
    <w:multiLevelType w:val="hybridMultilevel"/>
    <w:tmpl w:val="4CD04D8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DB2ACF"/>
    <w:multiLevelType w:val="hybridMultilevel"/>
    <w:tmpl w:val="10F4BAA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1490063D"/>
    <w:multiLevelType w:val="hybridMultilevel"/>
    <w:tmpl w:val="137A92B6"/>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18A06112"/>
    <w:multiLevelType w:val="hybridMultilevel"/>
    <w:tmpl w:val="CE0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1FE25EAF"/>
    <w:multiLevelType w:val="hybridMultilevel"/>
    <w:tmpl w:val="346EC76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743F59"/>
    <w:multiLevelType w:val="hybridMultilevel"/>
    <w:tmpl w:val="F5DA306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24DB1AEC"/>
    <w:multiLevelType w:val="hybridMultilevel"/>
    <w:tmpl w:val="E6C8036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3E9D4364"/>
    <w:multiLevelType w:val="hybridMultilevel"/>
    <w:tmpl w:val="4718B79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F73198"/>
    <w:multiLevelType w:val="hybridMultilevel"/>
    <w:tmpl w:val="38D80172"/>
    <w:lvl w:ilvl="0" w:tplc="08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nsid w:val="4319469E"/>
    <w:multiLevelType w:val="hybridMultilevel"/>
    <w:tmpl w:val="BAF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F22D14"/>
    <w:multiLevelType w:val="hybridMultilevel"/>
    <w:tmpl w:val="4CDC0384"/>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49545780"/>
    <w:multiLevelType w:val="hybridMultilevel"/>
    <w:tmpl w:val="336AB13C"/>
    <w:lvl w:ilvl="0" w:tplc="19FC620A">
      <w:numFmt w:val="bullet"/>
      <w:lvlText w:val="–"/>
      <w:lvlJc w:val="left"/>
      <w:pPr>
        <w:ind w:left="1077" w:hanging="360"/>
      </w:pPr>
      <w:rPr>
        <w:rFonts w:ascii="Times New Roman" w:eastAsia="Times New Roman" w:hAnsi="Times New Roman" w:cs="Times New Roman"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8">
    <w:nsid w:val="4B955F05"/>
    <w:multiLevelType w:val="hybridMultilevel"/>
    <w:tmpl w:val="4092ADD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3566467"/>
    <w:multiLevelType w:val="hybridMultilevel"/>
    <w:tmpl w:val="2376B8D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19FC620A">
      <w:numFmt w:val="bullet"/>
      <w:lvlText w:val="–"/>
      <w:lvlJc w:val="left"/>
      <w:pPr>
        <w:ind w:left="2160" w:hanging="360"/>
      </w:pPr>
      <w:rPr>
        <w:rFonts w:ascii="Times New Roman" w:eastAsia="Times New Roman" w:hAnsi="Times New Roman"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2">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4">
    <w:nsid w:val="67DF33A1"/>
    <w:multiLevelType w:val="hybridMultilevel"/>
    <w:tmpl w:val="A4108E3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967682A"/>
    <w:multiLevelType w:val="hybridMultilevel"/>
    <w:tmpl w:val="6EE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A100B6"/>
    <w:multiLevelType w:val="hybridMultilevel"/>
    <w:tmpl w:val="0F08078C"/>
    <w:lvl w:ilvl="0" w:tplc="815413C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76336160"/>
    <w:multiLevelType w:val="hybridMultilevel"/>
    <w:tmpl w:val="C1C63AE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78397CBC"/>
    <w:multiLevelType w:val="hybridMultilevel"/>
    <w:tmpl w:val="63D09EE6"/>
    <w:lvl w:ilvl="0" w:tplc="19FC620A">
      <w:numFmt w:val="bullet"/>
      <w:lvlText w:val="–"/>
      <w:lvlJc w:val="left"/>
      <w:pPr>
        <w:ind w:left="720" w:hanging="360"/>
      </w:pPr>
      <w:rPr>
        <w:rFonts w:ascii="Times New Roman" w:eastAsia="Times New Roman" w:hAnsi="Times New Roman" w:cs="Times New Roman" w:hint="default"/>
      </w:rPr>
    </w:lvl>
    <w:lvl w:ilvl="1" w:tplc="1AF0D5A4">
      <w:start w:val="1"/>
      <w:numFmt w:val="bullet"/>
      <w:lvlText w:val="-"/>
      <w:lvlJc w:val="left"/>
      <w:pPr>
        <w:ind w:left="1440" w:hanging="36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0"/>
  </w:num>
  <w:num w:numId="4">
    <w:abstractNumId w:val="36"/>
  </w:num>
  <w:num w:numId="5">
    <w:abstractNumId w:val="1"/>
    <w:lvlOverride w:ilvl="0">
      <w:lvl w:ilvl="0">
        <w:numFmt w:val="bullet"/>
        <w:lvlText w:val=""/>
        <w:legacy w:legacy="1" w:legacySpace="0" w:legacyIndent="283"/>
        <w:lvlJc w:val="left"/>
        <w:pPr>
          <w:ind w:left="567" w:hanging="283"/>
        </w:pPr>
        <w:rPr>
          <w:rFonts w:ascii="Symbol" w:hAnsi="Symbol" w:hint="default"/>
        </w:rPr>
      </w:lvl>
    </w:lvlOverride>
  </w:num>
  <w:num w:numId="6">
    <w:abstractNumId w:val="3"/>
  </w:num>
  <w:num w:numId="7">
    <w:abstractNumId w:val="17"/>
  </w:num>
  <w:num w:numId="8">
    <w:abstractNumId w:val="9"/>
  </w:num>
  <w:num w:numId="9">
    <w:abstractNumId w:val="2"/>
  </w:num>
  <w:num w:numId="10">
    <w:abstractNumId w:val="14"/>
  </w:num>
  <w:num w:numId="11">
    <w:abstractNumId w:val="35"/>
  </w:num>
  <w:num w:numId="12">
    <w:abstractNumId w:val="20"/>
  </w:num>
  <w:num w:numId="13">
    <w:abstractNumId w:val="33"/>
  </w:num>
  <w:num w:numId="14">
    <w:abstractNumId w:val="32"/>
  </w:num>
  <w:num w:numId="15">
    <w:abstractNumId w:val="8"/>
  </w:num>
  <w:num w:numId="16">
    <w:abstractNumId w:val="22"/>
  </w:num>
  <w:num w:numId="17">
    <w:abstractNumId w:val="37"/>
  </w:num>
  <w:num w:numId="18">
    <w:abstractNumId w:val="25"/>
  </w:num>
  <w:num w:numId="19">
    <w:abstractNumId w:val="10"/>
  </w:num>
  <w:num w:numId="20">
    <w:abstractNumId w:val="24"/>
  </w:num>
  <w:num w:numId="21">
    <w:abstractNumId w:val="15"/>
  </w:num>
  <w:num w:numId="22">
    <w:abstractNumId w:val="6"/>
  </w:num>
  <w:num w:numId="23">
    <w:abstractNumId w:val="21"/>
  </w:num>
  <w:num w:numId="24">
    <w:abstractNumId w:val="27"/>
  </w:num>
  <w:num w:numId="25">
    <w:abstractNumId w:val="28"/>
  </w:num>
  <w:num w:numId="26">
    <w:abstractNumId w:val="26"/>
  </w:num>
  <w:num w:numId="27">
    <w:abstractNumId w:val="7"/>
  </w:num>
  <w:num w:numId="28">
    <w:abstractNumId w:val="29"/>
  </w:num>
  <w:num w:numId="29">
    <w:abstractNumId w:val="5"/>
  </w:num>
  <w:num w:numId="30">
    <w:abstractNumId w:val="34"/>
  </w:num>
  <w:num w:numId="31">
    <w:abstractNumId w:val="18"/>
  </w:num>
  <w:num w:numId="32">
    <w:abstractNumId w:val="16"/>
  </w:num>
  <w:num w:numId="33">
    <w:abstractNumId w:val="19"/>
  </w:num>
  <w:num w:numId="34">
    <w:abstractNumId w:val="39"/>
  </w:num>
  <w:num w:numId="35">
    <w:abstractNumId w:val="38"/>
  </w:num>
  <w:num w:numId="36">
    <w:abstractNumId w:val="12"/>
  </w:num>
  <w:num w:numId="37">
    <w:abstractNumId w:val="30"/>
  </w:num>
  <w:num w:numId="38">
    <w:abstractNumId w:val="13"/>
  </w:num>
  <w:num w:numId="39">
    <w:abstractNumId w:val="4"/>
  </w:num>
  <w:num w:numId="40">
    <w:abstractNumId w:val="11"/>
  </w:num>
  <w:num w:numId="41">
    <w:abstractNumId w:val="2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louhá Petra">
    <w15:presenceInfo w15:providerId="None" w15:userId="Dlouhá Pet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35B6"/>
    <w:rsid w:val="00004D0F"/>
    <w:rsid w:val="00005800"/>
    <w:rsid w:val="00005B0A"/>
    <w:rsid w:val="0000685F"/>
    <w:rsid w:val="00007617"/>
    <w:rsid w:val="00007B94"/>
    <w:rsid w:val="000102A1"/>
    <w:rsid w:val="000104CB"/>
    <w:rsid w:val="000115A9"/>
    <w:rsid w:val="00012842"/>
    <w:rsid w:val="00012B39"/>
    <w:rsid w:val="00013610"/>
    <w:rsid w:val="000138A1"/>
    <w:rsid w:val="00015BEE"/>
    <w:rsid w:val="0001686B"/>
    <w:rsid w:val="00017703"/>
    <w:rsid w:val="000201DF"/>
    <w:rsid w:val="00020A28"/>
    <w:rsid w:val="00020D86"/>
    <w:rsid w:val="00021286"/>
    <w:rsid w:val="000215A9"/>
    <w:rsid w:val="00022AA4"/>
    <w:rsid w:val="00022B6C"/>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4BA6"/>
    <w:rsid w:val="00054BE0"/>
    <w:rsid w:val="00054E26"/>
    <w:rsid w:val="00055735"/>
    <w:rsid w:val="000557CE"/>
    <w:rsid w:val="000559BE"/>
    <w:rsid w:val="000562AF"/>
    <w:rsid w:val="000571C2"/>
    <w:rsid w:val="00060853"/>
    <w:rsid w:val="00060E5C"/>
    <w:rsid w:val="00061952"/>
    <w:rsid w:val="00062214"/>
    <w:rsid w:val="000630D1"/>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CB2"/>
    <w:rsid w:val="00092FC0"/>
    <w:rsid w:val="00093786"/>
    <w:rsid w:val="00094645"/>
    <w:rsid w:val="000950FC"/>
    <w:rsid w:val="00095A1C"/>
    <w:rsid w:val="000967CA"/>
    <w:rsid w:val="00096999"/>
    <w:rsid w:val="000974BF"/>
    <w:rsid w:val="00097F0D"/>
    <w:rsid w:val="000A0881"/>
    <w:rsid w:val="000A2809"/>
    <w:rsid w:val="000A4202"/>
    <w:rsid w:val="000A62E2"/>
    <w:rsid w:val="000A63F9"/>
    <w:rsid w:val="000A7A22"/>
    <w:rsid w:val="000B0103"/>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339F"/>
    <w:rsid w:val="001036E0"/>
    <w:rsid w:val="0010391E"/>
    <w:rsid w:val="00103CC0"/>
    <w:rsid w:val="00104975"/>
    <w:rsid w:val="001052AF"/>
    <w:rsid w:val="001053BA"/>
    <w:rsid w:val="001055E6"/>
    <w:rsid w:val="00105ACC"/>
    <w:rsid w:val="001063E3"/>
    <w:rsid w:val="0010786D"/>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75F"/>
    <w:rsid w:val="00141D4F"/>
    <w:rsid w:val="00142A4E"/>
    <w:rsid w:val="0014464E"/>
    <w:rsid w:val="00144A1D"/>
    <w:rsid w:val="00144DCE"/>
    <w:rsid w:val="00144E69"/>
    <w:rsid w:val="00145081"/>
    <w:rsid w:val="00145167"/>
    <w:rsid w:val="00146875"/>
    <w:rsid w:val="00146F91"/>
    <w:rsid w:val="001479A6"/>
    <w:rsid w:val="001509A7"/>
    <w:rsid w:val="00153199"/>
    <w:rsid w:val="001540D3"/>
    <w:rsid w:val="001545B6"/>
    <w:rsid w:val="00154B90"/>
    <w:rsid w:val="00155138"/>
    <w:rsid w:val="00155FD0"/>
    <w:rsid w:val="0015678C"/>
    <w:rsid w:val="00156950"/>
    <w:rsid w:val="00157649"/>
    <w:rsid w:val="0015773A"/>
    <w:rsid w:val="00160DCC"/>
    <w:rsid w:val="00160DD6"/>
    <w:rsid w:val="001636EC"/>
    <w:rsid w:val="001657F4"/>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D96"/>
    <w:rsid w:val="001901B3"/>
    <w:rsid w:val="00191C0B"/>
    <w:rsid w:val="00192485"/>
    <w:rsid w:val="00192F9E"/>
    <w:rsid w:val="001940FA"/>
    <w:rsid w:val="00194447"/>
    <w:rsid w:val="0019516A"/>
    <w:rsid w:val="00195479"/>
    <w:rsid w:val="001956D0"/>
    <w:rsid w:val="001970B2"/>
    <w:rsid w:val="001979F8"/>
    <w:rsid w:val="001A1064"/>
    <w:rsid w:val="001A141E"/>
    <w:rsid w:val="001A35F9"/>
    <w:rsid w:val="001A3828"/>
    <w:rsid w:val="001A3D0C"/>
    <w:rsid w:val="001A3E55"/>
    <w:rsid w:val="001A461B"/>
    <w:rsid w:val="001A56E8"/>
    <w:rsid w:val="001A5E94"/>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2542"/>
    <w:rsid w:val="0025260B"/>
    <w:rsid w:val="002532B5"/>
    <w:rsid w:val="002539A1"/>
    <w:rsid w:val="00253B72"/>
    <w:rsid w:val="002542CC"/>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18E"/>
    <w:rsid w:val="0027451C"/>
    <w:rsid w:val="00274585"/>
    <w:rsid w:val="00274E55"/>
    <w:rsid w:val="00275122"/>
    <w:rsid w:val="002751DD"/>
    <w:rsid w:val="00275FFD"/>
    <w:rsid w:val="00276777"/>
    <w:rsid w:val="00276ED9"/>
    <w:rsid w:val="0028043D"/>
    <w:rsid w:val="00280FDA"/>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48E7"/>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31F"/>
    <w:rsid w:val="00357171"/>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56EC"/>
    <w:rsid w:val="00367133"/>
    <w:rsid w:val="00367A90"/>
    <w:rsid w:val="00371609"/>
    <w:rsid w:val="00371671"/>
    <w:rsid w:val="0037202C"/>
    <w:rsid w:val="00372D96"/>
    <w:rsid w:val="00374124"/>
    <w:rsid w:val="003749A0"/>
    <w:rsid w:val="00374C3D"/>
    <w:rsid w:val="003751D1"/>
    <w:rsid w:val="003759AE"/>
    <w:rsid w:val="00377A77"/>
    <w:rsid w:val="003803A1"/>
    <w:rsid w:val="00380A9A"/>
    <w:rsid w:val="003819D7"/>
    <w:rsid w:val="0038274D"/>
    <w:rsid w:val="00382847"/>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9AD"/>
    <w:rsid w:val="003F65E2"/>
    <w:rsid w:val="00400FC6"/>
    <w:rsid w:val="00402423"/>
    <w:rsid w:val="00402CA2"/>
    <w:rsid w:val="0040578C"/>
    <w:rsid w:val="00405A3F"/>
    <w:rsid w:val="004079A9"/>
    <w:rsid w:val="00407AA7"/>
    <w:rsid w:val="00410363"/>
    <w:rsid w:val="004107E8"/>
    <w:rsid w:val="004114DB"/>
    <w:rsid w:val="00411755"/>
    <w:rsid w:val="00411F08"/>
    <w:rsid w:val="0041385B"/>
    <w:rsid w:val="00413CA9"/>
    <w:rsid w:val="00413EED"/>
    <w:rsid w:val="00414A4C"/>
    <w:rsid w:val="00414CA3"/>
    <w:rsid w:val="004154C1"/>
    <w:rsid w:val="00415AAD"/>
    <w:rsid w:val="0041623F"/>
    <w:rsid w:val="0041728F"/>
    <w:rsid w:val="00417421"/>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66A9"/>
    <w:rsid w:val="0043704F"/>
    <w:rsid w:val="00440808"/>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20DF"/>
    <w:rsid w:val="0045436B"/>
    <w:rsid w:val="00454D59"/>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1D54"/>
    <w:rsid w:val="004929C8"/>
    <w:rsid w:val="00492EDB"/>
    <w:rsid w:val="004940BF"/>
    <w:rsid w:val="00494E1A"/>
    <w:rsid w:val="00495606"/>
    <w:rsid w:val="0049603B"/>
    <w:rsid w:val="00496EBA"/>
    <w:rsid w:val="00497493"/>
    <w:rsid w:val="00497BC6"/>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46D"/>
    <w:rsid w:val="00512710"/>
    <w:rsid w:val="005127A0"/>
    <w:rsid w:val="00512B63"/>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61E4"/>
    <w:rsid w:val="00546556"/>
    <w:rsid w:val="00546C60"/>
    <w:rsid w:val="0055010F"/>
    <w:rsid w:val="005508F5"/>
    <w:rsid w:val="0055113A"/>
    <w:rsid w:val="005515D5"/>
    <w:rsid w:val="00551720"/>
    <w:rsid w:val="0055252A"/>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0A09"/>
    <w:rsid w:val="00581104"/>
    <w:rsid w:val="00581452"/>
    <w:rsid w:val="005828CD"/>
    <w:rsid w:val="00583D31"/>
    <w:rsid w:val="00584150"/>
    <w:rsid w:val="00584D4C"/>
    <w:rsid w:val="00584ECF"/>
    <w:rsid w:val="00585A11"/>
    <w:rsid w:val="00586CCC"/>
    <w:rsid w:val="00587329"/>
    <w:rsid w:val="005876F8"/>
    <w:rsid w:val="00590A97"/>
    <w:rsid w:val="0059142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49CF"/>
    <w:rsid w:val="005A68CF"/>
    <w:rsid w:val="005A6CB1"/>
    <w:rsid w:val="005A71E9"/>
    <w:rsid w:val="005A7585"/>
    <w:rsid w:val="005B04CB"/>
    <w:rsid w:val="005B0683"/>
    <w:rsid w:val="005B0D29"/>
    <w:rsid w:val="005B0DE3"/>
    <w:rsid w:val="005B1315"/>
    <w:rsid w:val="005B1B3B"/>
    <w:rsid w:val="005B36E1"/>
    <w:rsid w:val="005B4236"/>
    <w:rsid w:val="005B46EE"/>
    <w:rsid w:val="005B4883"/>
    <w:rsid w:val="005B4C4C"/>
    <w:rsid w:val="005B50A3"/>
    <w:rsid w:val="005B5D2D"/>
    <w:rsid w:val="005B6FAD"/>
    <w:rsid w:val="005B70E6"/>
    <w:rsid w:val="005B7ACA"/>
    <w:rsid w:val="005B7EAD"/>
    <w:rsid w:val="005C0C79"/>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04D"/>
    <w:rsid w:val="005F7803"/>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09A"/>
    <w:rsid w:val="00623940"/>
    <w:rsid w:val="00626B1D"/>
    <w:rsid w:val="00630BE1"/>
    <w:rsid w:val="00630FCB"/>
    <w:rsid w:val="00631DF8"/>
    <w:rsid w:val="00632738"/>
    <w:rsid w:val="00633E90"/>
    <w:rsid w:val="0063400F"/>
    <w:rsid w:val="00635200"/>
    <w:rsid w:val="00635D71"/>
    <w:rsid w:val="0063636E"/>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455E"/>
    <w:rsid w:val="00685D27"/>
    <w:rsid w:val="00686B1B"/>
    <w:rsid w:val="00690AFD"/>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F27"/>
    <w:rsid w:val="006A70F0"/>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1926"/>
    <w:rsid w:val="006C28DC"/>
    <w:rsid w:val="006C29F2"/>
    <w:rsid w:val="006C4634"/>
    <w:rsid w:val="006C4809"/>
    <w:rsid w:val="006C4F95"/>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8F"/>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489D"/>
    <w:rsid w:val="0074514B"/>
    <w:rsid w:val="007456DC"/>
    <w:rsid w:val="0074594B"/>
    <w:rsid w:val="00745F83"/>
    <w:rsid w:val="007460DB"/>
    <w:rsid w:val="0074642F"/>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7C3"/>
    <w:rsid w:val="00765C42"/>
    <w:rsid w:val="00765F1B"/>
    <w:rsid w:val="00766201"/>
    <w:rsid w:val="0076772E"/>
    <w:rsid w:val="007700AF"/>
    <w:rsid w:val="0077094B"/>
    <w:rsid w:val="00770D5C"/>
    <w:rsid w:val="00771B7B"/>
    <w:rsid w:val="00771F1C"/>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A7FE9"/>
    <w:rsid w:val="007B28CF"/>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7F3"/>
    <w:rsid w:val="007D48A1"/>
    <w:rsid w:val="007D4B5F"/>
    <w:rsid w:val="007D5306"/>
    <w:rsid w:val="007D5D0A"/>
    <w:rsid w:val="007D64BB"/>
    <w:rsid w:val="007D71F1"/>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7C2"/>
    <w:rsid w:val="00835A8F"/>
    <w:rsid w:val="0083618B"/>
    <w:rsid w:val="008367AC"/>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E90"/>
    <w:rsid w:val="00883FCB"/>
    <w:rsid w:val="0088441C"/>
    <w:rsid w:val="0088450B"/>
    <w:rsid w:val="00884728"/>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67A"/>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8F7991"/>
    <w:rsid w:val="00900EA0"/>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D18"/>
    <w:rsid w:val="00927AA9"/>
    <w:rsid w:val="00927B5B"/>
    <w:rsid w:val="00930D5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95E"/>
    <w:rsid w:val="009A51F0"/>
    <w:rsid w:val="009A5369"/>
    <w:rsid w:val="009A791D"/>
    <w:rsid w:val="009A7FA8"/>
    <w:rsid w:val="009B0597"/>
    <w:rsid w:val="009B081B"/>
    <w:rsid w:val="009B0BC4"/>
    <w:rsid w:val="009B0BC8"/>
    <w:rsid w:val="009B10FF"/>
    <w:rsid w:val="009B3504"/>
    <w:rsid w:val="009B4402"/>
    <w:rsid w:val="009B5536"/>
    <w:rsid w:val="009B5A72"/>
    <w:rsid w:val="009B79A1"/>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1E8F"/>
    <w:rsid w:val="00A62004"/>
    <w:rsid w:val="00A6266F"/>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7B"/>
    <w:rsid w:val="00AA57F0"/>
    <w:rsid w:val="00AA5DB4"/>
    <w:rsid w:val="00AB0C84"/>
    <w:rsid w:val="00AB16BF"/>
    <w:rsid w:val="00AB1FBE"/>
    <w:rsid w:val="00AB24C8"/>
    <w:rsid w:val="00AB2B5F"/>
    <w:rsid w:val="00AB39F6"/>
    <w:rsid w:val="00AB4252"/>
    <w:rsid w:val="00AB508B"/>
    <w:rsid w:val="00AB6734"/>
    <w:rsid w:val="00AB6BE1"/>
    <w:rsid w:val="00AB79E0"/>
    <w:rsid w:val="00AC00CE"/>
    <w:rsid w:val="00AC10D2"/>
    <w:rsid w:val="00AC16E1"/>
    <w:rsid w:val="00AC18F5"/>
    <w:rsid w:val="00AC2599"/>
    <w:rsid w:val="00AC26C3"/>
    <w:rsid w:val="00AC27AB"/>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5253"/>
    <w:rsid w:val="00B36427"/>
    <w:rsid w:val="00B40107"/>
    <w:rsid w:val="00B4093A"/>
    <w:rsid w:val="00B40D05"/>
    <w:rsid w:val="00B40DAA"/>
    <w:rsid w:val="00B419F8"/>
    <w:rsid w:val="00B41FBD"/>
    <w:rsid w:val="00B4246E"/>
    <w:rsid w:val="00B43411"/>
    <w:rsid w:val="00B43B74"/>
    <w:rsid w:val="00B43C8B"/>
    <w:rsid w:val="00B44286"/>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7BF"/>
    <w:rsid w:val="00B60D9B"/>
    <w:rsid w:val="00B6122B"/>
    <w:rsid w:val="00B61251"/>
    <w:rsid w:val="00B614E6"/>
    <w:rsid w:val="00B6214E"/>
    <w:rsid w:val="00B622FD"/>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4123"/>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B13"/>
    <w:rsid w:val="00BA4C1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E07"/>
    <w:rsid w:val="00BC2362"/>
    <w:rsid w:val="00BC2853"/>
    <w:rsid w:val="00BC33D4"/>
    <w:rsid w:val="00BC4431"/>
    <w:rsid w:val="00BC4B7F"/>
    <w:rsid w:val="00BC5473"/>
    <w:rsid w:val="00BC579E"/>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FF"/>
    <w:rsid w:val="00C22360"/>
    <w:rsid w:val="00C227AD"/>
    <w:rsid w:val="00C22825"/>
    <w:rsid w:val="00C23BA1"/>
    <w:rsid w:val="00C23DF7"/>
    <w:rsid w:val="00C2459D"/>
    <w:rsid w:val="00C253D7"/>
    <w:rsid w:val="00C25B4D"/>
    <w:rsid w:val="00C26DEE"/>
    <w:rsid w:val="00C274F6"/>
    <w:rsid w:val="00C27846"/>
    <w:rsid w:val="00C27BFD"/>
    <w:rsid w:val="00C303D0"/>
    <w:rsid w:val="00C30474"/>
    <w:rsid w:val="00C3053E"/>
    <w:rsid w:val="00C31597"/>
    <w:rsid w:val="00C3190C"/>
    <w:rsid w:val="00C34991"/>
    <w:rsid w:val="00C363DF"/>
    <w:rsid w:val="00C373A2"/>
    <w:rsid w:val="00C37F29"/>
    <w:rsid w:val="00C4067A"/>
    <w:rsid w:val="00C41BC5"/>
    <w:rsid w:val="00C42BD3"/>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4EE"/>
    <w:rsid w:val="00C61462"/>
    <w:rsid w:val="00C61760"/>
    <w:rsid w:val="00C61790"/>
    <w:rsid w:val="00C624F8"/>
    <w:rsid w:val="00C626CD"/>
    <w:rsid w:val="00C62955"/>
    <w:rsid w:val="00C64256"/>
    <w:rsid w:val="00C64815"/>
    <w:rsid w:val="00C64A18"/>
    <w:rsid w:val="00C64C12"/>
    <w:rsid w:val="00C64DB4"/>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3F23"/>
    <w:rsid w:val="00C940DC"/>
    <w:rsid w:val="00C94BED"/>
    <w:rsid w:val="00C9511E"/>
    <w:rsid w:val="00C9647E"/>
    <w:rsid w:val="00C9666D"/>
    <w:rsid w:val="00C97143"/>
    <w:rsid w:val="00C97377"/>
    <w:rsid w:val="00C97992"/>
    <w:rsid w:val="00C97B34"/>
    <w:rsid w:val="00CA1241"/>
    <w:rsid w:val="00CA18F8"/>
    <w:rsid w:val="00CA1941"/>
    <w:rsid w:val="00CA3114"/>
    <w:rsid w:val="00CA3753"/>
    <w:rsid w:val="00CA3D9A"/>
    <w:rsid w:val="00CA4CE9"/>
    <w:rsid w:val="00CA77C7"/>
    <w:rsid w:val="00CB0AD7"/>
    <w:rsid w:val="00CB10E5"/>
    <w:rsid w:val="00CB1363"/>
    <w:rsid w:val="00CB1D32"/>
    <w:rsid w:val="00CB40EE"/>
    <w:rsid w:val="00CB4EF9"/>
    <w:rsid w:val="00CB4F00"/>
    <w:rsid w:val="00CB5CC4"/>
    <w:rsid w:val="00CB5E48"/>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69C"/>
    <w:rsid w:val="00CE56C5"/>
    <w:rsid w:val="00CE5779"/>
    <w:rsid w:val="00CE5991"/>
    <w:rsid w:val="00CE5FE3"/>
    <w:rsid w:val="00CE63B6"/>
    <w:rsid w:val="00CE653A"/>
    <w:rsid w:val="00CE78F3"/>
    <w:rsid w:val="00CF2663"/>
    <w:rsid w:val="00CF35FC"/>
    <w:rsid w:val="00CF3A24"/>
    <w:rsid w:val="00CF3BBF"/>
    <w:rsid w:val="00CF53C8"/>
    <w:rsid w:val="00CF56FB"/>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4D9"/>
    <w:rsid w:val="00D057E1"/>
    <w:rsid w:val="00D05BB8"/>
    <w:rsid w:val="00D05EB9"/>
    <w:rsid w:val="00D06776"/>
    <w:rsid w:val="00D06A85"/>
    <w:rsid w:val="00D06D08"/>
    <w:rsid w:val="00D07A8B"/>
    <w:rsid w:val="00D11707"/>
    <w:rsid w:val="00D13369"/>
    <w:rsid w:val="00D13F17"/>
    <w:rsid w:val="00D14053"/>
    <w:rsid w:val="00D14D46"/>
    <w:rsid w:val="00D15180"/>
    <w:rsid w:val="00D1518A"/>
    <w:rsid w:val="00D1546E"/>
    <w:rsid w:val="00D155F5"/>
    <w:rsid w:val="00D15664"/>
    <w:rsid w:val="00D158AD"/>
    <w:rsid w:val="00D160F1"/>
    <w:rsid w:val="00D16179"/>
    <w:rsid w:val="00D16D76"/>
    <w:rsid w:val="00D17D86"/>
    <w:rsid w:val="00D20AB2"/>
    <w:rsid w:val="00D210FE"/>
    <w:rsid w:val="00D215F3"/>
    <w:rsid w:val="00D21BCE"/>
    <w:rsid w:val="00D2288D"/>
    <w:rsid w:val="00D229C6"/>
    <w:rsid w:val="00D23740"/>
    <w:rsid w:val="00D238B9"/>
    <w:rsid w:val="00D23E3E"/>
    <w:rsid w:val="00D24F48"/>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16EF"/>
    <w:rsid w:val="00E324DA"/>
    <w:rsid w:val="00E32722"/>
    <w:rsid w:val="00E33B33"/>
    <w:rsid w:val="00E34658"/>
    <w:rsid w:val="00E34C1F"/>
    <w:rsid w:val="00E3526B"/>
    <w:rsid w:val="00E35AA3"/>
    <w:rsid w:val="00E37047"/>
    <w:rsid w:val="00E370DE"/>
    <w:rsid w:val="00E37661"/>
    <w:rsid w:val="00E407DD"/>
    <w:rsid w:val="00E41308"/>
    <w:rsid w:val="00E41633"/>
    <w:rsid w:val="00E417E3"/>
    <w:rsid w:val="00E42454"/>
    <w:rsid w:val="00E4346B"/>
    <w:rsid w:val="00E4347A"/>
    <w:rsid w:val="00E435F2"/>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3DD"/>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456C"/>
    <w:rsid w:val="00EF532E"/>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annotation text" w:uiPriority="99"/>
    <w:lsdException w:name="header" w:locked="1" w:qFormat="1"/>
    <w:lsdException w:name="footer" w:locked="1" w:qFormat="1"/>
    <w:lsdException w:name="caption" w:locked="1" w:qFormat="1"/>
    <w:lsdException w:name="footnote reference"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Normal (Web)" w:uiPriority="99"/>
    <w:lsdException w:name="HTML Preformatted"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28"/>
    <w:pPr>
      <w:spacing w:line="288" w:lineRule="auto"/>
      <w:jc w:val="both"/>
    </w:pPr>
    <w:rPr>
      <w:rFonts w:ascii="Times New Roman" w:hAnsi="Times New Roman"/>
      <w:sz w:val="22"/>
      <w:szCs w:val="22"/>
      <w:lang w:val="en-US"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en-US"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en-US"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val="en-GB"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en-US"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val="de-DE"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en-US"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en-US"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val="en-GB"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val="en-GB"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annotation text" w:uiPriority="99"/>
    <w:lsdException w:name="header" w:locked="1" w:qFormat="1"/>
    <w:lsdException w:name="footer" w:locked="1" w:qFormat="1"/>
    <w:lsdException w:name="caption" w:locked="1" w:qFormat="1"/>
    <w:lsdException w:name="footnote reference"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Normal (Web)" w:uiPriority="99"/>
    <w:lsdException w:name="HTML Preformatted"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28"/>
    <w:pPr>
      <w:spacing w:line="288" w:lineRule="auto"/>
      <w:jc w:val="both"/>
    </w:pPr>
    <w:rPr>
      <w:rFonts w:ascii="Times New Roman" w:hAnsi="Times New Roman"/>
      <w:sz w:val="22"/>
      <w:szCs w:val="22"/>
      <w:lang w:val="en-US"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en-US"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en-US"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val="en-GB"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en-US"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val="de-DE"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en-US"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en-US"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val="en-GB"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val="en-GB"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footer" Target="footer1.xml"/><Relationship Id="rId26" Type="http://schemas.openxmlformats.org/officeDocument/2006/relationships/footer" Target="footer4.xml"/><Relationship Id="rId21" Type="http://schemas.openxmlformats.org/officeDocument/2006/relationships/footer" Target="footer3.xml"/><Relationship Id="rId34"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32" Type="http://schemas.microsoft.com/office/2011/relationships/people" Target="people.xml"/><Relationship Id="rId15" Type="http://schemas.openxmlformats.org/officeDocument/2006/relationships/hyperlink" Target="https://dmsearch.eesc.europa.eu/search/opinion" TargetMode="External"/><Relationship Id="rId23" Type="http://schemas.openxmlformats.org/officeDocument/2006/relationships/hyperlink" Target="mailto:Alexander.Alexandrov@eesc.europa.eu" TargetMode="External"/><Relationship Id="rId28" Type="http://schemas.openxmlformats.org/officeDocument/2006/relationships/header" Target="header6.xml"/><Relationship Id="rId36" Type="http://schemas.openxmlformats.org/officeDocument/2006/relationships/customXml" Target="../customXml/item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s://www.eesc.europa.eu/en/our-work/opinions-information-reports/plenary-session-summaries" TargetMode="External"/><Relationship Id="rId22" Type="http://schemas.openxmlformats.org/officeDocument/2006/relationships/hyperlink" Target="mailto:Susanne.Johansson@eesc.europa.eu" TargetMode="External"/><Relationship Id="rId27" Type="http://schemas.openxmlformats.org/officeDocument/2006/relationships/footer" Target="footer5.xml"/><Relationship Id="rId30" Type="http://schemas.openxmlformats.org/officeDocument/2006/relationships/fontTable" Target="fontTable.xml"/><Relationship Id="rId35" Type="http://schemas.openxmlformats.org/officeDocument/2006/relationships/customXml" Target="../customXml/item3.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VV634QRNENMJ-1473583191-4564</_dlc_DocId>
    <_dlc_DocIdUrl xmlns="cda99570-6012-4083-bfeb-7d32ad1ce1a3">
      <Url>http://dm2016/eesc/2020/_layouts/15/DocIdRedir.aspx?ID=VV634QRNENMJ-1473583191-4564</Url>
      <Description>VV634QRNENMJ-1473583191-4564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2020-03-05T12:00:00+00:00</ProductionDate>
    <FicheYear xmlns="cda99570-6012-4083-bfeb-7d32ad1ce1a3">2020</FicheYear>
    <DocumentNumber xmlns="7e251a1d-ec51-4e50-a0f2-54133721ed03">533</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2020-03-18T12:00:00+00:00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2385</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e251a1d-ec51-4e50-a0f2-54133721ed03">551</MeetingNumber>
    <DossierName_0 xmlns="http://schemas.microsoft.com/sharepoint/v3/fields">
      <Terms xmlns="http://schemas.microsoft.com/office/infopath/2007/PartnerControls"/>
    </DossierName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8AAC01E6EC9A04BA0219D5F488D50F5" ma:contentTypeVersion="4" ma:contentTypeDescription="Defines the documents for Document Manager V2" ma:contentTypeScope="" ma:versionID="b44bfd7038e6d5b140005b17db0604a6">
  <xsd:schema xmlns:xsd="http://www.w3.org/2001/XMLSchema" xmlns:xs="http://www.w3.org/2001/XMLSchema" xmlns:p="http://schemas.microsoft.com/office/2006/metadata/properties" xmlns:ns2="cda99570-6012-4083-bfeb-7d32ad1ce1a3" xmlns:ns3="http://schemas.microsoft.com/sharepoint/v3/fields" xmlns:ns4="7e251a1d-ec51-4e50-a0f2-54133721ed03" targetNamespace="http://schemas.microsoft.com/office/2006/metadata/properties" ma:root="true" ma:fieldsID="aa5e50371a334cc8f93fae6f86045840" ns2:_="" ns3:_="" ns4:_="">
    <xsd:import namespace="cda99570-6012-4083-bfeb-7d32ad1ce1a3"/>
    <xsd:import namespace="http://schemas.microsoft.com/sharepoint/v3/fields"/>
    <xsd:import namespace="7e251a1d-ec51-4e50-a0f2-54133721ed03"/>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251a1d-ec51-4e50-a0f2-54133721ed03"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B00902-C9C1-4B55-B89F-9F21AAE8BBD7}"/>
</file>

<file path=customXml/itemProps2.xml><?xml version="1.0" encoding="utf-8"?>
<ds:datastoreItem xmlns:ds="http://schemas.openxmlformats.org/officeDocument/2006/customXml" ds:itemID="{D82DE5D6-F8C7-4770-806C-7293BEBA33AA}"/>
</file>

<file path=customXml/itemProps3.xml><?xml version="1.0" encoding="utf-8"?>
<ds:datastoreItem xmlns:ds="http://schemas.openxmlformats.org/officeDocument/2006/customXml" ds:itemID="{43FF99AF-0593-41C4-A519-1A3EABD71FD7}"/>
</file>

<file path=customXml/itemProps4.xml><?xml version="1.0" encoding="utf-8"?>
<ds:datastoreItem xmlns:ds="http://schemas.openxmlformats.org/officeDocument/2006/customXml" ds:itemID="{1F93EB26-96DE-46F5-B4BA-9AB8E683FC89}"/>
</file>

<file path=docProps/app.xml><?xml version="1.0" encoding="utf-8"?>
<Properties xmlns="http://schemas.openxmlformats.org/officeDocument/2006/extended-properties" xmlns:vt="http://schemas.openxmlformats.org/officeDocument/2006/docPropsVTypes">
  <Template>Styles</Template>
  <TotalTime>3</TotalTime>
  <Pages>2</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opinions adopted at the 550th plenary session, February 2020</dc:title>
  <dc:subject>Consultative work, various</dc:subject>
  <dc:creator>Marcos Jaime Tornin</dc:creator>
  <cp:keywords>EESC-2020-00533-00-01-TCD-TRA-EN</cp:keywords>
  <dc:description>Rapporteur: -  Original language: - EN Date of document: - 05/03/2020 Date of meeting: - 18/03/2020 External documents: -  Administrator responsible: -  DEGIORGIO Reuben</dc:description>
  <cp:lastModifiedBy>TDriveSVCUserProd</cp:lastModifiedBy>
  <cp:revision>6</cp:revision>
  <cp:lastPrinted>2020-01-07T12:46:00Z</cp:lastPrinted>
  <dcterms:created xsi:type="dcterms:W3CDTF">2020-03-05T14:21:00Z</dcterms:created>
  <dcterms:modified xsi:type="dcterms:W3CDTF">2020-03-05T14:28:00Z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05/03/2020, 13/02/2020, 17/12/2019, 23/07/2019, 19/07/2019, 27/06/2019, 05/06/2019, 03/05/2019, 13/12/2018, 09/11/2018, 12/07/2018, 23/05/2018, 13/03/2018, 26/02/2018, 14/02/2018, 24/01/2018, 16/01/2018, 19/12/2017, 01/12/2017, 16/11/2017, 15/11/2017, 17/</vt:lpwstr>
  </property>
  <property fmtid="{D5CDD505-2E9C-101B-9397-08002B2CF9AE}" pid="4" name="Pref_Time">
    <vt:lpwstr>15:21:46, 16:58:42, 12:32:46, 14:11:10, 11:32:00, 12:00:39, 16:39:54, 14:43:22, 11:27:48, 09:10:15, 14:45:38, 09:50:08, 13:54:15, 10:33:11, 11:57:02, 15:31:00, 09:45:52, 11:53:01, 15:00:14, 15:49:39, 15:47:16, 10:48:52, 11:23:50, 09:51:12, 14:43:57, 12:54</vt:lpwstr>
  </property>
  <property fmtid="{D5CDD505-2E9C-101B-9397-08002B2CF9AE}" pid="5" name="Pref_User">
    <vt:lpwstr>mkop, enied, amett, enied, enied, amett, amett, enied, enied, amett, enied, hnic, mreg, jhvi, mkop, hnic, mkop, amett, jhvi, amett, tvoc, tvoc, tvoc, amett, hnic, mreg, mreg, enied, mreg, jhvi, tvoc, htoo, mreg, tvoc, hnic, mreg, hnic, amett, nmcg, amett,</vt:lpwstr>
  </property>
  <property fmtid="{D5CDD505-2E9C-101B-9397-08002B2CF9AE}" pid="6" name="Pref_FileName">
    <vt:lpwstr>EESC-2020-00533-00-01-TCD-ORI.docx, EESC-2020-00817-00-00-TCD-ORI.docx, EESC-2019-05065-00-00-TCD-ORI.docx, EESC-2019-03134-01-01-TCD-ORI.docx, EESC-2019-03134-01-00-TCD-ORI.docx, EESC-2019-02484-00-00-TCD-ORI.docx, EESC-2019-01616-00-00-TCD-ORI.docx, EES</vt:lpwstr>
  </property>
  <property fmtid="{D5CDD505-2E9C-101B-9397-08002B2CF9AE}" pid="7" name="ContentTypeId">
    <vt:lpwstr>0x010100EA97B91038054C99906057A708A1480A00C8AAC01E6EC9A04BA0219D5F488D50F5</vt:lpwstr>
  </property>
  <property fmtid="{D5CDD505-2E9C-101B-9397-08002B2CF9AE}" pid="8" name="_dlc_DocIdItemGuid">
    <vt:lpwstr>34f9753b-8b94-4a89-b68c-d24aaa648b9e</vt:lpwstr>
  </property>
  <property fmtid="{D5CDD505-2E9C-101B-9397-08002B2CF9AE}" pid="9" name="AvailableTranslations">
    <vt:lpwstr>47;#ET|ff6c3f4c-b02c-4c3c-ab07-2c37995a7a0a;#41;#NL|55c6556c-b4f4-441d-9acf-c498d4f838bd;#39;#HU|6b229040-c589-4408-b4c1-4285663d20a8;#9;#PL|1e03da61-4678-4e07-b136-b5024ca9197b;#13;#IT|0774613c-01ed-4e5d-a25d-11d2388de825;#44;#BG|1a1b3951-7821-4e6a-85f5-5673fc08bd2c;#46;#SK|46d9fce0-ef79-4f71-b89b-cd6aa82426b8;#24;#LV|46f7e311-5d9f-4663-b433-18aeccb7ace7;#40;#SV|c2ed69e7-a339-43d7-8f22-d93680a92aa0;#34;#SL|98a412ae-eb01-49e9-ae3d-585a81724cfc;#48;#RO|feb747a2-64cd-4299-af12-4833ddc30497;#30;#LT|a7ff5ce7-6123-4f68-865a-a57c31810414;#10;#DE|f6b31e5a-26fa-4935-b661-318e46daf27e;#29;#PT|50ccc04a-eadd-42ae-a0cb-acaf45f812ba;#38;#EL|6d4f4d51-af9b-4650-94b4-4276bee85c91;#43;#HR|2f555653-ed1a-4fe6-8362-9082d95989e5;#32;#DA|5d49c027-8956-412b-aa16-e85a0f96ad0e;#16;#ES|e7a6b05b-ae16-40c8-add9-68b64b03aeba;#45;#FI|87606a43-d45f-42d6-b8c9-e1a3457db5b7;#4;#EN|f2175f21-25d7-44a3-96da-d6a61b075e1b;#11;#FR|d2afafd3-4c81-4f60-8f52-ee33f2f54ff3;#31;#CS|72f9705b-0217-4fd3-bea2-cbc7ed80e26e</vt:lpwstr>
  </property>
  <property fmtid="{D5CDD505-2E9C-101B-9397-08002B2CF9AE}" pid="10" name="DocumentType_0">
    <vt:lpwstr>TCD|cd9d6eb6-3f4f-424a-b2d1-57c9d450eaaf</vt:lpwstr>
  </property>
  <property fmtid="{D5CDD505-2E9C-101B-9397-08002B2CF9AE}" pid="11" name="MeetingNumber">
    <vt:i4>551</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533</vt:i4>
  </property>
  <property fmtid="{D5CDD505-2E9C-101B-9397-08002B2CF9AE}" pid="15" name="FicheYear">
    <vt:i4>2020</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2020-03-18T12:00:00Z</vt:filetime>
  </property>
  <property fmtid="{D5CDD505-2E9C-101B-9397-08002B2CF9AE}" pid="30" name="AvailableTranslations_0">
    <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8;#TCD|cd9d6eb6-3f4f-424a-b2d1-57c9d450eaaf;#6;#Final|ea5e6674-7b27-4bac-b091-73adbb394efe;#5;#Unrestricted|826e22d7-d029-4ec0-a450-0c28ff673572;#4;#EN|f2175f21-25d7-44a3-96da-d6a61b075e1b;#2;#TRA|150d2a88-1431-44e6-a8ca-0bb753ab8672;#1;#EESC|422833ec-8d7e-4e65-8e4e-8bed07ffb729;#51;#SPL-CES|32d8cb1f-c9ec-4365-95c7-8385a18618ac</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2385</vt:i4>
  </property>
  <property fmtid="{D5CDD505-2E9C-101B-9397-08002B2CF9AE}" pid="38" name="DocumentLanguage">
    <vt:lpwstr>4;#EN|f2175f21-25d7-44a3-96da-d6a61b075e1b</vt:lpwstr>
  </property>
  <property fmtid="{D5CDD505-2E9C-101B-9397-08002B2CF9AE}" pid="39" name="_docset_NoMedatataSyncRequired">
    <vt:lpwstr>False</vt:lpwstr>
  </property>
</Properties>
</file>