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22FE" w14:textId="0E1A0DCB" w:rsidR="00D87584" w:rsidRPr="00B27B11" w:rsidRDefault="00EF43EB" w:rsidP="00490544">
      <w:pPr>
        <w:overflowPunct/>
        <w:adjustRightInd/>
        <w:jc w:val="center"/>
        <w:textAlignment w:val="auto"/>
        <w:rPr>
          <w:szCs w:val="22"/>
        </w:rPr>
      </w:pPr>
      <w:bookmarkStart w:id="0" w:name="_GoBack"/>
      <w:bookmarkEnd w:id="0"/>
      <w:r w:rsidRPr="00B27B11">
        <w:rPr>
          <w:lang w:eastAsia="en-GB" w:bidi="ar-SA"/>
        </w:rPr>
        <w:drawing>
          <wp:inline distT="0" distB="0" distL="0" distR="0" wp14:anchorId="0CA6333F" wp14:editId="45689AD2">
            <wp:extent cx="1792605" cy="1241425"/>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p>
    <w:p w14:paraId="6116133C" w14:textId="302402A4" w:rsidR="00646AC2" w:rsidRPr="00B27B11" w:rsidRDefault="00BF56EE" w:rsidP="00E861AE">
      <w:pPr>
        <w:overflowPunct/>
        <w:adjustRightInd/>
        <w:jc w:val="left"/>
        <w:textAlignment w:val="auto"/>
        <w:rPr>
          <w:szCs w:val="22"/>
        </w:rPr>
      </w:pPr>
      <w:r w:rsidRPr="00B27B11">
        <w:rPr>
          <w:sz w:val="20"/>
          <w:szCs w:val="22"/>
          <w:lang w:eastAsia="en-GB" w:bidi="ar-SA"/>
        </w:rPr>
        <mc:AlternateContent>
          <mc:Choice Requires="wps">
            <w:drawing>
              <wp:anchor distT="0" distB="0" distL="114300" distR="114300" simplePos="0" relativeHeight="251659264" behindDoc="1" locked="0" layoutInCell="0" allowOverlap="1" wp14:anchorId="0269FC3C" wp14:editId="013CF434">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C5B9A" w14:textId="77777777" w:rsidR="00BF56EE" w:rsidRPr="00B27B11" w:rsidRDefault="00BF56EE">
                            <w:pPr>
                              <w:jc w:val="center"/>
                              <w:rPr>
                                <w:rFonts w:ascii="Arial" w:hAnsi="Arial" w:cs="Arial"/>
                                <w:b/>
                                <w:bCs/>
                                <w:sz w:val="48"/>
                              </w:rPr>
                            </w:pPr>
                            <w:r w:rsidRPr="00B27B11">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14:paraId="62DC5B9A" w14:textId="77777777" w:rsidR="00BF56EE" w:rsidRPr="00B27B11" w:rsidRDefault="00BF56EE">
                      <w:pPr>
                        <w:jc w:val="center"/>
                        <w:rPr>
                          <w:rFonts w:ascii="Arial" w:hAnsi="Arial" w:cs="Arial"/>
                          <w:b/>
                          <w:bCs/>
                          <w:sz w:val="48"/>
                        </w:rPr>
                      </w:pPr>
                      <w:r w:rsidRPr="00B27B11">
                        <w:rPr>
                          <w:rFonts w:ascii="Arial" w:hAnsi="Arial"/>
                          <w:b/>
                          <w:bCs/>
                          <w:sz w:val="48"/>
                        </w:rPr>
                        <w:t>FR</w:t>
                      </w:r>
                    </w:p>
                  </w:txbxContent>
                </v:textbox>
                <w10:wrap anchorx="page" anchory="page"/>
              </v:shape>
            </w:pict>
          </mc:Fallback>
        </mc:AlternateContent>
      </w:r>
    </w:p>
    <w:p w14:paraId="6116133D" w14:textId="51AD26C5" w:rsidR="00646AC2" w:rsidRPr="00B27B11" w:rsidRDefault="00B65078" w:rsidP="00490544">
      <w:pPr>
        <w:overflowPunct/>
        <w:adjustRightInd/>
        <w:jc w:val="right"/>
        <w:textAlignment w:val="auto"/>
      </w:pPr>
      <w:r w:rsidRPr="00B27B11">
        <w:rPr>
          <w:b/>
        </w:rPr>
        <w:t>NAT/782</w:t>
      </w:r>
    </w:p>
    <w:p w14:paraId="6116133E" w14:textId="2794BE79" w:rsidR="00563C84" w:rsidRPr="00B27B11" w:rsidRDefault="00B65078" w:rsidP="00490544">
      <w:pPr>
        <w:overflowPunct/>
        <w:adjustRightInd/>
        <w:jc w:val="right"/>
        <w:textAlignment w:val="auto"/>
        <w:rPr>
          <w:b/>
        </w:rPr>
      </w:pPr>
      <w:r w:rsidRPr="00B27B11">
        <w:rPr>
          <w:b/>
        </w:rPr>
        <w:t>Plan pluriannuel de gestion du thon rouge</w:t>
      </w:r>
    </w:p>
    <w:p w14:paraId="6116133F" w14:textId="77777777" w:rsidR="009B30AA" w:rsidRPr="00B27B11" w:rsidRDefault="009B30AA" w:rsidP="00490544">
      <w:pPr>
        <w:overflowPunct/>
        <w:adjustRightInd/>
        <w:textAlignment w:val="auto"/>
      </w:pPr>
    </w:p>
    <w:p w14:paraId="61161340" w14:textId="77777777" w:rsidR="009B30AA" w:rsidRPr="00B27B11" w:rsidRDefault="009B30AA" w:rsidP="00490544">
      <w:pPr>
        <w:overflowPunct/>
        <w:adjustRightInd/>
        <w:textAlignment w:val="auto"/>
      </w:pPr>
    </w:p>
    <w:p w14:paraId="61161341" w14:textId="690C1C21" w:rsidR="00646AC2" w:rsidRPr="00B27B11" w:rsidRDefault="00960AD0" w:rsidP="00490544">
      <w:pPr>
        <w:overflowPunct/>
        <w:adjustRightInd/>
        <w:jc w:val="center"/>
        <w:textAlignment w:val="auto"/>
      </w:pPr>
      <w:r w:rsidRPr="00B27B11">
        <w:rPr>
          <w:b/>
          <w:sz w:val="28"/>
        </w:rPr>
        <w:t>AVIS</w:t>
      </w:r>
      <w:r w:rsidRPr="00B27B11">
        <w:br/>
      </w:r>
      <w:r w:rsidRPr="00B27B11">
        <w:br/>
      </w:r>
      <w:r w:rsidR="003A44EE" w:rsidRPr="00B27B11">
        <w:t>Comité économique et social européen</w:t>
      </w:r>
      <w:r w:rsidRPr="00B27B11">
        <w:br/>
      </w:r>
      <w:r w:rsidRPr="00B27B11">
        <w:br/>
      </w:r>
      <w:r w:rsidRPr="00B27B11">
        <w:rPr>
          <w:b/>
        </w:rPr>
        <w:t>Proposition de règlement du Parlement européen et du Conseil établissant un plan pluriannuel de gestion du thon rouge dans l’Atlantique Est et la mer Méditerranée, modifiant les règlements (CE) n° 1936/2001, (UE) 2017/2107 et (UE) 2019/833 et abrogeant le règlement (UE) 2016/1627</w:t>
      </w:r>
      <w:r w:rsidRPr="00B27B11">
        <w:br/>
        <w:t>[COM(2019) 619 – 2019/0272 (COD)]</w:t>
      </w:r>
    </w:p>
    <w:p w14:paraId="61161342" w14:textId="77777777" w:rsidR="009B30AA" w:rsidRPr="00B27B11" w:rsidRDefault="009B30AA" w:rsidP="00490544">
      <w:pPr>
        <w:overflowPunct/>
        <w:adjustRightInd/>
        <w:jc w:val="center"/>
        <w:textAlignment w:val="auto"/>
      </w:pPr>
    </w:p>
    <w:p w14:paraId="61161356" w14:textId="26CEDE1C" w:rsidR="00704FBB" w:rsidRPr="00B27B11" w:rsidRDefault="007F5E0D" w:rsidP="00490544">
      <w:pPr>
        <w:overflowPunct/>
        <w:adjustRightInd/>
        <w:jc w:val="center"/>
        <w:textAlignment w:val="auto"/>
        <w:rPr>
          <w:b/>
        </w:rPr>
      </w:pPr>
      <w:r w:rsidRPr="00B27B11">
        <w:t xml:space="preserve">Rapporteur: </w:t>
      </w:r>
      <w:r w:rsidR="000F58E8" w:rsidRPr="00B27B11">
        <w:rPr>
          <w:b/>
        </w:rPr>
        <w:t>Gabriel SARRÓ </w:t>
      </w:r>
      <w:r w:rsidRPr="00B27B11">
        <w:rPr>
          <w:b/>
        </w:rPr>
        <w:t>IPARRAGUIRRE</w:t>
      </w:r>
    </w:p>
    <w:p w14:paraId="61161358" w14:textId="77777777" w:rsidR="003529B9" w:rsidRPr="00B27B11" w:rsidRDefault="003529B9" w:rsidP="00490544"/>
    <w:p w14:paraId="61161359" w14:textId="77777777" w:rsidR="00A75C9C" w:rsidRPr="00B27B11" w:rsidRDefault="00A75C9C" w:rsidP="00490544">
      <w:pPr>
        <w:overflowPunct/>
        <w:autoSpaceDE/>
        <w:autoSpaceDN/>
        <w:adjustRightInd/>
        <w:jc w:val="left"/>
        <w:textAlignment w:val="auto"/>
        <w:sectPr w:rsidR="00A75C9C" w:rsidRPr="00B27B11" w:rsidSect="004B343D">
          <w:footerReference w:type="default" r:id="rId13"/>
          <w:pgSz w:w="11907" w:h="16839" w:code="9"/>
          <w:pgMar w:top="1417" w:right="1417" w:bottom="1417" w:left="1417" w:header="709" w:footer="709" w:gutter="0"/>
          <w:pgNumType w:start="1"/>
          <w:cols w:space="720"/>
          <w:docGrid w:linePitch="299"/>
        </w:sectPr>
      </w:pPr>
    </w:p>
    <w:p w14:paraId="61161376" w14:textId="77777777" w:rsidR="0012220C" w:rsidRPr="00B27B11" w:rsidRDefault="0012220C" w:rsidP="00490544">
      <w:pPr>
        <w:overflowPunct/>
        <w:adjustRightInd/>
        <w:textAlignment w:val="auto"/>
      </w:pPr>
    </w:p>
    <w:tbl>
      <w:tblPr>
        <w:tblW w:w="0" w:type="auto"/>
        <w:tblLook w:val="04A0" w:firstRow="1" w:lastRow="0" w:firstColumn="1" w:lastColumn="0" w:noHBand="0" w:noVBand="1"/>
      </w:tblPr>
      <w:tblGrid>
        <w:gridCol w:w="3044"/>
        <w:gridCol w:w="6029"/>
      </w:tblGrid>
      <w:tr w:rsidR="0011656A" w:rsidRPr="00B27B11" w14:paraId="61161379" w14:textId="77777777" w:rsidTr="00FA52C1">
        <w:tc>
          <w:tcPr>
            <w:tcW w:w="3044" w:type="dxa"/>
          </w:tcPr>
          <w:p w14:paraId="61161377" w14:textId="745A0970" w:rsidR="0011656A" w:rsidRPr="00B27B11" w:rsidRDefault="0063208A" w:rsidP="00490544">
            <w:pPr>
              <w:overflowPunct/>
              <w:adjustRightInd/>
              <w:jc w:val="left"/>
              <w:textAlignment w:val="auto"/>
              <w:rPr>
                <w:szCs w:val="22"/>
              </w:rPr>
            </w:pPr>
            <w:r w:rsidRPr="00B27B11">
              <w:t>Consultation</w:t>
            </w:r>
          </w:p>
        </w:tc>
        <w:tc>
          <w:tcPr>
            <w:tcW w:w="6029" w:type="dxa"/>
          </w:tcPr>
          <w:p w14:paraId="36EFDAC6" w14:textId="79878C47" w:rsidR="0011656A" w:rsidRPr="00B27B11" w:rsidRDefault="00AC7C05" w:rsidP="00490544">
            <w:pPr>
              <w:overflowPunct/>
              <w:adjustRightInd/>
              <w:jc w:val="left"/>
              <w:textAlignment w:val="auto"/>
            </w:pPr>
            <w:r w:rsidRPr="00B27B11">
              <w:t>Conseil, 06/12/2019</w:t>
            </w:r>
          </w:p>
          <w:p w14:paraId="61161378" w14:textId="601D82D8" w:rsidR="00545E31" w:rsidRPr="00B27B11" w:rsidRDefault="00AC7C05" w:rsidP="00490544">
            <w:pPr>
              <w:overflowPunct/>
              <w:adjustRightInd/>
              <w:jc w:val="left"/>
              <w:textAlignment w:val="auto"/>
            </w:pPr>
            <w:r w:rsidRPr="00B27B11">
              <w:t>Parlement européen, 16/12/2019</w:t>
            </w:r>
          </w:p>
        </w:tc>
      </w:tr>
      <w:tr w:rsidR="0016503F" w:rsidRPr="00B27B11" w14:paraId="6116137C" w14:textId="77777777" w:rsidTr="00FA52C1">
        <w:trPr>
          <w:trHeight w:val="251"/>
        </w:trPr>
        <w:tc>
          <w:tcPr>
            <w:tcW w:w="3044" w:type="dxa"/>
          </w:tcPr>
          <w:p w14:paraId="6116137A" w14:textId="77777777" w:rsidR="0016503F" w:rsidRPr="00B27B11" w:rsidRDefault="0016503F" w:rsidP="00490544">
            <w:pPr>
              <w:overflowPunct/>
              <w:adjustRightInd/>
              <w:jc w:val="left"/>
              <w:textAlignment w:val="auto"/>
              <w:rPr>
                <w:szCs w:val="22"/>
              </w:rPr>
            </w:pPr>
            <w:r w:rsidRPr="00B27B11">
              <w:t>Base réglementaire</w:t>
            </w:r>
          </w:p>
        </w:tc>
        <w:tc>
          <w:tcPr>
            <w:tcW w:w="6029" w:type="dxa"/>
          </w:tcPr>
          <w:p w14:paraId="6116137B" w14:textId="36669653" w:rsidR="0016503F" w:rsidRPr="00B27B11" w:rsidRDefault="0063208A" w:rsidP="00490544">
            <w:pPr>
              <w:overflowPunct/>
              <w:adjustRightInd/>
              <w:jc w:val="left"/>
              <w:textAlignment w:val="auto"/>
              <w:rPr>
                <w:szCs w:val="22"/>
              </w:rPr>
            </w:pPr>
            <w:r w:rsidRPr="00B27B11">
              <w:t>Articles 43, paragraphe 2, et 304 du traité sur le fonctionnement de l’Union européenne</w:t>
            </w:r>
          </w:p>
        </w:tc>
      </w:tr>
      <w:tr w:rsidR="0016503F" w:rsidRPr="00B27B11" w14:paraId="6116137F" w14:textId="77777777" w:rsidTr="00FA52C1">
        <w:trPr>
          <w:trHeight w:val="250"/>
        </w:trPr>
        <w:tc>
          <w:tcPr>
            <w:tcW w:w="3044" w:type="dxa"/>
          </w:tcPr>
          <w:p w14:paraId="6116137D" w14:textId="77777777" w:rsidR="0016503F" w:rsidRPr="00B27B11" w:rsidRDefault="0016503F" w:rsidP="00490544">
            <w:pPr>
              <w:overflowPunct/>
              <w:adjustRightInd/>
              <w:jc w:val="left"/>
              <w:textAlignment w:val="auto"/>
              <w:rPr>
                <w:szCs w:val="22"/>
              </w:rPr>
            </w:pPr>
          </w:p>
        </w:tc>
        <w:tc>
          <w:tcPr>
            <w:tcW w:w="6029" w:type="dxa"/>
          </w:tcPr>
          <w:p w14:paraId="6116137E" w14:textId="77777777" w:rsidR="0016503F" w:rsidRPr="00B27B11" w:rsidRDefault="0016503F" w:rsidP="00490544">
            <w:pPr>
              <w:overflowPunct/>
              <w:adjustRightInd/>
              <w:jc w:val="left"/>
              <w:textAlignment w:val="auto"/>
              <w:rPr>
                <w:szCs w:val="22"/>
              </w:rPr>
            </w:pPr>
          </w:p>
        </w:tc>
      </w:tr>
      <w:tr w:rsidR="00DF5B64" w:rsidRPr="00B27B11" w14:paraId="61161397" w14:textId="77777777" w:rsidTr="00FA52C1">
        <w:tc>
          <w:tcPr>
            <w:tcW w:w="3044" w:type="dxa"/>
          </w:tcPr>
          <w:p w14:paraId="61161395" w14:textId="77777777" w:rsidR="00DF5B64" w:rsidRPr="00B27B11" w:rsidRDefault="00AD4B4F" w:rsidP="00490544">
            <w:pPr>
              <w:overflowPunct/>
              <w:adjustRightInd/>
              <w:jc w:val="left"/>
              <w:textAlignment w:val="auto"/>
              <w:rPr>
                <w:szCs w:val="22"/>
              </w:rPr>
            </w:pPr>
            <w:r w:rsidRPr="00B27B11">
              <w:t>Compétence</w:t>
            </w:r>
          </w:p>
        </w:tc>
        <w:tc>
          <w:tcPr>
            <w:tcW w:w="6029" w:type="dxa"/>
          </w:tcPr>
          <w:p w14:paraId="61161396" w14:textId="66C16F59" w:rsidR="00DF5B64" w:rsidRPr="00B27B11" w:rsidRDefault="00D06250" w:rsidP="00490544">
            <w:pPr>
              <w:overflowPunct/>
              <w:adjustRightInd/>
              <w:jc w:val="left"/>
              <w:textAlignment w:val="auto"/>
              <w:rPr>
                <w:szCs w:val="22"/>
              </w:rPr>
            </w:pPr>
            <w:r w:rsidRPr="00B27B11">
              <w:t>Section</w:t>
            </w:r>
            <w:r w:rsidR="00FA52C1" w:rsidRPr="00B27B11">
              <w:t xml:space="preserve"> «Agriculture, développement rural et environnement»</w:t>
            </w:r>
          </w:p>
        </w:tc>
      </w:tr>
      <w:tr w:rsidR="00A156E6" w:rsidRPr="00B27B11" w14:paraId="6116139A" w14:textId="77777777" w:rsidTr="00FA52C1">
        <w:tc>
          <w:tcPr>
            <w:tcW w:w="3044" w:type="dxa"/>
          </w:tcPr>
          <w:p w14:paraId="61161398" w14:textId="77777777" w:rsidR="00A156E6" w:rsidRPr="00B27B11" w:rsidRDefault="00A156E6" w:rsidP="00490544">
            <w:pPr>
              <w:overflowPunct/>
              <w:adjustRightInd/>
              <w:jc w:val="left"/>
              <w:textAlignment w:val="auto"/>
              <w:rPr>
                <w:szCs w:val="22"/>
              </w:rPr>
            </w:pPr>
            <w:r w:rsidRPr="00B27B11">
              <w:t>Adoption en section</w:t>
            </w:r>
          </w:p>
        </w:tc>
        <w:tc>
          <w:tcPr>
            <w:tcW w:w="6029" w:type="dxa"/>
          </w:tcPr>
          <w:p w14:paraId="61161399" w14:textId="1270DF48" w:rsidR="00A156E6" w:rsidRPr="00B27B11" w:rsidRDefault="003265BB" w:rsidP="00490544">
            <w:pPr>
              <w:overflowPunct/>
              <w:adjustRightInd/>
              <w:jc w:val="left"/>
              <w:textAlignment w:val="auto"/>
              <w:rPr>
                <w:szCs w:val="22"/>
              </w:rPr>
            </w:pPr>
            <w:r w:rsidRPr="00B27B11">
              <w:t>06/03/2020</w:t>
            </w:r>
          </w:p>
        </w:tc>
      </w:tr>
      <w:tr w:rsidR="00A156E6" w:rsidRPr="00B27B11" w14:paraId="6116139D" w14:textId="77777777" w:rsidTr="00FA52C1">
        <w:tc>
          <w:tcPr>
            <w:tcW w:w="3044" w:type="dxa"/>
          </w:tcPr>
          <w:p w14:paraId="6116139B" w14:textId="77777777" w:rsidR="00A156E6" w:rsidRPr="00B27B11" w:rsidRDefault="00A156E6" w:rsidP="00490544">
            <w:pPr>
              <w:overflowPunct/>
              <w:adjustRightInd/>
              <w:jc w:val="left"/>
              <w:textAlignment w:val="auto"/>
              <w:rPr>
                <w:szCs w:val="22"/>
              </w:rPr>
            </w:pPr>
            <w:r w:rsidRPr="00B27B11">
              <w:t>Adoption en session plénière</w:t>
            </w:r>
          </w:p>
        </w:tc>
        <w:tc>
          <w:tcPr>
            <w:tcW w:w="6029" w:type="dxa"/>
          </w:tcPr>
          <w:p w14:paraId="6116139C" w14:textId="6557C1A6" w:rsidR="00A156E6" w:rsidRPr="00B27B11" w:rsidRDefault="003A44EE" w:rsidP="00490544">
            <w:pPr>
              <w:overflowPunct/>
              <w:adjustRightInd/>
              <w:jc w:val="left"/>
              <w:textAlignment w:val="auto"/>
              <w:rPr>
                <w:szCs w:val="22"/>
              </w:rPr>
            </w:pPr>
            <w:r w:rsidRPr="00B27B11">
              <w:t>07/05/2020</w:t>
            </w:r>
          </w:p>
        </w:tc>
      </w:tr>
      <w:tr w:rsidR="00BA1290" w:rsidRPr="00B27B11" w14:paraId="611613A0" w14:textId="77777777" w:rsidTr="00FA52C1">
        <w:tc>
          <w:tcPr>
            <w:tcW w:w="3044" w:type="dxa"/>
          </w:tcPr>
          <w:p w14:paraId="6116139E" w14:textId="77777777" w:rsidR="00BA1290" w:rsidRPr="00B27B11" w:rsidRDefault="00BA1290" w:rsidP="00490544">
            <w:pPr>
              <w:overflowPunct/>
              <w:adjustRightInd/>
              <w:jc w:val="left"/>
              <w:textAlignment w:val="auto"/>
              <w:rPr>
                <w:szCs w:val="22"/>
              </w:rPr>
            </w:pPr>
            <w:r w:rsidRPr="00B27B11">
              <w:t>Session plénière n°</w:t>
            </w:r>
          </w:p>
        </w:tc>
        <w:tc>
          <w:tcPr>
            <w:tcW w:w="6029" w:type="dxa"/>
          </w:tcPr>
          <w:p w14:paraId="6116139F" w14:textId="72ACF0C4" w:rsidR="00BA1290" w:rsidRPr="00B27B11" w:rsidRDefault="003A44EE" w:rsidP="00490544">
            <w:pPr>
              <w:overflowPunct/>
              <w:adjustRightInd/>
              <w:jc w:val="left"/>
              <w:textAlignment w:val="auto"/>
              <w:rPr>
                <w:szCs w:val="22"/>
              </w:rPr>
            </w:pPr>
            <w:r w:rsidRPr="00B27B11">
              <w:t>Réunion à distance</w:t>
            </w:r>
          </w:p>
        </w:tc>
      </w:tr>
      <w:tr w:rsidR="00A156E6" w:rsidRPr="00B27B11" w14:paraId="611613A3" w14:textId="77777777" w:rsidTr="00FA52C1">
        <w:tc>
          <w:tcPr>
            <w:tcW w:w="3044" w:type="dxa"/>
          </w:tcPr>
          <w:p w14:paraId="611613A1" w14:textId="0F328030" w:rsidR="00D423D4" w:rsidRPr="00B27B11" w:rsidRDefault="0043024C" w:rsidP="00490544">
            <w:pPr>
              <w:overflowPunct/>
              <w:adjustRightInd/>
              <w:jc w:val="left"/>
            </w:pPr>
            <w:r w:rsidRPr="00B27B11">
              <w:t>Résultat du vote</w:t>
            </w:r>
            <w:r w:rsidRPr="00B27B11">
              <w:br/>
              <w:t>(pour/contre/abstentions)</w:t>
            </w:r>
          </w:p>
        </w:tc>
        <w:tc>
          <w:tcPr>
            <w:tcW w:w="6029" w:type="dxa"/>
            <w:vAlign w:val="bottom"/>
          </w:tcPr>
          <w:p w14:paraId="611613A2" w14:textId="13147CBF" w:rsidR="00A156E6" w:rsidRPr="00B27B11" w:rsidRDefault="003A44EE" w:rsidP="000344A4">
            <w:pPr>
              <w:overflowPunct/>
              <w:adjustRightInd/>
              <w:jc w:val="left"/>
              <w:textAlignment w:val="auto"/>
              <w:rPr>
                <w:szCs w:val="22"/>
              </w:rPr>
            </w:pPr>
            <w:r w:rsidRPr="00B27B11">
              <w:t>251</w:t>
            </w:r>
            <w:r w:rsidR="00D06250" w:rsidRPr="00B27B11">
              <w:t>/</w:t>
            </w:r>
            <w:r w:rsidRPr="00B27B11">
              <w:t>0</w:t>
            </w:r>
            <w:r w:rsidR="00A156E6" w:rsidRPr="00B27B11">
              <w:t>/</w:t>
            </w:r>
            <w:r w:rsidRPr="00B27B11">
              <w:t>10</w:t>
            </w:r>
          </w:p>
        </w:tc>
      </w:tr>
    </w:tbl>
    <w:p w14:paraId="611613A4" w14:textId="77777777" w:rsidR="0090053A" w:rsidRPr="00B27B11" w:rsidRDefault="0090053A" w:rsidP="00490544">
      <w:pPr>
        <w:overflowPunct/>
        <w:adjustRightInd/>
        <w:textAlignment w:val="auto"/>
      </w:pPr>
    </w:p>
    <w:p w14:paraId="611613A5" w14:textId="77777777" w:rsidR="00646AC2" w:rsidRPr="00B27B11" w:rsidRDefault="00646AC2" w:rsidP="00490544">
      <w:pPr>
        <w:overflowPunct/>
        <w:adjustRightInd/>
        <w:textAlignment w:val="auto"/>
      </w:pPr>
      <w:r w:rsidRPr="00B27B11">
        <w:br w:type="page"/>
      </w:r>
    </w:p>
    <w:p w14:paraId="611613A6" w14:textId="77777777" w:rsidR="00CB5077" w:rsidRPr="00B27B11" w:rsidRDefault="00CB5077" w:rsidP="00490544">
      <w:pPr>
        <w:pStyle w:val="Heading1"/>
        <w:ind w:left="567" w:hanging="567"/>
        <w:rPr>
          <w:b/>
        </w:rPr>
      </w:pPr>
      <w:r w:rsidRPr="00B27B11">
        <w:rPr>
          <w:b/>
        </w:rPr>
        <w:lastRenderedPageBreak/>
        <w:t>Conclusions et recommandations</w:t>
      </w:r>
    </w:p>
    <w:p w14:paraId="611613A7" w14:textId="77777777" w:rsidR="00CB5077" w:rsidRPr="00B27B11" w:rsidRDefault="00CB5077" w:rsidP="00490544">
      <w:pPr>
        <w:keepNext/>
        <w:overflowPunct/>
        <w:adjustRightInd/>
        <w:ind w:left="142" w:hanging="142"/>
        <w:jc w:val="left"/>
        <w:textAlignment w:val="auto"/>
      </w:pPr>
    </w:p>
    <w:p w14:paraId="78FE1A38" w14:textId="77757066" w:rsidR="00AC7C05" w:rsidRPr="00B27B11" w:rsidRDefault="00AC7C05" w:rsidP="00490544">
      <w:pPr>
        <w:pStyle w:val="Heading2"/>
      </w:pPr>
      <w:r w:rsidRPr="00B27B11">
        <w:t xml:space="preserve">Le CESE porte un jugement positif sur l’adoption d’un plan </w:t>
      </w:r>
      <w:r w:rsidR="00FD35BB" w:rsidRPr="00B27B11">
        <w:t>pluriannuel de gestion pour les </w:t>
      </w:r>
      <w:r w:rsidRPr="00B27B11">
        <w:t>pêcheries de thon rouge de l’Atlantique Est et de la mer Méditerranée, étant donné que du fait de la situation actuelle de la biomasse de ce stock, qui a atteint des sommets historiques, il devient possible d’abandonner les mesures à caractère urgent qui avaient été arrêtées dans le programme de rétablissement qui avait été établi antérieurement.</w:t>
      </w:r>
    </w:p>
    <w:p w14:paraId="4740D2E0" w14:textId="77777777" w:rsidR="00AC7C05" w:rsidRPr="00B27B11" w:rsidRDefault="00AC7C05" w:rsidP="00490544">
      <w:pPr>
        <w:ind w:left="567" w:hanging="567"/>
      </w:pPr>
    </w:p>
    <w:p w14:paraId="1CE6B105" w14:textId="0DF2D1E7" w:rsidR="00AC7C05" w:rsidRPr="00B27B11" w:rsidRDefault="00AC7C05" w:rsidP="00490544">
      <w:pPr>
        <w:pStyle w:val="Heading2"/>
      </w:pPr>
      <w:r w:rsidRPr="00B27B11">
        <w:t xml:space="preserve">Le Comité estime que l’établissement d’un plan de gestion pluriannuel au sein de l’Union européenne, qui assure la mise en œuvre des mesures </w:t>
      </w:r>
      <w:r w:rsidR="00972111" w:rsidRPr="00B27B11">
        <w:t>adoptées dans la recommandation </w:t>
      </w:r>
      <w:r w:rsidRPr="00B27B11">
        <w:t>18-02, de la Commission internationale pour la conservation des thonidés de l’Atlantique (CICTA), telle qu’approuvée lors de sa 21</w:t>
      </w:r>
      <w:r w:rsidRPr="00B27B11">
        <w:rPr>
          <w:vertAlign w:val="superscript"/>
        </w:rPr>
        <w:t>e</w:t>
      </w:r>
      <w:r w:rsidRPr="00B27B11">
        <w:t> réunion extraordinaire de 2018, constitue le moyen le plus approprié de conserver ce stock</w:t>
      </w:r>
      <w:r w:rsidR="00D06250" w:rsidRPr="00B27B11">
        <w:t xml:space="preserve"> </w:t>
      </w:r>
      <w:r w:rsidRPr="00B27B11">
        <w:t>au-dessus des niveaux de biomasse qui permettent d</w:t>
      </w:r>
      <w:r w:rsidR="00FD35BB" w:rsidRPr="00B27B11">
        <w:t>’</w:t>
      </w:r>
      <w:r w:rsidRPr="00B27B11">
        <w:t>obtenir le rendement maximal durable, tout en tenant compte des spécificités des différents types d’engins et de techniques de pêche qui sont en usage dans cette pêcherie.</w:t>
      </w:r>
    </w:p>
    <w:p w14:paraId="5921D7E5" w14:textId="77777777" w:rsidR="00AC7C05" w:rsidRPr="00B27B11" w:rsidRDefault="00AC7C05" w:rsidP="00490544">
      <w:pPr>
        <w:ind w:left="567" w:hanging="567"/>
      </w:pPr>
    </w:p>
    <w:p w14:paraId="0264462F" w14:textId="60C2A7A0" w:rsidR="00AC7C05" w:rsidRPr="00B27B11" w:rsidRDefault="00AC7C05" w:rsidP="00490544">
      <w:pPr>
        <w:pStyle w:val="Heading2"/>
      </w:pPr>
      <w:r w:rsidRPr="00B27B11">
        <w:t>Le CESE suggère que les législateurs actualisent la proposition de règlement afin de pouvoir y inclure les modifications dont les membr</w:t>
      </w:r>
      <w:r w:rsidR="00FD35BB" w:rsidRPr="00B27B11">
        <w:t>es de la CICTA sont convenus en </w:t>
      </w:r>
      <w:r w:rsidRPr="00B27B11">
        <w:t>2019 dans leu</w:t>
      </w:r>
      <w:r w:rsidR="00972111" w:rsidRPr="00B27B11">
        <w:t>r recommandation </w:t>
      </w:r>
      <w:r w:rsidRPr="00B27B11">
        <w:t>19-04.</w:t>
      </w:r>
    </w:p>
    <w:p w14:paraId="5BE53251" w14:textId="77777777" w:rsidR="00AC7C05" w:rsidRPr="00B27B11" w:rsidRDefault="00AC7C05" w:rsidP="00490544">
      <w:pPr>
        <w:ind w:left="567" w:hanging="567"/>
      </w:pPr>
    </w:p>
    <w:p w14:paraId="611613AC" w14:textId="14859E68" w:rsidR="00CB5077" w:rsidRPr="00B27B11" w:rsidRDefault="00AC7C05" w:rsidP="00490544">
      <w:pPr>
        <w:pStyle w:val="Heading2"/>
      </w:pPr>
      <w:r w:rsidRPr="00B27B11">
        <w:t>Le Comité estime qu’il conviendrait de modifier l’article 29, pa</w:t>
      </w:r>
      <w:r w:rsidR="00FD35BB" w:rsidRPr="00B27B11">
        <w:t>ragraphe 3, de la proposition à </w:t>
      </w:r>
      <w:r w:rsidRPr="00B27B11">
        <w:t>l’examen afin d</w:t>
      </w:r>
      <w:r w:rsidR="00972111" w:rsidRPr="00B27B11">
        <w:t>e l’adapter à la recommandation </w:t>
      </w:r>
      <w:r w:rsidRPr="00B27B11">
        <w:t>19-04, comme il est expliqué dans le paragraphe 4 du présent avis.</w:t>
      </w:r>
    </w:p>
    <w:p w14:paraId="611613B7" w14:textId="7F11C83B" w:rsidR="001B2D02" w:rsidRPr="00B27B11" w:rsidRDefault="001B2D02" w:rsidP="00490544"/>
    <w:p w14:paraId="7DAA36FD" w14:textId="77777777" w:rsidR="00AC7C05" w:rsidRPr="00B27B11" w:rsidRDefault="00AC7C05" w:rsidP="00490544">
      <w:pPr>
        <w:pStyle w:val="Heading1"/>
        <w:ind w:left="567" w:hanging="567"/>
        <w:rPr>
          <w:b/>
        </w:rPr>
      </w:pPr>
      <w:r w:rsidRPr="00B27B11">
        <w:rPr>
          <w:b/>
        </w:rPr>
        <w:t>Synthèse de la proposition de la Commission</w:t>
      </w:r>
    </w:p>
    <w:p w14:paraId="060C89C4" w14:textId="77777777" w:rsidR="00AC7C05" w:rsidRPr="00B27B11" w:rsidRDefault="00AC7C05" w:rsidP="00490544">
      <w:pPr>
        <w:keepNext/>
        <w:keepLines/>
      </w:pPr>
    </w:p>
    <w:p w14:paraId="2A0DCF70" w14:textId="20BCD3BE" w:rsidR="00AC7C05" w:rsidRPr="00B27B11" w:rsidRDefault="00AC7C05" w:rsidP="00E861AE">
      <w:pPr>
        <w:pStyle w:val="Heading2"/>
      </w:pPr>
      <w:r w:rsidRPr="00B27B11">
        <w:t>La proposition de règlement qui fait l’objet du présent avis a pour objectif d’appliquer dans l’Union européenne le plan pluriannuel pour la gestion du thon rouge dans l’Atlantique Est et la mer Méditerranée qui a été adopté par la CICTA, afin d’as</w:t>
      </w:r>
      <w:r w:rsidR="00FD35BB" w:rsidRPr="00B27B11">
        <w:t>surer le maintien de niveaux de </w:t>
      </w:r>
      <w:r w:rsidRPr="00B27B11">
        <w:t>biomasse supérieurs à ceux qui permettent d</w:t>
      </w:r>
      <w:r w:rsidR="00FD35BB" w:rsidRPr="00B27B11">
        <w:t>’</w:t>
      </w:r>
      <w:r w:rsidRPr="00B27B11">
        <w:t>obtenir le rendement maximal durable.</w:t>
      </w:r>
    </w:p>
    <w:p w14:paraId="6EDBCE1B" w14:textId="77777777" w:rsidR="00AC7C05" w:rsidRPr="00B27B11" w:rsidRDefault="00AC7C05" w:rsidP="00E861AE">
      <w:pPr>
        <w:pStyle w:val="Heading2"/>
        <w:numPr>
          <w:ilvl w:val="0"/>
          <w:numId w:val="0"/>
        </w:numPr>
        <w:ind w:left="720"/>
      </w:pPr>
    </w:p>
    <w:p w14:paraId="017EDA86" w14:textId="77777777" w:rsidR="00AC7C05" w:rsidRPr="00B27B11" w:rsidRDefault="00AC7C05" w:rsidP="00E861AE">
      <w:pPr>
        <w:pStyle w:val="Heading2"/>
      </w:pPr>
      <w:r w:rsidRPr="00B27B11">
        <w:t xml:space="preserve">Les États membres disposant de possibilités de pêcher le thon rouge doivent élaborer des plans annuels de pêche qui reprennent les quotas alloués à chaque groupe d’engins, les critères adoptés pour procéder à cette répartition, les moyens visant à garantir le respect de chacun de ces quotas, les saisons de pêche, les ports désignés, les normes relatives aux prises accessoires et les navires autorisés. </w:t>
      </w:r>
    </w:p>
    <w:p w14:paraId="7A91EBC4" w14:textId="77777777" w:rsidR="00AC7C05" w:rsidRPr="00B27B11" w:rsidRDefault="00AC7C05" w:rsidP="00490544">
      <w:pPr>
        <w:ind w:left="720" w:hanging="720"/>
      </w:pPr>
    </w:p>
    <w:p w14:paraId="4B0EBB09" w14:textId="77777777" w:rsidR="00AC7C05" w:rsidRPr="00B27B11" w:rsidRDefault="00AC7C05" w:rsidP="00E861AE">
      <w:pPr>
        <w:pStyle w:val="Heading2"/>
      </w:pPr>
      <w:r w:rsidRPr="00B27B11">
        <w:t>Les États membres qui disposent de possibilités de pêcher le thon rouge doivent établir par ailleurs des plans annuels de gestion de leur capacité de pêche, afin d’ajuster leur flotte à ces possibilités qui leur ont été allouées, des plans annuels d’inspection visant à assurer le respect du règlement à l’examen et, enfin, des plans annuels de gestion de l’élevage, afin d’apporter une garantie concernant la quantité estimée de thon rouge qui est disponible à des fins d’élevage. Tous ces plans doivent être transmis chaque année à la Commission, pour le 31 janvier au plus tard.</w:t>
      </w:r>
    </w:p>
    <w:p w14:paraId="0F2A1ED1" w14:textId="77777777" w:rsidR="00AC7C05" w:rsidRPr="00B27B11" w:rsidRDefault="00AC7C05" w:rsidP="00E861AE">
      <w:pPr>
        <w:pStyle w:val="Heading2"/>
        <w:numPr>
          <w:ilvl w:val="0"/>
          <w:numId w:val="0"/>
        </w:numPr>
        <w:ind w:left="720"/>
      </w:pPr>
    </w:p>
    <w:p w14:paraId="5DECE388" w14:textId="15E28740" w:rsidR="00AC7C05" w:rsidRPr="00B27B11" w:rsidRDefault="00AC7C05" w:rsidP="00FD35BB">
      <w:pPr>
        <w:pStyle w:val="Heading2"/>
        <w:keepNext/>
        <w:keepLines/>
      </w:pPr>
      <w:r w:rsidRPr="00B27B11">
        <w:lastRenderedPageBreak/>
        <w:t>Les mesures techniques prévues dans le règlement à l’examen cons</w:t>
      </w:r>
      <w:r w:rsidR="00FD35BB" w:rsidRPr="00B27B11">
        <w:t>istent à limiter les saisons de </w:t>
      </w:r>
      <w:r w:rsidRPr="00B27B11">
        <w:t>pêche pour certains types de flottes, comme les senneurs et les grands palangriers pélagiques, à fixer une taille minimale autorisée de nature générale, à savoir que le poids doit être supérieur à 30 kg ou que la longueur doit dépasser 115</w:t>
      </w:r>
      <w:r w:rsidR="00972111" w:rsidRPr="00B27B11">
        <w:t> </w:t>
      </w:r>
      <w:r w:rsidRPr="00B27B11">
        <w:t>cm, ainsi qu’à établir un niveau autorisé de prises accessoires, qui ne peut dépasser 20 % du total des captures gardées à bord à la fin de chaque sortie de pêche.</w:t>
      </w:r>
    </w:p>
    <w:p w14:paraId="63E1CDAB" w14:textId="77777777" w:rsidR="00AC7C05" w:rsidRPr="00B27B11" w:rsidRDefault="00AC7C05" w:rsidP="00490544">
      <w:pPr>
        <w:ind w:left="720" w:hanging="720"/>
      </w:pPr>
    </w:p>
    <w:p w14:paraId="689BFD39" w14:textId="740CBC1F" w:rsidR="00AC7C05" w:rsidRPr="00B27B11" w:rsidRDefault="00AC7C05" w:rsidP="00E861AE">
      <w:pPr>
        <w:pStyle w:val="Heading2"/>
      </w:pPr>
      <w:r w:rsidRPr="00B27B11">
        <w:t>Les mesures de contrôle que les États membres sont tenus d’appl</w:t>
      </w:r>
      <w:r w:rsidR="00972111" w:rsidRPr="00B27B11">
        <w:t>iquer prévoient l’obligation de </w:t>
      </w:r>
      <w:r w:rsidRPr="00B27B11">
        <w:t>soumettre, un mois avant le début de la période d’autorisation, les listes de tous les navires autorisés à pêcher et à exploiter commercialement les ressources en thon rouge, ainsi que des madragues. En outre, obligation est faite de communiquer à la Commission des informations détaillées concernant les activités de pêche effectuées par les navires autorisés lors de la campagne de l’année précédente, avec indication des prises réalisées par chacun d’entre eux, ainsi que les données relatives aux opérations de pêche conjointes qui ont été menées.</w:t>
      </w:r>
    </w:p>
    <w:p w14:paraId="434E6752" w14:textId="77777777" w:rsidR="00AC7C05" w:rsidRPr="00B27B11" w:rsidRDefault="00AC7C05" w:rsidP="00490544">
      <w:pPr>
        <w:pStyle w:val="ListParagraph"/>
        <w:ind w:hanging="720"/>
      </w:pPr>
    </w:p>
    <w:p w14:paraId="31DE990B" w14:textId="593F8645" w:rsidR="00AC7C05" w:rsidRPr="00B27B11" w:rsidRDefault="00AC7C05" w:rsidP="00E861AE">
      <w:pPr>
        <w:pStyle w:val="Heading2"/>
      </w:pPr>
      <w:r w:rsidRPr="00B27B11">
        <w:t>Comme le règlement sur le régime de contrôle</w:t>
      </w:r>
      <w:r w:rsidR="00BC6772" w:rsidRPr="00B27B11">
        <w:rPr>
          <w:rStyle w:val="FootnoteReference"/>
        </w:rPr>
        <w:footnoteReference w:id="1"/>
      </w:r>
      <w:r w:rsidRPr="00B27B11">
        <w:t xml:space="preserve"> le prévoyait déjà pour ceux de bâtiments de 12 mètres de longueur ou plus, la proposition à l’examen impose désormais aux capitaines de navires moins de 12 mètres</w:t>
      </w:r>
      <w:r w:rsidR="00D06250" w:rsidRPr="00B27B11">
        <w:t xml:space="preserve"> </w:t>
      </w:r>
      <w:r w:rsidRPr="00B27B11">
        <w:t>de transmettre aux autorités compétentes de l’État membre concerné, quatre heures au moins avant l’heure d’arrivée au port estimée</w:t>
      </w:r>
      <w:r w:rsidR="00972111" w:rsidRPr="00B27B11">
        <w:t>, une notification indiquant le </w:t>
      </w:r>
      <w:r w:rsidRPr="00B27B11">
        <w:t>volume des prises de thon rouge, la zone géographique où elles ont été réalisées et le numéro d’identification de leur bâtiment. En outre, le texte interdit le transbordement en mer pour les navires de pêche de l</w:t>
      </w:r>
      <w:r w:rsidR="00FD35BB" w:rsidRPr="00B27B11">
        <w:t>’</w:t>
      </w:r>
      <w:r w:rsidRPr="00B27B11">
        <w:t>Union retenant à bord du thon rouge, tout comme pour ceux de pays tiers naviguant dans les eaux de l</w:t>
      </w:r>
      <w:r w:rsidR="00FD35BB" w:rsidRPr="00B27B11">
        <w:t>’</w:t>
      </w:r>
      <w:r w:rsidRPr="00B27B11">
        <w:t>Union.</w:t>
      </w:r>
    </w:p>
    <w:p w14:paraId="43A2162F" w14:textId="77777777" w:rsidR="00AC7C05" w:rsidRPr="00B27B11" w:rsidRDefault="00AC7C05" w:rsidP="00490544">
      <w:pPr>
        <w:pStyle w:val="ListParagraph"/>
        <w:ind w:hanging="720"/>
      </w:pPr>
    </w:p>
    <w:p w14:paraId="3C39E516" w14:textId="77777777" w:rsidR="00AC7C05" w:rsidRPr="00B27B11" w:rsidRDefault="00AC7C05" w:rsidP="00E861AE">
      <w:pPr>
        <w:pStyle w:val="Heading2"/>
      </w:pPr>
      <w:r w:rsidRPr="00B27B11">
        <w:t>Les États membres se chargent de mener à bien un programme national d’observateurs qui garantit le respect d’un seuil minimal de couverture, exprimé sous la forme de pourcentages fixés pour chaque segment de la flotte, et qui, dans le cas de celle des senneurs, assure la présence à bord d’un observateur régional de la CICTA. Toute opération de transfert doit, aux fins d’autorisation ou, le cas échéant, de refus, faire l’objet d’une notification préalable à l’État membre concerné et requiert l’utilisation de caméras vidéo pour le contrôle du nombre de poissons qui sont transférés. De même, il est obligatoire de notifier préalablement les actions de mise en cage des spécimens et de leur appliquer une surveillance par caméras vidéo.</w:t>
      </w:r>
    </w:p>
    <w:p w14:paraId="141658EF" w14:textId="77777777" w:rsidR="00AC7C05" w:rsidRPr="00B27B11" w:rsidRDefault="00AC7C05" w:rsidP="00490544">
      <w:pPr>
        <w:ind w:left="720" w:hanging="720"/>
      </w:pPr>
    </w:p>
    <w:p w14:paraId="385E776E" w14:textId="77777777" w:rsidR="00AC7C05" w:rsidRPr="00B27B11" w:rsidRDefault="00AC7C05" w:rsidP="00E861AE">
      <w:pPr>
        <w:pStyle w:val="Heading2"/>
      </w:pPr>
      <w:r w:rsidRPr="00B27B11">
        <w:t>Les États membres assurent le suivi et la surveillance requis grâce à un système de localisation des navires, applicable pour ceux d’une longueur égale ou supérieure à 12 mètres, et des inspections sont effectuées, dans le cadre du programme d’inspection internationale conjointe de la CICTA.</w:t>
      </w:r>
    </w:p>
    <w:p w14:paraId="1B18900E" w14:textId="77777777" w:rsidR="00AC7C05" w:rsidRPr="00B27B11" w:rsidRDefault="00AC7C05" w:rsidP="00490544">
      <w:pPr>
        <w:pStyle w:val="ListParagraph"/>
        <w:ind w:hanging="720"/>
      </w:pPr>
    </w:p>
    <w:p w14:paraId="185B1B71" w14:textId="0A3307ED" w:rsidR="00AC7C05" w:rsidRPr="00B27B11" w:rsidRDefault="00AC7C05" w:rsidP="00490544">
      <w:pPr>
        <w:pStyle w:val="Heading2"/>
      </w:pPr>
      <w:r w:rsidRPr="00B27B11">
        <w:t>Sont interdits la commercialisation, le débarquement, l’importation, l’exportation, la mise en cage</w:t>
      </w:r>
      <w:r w:rsidR="00D06250" w:rsidRPr="00B27B11">
        <w:t>,</w:t>
      </w:r>
      <w:r w:rsidRPr="00B27B11">
        <w:t xml:space="preserve"> la réexportation et le transbordement de thons rouges qui ne sont pas accompagnés des documents validés établis par le règlement à l’examen.</w:t>
      </w:r>
    </w:p>
    <w:p w14:paraId="62C41593" w14:textId="77777777" w:rsidR="00AC7C05" w:rsidRPr="00B27B11" w:rsidRDefault="00AC7C05" w:rsidP="00186C87"/>
    <w:p w14:paraId="177C9786" w14:textId="126D4294" w:rsidR="00AC7C05" w:rsidRPr="00B27B11" w:rsidRDefault="00AC7C05" w:rsidP="00FD35BB">
      <w:pPr>
        <w:pStyle w:val="Heading1"/>
        <w:keepNext/>
        <w:keepLines/>
        <w:ind w:left="567" w:hanging="567"/>
        <w:rPr>
          <w:b/>
        </w:rPr>
      </w:pPr>
      <w:r w:rsidRPr="00B27B11">
        <w:rPr>
          <w:b/>
        </w:rPr>
        <w:lastRenderedPageBreak/>
        <w:t>Observations générales</w:t>
      </w:r>
    </w:p>
    <w:p w14:paraId="21CDB178" w14:textId="77777777" w:rsidR="00AC7C05" w:rsidRPr="00B27B11" w:rsidRDefault="00AC7C05" w:rsidP="00490544"/>
    <w:p w14:paraId="6B1E0E80" w14:textId="77777777" w:rsidR="00AC7C05" w:rsidRPr="00B27B11" w:rsidRDefault="00AC7C05" w:rsidP="00490544">
      <w:pPr>
        <w:pStyle w:val="Heading2"/>
      </w:pPr>
      <w:r w:rsidRPr="00B27B11">
        <w:t>D’une manière générale, le CESE marque son accord avec la proposition de règlement, étant donné qu’elle constitue la transposition d’une recommandation de la CICTA. De même, il exprime sa satisfaction quant aux résultats obtenus par le programme de rétablissement, grâce auquel la biomasse du thon rouge atteint des sommets qui sont d’un niveau historique depuis que l’on dispose de données.</w:t>
      </w:r>
    </w:p>
    <w:p w14:paraId="7B1F3065" w14:textId="77777777" w:rsidR="00AC7C05" w:rsidRPr="00B27B11" w:rsidRDefault="00AC7C05" w:rsidP="00490544"/>
    <w:p w14:paraId="7690821B" w14:textId="13BC2922" w:rsidR="00AC7C05" w:rsidRPr="00B27B11" w:rsidRDefault="00AC7C05" w:rsidP="00490544">
      <w:pPr>
        <w:pStyle w:val="Heading2"/>
      </w:pPr>
      <w:r w:rsidRPr="00B27B11">
        <w:t>En 2019, la CICTA a adopté la recommandation 19-04, a</w:t>
      </w:r>
      <w:r w:rsidR="00733BBE" w:rsidRPr="00B27B11">
        <w:t>mendant celle portant le numéro </w:t>
      </w:r>
      <w:r w:rsidRPr="00B27B11">
        <w:t>18-02, qui fait l’objet du présent avis. Aussi le Comité suggère-t-il aux législateurs de remanier la proposition de règlement en fonction de ce nouveau texte.</w:t>
      </w:r>
    </w:p>
    <w:p w14:paraId="3E0C2C1D" w14:textId="77777777" w:rsidR="00AC7C05" w:rsidRPr="00B27B11" w:rsidRDefault="00AC7C05" w:rsidP="00490544"/>
    <w:p w14:paraId="74051E69" w14:textId="6AB61139" w:rsidR="00AC7C05" w:rsidRPr="00B27B11" w:rsidRDefault="00AC7C05" w:rsidP="00490544">
      <w:pPr>
        <w:pStyle w:val="Heading1"/>
        <w:ind w:left="567" w:hanging="567"/>
        <w:rPr>
          <w:b/>
        </w:rPr>
      </w:pPr>
      <w:r w:rsidRPr="00B27B11">
        <w:rPr>
          <w:b/>
        </w:rPr>
        <w:t>Observations particulières</w:t>
      </w:r>
    </w:p>
    <w:p w14:paraId="036CA619" w14:textId="77777777" w:rsidR="00AC7C05" w:rsidRPr="00B27B11" w:rsidRDefault="00AC7C05" w:rsidP="00186C87">
      <w:pPr>
        <w:keepNext/>
      </w:pPr>
    </w:p>
    <w:p w14:paraId="6F98E240" w14:textId="3CE645C4" w:rsidR="004B343D" w:rsidRPr="00B27B11" w:rsidRDefault="00AC7C05" w:rsidP="00E861AE">
      <w:pPr>
        <w:pStyle w:val="Heading2"/>
      </w:pPr>
      <w:r w:rsidRPr="00B27B11">
        <w:t>L’article 29, paragraphe 3, dispose que les senneurs de l’Union ne participent pas à des opérations de pêche conjointes avec des senneurs d’autres parties contractantes à la convention de la</w:t>
      </w:r>
      <w:r w:rsidR="00733BBE" w:rsidRPr="00B27B11">
        <w:t xml:space="preserve"> CICTA, alors que le paragraphe 62 de la recommandation </w:t>
      </w:r>
      <w:r w:rsidRPr="00B27B11">
        <w:t>19-04 qu’elle a adoptée, précise qu’«une CPC</w:t>
      </w:r>
      <w:r w:rsidRPr="00B27B11">
        <w:rPr>
          <w:rStyle w:val="FootnoteReference"/>
        </w:rPr>
        <w:footnoteReference w:id="2"/>
      </w:r>
      <w:r w:rsidRPr="00B27B11">
        <w:t xml:space="preserve"> dotée de moins de cinq senneurs autorisés pourrait autoriser des opérations de pêche conjointes avec toute autre CPC.</w:t>
      </w:r>
      <w:r w:rsidRPr="00B27B11">
        <w:cr/>
      </w:r>
    </w:p>
    <w:p w14:paraId="7A2CBB9C" w14:textId="33B2DB6E" w:rsidR="00AC7C05" w:rsidRPr="00B27B11" w:rsidRDefault="00AC7C05" w:rsidP="00186C87">
      <w:pPr>
        <w:pStyle w:val="Heading2"/>
        <w:numPr>
          <w:ilvl w:val="0"/>
          <w:numId w:val="0"/>
        </w:numPr>
        <w:ind w:left="567"/>
      </w:pPr>
      <w:r w:rsidRPr="00B27B11">
        <w:t>Chaque CPC réalisant une opération de pêche conjointe devra être responsable et tenue responsable des captures réalisées dans le cadre de cette opération de pêche conjointe.»</w:t>
      </w:r>
    </w:p>
    <w:p w14:paraId="21264829" w14:textId="77777777" w:rsidR="00AC7C05" w:rsidRPr="00B27B11" w:rsidRDefault="00AC7C05" w:rsidP="00490544">
      <w:pPr>
        <w:ind w:left="567" w:hanging="567"/>
      </w:pPr>
    </w:p>
    <w:p w14:paraId="683B8CBF" w14:textId="20015B12" w:rsidR="00AC7C05" w:rsidRPr="00B27B11" w:rsidRDefault="00AC7C05" w:rsidP="00490544">
      <w:pPr>
        <w:pStyle w:val="Heading2"/>
      </w:pPr>
      <w:r w:rsidRPr="00B27B11">
        <w:t>Le Comité est d’avis que la proposition de règlement devrait prendre en considération la dérogation évoquée dans le paragraphe précédent, c’est-à-dire autoriser la réalisation d’opérations de pêche conjointes avec des flottes d’autres parties contractantes à la convention. Il considère cependant qu’à titre préliminaire, il conviendrait de conclure sur un mode bilatéral un protocole relatif à la démarche que devraient adopter les navires et, en particulier, les autorités de chaque partie contractante à la convention en ce qui concerne la gestion des documents de déclaration de captures qui sont exigés par la réglementation en vigueur.</w:t>
      </w:r>
    </w:p>
    <w:p w14:paraId="414EE85A" w14:textId="1151F145" w:rsidR="00AC7C05" w:rsidRPr="00B27B11" w:rsidRDefault="00AC7C05" w:rsidP="00490544"/>
    <w:p w14:paraId="065EA8AB" w14:textId="77777777" w:rsidR="00030B8E" w:rsidRPr="00B27B11" w:rsidRDefault="00030B8E" w:rsidP="00030B8E"/>
    <w:p w14:paraId="78795B72" w14:textId="55B8C395" w:rsidR="00030B8E" w:rsidRPr="00B27B11" w:rsidRDefault="00030B8E" w:rsidP="00030B8E">
      <w:r w:rsidRPr="00B27B11">
        <w:t xml:space="preserve">Bruxelles, le </w:t>
      </w:r>
      <w:r w:rsidR="003A44EE" w:rsidRPr="00B27B11">
        <w:t>7 mai</w:t>
      </w:r>
      <w:r w:rsidR="00972111" w:rsidRPr="00B27B11">
        <w:t> </w:t>
      </w:r>
      <w:r w:rsidRPr="00B27B11">
        <w:t>2020</w:t>
      </w:r>
    </w:p>
    <w:p w14:paraId="62B60E83" w14:textId="77777777" w:rsidR="00030B8E" w:rsidRPr="00B27B11" w:rsidRDefault="00030B8E" w:rsidP="00030B8E"/>
    <w:p w14:paraId="7D579938" w14:textId="77777777" w:rsidR="00030B8E" w:rsidRPr="00B27B11" w:rsidRDefault="00030B8E" w:rsidP="00030B8E"/>
    <w:p w14:paraId="249DED2F" w14:textId="77777777" w:rsidR="00030B8E" w:rsidRPr="00B27B11" w:rsidRDefault="00030B8E" w:rsidP="00030B8E"/>
    <w:p w14:paraId="59A0F705" w14:textId="77777777" w:rsidR="00030B8E" w:rsidRPr="00B27B11" w:rsidRDefault="00030B8E" w:rsidP="00030B8E"/>
    <w:p w14:paraId="0F315795" w14:textId="643EFDCA" w:rsidR="00030B8E" w:rsidRPr="00B27B11" w:rsidRDefault="003A44EE" w:rsidP="00030B8E">
      <w:r w:rsidRPr="00B27B11">
        <w:t>Luca JAHIER</w:t>
      </w:r>
    </w:p>
    <w:p w14:paraId="0FA196B9" w14:textId="59EAA0A1" w:rsidR="003265BB" w:rsidRPr="00B27B11" w:rsidRDefault="003A44EE" w:rsidP="00030B8E">
      <w:r w:rsidRPr="00B27B11">
        <w:t>Président du Comité économique et social européen</w:t>
      </w:r>
    </w:p>
    <w:p w14:paraId="4C2B50EF" w14:textId="77777777" w:rsidR="003265BB" w:rsidRPr="00B27B11" w:rsidRDefault="003265BB" w:rsidP="00490544"/>
    <w:p w14:paraId="611613B8" w14:textId="77777777" w:rsidR="00646AC2" w:rsidRPr="00B27B11" w:rsidRDefault="00646AC2" w:rsidP="00490544">
      <w:pPr>
        <w:overflowPunct/>
        <w:adjustRightInd/>
        <w:jc w:val="center"/>
        <w:textAlignment w:val="auto"/>
      </w:pPr>
      <w:r w:rsidRPr="00B27B11">
        <w:t>_____________</w:t>
      </w:r>
    </w:p>
    <w:sectPr w:rsidR="00646AC2" w:rsidRPr="00B27B11" w:rsidSect="004B343D">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613BF" w14:textId="77777777" w:rsidR="008C593E" w:rsidRDefault="008C593E">
      <w:r>
        <w:separator/>
      </w:r>
    </w:p>
  </w:endnote>
  <w:endnote w:type="continuationSeparator" w:id="0">
    <w:p w14:paraId="611613C0" w14:textId="77777777" w:rsidR="008C593E" w:rsidRDefault="008C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13C1" w14:textId="25410298" w:rsidR="00646AC2" w:rsidRPr="004B343D" w:rsidRDefault="004B343D" w:rsidP="004B343D">
    <w:pPr>
      <w:pStyle w:val="Footer"/>
    </w:pPr>
    <w:r>
      <w:t>NAT/782 – EESC-2020-00223-00-00-</w:t>
    </w:r>
    <w:r w:rsidR="003A44EE">
      <w:t>AC</w:t>
    </w:r>
    <w:r>
      <w:t xml:space="preserve">-TRA (FR) </w:t>
    </w:r>
    <w:r>
      <w:fldChar w:fldCharType="begin"/>
    </w:r>
    <w:r>
      <w:instrText xml:space="preserve"> PAGE  \* Arabic  \* MERGEFORMAT </w:instrText>
    </w:r>
    <w:r>
      <w:fldChar w:fldCharType="separate"/>
    </w:r>
    <w:r w:rsidR="00B27B11">
      <w:rPr>
        <w:noProof/>
      </w:rPr>
      <w:t>1</w:t>
    </w:r>
    <w:r>
      <w:fldChar w:fldCharType="end"/>
    </w:r>
    <w:r>
      <w:t>/</w:t>
    </w:r>
    <w:r w:rsidR="00BD5F6C">
      <w:fldChar w:fldCharType="begin"/>
    </w:r>
    <w:r w:rsidR="00BD5F6C">
      <w:instrText xml:space="preserve"> NUMPAGES </w:instrText>
    </w:r>
    <w:r w:rsidR="00BD5F6C">
      <w:fldChar w:fldCharType="separate"/>
    </w:r>
    <w:r w:rsidR="00B27B11">
      <w:rPr>
        <w:noProof/>
      </w:rPr>
      <w:t>5</w:t>
    </w:r>
    <w:r w:rsidR="00BD5F6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B5F9" w14:textId="77777777" w:rsidR="00490544" w:rsidRPr="004B343D" w:rsidRDefault="00490544" w:rsidP="004B3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98BF" w14:textId="4A0D59EF" w:rsidR="00490544" w:rsidRPr="004B343D" w:rsidRDefault="004B343D" w:rsidP="004B343D">
    <w:pPr>
      <w:pStyle w:val="Footer"/>
    </w:pPr>
    <w:r>
      <w:t>NAT/782 – EESC-2020-00223-00-00-</w:t>
    </w:r>
    <w:r w:rsidR="003A44EE">
      <w:t>AC</w:t>
    </w:r>
    <w:r>
      <w:t xml:space="preserve">-TRA (FR) </w:t>
    </w:r>
    <w:r>
      <w:fldChar w:fldCharType="begin"/>
    </w:r>
    <w:r>
      <w:instrText xml:space="preserve"> PAGE  \* Arabic  \* MERGEFORMAT </w:instrText>
    </w:r>
    <w:r>
      <w:fldChar w:fldCharType="separate"/>
    </w:r>
    <w:r w:rsidR="00B27B11">
      <w:rPr>
        <w:noProof/>
      </w:rPr>
      <w:t>2</w:t>
    </w:r>
    <w:r>
      <w:fldChar w:fldCharType="end"/>
    </w:r>
    <w:r>
      <w:t>/</w:t>
    </w:r>
    <w:r w:rsidR="00BD5F6C">
      <w:fldChar w:fldCharType="begin"/>
    </w:r>
    <w:r w:rsidR="00BD5F6C">
      <w:instrText xml:space="preserve"> NUMPAGES </w:instrText>
    </w:r>
    <w:r w:rsidR="00BD5F6C">
      <w:fldChar w:fldCharType="separate"/>
    </w:r>
    <w:r w:rsidR="00B27B11">
      <w:rPr>
        <w:noProof/>
      </w:rPr>
      <w:t>5</w:t>
    </w:r>
    <w:r w:rsidR="00BD5F6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1E07" w14:textId="77777777" w:rsidR="00490544" w:rsidRPr="004B343D" w:rsidRDefault="00490544" w:rsidP="004B3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613BD" w14:textId="77777777" w:rsidR="008C593E" w:rsidRDefault="008C593E">
      <w:r>
        <w:separator/>
      </w:r>
    </w:p>
  </w:footnote>
  <w:footnote w:type="continuationSeparator" w:id="0">
    <w:p w14:paraId="611613BE" w14:textId="77777777" w:rsidR="008C593E" w:rsidRDefault="008C593E">
      <w:r>
        <w:continuationSeparator/>
      </w:r>
    </w:p>
  </w:footnote>
  <w:footnote w:id="1">
    <w:p w14:paraId="263395ED" w14:textId="7E837D9F" w:rsidR="00BC6772" w:rsidRPr="00B27B11" w:rsidRDefault="00BC6772" w:rsidP="004B343D">
      <w:pPr>
        <w:pStyle w:val="FootnoteText"/>
        <w:ind w:left="567" w:hanging="567"/>
      </w:pPr>
      <w:r w:rsidRPr="00B27B11">
        <w:rPr>
          <w:rStyle w:val="FootnoteReference"/>
        </w:rPr>
        <w:footnoteRef/>
      </w:r>
      <w:r w:rsidRPr="00B27B11">
        <w:t xml:space="preserve"> </w:t>
      </w:r>
      <w:r w:rsidRPr="00B27B11">
        <w:tab/>
        <w:t>Règlement (CE) nº 1224/2009 du Conseil instituant un régime de contrôle de l’Union visant à assurer le respect des règles de la politique commune de la pêche</w:t>
      </w:r>
      <w:r w:rsidR="00972111" w:rsidRPr="00B27B11">
        <w:t>.</w:t>
      </w:r>
    </w:p>
  </w:footnote>
  <w:footnote w:id="2">
    <w:p w14:paraId="3FAD0903" w14:textId="77777777" w:rsidR="00AC7C05" w:rsidRPr="00B27B11" w:rsidRDefault="00AC7C05" w:rsidP="00BC7AA1">
      <w:pPr>
        <w:pStyle w:val="FootnoteText"/>
        <w:ind w:left="567" w:hanging="567"/>
      </w:pPr>
      <w:r w:rsidRPr="00B27B11">
        <w:rPr>
          <w:rStyle w:val="FootnoteReference"/>
        </w:rPr>
        <w:footnoteRef/>
      </w:r>
      <w:r w:rsidRPr="00B27B11">
        <w:t xml:space="preserve"> </w:t>
      </w:r>
      <w:r w:rsidRPr="00B27B11">
        <w:tab/>
        <w:t>Sigle anglais de l’expression «partie contractante à la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B507" w14:textId="77777777" w:rsidR="00490544" w:rsidRPr="004B343D" w:rsidRDefault="00490544" w:rsidP="004B3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7508" w14:textId="280A3A51" w:rsidR="00490544" w:rsidRPr="004B343D" w:rsidRDefault="00490544" w:rsidP="004B3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E31C" w14:textId="77777777" w:rsidR="00490544" w:rsidRPr="004B343D" w:rsidRDefault="00490544" w:rsidP="004B3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7EE8CD0"/>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ina Alanko">
    <w15:presenceInfo w15:providerId="None" w15:userId="Tiina Alanko"/>
  </w15:person>
  <w15:person w15:author="Catherine Cade">
    <w15:presenceInfo w15:providerId="None" w15:userId="Catherine Cade"/>
  </w15:person>
  <w15:person w15:author="Merle Koppel">
    <w15:presenceInfo w15:providerId="None" w15:userId="Merle Kopp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20E6E"/>
    <w:rsid w:val="00030B8E"/>
    <w:rsid w:val="00031A4B"/>
    <w:rsid w:val="000331DC"/>
    <w:rsid w:val="00033913"/>
    <w:rsid w:val="00033E5B"/>
    <w:rsid w:val="000344A4"/>
    <w:rsid w:val="000357A8"/>
    <w:rsid w:val="000411EB"/>
    <w:rsid w:val="000430A6"/>
    <w:rsid w:val="00044923"/>
    <w:rsid w:val="0005249C"/>
    <w:rsid w:val="000534A5"/>
    <w:rsid w:val="0005680D"/>
    <w:rsid w:val="00063FB4"/>
    <w:rsid w:val="0006793E"/>
    <w:rsid w:val="00072E0F"/>
    <w:rsid w:val="000735E5"/>
    <w:rsid w:val="0007392F"/>
    <w:rsid w:val="00087B39"/>
    <w:rsid w:val="00096502"/>
    <w:rsid w:val="0009794B"/>
    <w:rsid w:val="000A49BB"/>
    <w:rsid w:val="000B11FF"/>
    <w:rsid w:val="000B3C60"/>
    <w:rsid w:val="000C3441"/>
    <w:rsid w:val="000C7F53"/>
    <w:rsid w:val="000D2F8E"/>
    <w:rsid w:val="000F196B"/>
    <w:rsid w:val="000F267C"/>
    <w:rsid w:val="000F3AED"/>
    <w:rsid w:val="000F58E8"/>
    <w:rsid w:val="00105361"/>
    <w:rsid w:val="001101F8"/>
    <w:rsid w:val="0011206F"/>
    <w:rsid w:val="0011656A"/>
    <w:rsid w:val="00116EB6"/>
    <w:rsid w:val="0012220C"/>
    <w:rsid w:val="00136EA3"/>
    <w:rsid w:val="00137575"/>
    <w:rsid w:val="00144231"/>
    <w:rsid w:val="00150434"/>
    <w:rsid w:val="00155721"/>
    <w:rsid w:val="0016503F"/>
    <w:rsid w:val="0016674F"/>
    <w:rsid w:val="00166E0C"/>
    <w:rsid w:val="00167CA0"/>
    <w:rsid w:val="0017120D"/>
    <w:rsid w:val="001714F6"/>
    <w:rsid w:val="00176168"/>
    <w:rsid w:val="00177158"/>
    <w:rsid w:val="00181F74"/>
    <w:rsid w:val="00184FD4"/>
    <w:rsid w:val="00186B04"/>
    <w:rsid w:val="00186C87"/>
    <w:rsid w:val="00186F1E"/>
    <w:rsid w:val="00190836"/>
    <w:rsid w:val="00193930"/>
    <w:rsid w:val="0019466F"/>
    <w:rsid w:val="001963A5"/>
    <w:rsid w:val="00196F1E"/>
    <w:rsid w:val="00197FCA"/>
    <w:rsid w:val="001A27DB"/>
    <w:rsid w:val="001A6852"/>
    <w:rsid w:val="001B286A"/>
    <w:rsid w:val="001B2D02"/>
    <w:rsid w:val="001B3647"/>
    <w:rsid w:val="001B77FA"/>
    <w:rsid w:val="001C0ABE"/>
    <w:rsid w:val="001C5852"/>
    <w:rsid w:val="001D45F0"/>
    <w:rsid w:val="001E4A33"/>
    <w:rsid w:val="001E5C27"/>
    <w:rsid w:val="001F602B"/>
    <w:rsid w:val="001F6AC8"/>
    <w:rsid w:val="002037D5"/>
    <w:rsid w:val="00204D65"/>
    <w:rsid w:val="00206F90"/>
    <w:rsid w:val="00212B03"/>
    <w:rsid w:val="00215C10"/>
    <w:rsid w:val="00215C2D"/>
    <w:rsid w:val="002209A5"/>
    <w:rsid w:val="002252C4"/>
    <w:rsid w:val="0023183E"/>
    <w:rsid w:val="00235138"/>
    <w:rsid w:val="00243E36"/>
    <w:rsid w:val="0024540B"/>
    <w:rsid w:val="00245EF4"/>
    <w:rsid w:val="00250E11"/>
    <w:rsid w:val="00251383"/>
    <w:rsid w:val="002522C9"/>
    <w:rsid w:val="00252A21"/>
    <w:rsid w:val="00253E4F"/>
    <w:rsid w:val="002542E4"/>
    <w:rsid w:val="00261053"/>
    <w:rsid w:val="00262FDE"/>
    <w:rsid w:val="00263629"/>
    <w:rsid w:val="002769BD"/>
    <w:rsid w:val="002809EA"/>
    <w:rsid w:val="00284962"/>
    <w:rsid w:val="00287B0E"/>
    <w:rsid w:val="002A0B53"/>
    <w:rsid w:val="002A0EEF"/>
    <w:rsid w:val="002B2DF7"/>
    <w:rsid w:val="002C3BF4"/>
    <w:rsid w:val="002C54D2"/>
    <w:rsid w:val="002C749F"/>
    <w:rsid w:val="002C756F"/>
    <w:rsid w:val="002E48F1"/>
    <w:rsid w:val="002F059B"/>
    <w:rsid w:val="002F300E"/>
    <w:rsid w:val="002F5B0B"/>
    <w:rsid w:val="00300924"/>
    <w:rsid w:val="0030596E"/>
    <w:rsid w:val="003073C3"/>
    <w:rsid w:val="00323637"/>
    <w:rsid w:val="00324E8A"/>
    <w:rsid w:val="003265BB"/>
    <w:rsid w:val="00331D87"/>
    <w:rsid w:val="00332850"/>
    <w:rsid w:val="00334478"/>
    <w:rsid w:val="003346B4"/>
    <w:rsid w:val="00334AE6"/>
    <w:rsid w:val="003365D0"/>
    <w:rsid w:val="003439AB"/>
    <w:rsid w:val="003529B9"/>
    <w:rsid w:val="00354695"/>
    <w:rsid w:val="0035549B"/>
    <w:rsid w:val="00366944"/>
    <w:rsid w:val="003755C8"/>
    <w:rsid w:val="00375687"/>
    <w:rsid w:val="00380AE0"/>
    <w:rsid w:val="00383324"/>
    <w:rsid w:val="00387A75"/>
    <w:rsid w:val="003904FD"/>
    <w:rsid w:val="00394254"/>
    <w:rsid w:val="003A44EE"/>
    <w:rsid w:val="003C2BFB"/>
    <w:rsid w:val="003C436B"/>
    <w:rsid w:val="003C5337"/>
    <w:rsid w:val="003C5F92"/>
    <w:rsid w:val="003D47F1"/>
    <w:rsid w:val="003D7A8C"/>
    <w:rsid w:val="003D7C00"/>
    <w:rsid w:val="003E0C01"/>
    <w:rsid w:val="003E56E5"/>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1373"/>
    <w:rsid w:val="00421FB7"/>
    <w:rsid w:val="0042763B"/>
    <w:rsid w:val="0043024C"/>
    <w:rsid w:val="00436706"/>
    <w:rsid w:val="00443D38"/>
    <w:rsid w:val="00450E7A"/>
    <w:rsid w:val="00456AF8"/>
    <w:rsid w:val="00470B15"/>
    <w:rsid w:val="00475869"/>
    <w:rsid w:val="00475A77"/>
    <w:rsid w:val="00485195"/>
    <w:rsid w:val="004866A9"/>
    <w:rsid w:val="00490544"/>
    <w:rsid w:val="00492774"/>
    <w:rsid w:val="00496D7A"/>
    <w:rsid w:val="004A31BC"/>
    <w:rsid w:val="004A3F1A"/>
    <w:rsid w:val="004A3F45"/>
    <w:rsid w:val="004B1AFA"/>
    <w:rsid w:val="004B343D"/>
    <w:rsid w:val="004B7088"/>
    <w:rsid w:val="004C5B76"/>
    <w:rsid w:val="004D02CD"/>
    <w:rsid w:val="004D0B24"/>
    <w:rsid w:val="004D25D2"/>
    <w:rsid w:val="004D4B90"/>
    <w:rsid w:val="004D6B95"/>
    <w:rsid w:val="004D7F41"/>
    <w:rsid w:val="004E03A2"/>
    <w:rsid w:val="004E317E"/>
    <w:rsid w:val="004E3954"/>
    <w:rsid w:val="004E5856"/>
    <w:rsid w:val="004F2330"/>
    <w:rsid w:val="004F53C6"/>
    <w:rsid w:val="004F69DB"/>
    <w:rsid w:val="004F6B87"/>
    <w:rsid w:val="00501C2D"/>
    <w:rsid w:val="00502637"/>
    <w:rsid w:val="00511140"/>
    <w:rsid w:val="00513CFE"/>
    <w:rsid w:val="00523B6A"/>
    <w:rsid w:val="00525F6C"/>
    <w:rsid w:val="005277A4"/>
    <w:rsid w:val="00541C52"/>
    <w:rsid w:val="0054592F"/>
    <w:rsid w:val="00545E31"/>
    <w:rsid w:val="00546AB4"/>
    <w:rsid w:val="005514E5"/>
    <w:rsid w:val="00563C84"/>
    <w:rsid w:val="0056510C"/>
    <w:rsid w:val="005762F6"/>
    <w:rsid w:val="00584FBE"/>
    <w:rsid w:val="00585483"/>
    <w:rsid w:val="00587378"/>
    <w:rsid w:val="00587C05"/>
    <w:rsid w:val="00590AAB"/>
    <w:rsid w:val="005938C3"/>
    <w:rsid w:val="0059468C"/>
    <w:rsid w:val="00595125"/>
    <w:rsid w:val="00596F21"/>
    <w:rsid w:val="005A0758"/>
    <w:rsid w:val="005B1CDD"/>
    <w:rsid w:val="005B1E19"/>
    <w:rsid w:val="005B2373"/>
    <w:rsid w:val="005B55FC"/>
    <w:rsid w:val="005C2D5E"/>
    <w:rsid w:val="005C3B81"/>
    <w:rsid w:val="005C650C"/>
    <w:rsid w:val="005D086C"/>
    <w:rsid w:val="005D11D3"/>
    <w:rsid w:val="005D4E1F"/>
    <w:rsid w:val="005D4FB3"/>
    <w:rsid w:val="005E236E"/>
    <w:rsid w:val="005E2F07"/>
    <w:rsid w:val="005E2FEA"/>
    <w:rsid w:val="005E4DC0"/>
    <w:rsid w:val="005F314B"/>
    <w:rsid w:val="00604E84"/>
    <w:rsid w:val="00611AF2"/>
    <w:rsid w:val="0061212B"/>
    <w:rsid w:val="006127AF"/>
    <w:rsid w:val="00615FB2"/>
    <w:rsid w:val="00617BD1"/>
    <w:rsid w:val="00617CE8"/>
    <w:rsid w:val="006278A0"/>
    <w:rsid w:val="0063095F"/>
    <w:rsid w:val="0063208A"/>
    <w:rsid w:val="00646AC2"/>
    <w:rsid w:val="00650390"/>
    <w:rsid w:val="00650993"/>
    <w:rsid w:val="00654DAB"/>
    <w:rsid w:val="0066204A"/>
    <w:rsid w:val="00670E3C"/>
    <w:rsid w:val="006728B7"/>
    <w:rsid w:val="006742E5"/>
    <w:rsid w:val="00675222"/>
    <w:rsid w:val="00677F57"/>
    <w:rsid w:val="00680EC5"/>
    <w:rsid w:val="00681088"/>
    <w:rsid w:val="0069577E"/>
    <w:rsid w:val="0069634B"/>
    <w:rsid w:val="00696623"/>
    <w:rsid w:val="006A04E9"/>
    <w:rsid w:val="006A4A03"/>
    <w:rsid w:val="006A7543"/>
    <w:rsid w:val="006B725C"/>
    <w:rsid w:val="006C273D"/>
    <w:rsid w:val="006C3856"/>
    <w:rsid w:val="006C5C4F"/>
    <w:rsid w:val="006C6282"/>
    <w:rsid w:val="006C762A"/>
    <w:rsid w:val="006D41EC"/>
    <w:rsid w:val="006D4741"/>
    <w:rsid w:val="006D5FF9"/>
    <w:rsid w:val="006E0772"/>
    <w:rsid w:val="006E0F86"/>
    <w:rsid w:val="006F0B15"/>
    <w:rsid w:val="006F0DCC"/>
    <w:rsid w:val="00703DF9"/>
    <w:rsid w:val="007048EB"/>
    <w:rsid w:val="00704FBB"/>
    <w:rsid w:val="0070726A"/>
    <w:rsid w:val="0071226B"/>
    <w:rsid w:val="00717040"/>
    <w:rsid w:val="00732955"/>
    <w:rsid w:val="00733BBE"/>
    <w:rsid w:val="007538CD"/>
    <w:rsid w:val="007750A2"/>
    <w:rsid w:val="007817D6"/>
    <w:rsid w:val="00787912"/>
    <w:rsid w:val="0079177A"/>
    <w:rsid w:val="00794836"/>
    <w:rsid w:val="007948D5"/>
    <w:rsid w:val="007A15C9"/>
    <w:rsid w:val="007A6676"/>
    <w:rsid w:val="007B7FF5"/>
    <w:rsid w:val="007C3FC6"/>
    <w:rsid w:val="007D2CE9"/>
    <w:rsid w:val="007D4FED"/>
    <w:rsid w:val="007D69DA"/>
    <w:rsid w:val="007D70B1"/>
    <w:rsid w:val="007D7140"/>
    <w:rsid w:val="007E1CDB"/>
    <w:rsid w:val="007E408C"/>
    <w:rsid w:val="007E7E21"/>
    <w:rsid w:val="007F0460"/>
    <w:rsid w:val="007F0DA2"/>
    <w:rsid w:val="007F39CE"/>
    <w:rsid w:val="007F5E0D"/>
    <w:rsid w:val="00801085"/>
    <w:rsid w:val="00801A89"/>
    <w:rsid w:val="008030DD"/>
    <w:rsid w:val="0080500F"/>
    <w:rsid w:val="00812138"/>
    <w:rsid w:val="008151F2"/>
    <w:rsid w:val="0081777A"/>
    <w:rsid w:val="008210E0"/>
    <w:rsid w:val="00824079"/>
    <w:rsid w:val="00831F0A"/>
    <w:rsid w:val="00833A78"/>
    <w:rsid w:val="0084585F"/>
    <w:rsid w:val="00846092"/>
    <w:rsid w:val="0085114A"/>
    <w:rsid w:val="00853E53"/>
    <w:rsid w:val="00864D76"/>
    <w:rsid w:val="008656C9"/>
    <w:rsid w:val="0086711C"/>
    <w:rsid w:val="00867535"/>
    <w:rsid w:val="00875C5B"/>
    <w:rsid w:val="00881A8F"/>
    <w:rsid w:val="00883C5F"/>
    <w:rsid w:val="00891C7D"/>
    <w:rsid w:val="00892FA7"/>
    <w:rsid w:val="00897131"/>
    <w:rsid w:val="008A3301"/>
    <w:rsid w:val="008A4DF1"/>
    <w:rsid w:val="008A5636"/>
    <w:rsid w:val="008B125E"/>
    <w:rsid w:val="008B241C"/>
    <w:rsid w:val="008B408B"/>
    <w:rsid w:val="008B4F11"/>
    <w:rsid w:val="008C2362"/>
    <w:rsid w:val="008C3049"/>
    <w:rsid w:val="008C593E"/>
    <w:rsid w:val="008D4AE9"/>
    <w:rsid w:val="008D5CF3"/>
    <w:rsid w:val="008D7D39"/>
    <w:rsid w:val="008E4574"/>
    <w:rsid w:val="008F4016"/>
    <w:rsid w:val="008F42FE"/>
    <w:rsid w:val="008F4A00"/>
    <w:rsid w:val="008F5402"/>
    <w:rsid w:val="008F65B1"/>
    <w:rsid w:val="0090053A"/>
    <w:rsid w:val="00901C2A"/>
    <w:rsid w:val="009070A0"/>
    <w:rsid w:val="009118C7"/>
    <w:rsid w:val="009225B6"/>
    <w:rsid w:val="00925397"/>
    <w:rsid w:val="00934C10"/>
    <w:rsid w:val="0093662A"/>
    <w:rsid w:val="0094060C"/>
    <w:rsid w:val="009606A5"/>
    <w:rsid w:val="00960AD0"/>
    <w:rsid w:val="00962F1F"/>
    <w:rsid w:val="00965304"/>
    <w:rsid w:val="00971293"/>
    <w:rsid w:val="00972111"/>
    <w:rsid w:val="00973A3B"/>
    <w:rsid w:val="00983EAE"/>
    <w:rsid w:val="0098760B"/>
    <w:rsid w:val="009A11DD"/>
    <w:rsid w:val="009B30AA"/>
    <w:rsid w:val="009B5217"/>
    <w:rsid w:val="009C48DE"/>
    <w:rsid w:val="009D0D09"/>
    <w:rsid w:val="009E1E1E"/>
    <w:rsid w:val="009E33E3"/>
    <w:rsid w:val="009E7F16"/>
    <w:rsid w:val="009F5052"/>
    <w:rsid w:val="00A04C85"/>
    <w:rsid w:val="00A100F0"/>
    <w:rsid w:val="00A156E6"/>
    <w:rsid w:val="00A27D86"/>
    <w:rsid w:val="00A33151"/>
    <w:rsid w:val="00A36970"/>
    <w:rsid w:val="00A41EB4"/>
    <w:rsid w:val="00A44BFF"/>
    <w:rsid w:val="00A501E3"/>
    <w:rsid w:val="00A50F0C"/>
    <w:rsid w:val="00A53043"/>
    <w:rsid w:val="00A56441"/>
    <w:rsid w:val="00A715B1"/>
    <w:rsid w:val="00A736DD"/>
    <w:rsid w:val="00A75C9C"/>
    <w:rsid w:val="00A82869"/>
    <w:rsid w:val="00A8758C"/>
    <w:rsid w:val="00A909EB"/>
    <w:rsid w:val="00AA127E"/>
    <w:rsid w:val="00AA19AE"/>
    <w:rsid w:val="00AA423D"/>
    <w:rsid w:val="00AA6A95"/>
    <w:rsid w:val="00AB10DE"/>
    <w:rsid w:val="00AB3668"/>
    <w:rsid w:val="00AB5ED7"/>
    <w:rsid w:val="00AC0B4C"/>
    <w:rsid w:val="00AC7C05"/>
    <w:rsid w:val="00AD0AEE"/>
    <w:rsid w:val="00AD49E3"/>
    <w:rsid w:val="00AD4B4F"/>
    <w:rsid w:val="00AF0616"/>
    <w:rsid w:val="00AF0E28"/>
    <w:rsid w:val="00AF3FA4"/>
    <w:rsid w:val="00AF6F9B"/>
    <w:rsid w:val="00B01409"/>
    <w:rsid w:val="00B10DBD"/>
    <w:rsid w:val="00B15629"/>
    <w:rsid w:val="00B2372C"/>
    <w:rsid w:val="00B27B11"/>
    <w:rsid w:val="00B32F70"/>
    <w:rsid w:val="00B373D0"/>
    <w:rsid w:val="00B43AAA"/>
    <w:rsid w:val="00B46EE5"/>
    <w:rsid w:val="00B53139"/>
    <w:rsid w:val="00B562CE"/>
    <w:rsid w:val="00B62DE2"/>
    <w:rsid w:val="00B62ECD"/>
    <w:rsid w:val="00B65078"/>
    <w:rsid w:val="00B74417"/>
    <w:rsid w:val="00B77246"/>
    <w:rsid w:val="00B866CD"/>
    <w:rsid w:val="00B93034"/>
    <w:rsid w:val="00B97C5D"/>
    <w:rsid w:val="00BA1290"/>
    <w:rsid w:val="00BA3D60"/>
    <w:rsid w:val="00BB2792"/>
    <w:rsid w:val="00BB76BF"/>
    <w:rsid w:val="00BC1AD1"/>
    <w:rsid w:val="00BC4A58"/>
    <w:rsid w:val="00BC613B"/>
    <w:rsid w:val="00BC6772"/>
    <w:rsid w:val="00BC7AA1"/>
    <w:rsid w:val="00BD235E"/>
    <w:rsid w:val="00BD322B"/>
    <w:rsid w:val="00BD51D9"/>
    <w:rsid w:val="00BD5F6C"/>
    <w:rsid w:val="00BD64E2"/>
    <w:rsid w:val="00BE4995"/>
    <w:rsid w:val="00BE4E9E"/>
    <w:rsid w:val="00BF429A"/>
    <w:rsid w:val="00BF56EE"/>
    <w:rsid w:val="00BF62BE"/>
    <w:rsid w:val="00C07126"/>
    <w:rsid w:val="00C14E80"/>
    <w:rsid w:val="00C16853"/>
    <w:rsid w:val="00C248BB"/>
    <w:rsid w:val="00C263F0"/>
    <w:rsid w:val="00C33D41"/>
    <w:rsid w:val="00C34907"/>
    <w:rsid w:val="00C40AFD"/>
    <w:rsid w:val="00C41E20"/>
    <w:rsid w:val="00C42E3E"/>
    <w:rsid w:val="00C51C13"/>
    <w:rsid w:val="00C525A5"/>
    <w:rsid w:val="00C5300F"/>
    <w:rsid w:val="00C66CE0"/>
    <w:rsid w:val="00C71BED"/>
    <w:rsid w:val="00C81B53"/>
    <w:rsid w:val="00C82AD2"/>
    <w:rsid w:val="00C860CA"/>
    <w:rsid w:val="00C90FB6"/>
    <w:rsid w:val="00C9220E"/>
    <w:rsid w:val="00C932BD"/>
    <w:rsid w:val="00C93429"/>
    <w:rsid w:val="00C94856"/>
    <w:rsid w:val="00C957B6"/>
    <w:rsid w:val="00CA16C5"/>
    <w:rsid w:val="00CA415A"/>
    <w:rsid w:val="00CA7A35"/>
    <w:rsid w:val="00CB1536"/>
    <w:rsid w:val="00CB44FC"/>
    <w:rsid w:val="00CB5077"/>
    <w:rsid w:val="00CB7FB8"/>
    <w:rsid w:val="00CC1F71"/>
    <w:rsid w:val="00CC5EB3"/>
    <w:rsid w:val="00CD0E7B"/>
    <w:rsid w:val="00CD2ABD"/>
    <w:rsid w:val="00CD4024"/>
    <w:rsid w:val="00CD4617"/>
    <w:rsid w:val="00CD4855"/>
    <w:rsid w:val="00CE1F23"/>
    <w:rsid w:val="00CE246C"/>
    <w:rsid w:val="00CE6D43"/>
    <w:rsid w:val="00CE7888"/>
    <w:rsid w:val="00D04CB8"/>
    <w:rsid w:val="00D06250"/>
    <w:rsid w:val="00D10E1C"/>
    <w:rsid w:val="00D161A3"/>
    <w:rsid w:val="00D22E49"/>
    <w:rsid w:val="00D23716"/>
    <w:rsid w:val="00D25ED8"/>
    <w:rsid w:val="00D27F8F"/>
    <w:rsid w:val="00D306C5"/>
    <w:rsid w:val="00D316B8"/>
    <w:rsid w:val="00D31CFC"/>
    <w:rsid w:val="00D3255D"/>
    <w:rsid w:val="00D340C3"/>
    <w:rsid w:val="00D409CD"/>
    <w:rsid w:val="00D4201D"/>
    <w:rsid w:val="00D423D4"/>
    <w:rsid w:val="00D42CAF"/>
    <w:rsid w:val="00D57B7B"/>
    <w:rsid w:val="00D601EF"/>
    <w:rsid w:val="00D61533"/>
    <w:rsid w:val="00D63B2F"/>
    <w:rsid w:val="00D70747"/>
    <w:rsid w:val="00D7261D"/>
    <w:rsid w:val="00D755FC"/>
    <w:rsid w:val="00D76B6D"/>
    <w:rsid w:val="00D84D07"/>
    <w:rsid w:val="00D8526A"/>
    <w:rsid w:val="00D87584"/>
    <w:rsid w:val="00D90E91"/>
    <w:rsid w:val="00DB7EE8"/>
    <w:rsid w:val="00DC1347"/>
    <w:rsid w:val="00DC39F1"/>
    <w:rsid w:val="00DD5837"/>
    <w:rsid w:val="00DE4B35"/>
    <w:rsid w:val="00DF19C1"/>
    <w:rsid w:val="00DF4550"/>
    <w:rsid w:val="00DF54CA"/>
    <w:rsid w:val="00DF5B64"/>
    <w:rsid w:val="00E02794"/>
    <w:rsid w:val="00E043E3"/>
    <w:rsid w:val="00E0505B"/>
    <w:rsid w:val="00E11280"/>
    <w:rsid w:val="00E12359"/>
    <w:rsid w:val="00E152FF"/>
    <w:rsid w:val="00E17D91"/>
    <w:rsid w:val="00E2461B"/>
    <w:rsid w:val="00E24886"/>
    <w:rsid w:val="00E276FB"/>
    <w:rsid w:val="00E32595"/>
    <w:rsid w:val="00E33A74"/>
    <w:rsid w:val="00E4030B"/>
    <w:rsid w:val="00E41D56"/>
    <w:rsid w:val="00E457DF"/>
    <w:rsid w:val="00E46642"/>
    <w:rsid w:val="00E5139A"/>
    <w:rsid w:val="00E5413D"/>
    <w:rsid w:val="00E57977"/>
    <w:rsid w:val="00E635D7"/>
    <w:rsid w:val="00E70576"/>
    <w:rsid w:val="00E74676"/>
    <w:rsid w:val="00E83954"/>
    <w:rsid w:val="00E861AE"/>
    <w:rsid w:val="00E91730"/>
    <w:rsid w:val="00E96F04"/>
    <w:rsid w:val="00E97AEC"/>
    <w:rsid w:val="00EA20FE"/>
    <w:rsid w:val="00EB491E"/>
    <w:rsid w:val="00EB681B"/>
    <w:rsid w:val="00EC4FAD"/>
    <w:rsid w:val="00EE3CFA"/>
    <w:rsid w:val="00EE69E4"/>
    <w:rsid w:val="00EF2A7F"/>
    <w:rsid w:val="00EF43EB"/>
    <w:rsid w:val="00EF7E90"/>
    <w:rsid w:val="00F002B6"/>
    <w:rsid w:val="00F10AFE"/>
    <w:rsid w:val="00F15C6C"/>
    <w:rsid w:val="00F17173"/>
    <w:rsid w:val="00F224DC"/>
    <w:rsid w:val="00F2687F"/>
    <w:rsid w:val="00F27F29"/>
    <w:rsid w:val="00F32D54"/>
    <w:rsid w:val="00F36C54"/>
    <w:rsid w:val="00F418EA"/>
    <w:rsid w:val="00F41A29"/>
    <w:rsid w:val="00F44C1C"/>
    <w:rsid w:val="00F46CA4"/>
    <w:rsid w:val="00F518DF"/>
    <w:rsid w:val="00F544DB"/>
    <w:rsid w:val="00F6502E"/>
    <w:rsid w:val="00F65663"/>
    <w:rsid w:val="00F756C0"/>
    <w:rsid w:val="00F75A40"/>
    <w:rsid w:val="00F77637"/>
    <w:rsid w:val="00F8435D"/>
    <w:rsid w:val="00F87DD0"/>
    <w:rsid w:val="00F90836"/>
    <w:rsid w:val="00F93360"/>
    <w:rsid w:val="00F93FE4"/>
    <w:rsid w:val="00F97E4E"/>
    <w:rsid w:val="00FA217B"/>
    <w:rsid w:val="00FA52C1"/>
    <w:rsid w:val="00FB0BC5"/>
    <w:rsid w:val="00FB0BCC"/>
    <w:rsid w:val="00FC0E0D"/>
    <w:rsid w:val="00FC0FE5"/>
    <w:rsid w:val="00FD1ABC"/>
    <w:rsid w:val="00FD35BB"/>
    <w:rsid w:val="00FD7DDF"/>
    <w:rsid w:val="00FE4C92"/>
    <w:rsid w:val="00FF0FAA"/>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116133A"/>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2F"/>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54592F"/>
    <w:pPr>
      <w:numPr>
        <w:numId w:val="1"/>
      </w:numPr>
      <w:ind w:left="720" w:hanging="720"/>
      <w:outlineLvl w:val="0"/>
    </w:pPr>
    <w:rPr>
      <w:kern w:val="28"/>
    </w:rPr>
  </w:style>
  <w:style w:type="paragraph" w:styleId="Heading2">
    <w:name w:val="heading 2"/>
    <w:basedOn w:val="Normal"/>
    <w:next w:val="Normal"/>
    <w:link w:val="Heading2Char"/>
    <w:qFormat/>
    <w:rsid w:val="00D87584"/>
    <w:pPr>
      <w:numPr>
        <w:ilvl w:val="1"/>
        <w:numId w:val="1"/>
      </w:numPr>
      <w:ind w:left="567" w:hanging="567"/>
      <w:outlineLvl w:val="1"/>
    </w:pPr>
  </w:style>
  <w:style w:type="paragraph" w:styleId="Heading3">
    <w:name w:val="heading 3"/>
    <w:basedOn w:val="Normal"/>
    <w:next w:val="Normal"/>
    <w:link w:val="Heading3Char"/>
    <w:qFormat/>
    <w:rsid w:val="0054592F"/>
    <w:pPr>
      <w:numPr>
        <w:ilvl w:val="2"/>
        <w:numId w:val="1"/>
      </w:numPr>
      <w:ind w:left="720" w:hanging="720"/>
      <w:outlineLvl w:val="2"/>
    </w:pPr>
  </w:style>
  <w:style w:type="paragraph" w:styleId="Heading4">
    <w:name w:val="heading 4"/>
    <w:basedOn w:val="Normal"/>
    <w:next w:val="Normal"/>
    <w:link w:val="Heading4Char"/>
    <w:qFormat/>
    <w:rsid w:val="0054592F"/>
    <w:pPr>
      <w:numPr>
        <w:ilvl w:val="3"/>
        <w:numId w:val="1"/>
      </w:numPr>
      <w:ind w:left="720" w:hanging="720"/>
      <w:outlineLvl w:val="3"/>
    </w:pPr>
  </w:style>
  <w:style w:type="paragraph" w:styleId="Heading5">
    <w:name w:val="heading 5"/>
    <w:basedOn w:val="Normal"/>
    <w:next w:val="Normal"/>
    <w:link w:val="Heading5Char"/>
    <w:qFormat/>
    <w:rsid w:val="0054592F"/>
    <w:pPr>
      <w:numPr>
        <w:ilvl w:val="4"/>
        <w:numId w:val="1"/>
      </w:numPr>
      <w:ind w:left="720" w:hanging="720"/>
      <w:outlineLvl w:val="4"/>
    </w:pPr>
  </w:style>
  <w:style w:type="paragraph" w:styleId="Heading6">
    <w:name w:val="heading 6"/>
    <w:basedOn w:val="Normal"/>
    <w:next w:val="Normal"/>
    <w:link w:val="Heading6Char"/>
    <w:qFormat/>
    <w:rsid w:val="0054592F"/>
    <w:pPr>
      <w:numPr>
        <w:ilvl w:val="5"/>
        <w:numId w:val="1"/>
      </w:numPr>
      <w:ind w:left="720" w:hanging="720"/>
      <w:outlineLvl w:val="5"/>
    </w:pPr>
  </w:style>
  <w:style w:type="paragraph" w:styleId="Heading7">
    <w:name w:val="heading 7"/>
    <w:basedOn w:val="Normal"/>
    <w:next w:val="Normal"/>
    <w:link w:val="Heading7Char"/>
    <w:qFormat/>
    <w:rsid w:val="0054592F"/>
    <w:pPr>
      <w:numPr>
        <w:ilvl w:val="6"/>
        <w:numId w:val="1"/>
      </w:numPr>
      <w:ind w:left="720" w:hanging="720"/>
      <w:outlineLvl w:val="6"/>
    </w:pPr>
  </w:style>
  <w:style w:type="paragraph" w:styleId="Heading8">
    <w:name w:val="heading 8"/>
    <w:basedOn w:val="Normal"/>
    <w:next w:val="Normal"/>
    <w:link w:val="Heading8Char"/>
    <w:qFormat/>
    <w:rsid w:val="0054592F"/>
    <w:pPr>
      <w:numPr>
        <w:ilvl w:val="7"/>
        <w:numId w:val="1"/>
      </w:numPr>
      <w:ind w:left="720" w:hanging="720"/>
      <w:outlineLvl w:val="7"/>
    </w:pPr>
  </w:style>
  <w:style w:type="paragraph" w:styleId="Heading9">
    <w:name w:val="heading 9"/>
    <w:basedOn w:val="Normal"/>
    <w:next w:val="Normal"/>
    <w:link w:val="Heading9Char"/>
    <w:qFormat/>
    <w:rsid w:val="005459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es-ES" w:bidi="es-ES"/>
    </w:rPr>
  </w:style>
  <w:style w:type="character" w:customStyle="1" w:styleId="Heading2Char">
    <w:name w:val="Heading 2 Char"/>
    <w:basedOn w:val="DefaultParagraphFont"/>
    <w:link w:val="Heading2"/>
    <w:locked/>
    <w:rsid w:val="00D87584"/>
    <w:rPr>
      <w:szCs w:val="20"/>
      <w:lang w:val="fr-FR"/>
    </w:rPr>
  </w:style>
  <w:style w:type="character" w:customStyle="1" w:styleId="Heading3Char">
    <w:name w:val="Heading 3 Char"/>
    <w:basedOn w:val="DefaultParagraphFont"/>
    <w:link w:val="Heading3"/>
    <w:locked/>
    <w:rsid w:val="00CB1536"/>
    <w:rPr>
      <w:szCs w:val="20"/>
      <w:lang w:eastAsia="es-ES" w:bidi="es-ES"/>
    </w:rPr>
  </w:style>
  <w:style w:type="character" w:customStyle="1" w:styleId="Heading4Char">
    <w:name w:val="Heading 4 Char"/>
    <w:basedOn w:val="DefaultParagraphFont"/>
    <w:link w:val="Heading4"/>
    <w:locked/>
    <w:rsid w:val="00CB1536"/>
    <w:rPr>
      <w:szCs w:val="20"/>
      <w:lang w:eastAsia="es-ES" w:bidi="es-ES"/>
    </w:rPr>
  </w:style>
  <w:style w:type="character" w:customStyle="1" w:styleId="Heading5Char">
    <w:name w:val="Heading 5 Char"/>
    <w:basedOn w:val="DefaultParagraphFont"/>
    <w:link w:val="Heading5"/>
    <w:locked/>
    <w:rsid w:val="00CB1536"/>
    <w:rPr>
      <w:szCs w:val="20"/>
      <w:lang w:eastAsia="es-ES" w:bidi="es-ES"/>
    </w:rPr>
  </w:style>
  <w:style w:type="character" w:customStyle="1" w:styleId="Heading6Char">
    <w:name w:val="Heading 6 Char"/>
    <w:basedOn w:val="DefaultParagraphFont"/>
    <w:link w:val="Heading6"/>
    <w:locked/>
    <w:rsid w:val="00CB1536"/>
    <w:rPr>
      <w:szCs w:val="20"/>
      <w:lang w:eastAsia="es-ES" w:bidi="es-ES"/>
    </w:rPr>
  </w:style>
  <w:style w:type="character" w:customStyle="1" w:styleId="Heading7Char">
    <w:name w:val="Heading 7 Char"/>
    <w:basedOn w:val="DefaultParagraphFont"/>
    <w:link w:val="Heading7"/>
    <w:locked/>
    <w:rsid w:val="00CB1536"/>
    <w:rPr>
      <w:szCs w:val="20"/>
      <w:lang w:eastAsia="es-ES" w:bidi="es-ES"/>
    </w:rPr>
  </w:style>
  <w:style w:type="character" w:customStyle="1" w:styleId="Heading8Char">
    <w:name w:val="Heading 8 Char"/>
    <w:basedOn w:val="DefaultParagraphFont"/>
    <w:link w:val="Heading8"/>
    <w:locked/>
    <w:rsid w:val="00CB1536"/>
    <w:rPr>
      <w:szCs w:val="20"/>
      <w:lang w:eastAsia="es-ES" w:bidi="es-ES"/>
    </w:rPr>
  </w:style>
  <w:style w:type="character" w:customStyle="1" w:styleId="Heading9Char">
    <w:name w:val="Heading 9 Char"/>
    <w:basedOn w:val="DefaultParagraphFont"/>
    <w:link w:val="Heading9"/>
    <w:locked/>
    <w:rsid w:val="00CB1536"/>
    <w:rPr>
      <w:szCs w:val="20"/>
      <w:lang w:eastAsia="es-ES" w:bidi="es-ES"/>
    </w:rPr>
  </w:style>
  <w:style w:type="paragraph" w:styleId="Footer">
    <w:name w:val="footer"/>
    <w:basedOn w:val="Normal"/>
    <w:link w:val="FooterChar"/>
    <w:rsid w:val="0054592F"/>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qFormat/>
    <w:rsid w:val="0054592F"/>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es-ES" w:bidi="es-ES"/>
    </w:rPr>
  </w:style>
  <w:style w:type="paragraph" w:styleId="Header">
    <w:name w:val="header"/>
    <w:basedOn w:val="Normal"/>
    <w:link w:val="HeaderChar"/>
    <w:rsid w:val="0054592F"/>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qFormat/>
    <w:rsid w:val="0054592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95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B6"/>
    <w:rPr>
      <w:rFonts w:ascii="Tahoma" w:hAnsi="Tahoma" w:cs="Tahoma"/>
      <w:sz w:val="16"/>
      <w:szCs w:val="16"/>
      <w:lang w:eastAsia="es-ES" w:bidi="es-ES"/>
    </w:rPr>
  </w:style>
  <w:style w:type="paragraph" w:styleId="ListParagraph">
    <w:name w:val="List Paragraph"/>
    <w:basedOn w:val="Normal"/>
    <w:uiPriority w:val="34"/>
    <w:qFormat/>
    <w:rsid w:val="00AC7C05"/>
    <w:pPr>
      <w:overflowPunct/>
      <w:autoSpaceDE/>
      <w:autoSpaceDN/>
      <w:adjustRightInd/>
      <w:ind w:left="720"/>
      <w:contextualSpacing/>
      <w:textAlignment w:val="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2F"/>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54592F"/>
    <w:pPr>
      <w:numPr>
        <w:numId w:val="1"/>
      </w:numPr>
      <w:ind w:left="720" w:hanging="720"/>
      <w:outlineLvl w:val="0"/>
    </w:pPr>
    <w:rPr>
      <w:kern w:val="28"/>
    </w:rPr>
  </w:style>
  <w:style w:type="paragraph" w:styleId="Heading2">
    <w:name w:val="heading 2"/>
    <w:basedOn w:val="Normal"/>
    <w:next w:val="Normal"/>
    <w:link w:val="Heading2Char"/>
    <w:qFormat/>
    <w:rsid w:val="00D87584"/>
    <w:pPr>
      <w:numPr>
        <w:ilvl w:val="1"/>
        <w:numId w:val="1"/>
      </w:numPr>
      <w:ind w:left="567" w:hanging="567"/>
      <w:outlineLvl w:val="1"/>
    </w:pPr>
  </w:style>
  <w:style w:type="paragraph" w:styleId="Heading3">
    <w:name w:val="heading 3"/>
    <w:basedOn w:val="Normal"/>
    <w:next w:val="Normal"/>
    <w:link w:val="Heading3Char"/>
    <w:qFormat/>
    <w:rsid w:val="0054592F"/>
    <w:pPr>
      <w:numPr>
        <w:ilvl w:val="2"/>
        <w:numId w:val="1"/>
      </w:numPr>
      <w:ind w:left="720" w:hanging="720"/>
      <w:outlineLvl w:val="2"/>
    </w:pPr>
  </w:style>
  <w:style w:type="paragraph" w:styleId="Heading4">
    <w:name w:val="heading 4"/>
    <w:basedOn w:val="Normal"/>
    <w:next w:val="Normal"/>
    <w:link w:val="Heading4Char"/>
    <w:qFormat/>
    <w:rsid w:val="0054592F"/>
    <w:pPr>
      <w:numPr>
        <w:ilvl w:val="3"/>
        <w:numId w:val="1"/>
      </w:numPr>
      <w:ind w:left="720" w:hanging="720"/>
      <w:outlineLvl w:val="3"/>
    </w:pPr>
  </w:style>
  <w:style w:type="paragraph" w:styleId="Heading5">
    <w:name w:val="heading 5"/>
    <w:basedOn w:val="Normal"/>
    <w:next w:val="Normal"/>
    <w:link w:val="Heading5Char"/>
    <w:qFormat/>
    <w:rsid w:val="0054592F"/>
    <w:pPr>
      <w:numPr>
        <w:ilvl w:val="4"/>
        <w:numId w:val="1"/>
      </w:numPr>
      <w:ind w:left="720" w:hanging="720"/>
      <w:outlineLvl w:val="4"/>
    </w:pPr>
  </w:style>
  <w:style w:type="paragraph" w:styleId="Heading6">
    <w:name w:val="heading 6"/>
    <w:basedOn w:val="Normal"/>
    <w:next w:val="Normal"/>
    <w:link w:val="Heading6Char"/>
    <w:qFormat/>
    <w:rsid w:val="0054592F"/>
    <w:pPr>
      <w:numPr>
        <w:ilvl w:val="5"/>
        <w:numId w:val="1"/>
      </w:numPr>
      <w:ind w:left="720" w:hanging="720"/>
      <w:outlineLvl w:val="5"/>
    </w:pPr>
  </w:style>
  <w:style w:type="paragraph" w:styleId="Heading7">
    <w:name w:val="heading 7"/>
    <w:basedOn w:val="Normal"/>
    <w:next w:val="Normal"/>
    <w:link w:val="Heading7Char"/>
    <w:qFormat/>
    <w:rsid w:val="0054592F"/>
    <w:pPr>
      <w:numPr>
        <w:ilvl w:val="6"/>
        <w:numId w:val="1"/>
      </w:numPr>
      <w:ind w:left="720" w:hanging="720"/>
      <w:outlineLvl w:val="6"/>
    </w:pPr>
  </w:style>
  <w:style w:type="paragraph" w:styleId="Heading8">
    <w:name w:val="heading 8"/>
    <w:basedOn w:val="Normal"/>
    <w:next w:val="Normal"/>
    <w:link w:val="Heading8Char"/>
    <w:qFormat/>
    <w:rsid w:val="0054592F"/>
    <w:pPr>
      <w:numPr>
        <w:ilvl w:val="7"/>
        <w:numId w:val="1"/>
      </w:numPr>
      <w:ind w:left="720" w:hanging="720"/>
      <w:outlineLvl w:val="7"/>
    </w:pPr>
  </w:style>
  <w:style w:type="paragraph" w:styleId="Heading9">
    <w:name w:val="heading 9"/>
    <w:basedOn w:val="Normal"/>
    <w:next w:val="Normal"/>
    <w:link w:val="Heading9Char"/>
    <w:qFormat/>
    <w:rsid w:val="005459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es-ES" w:bidi="es-ES"/>
    </w:rPr>
  </w:style>
  <w:style w:type="character" w:customStyle="1" w:styleId="Heading2Char">
    <w:name w:val="Heading 2 Char"/>
    <w:basedOn w:val="DefaultParagraphFont"/>
    <w:link w:val="Heading2"/>
    <w:locked/>
    <w:rsid w:val="00D87584"/>
    <w:rPr>
      <w:szCs w:val="20"/>
      <w:lang w:val="fr-FR"/>
    </w:rPr>
  </w:style>
  <w:style w:type="character" w:customStyle="1" w:styleId="Heading3Char">
    <w:name w:val="Heading 3 Char"/>
    <w:basedOn w:val="DefaultParagraphFont"/>
    <w:link w:val="Heading3"/>
    <w:locked/>
    <w:rsid w:val="00CB1536"/>
    <w:rPr>
      <w:szCs w:val="20"/>
      <w:lang w:eastAsia="es-ES" w:bidi="es-ES"/>
    </w:rPr>
  </w:style>
  <w:style w:type="character" w:customStyle="1" w:styleId="Heading4Char">
    <w:name w:val="Heading 4 Char"/>
    <w:basedOn w:val="DefaultParagraphFont"/>
    <w:link w:val="Heading4"/>
    <w:locked/>
    <w:rsid w:val="00CB1536"/>
    <w:rPr>
      <w:szCs w:val="20"/>
      <w:lang w:eastAsia="es-ES" w:bidi="es-ES"/>
    </w:rPr>
  </w:style>
  <w:style w:type="character" w:customStyle="1" w:styleId="Heading5Char">
    <w:name w:val="Heading 5 Char"/>
    <w:basedOn w:val="DefaultParagraphFont"/>
    <w:link w:val="Heading5"/>
    <w:locked/>
    <w:rsid w:val="00CB1536"/>
    <w:rPr>
      <w:szCs w:val="20"/>
      <w:lang w:eastAsia="es-ES" w:bidi="es-ES"/>
    </w:rPr>
  </w:style>
  <w:style w:type="character" w:customStyle="1" w:styleId="Heading6Char">
    <w:name w:val="Heading 6 Char"/>
    <w:basedOn w:val="DefaultParagraphFont"/>
    <w:link w:val="Heading6"/>
    <w:locked/>
    <w:rsid w:val="00CB1536"/>
    <w:rPr>
      <w:szCs w:val="20"/>
      <w:lang w:eastAsia="es-ES" w:bidi="es-ES"/>
    </w:rPr>
  </w:style>
  <w:style w:type="character" w:customStyle="1" w:styleId="Heading7Char">
    <w:name w:val="Heading 7 Char"/>
    <w:basedOn w:val="DefaultParagraphFont"/>
    <w:link w:val="Heading7"/>
    <w:locked/>
    <w:rsid w:val="00CB1536"/>
    <w:rPr>
      <w:szCs w:val="20"/>
      <w:lang w:eastAsia="es-ES" w:bidi="es-ES"/>
    </w:rPr>
  </w:style>
  <w:style w:type="character" w:customStyle="1" w:styleId="Heading8Char">
    <w:name w:val="Heading 8 Char"/>
    <w:basedOn w:val="DefaultParagraphFont"/>
    <w:link w:val="Heading8"/>
    <w:locked/>
    <w:rsid w:val="00CB1536"/>
    <w:rPr>
      <w:szCs w:val="20"/>
      <w:lang w:eastAsia="es-ES" w:bidi="es-ES"/>
    </w:rPr>
  </w:style>
  <w:style w:type="character" w:customStyle="1" w:styleId="Heading9Char">
    <w:name w:val="Heading 9 Char"/>
    <w:basedOn w:val="DefaultParagraphFont"/>
    <w:link w:val="Heading9"/>
    <w:locked/>
    <w:rsid w:val="00CB1536"/>
    <w:rPr>
      <w:szCs w:val="20"/>
      <w:lang w:eastAsia="es-ES" w:bidi="es-ES"/>
    </w:rPr>
  </w:style>
  <w:style w:type="paragraph" w:styleId="Footer">
    <w:name w:val="footer"/>
    <w:basedOn w:val="Normal"/>
    <w:link w:val="FooterChar"/>
    <w:rsid w:val="0054592F"/>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qFormat/>
    <w:rsid w:val="0054592F"/>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es-ES" w:bidi="es-ES"/>
    </w:rPr>
  </w:style>
  <w:style w:type="paragraph" w:styleId="Header">
    <w:name w:val="header"/>
    <w:basedOn w:val="Normal"/>
    <w:link w:val="HeaderChar"/>
    <w:rsid w:val="0054592F"/>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qFormat/>
    <w:rsid w:val="0054592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95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B6"/>
    <w:rPr>
      <w:rFonts w:ascii="Tahoma" w:hAnsi="Tahoma" w:cs="Tahoma"/>
      <w:sz w:val="16"/>
      <w:szCs w:val="16"/>
      <w:lang w:eastAsia="es-ES" w:bidi="es-ES"/>
    </w:rPr>
  </w:style>
  <w:style w:type="paragraph" w:styleId="ListParagraph">
    <w:name w:val="List Paragraph"/>
    <w:basedOn w:val="Normal"/>
    <w:uiPriority w:val="34"/>
    <w:qFormat/>
    <w:rsid w:val="00AC7C05"/>
    <w:pPr>
      <w:overflowPunct/>
      <w:autoSpaceDE/>
      <w:autoSpaceDN/>
      <w:adjustRightInd/>
      <w:ind w:left="720"/>
      <w:contextualSpacing/>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3.xml"/><Relationship Id="rId16" Type="http://schemas.openxmlformats.org/officeDocument/2006/relationships/footer" Target="footer2.xml"/><Relationship Id="rId20" Type="http://schemas.openxmlformats.org/officeDocument/2006/relationships/fontTable" Target="fontTable.xml"/><Relationship Id="rId29"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8"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1/relationships/people" Target="people.xml"/><Relationship Id="rId30"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VV634QRNENMJ-1473583191-5664</_dlc_DocId>
    <_dlc_DocIdUrl xmlns="cda99570-6012-4083-bfeb-7d32ad1ce1a3">
      <Url>http://dm2016/eesc/2020/_layouts/15/DocIdRedir.aspx?ID=VV634QRNENMJ-1473583191-5664</Url>
      <Description>VV634QRNENMJ-1473583191-5664</Description>
    </_dlc_DocIdUrl>
    <Procedure xmlns="cda99570-6012-4083-bfeb-7d32ad1ce1a3">2019/0272(COD)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2020-05-15T12:00:00+00:00</ProductionDate>
    <FicheYear xmlns="cda99570-6012-4083-bfeb-7d32ad1ce1a3">2020</FicheYear>
    <DocumentNumber xmlns="7e251a1d-ec51-4e50-a0f2-54133721ed03">223</DocumentNumber>
    <DocumentVersion xmlns="cda99570-6012-4083-bfeb-7d32ad1ce1a3">0</DocumentVersion>
    <DossierNumber xmlns="cda99570-6012-4083-bfeb-7d32ad1ce1a3">782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49</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SARRÓ IPARRAGUIRRE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2651</FicheNumber>
    <DocumentPart xmlns="cda99570-6012-4083-bfeb-7d32ad1ce1a3">0</DocumentPart>
    <AdoptionDate xmlns="cda99570-6012-4083-bfeb-7d32ad1ce1a3">2020-05-07T12:00:00+00:00</AdoptionDate>
    <RequestingService xmlns="cda99570-6012-4083-bfeb-7d32ad1ce1a3">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DE88D-58F9-44E6-81C8-503ED13A0E16}"/>
</file>

<file path=customXml/itemProps2.xml><?xml version="1.0" encoding="utf-8"?>
<ds:datastoreItem xmlns:ds="http://schemas.openxmlformats.org/officeDocument/2006/customXml" ds:itemID="{E9D95F5C-8FDD-42C1-B101-C7F6F7987C61}"/>
</file>

<file path=customXml/itemProps3.xml><?xml version="1.0" encoding="utf-8"?>
<ds:datastoreItem xmlns:ds="http://schemas.openxmlformats.org/officeDocument/2006/customXml" ds:itemID="{8C6A2BFE-EC3C-40CA-A4C5-DAB84E8647A6}"/>
</file>

<file path=customXml/itemProps4.xml><?xml version="1.0" encoding="utf-8"?>
<ds:datastoreItem xmlns:ds="http://schemas.openxmlformats.org/officeDocument/2006/customXml" ds:itemID="{A263EAAD-6E51-4476-BD8A-A83619343E78}"/>
</file>

<file path=docProps/app.xml><?xml version="1.0" encoding="utf-8"?>
<Properties xmlns="http://schemas.openxmlformats.org/officeDocument/2006/extended-properties" xmlns:vt="http://schemas.openxmlformats.org/officeDocument/2006/docPropsVTypes">
  <Template>Normal</Template>
  <TotalTime>2</TotalTime>
  <Pages>5</Pages>
  <Words>1332</Words>
  <Characters>7598</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Plan pluriannuel de gestion du thon rouge</vt:lpstr>
      <vt:lpstr>European Agenda on Migration: Second implementation package - A permanent crisis relocation mechanism under the Dublin system</vt:lpstr>
    </vt:vector>
  </TitlesOfParts>
  <Company>CESE-CdR</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pluriannuel de gestion du thon rouge</dc:title>
  <dc:subject>Avis comité</dc:subject>
  <dc:creator>Emma Nieddu</dc:creator>
  <cp:keywords>EESC-2020-00223-00-00-AC-TRA-EN</cp:keywords>
  <dc:description>Rapporteur: SARRÓ IPARRAGUIRRE - Original language: EN - Date of document: 15/05/2020 - Date of meeting:  - External documents: COM(2019)619 - Administrator: M. INIGUEZ YUSTE Arturo José</dc:description>
  <cp:lastModifiedBy>Grégory Lacroix</cp:lastModifiedBy>
  <cp:revision>5</cp:revision>
  <cp:lastPrinted>2016-01-26T08:31:00Z</cp:lastPrinted>
  <dcterms:created xsi:type="dcterms:W3CDTF">2020-05-08T14:10:00Z</dcterms:created>
  <dcterms:modified xsi:type="dcterms:W3CDTF">2020-05-08T14:12:00Z</dcterms:modified>
  <cp:category>NAT/782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10/03/2020, 25/02/2020, 24/02/2020, 21/02/2020, 04/11/2015, 27/10/2015, 19/10/2015, 09/10/2015, 05/10/2015, 05/10/2015, 26/08/2015, 26/08/2015, 25/08/2015</vt:lpwstr>
  </property>
  <property fmtid="{D5CDD505-2E9C-101B-9397-08002B2CF9AE}" pid="4" name="Pref_Time">
    <vt:lpwstr>15:34:56, 16:52:04, 14:08:20, 10:26:53, 12:10:07, 14:44:02, 16:04:16, 14:09:30, 16:24:55, 16:04:02, 08:56:14, 07:27:56, 17:31:53</vt:lpwstr>
  </property>
  <property fmtid="{D5CDD505-2E9C-101B-9397-08002B2CF9AE}" pid="5" name="Pref_User">
    <vt:lpwstr>mkop, enied, jhvi, mkop, ssex, enied, amett, tvoc, mreg, mreg, amett, enied, ssex</vt:lpwstr>
  </property>
  <property fmtid="{D5CDD505-2E9C-101B-9397-08002B2CF9AE}" pid="6" name="Pref_FileName">
    <vt:lpwstr>EESC-2020-00223-00-00-AS-TRA-FR-CRR.docx, EESC-2020-00223-00-02-PA-ORI.docx, EESC-2020-00223-00-01-PA-ORI.docx, EESC-2020-00223-00-00-PA-TRA-ES-CRR.docx, EESC-2015-05408-00-00-PA-CRR-EN.docx, EESC-2015-05408-00-01-APA-ORI.docx, EESC-2015-04319-00-00-TCD-O</vt:lpwstr>
  </property>
  <property fmtid="{D5CDD505-2E9C-101B-9397-08002B2CF9AE}" pid="7" name="ContentTypeId">
    <vt:lpwstr>0x010100EA97B91038054C99906057A708A1480A00C8AAC01E6EC9A04BA0219D5F488D50F5</vt:lpwstr>
  </property>
  <property fmtid="{D5CDD505-2E9C-101B-9397-08002B2CF9AE}" pid="8" name="_dlc_DocIdItemGuid">
    <vt:lpwstr>694377c4-c90e-4dc6-a4e5-54d853edd28a</vt:lpwstr>
  </property>
  <property fmtid="{D5CDD505-2E9C-101B-9397-08002B2CF9AE}" pid="9" name="Procedure">
    <vt:lpwstr>2019/0272(COD)</vt:lpwstr>
  </property>
  <property fmtid="{D5CDD505-2E9C-101B-9397-08002B2CF9AE}" pid="10" name="AvailableTranslations">
    <vt:lpwstr>13;#IT|0774613c-01ed-4e5d-a25d-11d2388de825;#31;#CS|72f9705b-0217-4fd3-bea2-cbc7ed80e26e;#32;#DA|5d49c027-8956-412b-aa16-e85a0f96ad0e;#36;#MT|7df99101-6854-4a26-b53a-b88c0da02c26;#40;#SV|c2ed69e7-a339-43d7-8f22-d93680a92aa0;#44;#BG|1a1b3951-7821-4e6a-85f5-5673fc08bd2c;#39;#HU|6b229040-c589-4408-b4c1-4285663d20a8;#24;#LV|46f7e311-5d9f-4663-b433-18aeccb7ace7;#34;#SL|98a412ae-eb01-49e9-ae3d-585a81724cfc;#46;#SK|46d9fce0-ef79-4f71-b89b-cd6aa82426b8;#38;#EL|6d4f4d51-af9b-4650-94b4-4276bee85c91;#11;#FR|d2afafd3-4c81-4f60-8f52-ee33f2f54ff3;#48;#RO|feb747a2-64cd-4299-af12-4833ddc30497;#30;#LT|a7ff5ce7-6123-4f68-865a-a57c31810414;#10;#DE|f6b31e5a-26fa-4935-b661-318e46daf27e;#29;#PT|50ccc04a-eadd-42ae-a0cb-acaf45f812ba;#41;#NL|55c6556c-b4f4-441d-9acf-c498d4f838bd;#16;#ES|e7a6b05b-ae16-40c8-add9-68b64b03aeba;#47;#ET|ff6c3f4c-b02c-4c3c-ab07-2c37995a7a0a;#9;#PL|1e03da61-4678-4e07-b136-b5024ca9197b;#45;#FI|87606a43-d45f-42d6-b8c9-e1a3457db5b7;#43;#HR|2f555653-ed1a-4fe6-8362-9082d95989e5;#4;#EN|f2175f21-25d7-44a3-96da-d6a61b075e1b</vt:lpwstr>
  </property>
  <property fmtid="{D5CDD505-2E9C-101B-9397-08002B2CF9AE}" pid="11" name="DocumentType_0">
    <vt:lpwstr>AC|a4cc1d15-fb08-4679-ad46-e4e0cba5fe92</vt:lpwstr>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DocumentNumber">
    <vt:i4>223</vt:i4>
  </property>
  <property fmtid="{D5CDD505-2E9C-101B-9397-08002B2CF9AE}" pid="15" name="FicheYear">
    <vt:i4>2020</vt:i4>
  </property>
  <property fmtid="{D5CDD505-2E9C-101B-9397-08002B2CF9AE}" pid="16" name="DocumentVersion">
    <vt:i4>0</vt:i4>
  </property>
  <property fmtid="{D5CDD505-2E9C-101B-9397-08002B2CF9AE}" pid="17" name="DossierNumber">
    <vt:i4>782</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49;#NAT|b263ab5d-0564-42a8-87bf-1cc57d938922</vt:lpwstr>
  </property>
  <property fmtid="{D5CDD505-2E9C-101B-9397-08002B2CF9AE}" pid="21" name="DocumentSource">
    <vt:lpwstr>1;#EESC|422833ec-8d7e-4e65-8e4e-8bed07ffb729</vt:lpwstr>
  </property>
  <property fmtid="{D5CDD505-2E9C-101B-9397-08002B2CF9AE}" pid="22" name="AdoptionDate">
    <vt:filetime>2020-05-07T12:00:00Z</vt:filetime>
  </property>
  <property fmtid="{D5CDD505-2E9C-101B-9397-08002B2CF9AE}" pid="23" name="DocumentType">
    <vt:lpwstr>70;#AC|a4cc1d15-fb08-4679-ad46-e4e0cba5fe92</vt:lpwstr>
  </property>
  <property fmtid="{D5CDD505-2E9C-101B-9397-08002B2CF9AE}" pid="24" name="RequestingService">
    <vt:lpwstr>Agriculture, développement rural et environnement</vt:lpwstr>
  </property>
  <property fmtid="{D5CDD505-2E9C-101B-9397-08002B2CF9AE}" pid="25" name="Confidentiality">
    <vt:lpwstr>5;#Unrestricted|826e22d7-d029-4ec0-a450-0c28ff673572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1" name="AvailableTranslations_0">
    <vt:lpwstr>IT|0774613c-01ed-4e5d-a25d-11d2388de825;CS|72f9705b-0217-4fd3-bea2-cbc7ed80e26e;DA|5d49c027-8956-412b-aa16-e85a0f96ad0e;SV|c2ed69e7-a339-43d7-8f22-d93680a92aa0;BG|1a1b3951-7821-4e6a-85f5-5673fc08bd2c;HU|6b229040-c589-4408-b4c1-4285663d20a8;LV|46f7e311-5d9f-4663-b433-18aeccb7ace7;SL|98a412ae-eb01-49e9-ae3d-585a81724cfc;DE|f6b31e5a-26fa-4935-b661-318e46daf27e;PT|50ccc04a-eadd-42ae-a0cb-acaf45f812ba;FI|87606a43-d45f-42d6-b8c9-e1a3457db5b7;HR|2f555653-ed1a-4fe6-8362-9082d95989e5;EN|f2175f21-25d7-44a3-96da-d6a61b075e1b</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34;#SL|98a412ae-eb01-49e9-ae3d-585a81724cfc;#70;#AC|a4cc1d15-fb08-4679-ad46-e4e0cba5fe92;#32;#DA|5d49c027-8956-412b-aa16-e85a0f96ad0e;#31;#CS|72f9705b-0217-4fd3-bea2-cbc7ed80e26e;#43;#HR|2f555653-ed1a-4fe6-8362-9082d95989e5;#29;#PT|50ccc04a-eadd-42ae-a0cb-acaf45f812ba;#24;#LV|46f7e311-5d9f-4663-b433-18aeccb7ace7;#39;#HU|6b229040-c589-4408-b4c1-4285663d20a8;#13;#IT|0774613c-01ed-4e5d-a25d-11d2388de825;#49;#NAT|b263ab5d-0564-42a8-87bf-1cc57d938922;#10;#DE|f6b31e5a-26fa-4935-b661-318e46daf27e;#45;#FI|87606a43-d45f-42d6-b8c9-e1a3457db5b7;#44;#BG|1a1b3951-7821-4e6a-85f5-5673fc08bd2c;#6;#Final|ea5e6674-7b27-4bac-b091-73adbb394efe;#5;#Unrestricted|826e22d7-d029-4ec0-a450-0c28ff673572;#4;#EN|f2175f21-25d7-44a3-96da-d6a61b075e1b;#40;#SV|c2ed69e7-a339-43d7-8f22-d93680a92aa0;#2;#TRA|150d2a88-1431-44e6-a8ca-0bb753ab8672;#1;#EESC|422833ec-8d7e-4e65-8e4e-8bed07ffb729</vt:lpwstr>
  </property>
  <property fmtid="{D5CDD505-2E9C-101B-9397-08002B2CF9AE}" pid="35" name="Rapporteur">
    <vt:lpwstr>SARRÓ IPARRAGUIRRE</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2020</vt:i4>
  </property>
  <property fmtid="{D5CDD505-2E9C-101B-9397-08002B2CF9AE}" pid="39" name="FicheNumber">
    <vt:i4>2651</vt:i4>
  </property>
  <property fmtid="{D5CDD505-2E9C-101B-9397-08002B2CF9AE}" pid="40" name="DocumentLanguage">
    <vt:lpwstr>11;#FR|d2afafd3-4c81-4f60-8f52-ee33f2f54ff3</vt:lpwstr>
  </property>
</Properties>
</file>