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460ADE" w:rsidRDefault="0095009E" w:rsidP="001F50B6">
      <w:pPr>
        <w:snapToGrid w:val="0"/>
        <w:jc w:val="center"/>
      </w:pPr>
      <w:r w:rsidRPr="00460ADE">
        <w:rPr>
          <w:noProof/>
          <w:lang w:val="en-GB" w:eastAsia="en-GB"/>
        </w:rPr>
        <w:drawing>
          <wp:inline distT="0" distB="0" distL="0" distR="0">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460ADE">
        <w:fldChar w:fldCharType="begin"/>
      </w:r>
      <w:r w:rsidR="006A08D5" w:rsidRPr="00460ADE">
        <w:instrText xml:space="preserve">  </w:instrText>
      </w:r>
      <w:r w:rsidR="006A08D5" w:rsidRPr="00460ADE">
        <w:fldChar w:fldCharType="end"/>
      </w:r>
      <w:r w:rsidR="00CE06AD" w:rsidRPr="00460ADE">
        <w:rPr>
          <w:noProof/>
          <w:sz w:val="20"/>
          <w:lang w:val="en-GB" w:eastAsia="en-GB"/>
        </w:rPr>
        <mc:AlternateContent>
          <mc:Choice Requires="wps">
            <w:drawing>
              <wp:anchor distT="0" distB="0" distL="114300" distR="114300" simplePos="0" relativeHeight="251659264" behindDoc="1" locked="0" layoutInCell="0" allowOverlap="1" wp14:anchorId="00998E50" wp14:editId="1DF5408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8E5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008405A0" w:rsidRPr="00460ADE" w:rsidRDefault="008405A0" w:rsidP="001F50B6">
      <w:pPr>
        <w:snapToGrid w:val="0"/>
        <w:rPr>
          <w:lang w:val="en-GB"/>
        </w:rPr>
      </w:pPr>
    </w:p>
    <w:p w:rsidR="008405A0" w:rsidRPr="00460ADE" w:rsidRDefault="008405A0" w:rsidP="001F50B6">
      <w:pPr>
        <w:snapToGrid w:val="0"/>
        <w:rPr>
          <w:lang w:val="en-GB"/>
        </w:rPr>
      </w:pPr>
    </w:p>
    <w:p w:rsidR="008405A0" w:rsidRPr="00460ADE" w:rsidRDefault="00FC0B2C" w:rsidP="001F50B6">
      <w:pPr>
        <w:snapToGrid w:val="0"/>
        <w:jc w:val="right"/>
        <w:rPr>
          <w:rFonts w:eastAsia="MS Mincho"/>
        </w:rPr>
      </w:pPr>
      <w:r w:rsidRPr="00460ADE">
        <w:t xml:space="preserve">Bruxelles, </w:t>
      </w:r>
      <w:r w:rsidR="006527CE" w:rsidRPr="00460ADE">
        <w:t>5 febbraio</w:t>
      </w:r>
      <w:r w:rsidRPr="00460ADE">
        <w:t xml:space="preserve"> 2020</w:t>
      </w:r>
    </w:p>
    <w:p w:rsidR="008405A0" w:rsidRPr="00460ADE" w:rsidRDefault="008405A0" w:rsidP="001F50B6">
      <w:pPr>
        <w:snapToGrid w:val="0"/>
        <w:rPr>
          <w:lang w:val="en-GB"/>
        </w:rPr>
      </w:pPr>
    </w:p>
    <w:p w:rsidR="008405A0" w:rsidRPr="00460ADE" w:rsidRDefault="008405A0" w:rsidP="001F50B6">
      <w:pPr>
        <w:snapToGrid w:val="0"/>
        <w:rPr>
          <w:lang w:val="en-GB"/>
        </w:rPr>
      </w:pPr>
    </w:p>
    <w:p w:rsidR="00AF6F3E" w:rsidRPr="00460ADE" w:rsidRDefault="00AF6F3E" w:rsidP="001F50B6">
      <w:pPr>
        <w:snapToGrid w:val="0"/>
        <w:rPr>
          <w:lang w:val="en-GB"/>
        </w:rPr>
      </w:pPr>
    </w:p>
    <w:p w:rsidR="006819C8" w:rsidRPr="00460ADE"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460ADE" w:rsidTr="00A72D7A">
        <w:tc>
          <w:tcPr>
            <w:tcW w:w="9289" w:type="dxa"/>
            <w:tcBorders>
              <w:top w:val="nil"/>
              <w:left w:val="nil"/>
              <w:bottom w:val="double" w:sz="4" w:space="0" w:color="auto"/>
              <w:right w:val="nil"/>
            </w:tcBorders>
          </w:tcPr>
          <w:p w:rsidR="008405A0" w:rsidRPr="00460ADE" w:rsidRDefault="00B83060" w:rsidP="001F50B6">
            <w:pPr>
              <w:snapToGrid w:val="0"/>
              <w:jc w:val="center"/>
              <w:rPr>
                <w:rFonts w:eastAsia="MS Mincho"/>
                <w:b/>
                <w:sz w:val="32"/>
              </w:rPr>
            </w:pPr>
            <w:r w:rsidRPr="00460ADE">
              <w:rPr>
                <w:b/>
                <w:sz w:val="32"/>
              </w:rPr>
              <w:t>SESSIO</w:t>
            </w:r>
            <w:bookmarkStart w:id="0" w:name="_GoBack"/>
            <w:bookmarkEnd w:id="0"/>
            <w:r w:rsidRPr="00460ADE">
              <w:rPr>
                <w:b/>
                <w:sz w:val="32"/>
              </w:rPr>
              <w:t>NE PLENARIA</w:t>
            </w:r>
            <w:r w:rsidRPr="00460ADE">
              <w:rPr>
                <w:b/>
                <w:sz w:val="32"/>
              </w:rPr>
              <w:br/>
            </w:r>
            <w:r w:rsidRPr="00460ADE">
              <w:rPr>
                <w:b/>
                <w:sz w:val="32"/>
              </w:rPr>
              <w:br/>
            </w:r>
            <w:r w:rsidR="006527CE" w:rsidRPr="00460ADE">
              <w:rPr>
                <w:b/>
                <w:sz w:val="32"/>
              </w:rPr>
              <w:t xml:space="preserve">DEL 22 </w:t>
            </w:r>
            <w:r w:rsidR="00460ADE" w:rsidRPr="00460ADE">
              <w:rPr>
                <w:b/>
                <w:sz w:val="32"/>
              </w:rPr>
              <w:t>E</w:t>
            </w:r>
            <w:r w:rsidR="006527CE" w:rsidRPr="00460ADE">
              <w:rPr>
                <w:b/>
                <w:sz w:val="32"/>
              </w:rPr>
              <w:t xml:space="preserve"> 23 GENNAIO </w:t>
            </w:r>
            <w:r w:rsidRPr="00460ADE">
              <w:rPr>
                <w:b/>
                <w:sz w:val="32"/>
              </w:rPr>
              <w:t>2020</w:t>
            </w:r>
            <w:r w:rsidRPr="00460ADE">
              <w:rPr>
                <w:b/>
                <w:sz w:val="32"/>
              </w:rPr>
              <w:br/>
            </w:r>
            <w:r w:rsidRPr="00460ADE">
              <w:rPr>
                <w:b/>
                <w:sz w:val="32"/>
              </w:rPr>
              <w:br/>
              <w:t>SINTESI DEI PARERI ADOTTATI</w:t>
            </w:r>
          </w:p>
          <w:p w:rsidR="008405A0" w:rsidRPr="00460ADE" w:rsidRDefault="008405A0" w:rsidP="001F50B6">
            <w:pPr>
              <w:rPr>
                <w:lang w:val="en-GB"/>
              </w:rPr>
            </w:pPr>
          </w:p>
          <w:p w:rsidR="008405A0" w:rsidRPr="00460ADE" w:rsidRDefault="008405A0" w:rsidP="001F50B6">
            <w:pPr>
              <w:rPr>
                <w:lang w:val="en-GB"/>
              </w:rPr>
            </w:pPr>
          </w:p>
        </w:tc>
      </w:tr>
      <w:tr w:rsidR="008405A0" w:rsidRPr="00460ADE" w:rsidTr="00A72D7A">
        <w:tc>
          <w:tcPr>
            <w:tcW w:w="9289" w:type="dxa"/>
            <w:tcBorders>
              <w:top w:val="double" w:sz="4" w:space="0" w:color="auto"/>
              <w:left w:val="double" w:sz="4" w:space="0" w:color="auto"/>
              <w:bottom w:val="double" w:sz="4" w:space="0" w:color="auto"/>
              <w:right w:val="double" w:sz="4" w:space="0" w:color="auto"/>
            </w:tcBorders>
          </w:tcPr>
          <w:p w:rsidR="00FF15DA" w:rsidRPr="00460ADE" w:rsidRDefault="00FF15DA" w:rsidP="001F50B6">
            <w:pPr>
              <w:snapToGrid w:val="0"/>
              <w:jc w:val="center"/>
              <w:rPr>
                <w:b/>
                <w:lang w:val="en-GB"/>
              </w:rPr>
            </w:pPr>
          </w:p>
          <w:p w:rsidR="00FC0B2C" w:rsidRPr="00460ADE" w:rsidRDefault="00FC0B2C" w:rsidP="001F50B6">
            <w:pPr>
              <w:snapToGrid w:val="0"/>
              <w:jc w:val="center"/>
              <w:rPr>
                <w:rFonts w:eastAsia="MS Mincho"/>
                <w:b/>
              </w:rPr>
            </w:pPr>
            <w:r w:rsidRPr="00460ADE">
              <w:rPr>
                <w:b/>
              </w:rPr>
              <w:t xml:space="preserve">Il presente documento è accessibile nelle lingue ufficiali sul sito Internet del CESE </w:t>
            </w:r>
            <w:r w:rsidR="006527CE" w:rsidRPr="00460ADE">
              <w:rPr>
                <w:b/>
              </w:rPr>
              <w:br/>
            </w:r>
            <w:r w:rsidRPr="00460ADE">
              <w:rPr>
                <w:b/>
              </w:rPr>
              <w:t>al seguente indirizzo:</w:t>
            </w:r>
          </w:p>
          <w:p w:rsidR="00FC0B2C" w:rsidRPr="00460ADE" w:rsidRDefault="00FC0B2C" w:rsidP="001F50B6">
            <w:pPr>
              <w:snapToGrid w:val="0"/>
              <w:jc w:val="center"/>
              <w:rPr>
                <w:b/>
                <w:lang w:val="en-GB"/>
              </w:rPr>
            </w:pPr>
          </w:p>
          <w:p w:rsidR="00FC0B2C" w:rsidRPr="00460ADE" w:rsidRDefault="00E301F3" w:rsidP="001F50B6">
            <w:pPr>
              <w:jc w:val="center"/>
              <w:rPr>
                <w:rStyle w:val="Hyperlink"/>
                <w:b/>
              </w:rPr>
            </w:pPr>
            <w:hyperlink r:id="rId13" w:history="1">
              <w:r w:rsidR="00AC4842" w:rsidRPr="00460ADE">
                <w:rPr>
                  <w:rStyle w:val="Hyperlink"/>
                </w:rPr>
                <w:t>https://www.eesc.europa.eu/it/our-work/opinions-information-reports/plenary-session-summaries</w:t>
              </w:r>
            </w:hyperlink>
          </w:p>
          <w:p w:rsidR="00FC0B2C" w:rsidRPr="00460ADE" w:rsidRDefault="00FC0B2C" w:rsidP="001F50B6">
            <w:pPr>
              <w:snapToGrid w:val="0"/>
              <w:jc w:val="center"/>
              <w:rPr>
                <w:b/>
                <w:lang w:val="en-GB"/>
              </w:rPr>
            </w:pPr>
          </w:p>
          <w:p w:rsidR="00FC0B2C" w:rsidRPr="00460ADE" w:rsidRDefault="00FC0B2C" w:rsidP="001F50B6">
            <w:pPr>
              <w:snapToGrid w:val="0"/>
              <w:jc w:val="center"/>
              <w:rPr>
                <w:rFonts w:eastAsia="SimSun"/>
                <w:b/>
                <w:lang w:val="en-GB"/>
              </w:rPr>
            </w:pPr>
          </w:p>
          <w:p w:rsidR="00FC0B2C" w:rsidRPr="00460ADE" w:rsidRDefault="00FC0B2C" w:rsidP="001F50B6">
            <w:pPr>
              <w:snapToGrid w:val="0"/>
              <w:jc w:val="center"/>
              <w:rPr>
                <w:rFonts w:eastAsia="MS Mincho"/>
                <w:b/>
              </w:rPr>
            </w:pPr>
            <w:r w:rsidRPr="00460ADE">
              <w:rPr>
                <w:b/>
              </w:rPr>
              <w:t>I pareri menzionati possono essere consultati online tramite il motore di ricerca del CESE:</w:t>
            </w:r>
          </w:p>
          <w:p w:rsidR="00FC0B2C" w:rsidRPr="00460ADE" w:rsidRDefault="00FC0B2C" w:rsidP="001F50B6">
            <w:pPr>
              <w:snapToGrid w:val="0"/>
              <w:jc w:val="center"/>
              <w:rPr>
                <w:b/>
                <w:lang w:val="en-GB"/>
              </w:rPr>
            </w:pPr>
          </w:p>
          <w:p w:rsidR="00FC0B2C" w:rsidRPr="00460ADE" w:rsidRDefault="00E301F3" w:rsidP="001F50B6">
            <w:pPr>
              <w:jc w:val="center"/>
              <w:rPr>
                <w:rStyle w:val="Hyperlink"/>
                <w:b/>
              </w:rPr>
            </w:pPr>
            <w:hyperlink r:id="rId14" w:history="1">
              <w:r w:rsidR="00AC4842" w:rsidRPr="00460ADE">
                <w:rPr>
                  <w:rStyle w:val="Hyperlink"/>
                </w:rPr>
                <w:t>https://dmsearch.eesc.europa.eu/search/opinion</w:t>
              </w:r>
            </w:hyperlink>
          </w:p>
          <w:p w:rsidR="008405A0" w:rsidRPr="00460ADE" w:rsidRDefault="008405A0" w:rsidP="001F50B6">
            <w:pPr>
              <w:snapToGrid w:val="0"/>
              <w:jc w:val="center"/>
              <w:rPr>
                <w:b/>
                <w:bCs/>
                <w:lang w:val="en-GB"/>
              </w:rPr>
            </w:pPr>
          </w:p>
        </w:tc>
      </w:tr>
    </w:tbl>
    <w:p w:rsidR="008F7791" w:rsidRPr="00460ADE" w:rsidRDefault="008F7791" w:rsidP="001F50B6">
      <w:pPr>
        <w:rPr>
          <w:rFonts w:eastAsia="SimSun"/>
          <w:lang w:val="en-GB"/>
        </w:rPr>
      </w:pPr>
    </w:p>
    <w:p w:rsidR="00A9340A" w:rsidRPr="00460ADE" w:rsidRDefault="00A9340A" w:rsidP="001F50B6">
      <w:pPr>
        <w:rPr>
          <w:rFonts w:eastAsia="SimSun"/>
          <w:lang w:val="en-GB"/>
        </w:rPr>
        <w:sectPr w:rsidR="00A9340A" w:rsidRPr="00460ADE" w:rsidSect="00AC4842">
          <w:footerReference w:type="default" r:id="rId15"/>
          <w:type w:val="continuous"/>
          <w:pgSz w:w="11907" w:h="16839"/>
          <w:pgMar w:top="1417" w:right="1417" w:bottom="1417" w:left="1417" w:header="709" w:footer="709" w:gutter="0"/>
          <w:pgNumType w:start="1"/>
          <w:cols w:space="708"/>
          <w:docGrid w:linePitch="299"/>
        </w:sectPr>
      </w:pPr>
    </w:p>
    <w:p w:rsidR="008405A0" w:rsidRPr="00460ADE" w:rsidRDefault="00876D7B" w:rsidP="001F50B6">
      <w:pPr>
        <w:snapToGrid w:val="0"/>
        <w:rPr>
          <w:b/>
        </w:rPr>
      </w:pPr>
      <w:r w:rsidRPr="00460ADE">
        <w:rPr>
          <w:b/>
        </w:rPr>
        <w:lastRenderedPageBreak/>
        <w:t>Indice:</w:t>
      </w:r>
    </w:p>
    <w:p w:rsidR="00D16D76" w:rsidRPr="00460ADE" w:rsidRDefault="00D16D76" w:rsidP="001F50B6">
      <w:pPr>
        <w:rPr>
          <w:lang w:val="en-GB"/>
        </w:rPr>
      </w:pPr>
    </w:p>
    <w:p w:rsidR="006527CE" w:rsidRPr="00460ADE" w:rsidRDefault="003353E8">
      <w:pPr>
        <w:pStyle w:val="TOC1"/>
        <w:rPr>
          <w:rFonts w:asciiTheme="minorHAnsi" w:eastAsiaTheme="minorEastAsia" w:hAnsiTheme="minorHAnsi" w:cstheme="minorBidi"/>
          <w:noProof/>
          <w:lang w:val="en-GB" w:eastAsia="en-GB"/>
        </w:rPr>
      </w:pPr>
      <w:r w:rsidRPr="00460ADE">
        <w:fldChar w:fldCharType="begin"/>
      </w:r>
      <w:r w:rsidRPr="00460ADE">
        <w:instrText xml:space="preserve"> TOC \o "1-1" \h \z \u </w:instrText>
      </w:r>
      <w:r w:rsidRPr="00460ADE">
        <w:fldChar w:fldCharType="separate"/>
      </w:r>
      <w:hyperlink w:anchor="_Toc31709628" w:history="1">
        <w:r w:rsidR="006527CE" w:rsidRPr="00460ADE">
          <w:rPr>
            <w:rStyle w:val="Hyperlink"/>
            <w:b/>
            <w:noProof/>
          </w:rPr>
          <w:t>1.</w:t>
        </w:r>
        <w:r w:rsidR="006527CE" w:rsidRPr="00460ADE">
          <w:rPr>
            <w:rFonts w:asciiTheme="minorHAnsi" w:eastAsiaTheme="minorEastAsia" w:hAnsiTheme="minorHAnsi" w:cstheme="minorBidi"/>
            <w:noProof/>
            <w:lang w:val="en-GB" w:eastAsia="en-GB"/>
          </w:rPr>
          <w:tab/>
        </w:r>
        <w:r w:rsidR="006527CE" w:rsidRPr="00460ADE">
          <w:rPr>
            <w:rStyle w:val="Hyperlink"/>
            <w:b/>
            <w:noProof/>
          </w:rPr>
          <w:t>AGRICOLTURA, SVILUPPO RURALE, AMBIENTE</w:t>
        </w:r>
        <w:r w:rsidR="006527CE" w:rsidRPr="00460ADE">
          <w:rPr>
            <w:noProof/>
            <w:webHidden/>
          </w:rPr>
          <w:tab/>
        </w:r>
        <w:r w:rsidR="006527CE" w:rsidRPr="00460ADE">
          <w:rPr>
            <w:noProof/>
            <w:webHidden/>
          </w:rPr>
          <w:fldChar w:fldCharType="begin"/>
        </w:r>
        <w:r w:rsidR="006527CE" w:rsidRPr="00460ADE">
          <w:rPr>
            <w:noProof/>
            <w:webHidden/>
          </w:rPr>
          <w:instrText xml:space="preserve"> PAGEREF _Toc31709628 \h </w:instrText>
        </w:r>
        <w:r w:rsidR="006527CE" w:rsidRPr="00460ADE">
          <w:rPr>
            <w:noProof/>
            <w:webHidden/>
          </w:rPr>
        </w:r>
        <w:r w:rsidR="006527CE" w:rsidRPr="00460ADE">
          <w:rPr>
            <w:noProof/>
            <w:webHidden/>
          </w:rPr>
          <w:fldChar w:fldCharType="separate"/>
        </w:r>
        <w:r w:rsidR="006527CE" w:rsidRPr="00460ADE">
          <w:rPr>
            <w:noProof/>
            <w:webHidden/>
          </w:rPr>
          <w:t>3</w:t>
        </w:r>
        <w:r w:rsidR="006527CE" w:rsidRPr="00460ADE">
          <w:rPr>
            <w:noProof/>
            <w:webHidden/>
          </w:rPr>
          <w:fldChar w:fldCharType="end"/>
        </w:r>
      </w:hyperlink>
    </w:p>
    <w:p w:rsidR="006D23AB" w:rsidRPr="00460ADE" w:rsidRDefault="003353E8" w:rsidP="003B6610">
      <w:r w:rsidRPr="00460ADE">
        <w:fldChar w:fldCharType="end"/>
      </w:r>
      <w:r w:rsidRPr="00460ADE">
        <w:br w:type="page"/>
      </w:r>
      <w:r w:rsidRPr="00460ADE">
        <w:lastRenderedPageBreak/>
        <w:t xml:space="preserve">Alla sessione plenaria del 22 e 23 gennaio 2020 hanno partecipato </w:t>
      </w:r>
      <w:r w:rsidRPr="00460ADE">
        <w:rPr>
          <w:b/>
        </w:rPr>
        <w:t>Gordan Grlić Radman</w:t>
      </w:r>
      <w:r w:rsidRPr="00460ADE">
        <w:t xml:space="preserve"> ministro degli Affari esteri ed europei della Repubblica di Croazia; </w:t>
      </w:r>
      <w:r w:rsidRPr="00460ADE">
        <w:rPr>
          <w:b/>
        </w:rPr>
        <w:t>Tom Jenkins</w:t>
      </w:r>
      <w:r w:rsidRPr="00460ADE">
        <w:t xml:space="preserve">, ex Presidente del Comitato economico e sociale europeo; </w:t>
      </w:r>
      <w:r w:rsidRPr="00460ADE">
        <w:rPr>
          <w:b/>
        </w:rPr>
        <w:t>Madeleina Kay</w:t>
      </w:r>
      <w:r w:rsidRPr="00460ADE">
        <w:t xml:space="preserve">, attivista; </w:t>
      </w:r>
      <w:r w:rsidRPr="00460ADE">
        <w:rPr>
          <w:b/>
        </w:rPr>
        <w:t>Virginijus Sinkevičius</w:t>
      </w:r>
      <w:r w:rsidRPr="00460ADE">
        <w:t xml:space="preserve">, commissario per l'Ambiente, gli oceani e la pesca; </w:t>
      </w:r>
      <w:r w:rsidRPr="00460ADE">
        <w:rPr>
          <w:b/>
        </w:rPr>
        <w:t>Ovais Sarmad</w:t>
      </w:r>
      <w:r w:rsidRPr="00460ADE">
        <w:t xml:space="preserve">, vicesegretario esecutivo della convenzione quadro delle Nazioni Unite sui cambiamenti climatici; </w:t>
      </w:r>
      <w:r w:rsidRPr="00460ADE">
        <w:rPr>
          <w:b/>
        </w:rPr>
        <w:t>Enrico Giovannini</w:t>
      </w:r>
      <w:r w:rsidRPr="00460ADE">
        <w:t xml:space="preserve">, portavoce dell'Alleanza italiana per lo sviluppo sostenibile (ASviS); </w:t>
      </w:r>
      <w:r w:rsidRPr="00460ADE">
        <w:rPr>
          <w:b/>
        </w:rPr>
        <w:t>Semia Cherif</w:t>
      </w:r>
      <w:r w:rsidRPr="00460ADE">
        <w:t xml:space="preserve">, coordinatrice e autrice principale della Rete di esperti mediterranei in materia di cambiamenti climatici e ambientali (MedECC), Tunisia; e </w:t>
      </w:r>
      <w:r w:rsidRPr="00460ADE">
        <w:rPr>
          <w:b/>
        </w:rPr>
        <w:t>Olga Kikou</w:t>
      </w:r>
      <w:r w:rsidRPr="00460ADE">
        <w:t xml:space="preserve">, responsabile degli Affari europei di </w:t>
      </w:r>
      <w:r w:rsidRPr="00460ADE">
        <w:rPr>
          <w:i/>
          <w:iCs/>
        </w:rPr>
        <w:t>Compassion in World Farming</w:t>
      </w:r>
      <w:r w:rsidRPr="00460ADE">
        <w:t>.</w:t>
      </w:r>
    </w:p>
    <w:p w:rsidR="006D23AB" w:rsidRPr="00460ADE" w:rsidRDefault="006D23AB" w:rsidP="001F50B6">
      <w:pPr>
        <w:rPr>
          <w:lang w:val="en-GB"/>
        </w:rPr>
      </w:pPr>
    </w:p>
    <w:p w:rsidR="00421682" w:rsidRPr="00460ADE" w:rsidRDefault="00AD7EE7" w:rsidP="001F50B6">
      <w:r w:rsidRPr="00460ADE">
        <w:t>Nel corso della sessione plenaria il Comitato ha adottato i seguenti pareri:</w:t>
      </w:r>
    </w:p>
    <w:p w:rsidR="003E0485" w:rsidRPr="00460ADE" w:rsidRDefault="003E0485" w:rsidP="001F50B6">
      <w:pPr>
        <w:rPr>
          <w:lang w:val="en-GB"/>
        </w:rPr>
      </w:pPr>
    </w:p>
    <w:p w:rsidR="00B41FBD" w:rsidRPr="00460ADE" w:rsidRDefault="00B41FBD" w:rsidP="00CE06AD">
      <w:pPr>
        <w:pStyle w:val="Heading1"/>
        <w:keepNext/>
        <w:keepLines/>
        <w:numPr>
          <w:ilvl w:val="0"/>
          <w:numId w:val="23"/>
        </w:numPr>
        <w:ind w:left="567" w:hanging="567"/>
        <w:rPr>
          <w:b/>
        </w:rPr>
      </w:pPr>
      <w:bookmarkStart w:id="1" w:name="_Toc31709628"/>
      <w:r w:rsidRPr="00460ADE">
        <w:rPr>
          <w:b/>
        </w:rPr>
        <w:t>AGRICOLTURA, SVILUPPO RURALE, AMBIENTE</w:t>
      </w:r>
      <w:bookmarkEnd w:id="1"/>
    </w:p>
    <w:p w:rsidR="00B41FBD" w:rsidRPr="00460ADE" w:rsidRDefault="00B41FBD" w:rsidP="00CE06AD">
      <w:pPr>
        <w:keepNext/>
        <w:keepLines/>
        <w:jc w:val="left"/>
        <w:rPr>
          <w:iCs/>
          <w:lang w:val="en-GB"/>
        </w:rPr>
      </w:pPr>
    </w:p>
    <w:p w:rsidR="00F754F9" w:rsidRPr="00460ADE" w:rsidRDefault="003E0485" w:rsidP="00F754F9">
      <w:pPr>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sidRPr="00460ADE">
        <w:rPr>
          <w:b/>
          <w:bCs/>
          <w:i/>
          <w:iCs/>
          <w:sz w:val="28"/>
          <w:szCs w:val="28"/>
        </w:rPr>
        <w:t>L'economia sostenibile di cui abbiamo bisogno</w:t>
      </w:r>
    </w:p>
    <w:p w:rsidR="00B41FBD" w:rsidRPr="00460ADE" w:rsidRDefault="00B41FBD" w:rsidP="00352678">
      <w:pPr>
        <w:pStyle w:val="ListParagraph"/>
        <w:ind w:left="567"/>
        <w:rPr>
          <w:bCs/>
          <w:i/>
          <w:iCs/>
          <w:lang w:val="en-GB"/>
        </w:rPr>
      </w:pPr>
    </w:p>
    <w:p w:rsidR="00B41FBD" w:rsidRPr="00460ADE" w:rsidRDefault="00460ADE" w:rsidP="00352678">
      <w:r w:rsidRPr="00460ADE">
        <w:rPr>
          <w:b/>
        </w:rPr>
        <w:t>Relatore</w:t>
      </w:r>
      <w:r w:rsidR="00B41FBD" w:rsidRPr="00460ADE">
        <w:rPr>
          <w:b/>
        </w:rPr>
        <w:t>:</w:t>
      </w:r>
      <w:r w:rsidR="00B41FBD" w:rsidRPr="00460ADE">
        <w:tab/>
      </w:r>
      <w:r w:rsidR="009A1294" w:rsidRPr="00460ADE">
        <w:tab/>
      </w:r>
      <w:r w:rsidR="009A1294" w:rsidRPr="00460ADE">
        <w:tab/>
      </w:r>
      <w:r w:rsidR="009A1294" w:rsidRPr="00460ADE">
        <w:tab/>
      </w:r>
      <w:r w:rsidR="00B41FBD" w:rsidRPr="00460ADE">
        <w:t xml:space="preserve">Peter </w:t>
      </w:r>
      <w:r w:rsidR="006527CE" w:rsidRPr="00460ADE">
        <w:t xml:space="preserve">SCHMIDT </w:t>
      </w:r>
      <w:r w:rsidR="00B41FBD" w:rsidRPr="00460ADE">
        <w:t>(Lavoratori – DE)</w:t>
      </w:r>
    </w:p>
    <w:p w:rsidR="00B41FBD" w:rsidRPr="00460ADE" w:rsidRDefault="00B41FBD" w:rsidP="00352678">
      <w:pPr>
        <w:rPr>
          <w:lang w:val="fr-FR"/>
        </w:rPr>
      </w:pPr>
    </w:p>
    <w:p w:rsidR="00B41FBD" w:rsidRPr="00460ADE" w:rsidRDefault="009A1294" w:rsidP="00352678">
      <w:pPr>
        <w:ind w:left="-5"/>
        <w:rPr>
          <w:bCs/>
        </w:rPr>
      </w:pPr>
      <w:r w:rsidRPr="00460ADE">
        <w:rPr>
          <w:b/>
          <w:bCs/>
        </w:rPr>
        <w:t>Documento</w:t>
      </w:r>
      <w:r w:rsidR="00B41FBD" w:rsidRPr="00460ADE">
        <w:rPr>
          <w:b/>
          <w:bCs/>
        </w:rPr>
        <w:t xml:space="preserve"> di riferimento:</w:t>
      </w:r>
      <w:r w:rsidR="00B41FBD" w:rsidRPr="00460ADE">
        <w:rPr>
          <w:b/>
          <w:bCs/>
        </w:rPr>
        <w:tab/>
      </w:r>
      <w:r w:rsidR="00B41FBD" w:rsidRPr="00460ADE">
        <w:t>Parere d'iniziativa</w:t>
      </w:r>
    </w:p>
    <w:p w:rsidR="00B41FBD" w:rsidRPr="00460ADE" w:rsidRDefault="006527CE" w:rsidP="00352678">
      <w:pPr>
        <w:ind w:left="1701"/>
      </w:pPr>
      <w:r w:rsidRPr="00460ADE">
        <w:tab/>
      </w:r>
      <w:r w:rsidRPr="00460ADE">
        <w:tab/>
      </w:r>
      <w:r w:rsidR="00F754F9" w:rsidRPr="00460ADE">
        <w:t>EESC-2019-02316-00-00-AC</w:t>
      </w:r>
    </w:p>
    <w:p w:rsidR="002817B5" w:rsidRPr="00460ADE" w:rsidRDefault="002817B5" w:rsidP="00352678">
      <w:pPr>
        <w:jc w:val="left"/>
        <w:rPr>
          <w:lang w:val="en-GB"/>
        </w:rPr>
      </w:pPr>
    </w:p>
    <w:p w:rsidR="002817B5" w:rsidRPr="00460ADE" w:rsidRDefault="002817B5" w:rsidP="00352678">
      <w:pPr>
        <w:tabs>
          <w:tab w:val="center" w:pos="284"/>
        </w:tabs>
        <w:ind w:left="266" w:hanging="266"/>
        <w:rPr>
          <w:b/>
        </w:rPr>
      </w:pPr>
      <w:r w:rsidRPr="00460ADE">
        <w:rPr>
          <w:b/>
        </w:rPr>
        <w:t>Punti salienti del parere</w:t>
      </w:r>
    </w:p>
    <w:p w:rsidR="00CD785A" w:rsidRPr="00460ADE" w:rsidRDefault="00CD785A" w:rsidP="0015773A">
      <w:pPr>
        <w:rPr>
          <w:u w:val="single"/>
          <w:lang w:val="en-GB"/>
        </w:rPr>
      </w:pPr>
    </w:p>
    <w:p w:rsidR="003E0485" w:rsidRPr="00460ADE" w:rsidRDefault="003E0485" w:rsidP="003E0485">
      <w:pPr>
        <w:pStyle w:val="Heading2"/>
        <w:overflowPunct w:val="0"/>
        <w:autoSpaceDE w:val="0"/>
        <w:autoSpaceDN w:val="0"/>
        <w:adjustRightInd w:val="0"/>
        <w:textAlignment w:val="baseline"/>
      </w:pPr>
      <w:r w:rsidRPr="00460ADE">
        <w:t>Il CESE sottolinea che l'Unione europea (UE) si è pienamente impegnata a favore dell'</w:t>
      </w:r>
      <w:r w:rsidR="00460ADE" w:rsidRPr="00460ADE">
        <w:t>Agenda</w:t>
      </w:r>
      <w:r w:rsidRPr="00460ADE">
        <w:t xml:space="preserve"> 2030 per lo sviluppo sostenibile e dei suoi 17 obiettivi di sviluppo sostenibile. Per garantire la loro corretta attuazione, l'UE deve sviluppare con urgenza le basi di un'economia del benessere sostenibile e inclusiva che operi a favore di tutti.</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3E0485">
      <w:pPr>
        <w:pStyle w:val="Heading2"/>
        <w:overflowPunct w:val="0"/>
        <w:autoSpaceDE w:val="0"/>
        <w:autoSpaceDN w:val="0"/>
        <w:adjustRightInd w:val="0"/>
        <w:textAlignment w:val="baseline"/>
      </w:pPr>
      <w:r w:rsidRPr="00460ADE">
        <w:t>La visione di progresso sociale che si basa soltanto sul perseguimento della crescita del prodotto interno lordo non riflette importanti elementi del benessere individuale e sociale e non tiene adeguatamente conto delle considerazioni ambientali e sociali.</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3E0485">
      <w:pPr>
        <w:pStyle w:val="Heading2"/>
        <w:overflowPunct w:val="0"/>
        <w:autoSpaceDE w:val="0"/>
        <w:autoSpaceDN w:val="0"/>
        <w:adjustRightInd w:val="0"/>
        <w:textAlignment w:val="baseline"/>
      </w:pPr>
      <w:r w:rsidRPr="00460ADE">
        <w:t>Il CESE invita l'UE a proporre una nuova visione di prosperità per le persone e il pianeta, basata sui principi della sostenibilità ambientale, del diritto a una vita dignitosa e della protezione dei valori sociali. L'economia è un fattore importante per realizzare questa visione.</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3E0485">
      <w:pPr>
        <w:pStyle w:val="Heading2"/>
        <w:overflowPunct w:val="0"/>
        <w:autoSpaceDE w:val="0"/>
        <w:autoSpaceDN w:val="0"/>
        <w:adjustRightInd w:val="0"/>
        <w:textAlignment w:val="baseline"/>
      </w:pPr>
      <w:r w:rsidRPr="00460ADE">
        <w:t>L'economia del benessere dovrebbe proteggere gli ecosistemi, conservare la biodiversità, realizzare una transizione giusta verso un modo di vivere climaticamente neutro in tutta l'UE e promuovere un'imprenditorialità sostenibile. In tutta l'UE i sistemi di istruzione svolgeranno un ruolo chiave nella promozione di tali concetti nella società, iscrivendovi il modo di pensare dei responsabili politici e dei leader di domani.</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3E0485">
      <w:pPr>
        <w:pStyle w:val="Heading2"/>
        <w:overflowPunct w:val="0"/>
        <w:autoSpaceDE w:val="0"/>
        <w:autoSpaceDN w:val="0"/>
        <w:adjustRightInd w:val="0"/>
        <w:textAlignment w:val="baseline"/>
      </w:pPr>
      <w:r w:rsidRPr="00460ADE">
        <w:t>Per realizzare tale obiettivo, il CESE riconosce l'esigenza di sostenere i cambiamenti fondamentali che hanno già iniziato ad emergere nella natura dell'impresa, nell'organizzazione del lavoro, nel ruolo degli investimenti e nella struttura del sistema del denaro.</w:t>
      </w:r>
    </w:p>
    <w:p w:rsidR="00D46C5E" w:rsidRPr="00460ADE" w:rsidRDefault="00D46C5E" w:rsidP="00D46C5E">
      <w:pPr>
        <w:rPr>
          <w:lang w:val="en-GB"/>
        </w:rPr>
      </w:pPr>
    </w:p>
    <w:p w:rsidR="00B14173" w:rsidRPr="00460ADE" w:rsidRDefault="003E0485" w:rsidP="00D46C5E">
      <w:pPr>
        <w:pStyle w:val="Heading2"/>
        <w:keepNext/>
        <w:keepLines/>
        <w:overflowPunct w:val="0"/>
        <w:autoSpaceDE w:val="0"/>
        <w:autoSpaceDN w:val="0"/>
        <w:adjustRightInd w:val="0"/>
        <w:textAlignment w:val="baseline"/>
      </w:pPr>
      <w:r w:rsidRPr="00460ADE">
        <w:lastRenderedPageBreak/>
        <w:t>Il CESE:</w:t>
      </w:r>
    </w:p>
    <w:p w:rsidR="00D46C5E" w:rsidRPr="00460ADE" w:rsidRDefault="00D46C5E" w:rsidP="00D46C5E">
      <w:pPr>
        <w:keepNext/>
        <w:keepLines/>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sottolinea che la costruzione dell'economia del benessere deve partire dall'adozione di un approccio precauzionale in cui la stabilità macroeconomica non dipenda dalla crescita del prodotto interno lordo (PIL). Propone di elaborare, al di là del PIL, nuovi indicatori dei risultati economici e del progresso sociale;</w:t>
      </w:r>
    </w:p>
    <w:p w:rsidR="003E0485" w:rsidRPr="00460ADE" w:rsidRDefault="003E0485" w:rsidP="00D46C5E">
      <w:pPr>
        <w:pStyle w:val="Heading2"/>
        <w:keepNext/>
        <w:keepLines/>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propone di adottare un quadro degli standard di vita (</w:t>
      </w:r>
      <w:r w:rsidRPr="00460ADE">
        <w:rPr>
          <w:i/>
          <w:iCs/>
        </w:rPr>
        <w:t>Living Standards Framework</w:t>
      </w:r>
      <w:r w:rsidRPr="00460ADE">
        <w:t>) e di introdurre un bilancio del benessere per l'UE, sul modello di approcci già adottati altrove;</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chiede l'abolizione delle sovvenzioni dannose e l'allineamento di tutta la spesa pubblica dell'UE e dei suoi Stati membri all'obiettivo della neutralità climatica;</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chiede un patto ecologico e sociale europeo (</w:t>
      </w:r>
      <w:r w:rsidRPr="00460ADE">
        <w:rPr>
          <w:i/>
          <w:iCs/>
        </w:rPr>
        <w:t>European Green and Social Deal</w:t>
      </w:r>
      <w:r w:rsidRPr="00460ADE">
        <w:t>) che renda disponibili i considerevoli investimenti necessari per una transizione giusta verso un'economia climaticamente neutra e crei posti di lavoro di qualità in ogni comunità;</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invita la Commissione e gli Stati membri a realizzare una "riforma fiscale verde" al fine di contribuire ad allineare l'imposizione fiscale, le sovvenzioni e le politiche predistributive con l'obiettivo di realizzare una transizione giusta verso un'economia del benessere, in particolare applicando la legislazione vigente;</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propone un riesame della dipendenza degli Stati membri dell'UE dalla crescita e una strategia intesa a dare la priorità al benessere sostenibile e inclusivo nell'economia dell'UE. Raccomanda inoltre una revisione delle norme di bilancio e monetarie dell'UE intesa a garantire che siano adeguate per realizzare la transizione a un'economia climaticamente neutra;</w:t>
      </w:r>
    </w:p>
    <w:p w:rsidR="003E0485" w:rsidRPr="00460ADE" w:rsidRDefault="003E0485" w:rsidP="003E0485">
      <w:pPr>
        <w:pStyle w:val="Heading2"/>
        <w:overflowPunct w:val="0"/>
        <w:autoSpaceDE w:val="0"/>
        <w:autoSpaceDN w:val="0"/>
        <w:adjustRightInd w:val="0"/>
        <w:textAlignment w:val="baseline"/>
        <w:rPr>
          <w:lang w:val="en-GB"/>
        </w:rPr>
      </w:pPr>
    </w:p>
    <w:p w:rsidR="003E0485"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chiede che tutti i quadri e gli strumenti strategici, di bilancio e/o finanziari esistenti a livello di UE (quali il quadro finanziario pluriennale, il semestre europeo e il programma Legiferare meglio) siano urgentemente allineati a una transizione giusta verso un'economia del benessere;</w:t>
      </w:r>
    </w:p>
    <w:p w:rsidR="003E0485" w:rsidRPr="00460ADE" w:rsidRDefault="003E0485" w:rsidP="003E0485">
      <w:pPr>
        <w:pStyle w:val="Heading2"/>
        <w:overflowPunct w:val="0"/>
        <w:autoSpaceDE w:val="0"/>
        <w:autoSpaceDN w:val="0"/>
        <w:adjustRightInd w:val="0"/>
        <w:textAlignment w:val="baseline"/>
        <w:rPr>
          <w:lang w:val="en-GB"/>
        </w:rPr>
      </w:pPr>
    </w:p>
    <w:p w:rsidR="00CD785A" w:rsidRPr="00460ADE" w:rsidRDefault="003E0485" w:rsidP="006527CE">
      <w:pPr>
        <w:pStyle w:val="Heading2"/>
        <w:keepNext/>
        <w:keepLines/>
        <w:numPr>
          <w:ilvl w:val="0"/>
          <w:numId w:val="39"/>
        </w:numPr>
        <w:overflowPunct w:val="0"/>
        <w:autoSpaceDE w:val="0"/>
        <w:autoSpaceDN w:val="0"/>
        <w:adjustRightInd w:val="0"/>
        <w:ind w:left="357" w:hanging="357"/>
        <w:textAlignment w:val="baseline"/>
      </w:pPr>
      <w:r w:rsidRPr="00460ADE">
        <w:t xml:space="preserve">propone di adeguare il </w:t>
      </w:r>
      <w:r w:rsidR="00460ADE" w:rsidRPr="00460ADE">
        <w:t>patto di stabilità</w:t>
      </w:r>
      <w:r w:rsidRPr="00460ADE">
        <w:t xml:space="preserve"> e crescita e l'analisi annuale della crescita per garantire che l'economia del benessere sia pienamente coerente con gli obiettivi di sviluppo sostenibile e con il pilastro europeo dei diritti sociali.</w:t>
      </w:r>
    </w:p>
    <w:p w:rsidR="00AF5293" w:rsidRPr="00460ADE" w:rsidRDefault="00AF5293" w:rsidP="00352678">
      <w:pPr>
        <w:tabs>
          <w:tab w:val="left" w:pos="1701"/>
        </w:tabs>
        <w:rPr>
          <w:bCs/>
          <w:i/>
          <w:iCs/>
          <w:lang w:val="en-GB"/>
        </w:rPr>
      </w:pPr>
    </w:p>
    <w:p w:rsidR="00E45A5E" w:rsidRPr="00460ADE" w:rsidRDefault="00E45A5E" w:rsidP="00352678">
      <w:pPr>
        <w:tabs>
          <w:tab w:val="left" w:pos="1701"/>
        </w:tabs>
        <w:rPr>
          <w:i/>
          <w:iCs/>
        </w:rPr>
      </w:pPr>
      <w:r w:rsidRPr="00460ADE">
        <w:rPr>
          <w:b/>
          <w:bCs/>
          <w:i/>
          <w:iCs/>
        </w:rPr>
        <w:t>Persona da contattare:</w:t>
      </w:r>
      <w:r w:rsidRPr="00460ADE">
        <w:rPr>
          <w:b/>
          <w:bCs/>
          <w:i/>
          <w:iCs/>
        </w:rPr>
        <w:tab/>
      </w:r>
      <w:r w:rsidRPr="00460ADE">
        <w:rPr>
          <w:i/>
        </w:rPr>
        <w:t>Stella Brozek-Everaert</w:t>
      </w:r>
    </w:p>
    <w:p w:rsidR="00E45A5E" w:rsidRPr="00460ADE" w:rsidRDefault="006527CE" w:rsidP="00352678">
      <w:pPr>
        <w:tabs>
          <w:tab w:val="left" w:pos="1701"/>
        </w:tabs>
        <w:ind w:left="1701"/>
        <w:rPr>
          <w:iCs/>
          <w:u w:val="single"/>
        </w:rPr>
      </w:pPr>
      <w:r w:rsidRPr="00460ADE">
        <w:rPr>
          <w:i/>
          <w:iCs/>
        </w:rPr>
        <w:tab/>
      </w:r>
      <w:r w:rsidR="00E45A5E" w:rsidRPr="00460ADE">
        <w:rPr>
          <w:i/>
          <w:iCs/>
        </w:rPr>
        <w:t xml:space="preserve">(Tel. </w:t>
      </w:r>
      <w:r w:rsidRPr="00460ADE">
        <w:rPr>
          <w:i/>
          <w:iCs/>
        </w:rPr>
        <w:t>+32</w:t>
      </w:r>
      <w:r w:rsidR="00E45A5E" w:rsidRPr="00460ADE">
        <w:rPr>
          <w:i/>
          <w:iCs/>
        </w:rPr>
        <w:t xml:space="preserve"> 25469202 – </w:t>
      </w:r>
      <w:r w:rsidRPr="00460ADE">
        <w:rPr>
          <w:i/>
          <w:iCs/>
        </w:rPr>
        <w:t>-</w:t>
      </w:r>
      <w:r w:rsidR="00E45A5E" w:rsidRPr="00460ADE">
        <w:rPr>
          <w:i/>
          <w:iCs/>
        </w:rPr>
        <w:t>e</w:t>
      </w:r>
      <w:r w:rsidR="006F45B8" w:rsidRPr="00460ADE">
        <w:rPr>
          <w:i/>
          <w:iCs/>
        </w:rPr>
        <w:t>-</w:t>
      </w:r>
      <w:r w:rsidR="00E45A5E" w:rsidRPr="00460ADE">
        <w:rPr>
          <w:i/>
          <w:iCs/>
        </w:rPr>
        <w:t>mail:</w:t>
      </w:r>
      <w:r w:rsidR="00E45A5E" w:rsidRPr="00460ADE">
        <w:rPr>
          <w:i/>
          <w:iCs/>
          <w:color w:val="0000FF"/>
        </w:rPr>
        <w:t xml:space="preserve"> </w:t>
      </w:r>
      <w:hyperlink r:id="rId16" w:history="1">
        <w:r w:rsidR="00E45A5E" w:rsidRPr="00460ADE">
          <w:rPr>
            <w:rStyle w:val="Hyperlink"/>
            <w:i/>
          </w:rPr>
          <w:t>Stella.BrozekEveraert@eesc.europa.eu</w:t>
        </w:r>
      </w:hyperlink>
      <w:r w:rsidR="00E45A5E" w:rsidRPr="00460ADE">
        <w:rPr>
          <w:i/>
          <w:iCs/>
        </w:rPr>
        <w:t>)</w:t>
      </w:r>
    </w:p>
    <w:p w:rsidR="0024607B" w:rsidRPr="00460ADE" w:rsidRDefault="0024607B">
      <w:pPr>
        <w:spacing w:line="240" w:lineRule="auto"/>
        <w:jc w:val="left"/>
        <w:rPr>
          <w:iCs/>
        </w:rPr>
      </w:pPr>
      <w:r w:rsidRPr="00460ADE">
        <w:br w:type="page"/>
      </w:r>
    </w:p>
    <w:p w:rsidR="00F754F9" w:rsidRPr="00460ADE" w:rsidRDefault="003E0485" w:rsidP="00CE06AD">
      <w:pPr>
        <w:pStyle w:val="ListParagraph"/>
        <w:keepNext/>
        <w:keepLines/>
        <w:numPr>
          <w:ilvl w:val="0"/>
          <w:numId w:val="3"/>
        </w:numPr>
        <w:ind w:left="567" w:hanging="567"/>
        <w:rPr>
          <w:b/>
          <w:i/>
          <w:sz w:val="28"/>
          <w:szCs w:val="28"/>
        </w:rPr>
      </w:pPr>
      <w:r w:rsidRPr="00460ADE">
        <w:rPr>
          <w:b/>
          <w:i/>
          <w:sz w:val="28"/>
          <w:szCs w:val="28"/>
        </w:rPr>
        <w:lastRenderedPageBreak/>
        <w:t>Merluzzo bianco del Baltico orientale</w:t>
      </w:r>
    </w:p>
    <w:p w:rsidR="00E45A5E" w:rsidRPr="00460ADE" w:rsidRDefault="00E45A5E" w:rsidP="00CE06AD">
      <w:pPr>
        <w:pStyle w:val="ListParagraph"/>
        <w:keepNext/>
        <w:keepLines/>
        <w:ind w:left="567"/>
        <w:rPr>
          <w:bCs/>
          <w:i/>
          <w:iCs/>
          <w:lang w:val="en-GB"/>
        </w:rPr>
      </w:pPr>
    </w:p>
    <w:p w:rsidR="00E45A5E" w:rsidRPr="00460ADE" w:rsidRDefault="00460ADE" w:rsidP="00352678">
      <w:r w:rsidRPr="00460ADE">
        <w:rPr>
          <w:b/>
        </w:rPr>
        <w:t>Relatore</w:t>
      </w:r>
      <w:r w:rsidR="00461EB9" w:rsidRPr="00460ADE">
        <w:rPr>
          <w:b/>
        </w:rPr>
        <w:t xml:space="preserve"> generale:</w:t>
      </w:r>
      <w:r w:rsidR="00461EB9" w:rsidRPr="00460ADE">
        <w:tab/>
      </w:r>
      <w:r w:rsidR="006527CE" w:rsidRPr="00460ADE">
        <w:tab/>
      </w:r>
      <w:r w:rsidR="00461EB9" w:rsidRPr="00460ADE">
        <w:t xml:space="preserve">Gerardo </w:t>
      </w:r>
      <w:r w:rsidR="006527CE" w:rsidRPr="00460ADE">
        <w:t xml:space="preserve">LARGHI </w:t>
      </w:r>
      <w:r w:rsidR="00461EB9" w:rsidRPr="00460ADE">
        <w:t>(Lavoratori - IT)</w:t>
      </w:r>
    </w:p>
    <w:p w:rsidR="00E45A5E" w:rsidRPr="00460ADE" w:rsidRDefault="00E45A5E" w:rsidP="00352678">
      <w:pPr>
        <w:rPr>
          <w:lang w:val="en-GB"/>
        </w:rPr>
      </w:pPr>
    </w:p>
    <w:p w:rsidR="00E45A5E" w:rsidRPr="00460ADE" w:rsidRDefault="00E45A5E" w:rsidP="00352678">
      <w:pPr>
        <w:ind w:left="-5"/>
        <w:rPr>
          <w:bCs/>
        </w:rPr>
      </w:pPr>
      <w:r w:rsidRPr="00460ADE">
        <w:rPr>
          <w:b/>
          <w:bCs/>
        </w:rPr>
        <w:t>Documenti di riferimento:</w:t>
      </w:r>
      <w:r w:rsidRPr="00460ADE">
        <w:rPr>
          <w:b/>
          <w:bCs/>
        </w:rPr>
        <w:tab/>
      </w:r>
      <w:r w:rsidRPr="00460ADE">
        <w:t>COM(2019) 564 final – 2019/0246</w:t>
      </w:r>
      <w:r w:rsidR="00460ADE" w:rsidRPr="00460ADE">
        <w:t xml:space="preserve"> COD</w:t>
      </w:r>
    </w:p>
    <w:p w:rsidR="00E45A5E" w:rsidRPr="00460ADE" w:rsidRDefault="00AD0688" w:rsidP="00352678">
      <w:pPr>
        <w:ind w:left="1701"/>
      </w:pPr>
      <w:r w:rsidRPr="00460ADE">
        <w:tab/>
      </w:r>
      <w:r w:rsidRPr="00460ADE">
        <w:tab/>
        <w:t>EESC-2020-00108-00-00-AC</w:t>
      </w:r>
    </w:p>
    <w:p w:rsidR="00E45A5E" w:rsidRPr="00460ADE" w:rsidRDefault="00E45A5E" w:rsidP="00352678">
      <w:pPr>
        <w:jc w:val="left"/>
        <w:rPr>
          <w:lang w:val="en-GB"/>
        </w:rPr>
      </w:pPr>
    </w:p>
    <w:p w:rsidR="00E45A5E" w:rsidRPr="00460ADE" w:rsidRDefault="00E45A5E" w:rsidP="00352678">
      <w:pPr>
        <w:tabs>
          <w:tab w:val="center" w:pos="284"/>
        </w:tabs>
        <w:ind w:left="266" w:hanging="266"/>
        <w:rPr>
          <w:b/>
        </w:rPr>
      </w:pPr>
      <w:r w:rsidRPr="00460ADE">
        <w:rPr>
          <w:b/>
        </w:rPr>
        <w:t>Punti salienti del parere</w:t>
      </w:r>
    </w:p>
    <w:p w:rsidR="0005133F" w:rsidRPr="00460ADE" w:rsidRDefault="0005133F" w:rsidP="00352678">
      <w:pPr>
        <w:pStyle w:val="Heading2"/>
        <w:overflowPunct w:val="0"/>
        <w:autoSpaceDE w:val="0"/>
        <w:autoSpaceDN w:val="0"/>
        <w:adjustRightInd w:val="0"/>
        <w:textAlignment w:val="baseline"/>
        <w:rPr>
          <w:lang w:val="en-GB"/>
        </w:rPr>
      </w:pPr>
    </w:p>
    <w:p w:rsidR="0008631C" w:rsidRPr="00460ADE" w:rsidRDefault="0008631C" w:rsidP="0008631C">
      <w:pPr>
        <w:pStyle w:val="Heading2"/>
        <w:overflowPunct w:val="0"/>
        <w:autoSpaceDE w:val="0"/>
        <w:autoSpaceDN w:val="0"/>
        <w:adjustRightInd w:val="0"/>
        <w:textAlignment w:val="baseline"/>
      </w:pPr>
      <w:r w:rsidRPr="00460ADE">
        <w:t>Il Comitato economico e sociale europeo avalla la proposta della Commissione per un intervento urgente in favore del comparto della pesca del merluzzo bianco del Mar Baltico ma considera che essa da sola non può bastare a rispondere ai bisogni di quell'area e delle popolazioni lì residenti.</w:t>
      </w:r>
    </w:p>
    <w:p w:rsidR="0008631C" w:rsidRPr="00460ADE" w:rsidRDefault="0008631C" w:rsidP="0008631C">
      <w:pPr>
        <w:pStyle w:val="Heading2"/>
        <w:overflowPunct w:val="0"/>
        <w:autoSpaceDE w:val="0"/>
        <w:autoSpaceDN w:val="0"/>
        <w:adjustRightInd w:val="0"/>
        <w:textAlignment w:val="baseline"/>
        <w:rPr>
          <w:lang w:val="en-GB"/>
        </w:rPr>
      </w:pPr>
    </w:p>
    <w:p w:rsidR="0008631C" w:rsidRPr="00460ADE" w:rsidRDefault="0008631C" w:rsidP="0008631C">
      <w:pPr>
        <w:pStyle w:val="Heading2"/>
        <w:overflowPunct w:val="0"/>
        <w:autoSpaceDE w:val="0"/>
        <w:autoSpaceDN w:val="0"/>
        <w:adjustRightInd w:val="0"/>
        <w:textAlignment w:val="baseline"/>
      </w:pPr>
      <w:r w:rsidRPr="00460ADE">
        <w:t>Poiché la ricerca scientifica ha dimostrato che la mortalità attuale del merluzzo bianco è dovuta a fattori ambientali piuttosto che alla pesca, il CESE chiede che la Commissione consideri prioritario ogni intervento che aiuti a migliorare l'ecosistema del Mar Baltico.</w:t>
      </w:r>
    </w:p>
    <w:p w:rsidR="0008631C" w:rsidRPr="00460ADE" w:rsidRDefault="0008631C" w:rsidP="0008631C">
      <w:pPr>
        <w:pStyle w:val="Heading2"/>
        <w:overflowPunct w:val="0"/>
        <w:autoSpaceDE w:val="0"/>
        <w:autoSpaceDN w:val="0"/>
        <w:adjustRightInd w:val="0"/>
        <w:textAlignment w:val="baseline"/>
        <w:rPr>
          <w:lang w:val="en-GB"/>
        </w:rPr>
      </w:pPr>
    </w:p>
    <w:p w:rsidR="0008631C" w:rsidRPr="00460ADE" w:rsidRDefault="0008631C" w:rsidP="0008631C">
      <w:pPr>
        <w:pStyle w:val="Heading2"/>
        <w:overflowPunct w:val="0"/>
        <w:autoSpaceDE w:val="0"/>
        <w:autoSpaceDN w:val="0"/>
        <w:adjustRightInd w:val="0"/>
        <w:textAlignment w:val="baseline"/>
      </w:pPr>
      <w:r w:rsidRPr="00460ADE">
        <w:t xml:space="preserve">Il CESE invita gli Stati </w:t>
      </w:r>
      <w:r w:rsidR="006527CE" w:rsidRPr="00460ADE">
        <w:t xml:space="preserve">membri </w:t>
      </w:r>
      <w:r w:rsidRPr="00460ADE">
        <w:t>che hanno competenza nello stabilire le regole dell'attribuzione delle compensazioni economiche per la demolizione dei pescherecci a tenere nel dovuto conto i lavoratori specializzati del settore che si ritroverebbero senza una fonte di reddito.</w:t>
      </w:r>
    </w:p>
    <w:p w:rsidR="0008631C" w:rsidRPr="00460ADE" w:rsidRDefault="0008631C" w:rsidP="0008631C">
      <w:pPr>
        <w:pStyle w:val="Heading2"/>
        <w:overflowPunct w:val="0"/>
        <w:autoSpaceDE w:val="0"/>
        <w:autoSpaceDN w:val="0"/>
        <w:adjustRightInd w:val="0"/>
        <w:textAlignment w:val="baseline"/>
        <w:rPr>
          <w:lang w:val="en-GB"/>
        </w:rPr>
      </w:pPr>
    </w:p>
    <w:p w:rsidR="0008631C" w:rsidRPr="00460ADE" w:rsidRDefault="0008631C" w:rsidP="0008631C">
      <w:pPr>
        <w:pStyle w:val="Heading2"/>
        <w:overflowPunct w:val="0"/>
        <w:autoSpaceDE w:val="0"/>
        <w:autoSpaceDN w:val="0"/>
        <w:adjustRightInd w:val="0"/>
        <w:textAlignment w:val="baseline"/>
      </w:pPr>
      <w:r w:rsidRPr="00460ADE">
        <w:t xml:space="preserve">Il CESE invita gli Stati </w:t>
      </w:r>
      <w:r w:rsidR="006527CE" w:rsidRPr="00460ADE">
        <w:t xml:space="preserve">membri </w:t>
      </w:r>
      <w:r w:rsidRPr="00460ADE">
        <w:t>a utilizzare i fondi del Fondo sociale europeo per realizzare programmi di riqualificazione dei lavoratori oggi impiegati in questo settore.</w:t>
      </w:r>
    </w:p>
    <w:p w:rsidR="0008631C" w:rsidRPr="00460ADE" w:rsidRDefault="0008631C" w:rsidP="0008631C">
      <w:pPr>
        <w:pStyle w:val="Heading2"/>
        <w:overflowPunct w:val="0"/>
        <w:autoSpaceDE w:val="0"/>
        <w:autoSpaceDN w:val="0"/>
        <w:adjustRightInd w:val="0"/>
        <w:textAlignment w:val="baseline"/>
        <w:rPr>
          <w:lang w:val="en-GB"/>
        </w:rPr>
      </w:pPr>
    </w:p>
    <w:p w:rsidR="0008631C" w:rsidRPr="00460ADE" w:rsidRDefault="0008631C" w:rsidP="0008631C">
      <w:pPr>
        <w:pStyle w:val="Heading2"/>
        <w:overflowPunct w:val="0"/>
        <w:autoSpaceDE w:val="0"/>
        <w:autoSpaceDN w:val="0"/>
        <w:adjustRightInd w:val="0"/>
        <w:textAlignment w:val="baseline"/>
      </w:pPr>
      <w:r w:rsidRPr="00460ADE">
        <w:t>Il CESE sottolinea che vietando la riconversione nella pesca amatoriale e turistica, la proposta precluda agli operatori un concreto sbocco lavorativo e imprenditoriale.</w:t>
      </w:r>
    </w:p>
    <w:p w:rsidR="00E66140" w:rsidRPr="00460ADE" w:rsidRDefault="00E66140" w:rsidP="003E0485">
      <w:pPr>
        <w:pStyle w:val="Heading2"/>
        <w:overflowPunct w:val="0"/>
        <w:autoSpaceDE w:val="0"/>
        <w:autoSpaceDN w:val="0"/>
        <w:adjustRightInd w:val="0"/>
        <w:ind w:left="720"/>
        <w:textAlignment w:val="baseline"/>
        <w:rPr>
          <w:lang w:val="en-GB"/>
        </w:rPr>
      </w:pPr>
    </w:p>
    <w:p w:rsidR="00884728" w:rsidRPr="00460ADE" w:rsidRDefault="00884728" w:rsidP="006527CE">
      <w:pPr>
        <w:ind w:left="2410" w:hanging="2410"/>
        <w:rPr>
          <w:i/>
          <w:iCs/>
        </w:rPr>
      </w:pPr>
      <w:bookmarkStart w:id="2" w:name="_Toc8218613"/>
      <w:r w:rsidRPr="00460ADE">
        <w:rPr>
          <w:b/>
          <w:bCs/>
          <w:i/>
          <w:iCs/>
        </w:rPr>
        <w:t>Persona da contattare:</w:t>
      </w:r>
      <w:r w:rsidR="006527CE" w:rsidRPr="00460ADE">
        <w:tab/>
      </w:r>
      <w:r w:rsidRPr="00460ADE">
        <w:rPr>
          <w:i/>
        </w:rPr>
        <w:t>Arturo Iniguez</w:t>
      </w:r>
    </w:p>
    <w:p w:rsidR="00884728" w:rsidRPr="00460ADE" w:rsidRDefault="006527CE" w:rsidP="006527CE">
      <w:pPr>
        <w:ind w:left="2410" w:hanging="2422"/>
        <w:rPr>
          <w:i/>
          <w:iCs/>
        </w:rPr>
      </w:pPr>
      <w:r w:rsidRPr="00460ADE">
        <w:rPr>
          <w:i/>
          <w:iCs/>
        </w:rPr>
        <w:tab/>
      </w:r>
      <w:r w:rsidR="00884728" w:rsidRPr="00460ADE">
        <w:rPr>
          <w:i/>
          <w:iCs/>
        </w:rPr>
        <w:t xml:space="preserve">(Tel. </w:t>
      </w:r>
      <w:r w:rsidRPr="00460ADE">
        <w:rPr>
          <w:i/>
          <w:iCs/>
        </w:rPr>
        <w:t>+32</w:t>
      </w:r>
      <w:r w:rsidR="00884728" w:rsidRPr="00460ADE">
        <w:rPr>
          <w:i/>
          <w:iCs/>
        </w:rPr>
        <w:t xml:space="preserve"> 25468768 – e</w:t>
      </w:r>
      <w:r w:rsidRPr="00460ADE">
        <w:rPr>
          <w:i/>
          <w:iCs/>
        </w:rPr>
        <w:t>-</w:t>
      </w:r>
      <w:r w:rsidR="00884728" w:rsidRPr="00460ADE">
        <w:rPr>
          <w:i/>
          <w:iCs/>
        </w:rPr>
        <w:t>mail:</w:t>
      </w:r>
      <w:r w:rsidR="00884728" w:rsidRPr="00460ADE">
        <w:rPr>
          <w:i/>
          <w:iCs/>
          <w:color w:val="0000FF"/>
        </w:rPr>
        <w:t xml:space="preserve"> </w:t>
      </w:r>
      <w:hyperlink r:id="rId17" w:history="1">
        <w:r w:rsidR="00884728" w:rsidRPr="00460ADE">
          <w:rPr>
            <w:rStyle w:val="Hyperlink"/>
            <w:i/>
            <w:iCs/>
          </w:rPr>
          <w:t>Arturo.Iniguez@eesc.europa.eu</w:t>
        </w:r>
      </w:hyperlink>
      <w:r w:rsidR="00884728" w:rsidRPr="00460ADE">
        <w:rPr>
          <w:i/>
          <w:iCs/>
        </w:rPr>
        <w:t>)</w:t>
      </w:r>
    </w:p>
    <w:bookmarkEnd w:id="2"/>
    <w:p w:rsidR="001F117F" w:rsidRPr="00460ADE" w:rsidRDefault="001F117F" w:rsidP="003E0485">
      <w:pPr>
        <w:spacing w:line="240" w:lineRule="auto"/>
        <w:jc w:val="left"/>
        <w:rPr>
          <w:kern w:val="28"/>
          <w:lang w:val="en-GB"/>
        </w:rPr>
      </w:pPr>
    </w:p>
    <w:p w:rsidR="00411F08" w:rsidRPr="00460ADE" w:rsidRDefault="00902EEB" w:rsidP="009F1860">
      <w:pPr>
        <w:ind w:left="1701" w:hanging="1701"/>
        <w:jc w:val="center"/>
      </w:pPr>
      <w:r w:rsidRPr="00460ADE">
        <w:rPr>
          <w:i/>
          <w:szCs w:val="20"/>
        </w:rPr>
        <w:t>____________</w:t>
      </w:r>
    </w:p>
    <w:sectPr w:rsidR="00411F08" w:rsidRPr="00460ADE" w:rsidSect="00AC4842">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AC4842" w:rsidP="00AC4842">
    <w:pPr>
      <w:pStyle w:val="Footer"/>
    </w:pPr>
    <w:r>
      <w:t xml:space="preserve">EESC-2019-05791-00-00-TCD-TRA (EN) </w:t>
    </w:r>
    <w:r>
      <w:fldChar w:fldCharType="begin"/>
    </w:r>
    <w:r>
      <w:instrText xml:space="preserve"> PAGE  \* Arabic  \* MERGEFORMAT </w:instrText>
    </w:r>
    <w:r>
      <w:fldChar w:fldCharType="separate"/>
    </w:r>
    <w:r w:rsidR="00E301F3">
      <w:rPr>
        <w:noProof/>
      </w:rPr>
      <w:t>1</w:t>
    </w:r>
    <w:r>
      <w:fldChar w:fldCharType="end"/>
    </w:r>
    <w:r>
      <w:t>/</w:t>
    </w:r>
    <w:fldSimple w:instr=" NUMPAGES ">
      <w:r w:rsidR="00E301F3">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98772A" w:rsidP="00AC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AC4842" w:rsidP="00AC4842">
    <w:pPr>
      <w:pStyle w:val="Footer"/>
    </w:pPr>
    <w:r>
      <w:t xml:space="preserve">EESC-2019-05791-00-00-TCD-TRA (EN) </w:t>
    </w:r>
    <w:r>
      <w:fldChar w:fldCharType="begin"/>
    </w:r>
    <w:r>
      <w:instrText xml:space="preserve"> PAGE  \* Arabic  \* MERGEFORMAT </w:instrText>
    </w:r>
    <w:r>
      <w:fldChar w:fldCharType="separate"/>
    </w:r>
    <w:r w:rsidR="00E301F3">
      <w:rPr>
        <w:noProof/>
      </w:rPr>
      <w:t>2</w:t>
    </w:r>
    <w:r>
      <w:fldChar w:fldCharType="end"/>
    </w:r>
    <w:r>
      <w:t>/</w:t>
    </w:r>
    <w:fldSimple w:instr=" NUMPAGES ">
      <w:r w:rsidR="00E301F3">
        <w:rPr>
          <w:noProof/>
        </w:rPr>
        <w:t>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98772A" w:rsidP="00AC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98772A" w:rsidP="00AC4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98772A" w:rsidP="00AC4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AC4842" w:rsidRDefault="0098772A" w:rsidP="00AC4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0"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2"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8"/>
  </w:num>
  <w:num w:numId="4">
    <w:abstractNumId w:val="34"/>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6"/>
  </w:num>
  <w:num w:numId="8">
    <w:abstractNumId w:val="9"/>
  </w:num>
  <w:num w:numId="9">
    <w:abstractNumId w:val="2"/>
  </w:num>
  <w:num w:numId="10">
    <w:abstractNumId w:val="13"/>
  </w:num>
  <w:num w:numId="11">
    <w:abstractNumId w:val="33"/>
  </w:num>
  <w:num w:numId="12">
    <w:abstractNumId w:val="19"/>
  </w:num>
  <w:num w:numId="13">
    <w:abstractNumId w:val="31"/>
  </w:num>
  <w:num w:numId="14">
    <w:abstractNumId w:val="30"/>
  </w:num>
  <w:num w:numId="15">
    <w:abstractNumId w:val="8"/>
  </w:num>
  <w:num w:numId="16">
    <w:abstractNumId w:val="21"/>
  </w:num>
  <w:num w:numId="17">
    <w:abstractNumId w:val="35"/>
  </w:num>
  <w:num w:numId="18">
    <w:abstractNumId w:val="23"/>
  </w:num>
  <w:num w:numId="19">
    <w:abstractNumId w:val="10"/>
  </w:num>
  <w:num w:numId="20">
    <w:abstractNumId w:val="22"/>
  </w:num>
  <w:num w:numId="21">
    <w:abstractNumId w:val="14"/>
  </w:num>
  <w:num w:numId="22">
    <w:abstractNumId w:val="6"/>
  </w:num>
  <w:num w:numId="23">
    <w:abstractNumId w:val="20"/>
  </w:num>
  <w:num w:numId="24">
    <w:abstractNumId w:val="25"/>
  </w:num>
  <w:num w:numId="25">
    <w:abstractNumId w:val="26"/>
  </w:num>
  <w:num w:numId="26">
    <w:abstractNumId w:val="24"/>
  </w:num>
  <w:num w:numId="27">
    <w:abstractNumId w:val="7"/>
  </w:num>
  <w:num w:numId="28">
    <w:abstractNumId w:val="27"/>
  </w:num>
  <w:num w:numId="29">
    <w:abstractNumId w:val="5"/>
  </w:num>
  <w:num w:numId="30">
    <w:abstractNumId w:val="32"/>
  </w:num>
  <w:num w:numId="31">
    <w:abstractNumId w:val="17"/>
  </w:num>
  <w:num w:numId="32">
    <w:abstractNumId w:val="15"/>
  </w:num>
  <w:num w:numId="33">
    <w:abstractNumId w:val="18"/>
  </w:num>
  <w:num w:numId="34">
    <w:abstractNumId w:val="37"/>
  </w:num>
  <w:num w:numId="35">
    <w:abstractNumId w:val="36"/>
  </w:num>
  <w:num w:numId="36">
    <w:abstractNumId w:val="11"/>
  </w:num>
  <w:num w:numId="37">
    <w:abstractNumId w:val="28"/>
  </w:num>
  <w:num w:numId="38">
    <w:abstractNumId w:val="12"/>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0631"/>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ADE"/>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27CE"/>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3B"/>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45B8"/>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8F5"/>
    <w:rsid w:val="007A1E14"/>
    <w:rsid w:val="007A3904"/>
    <w:rsid w:val="007A57F4"/>
    <w:rsid w:val="007A6870"/>
    <w:rsid w:val="007A7FE9"/>
    <w:rsid w:val="007B28CF"/>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009E"/>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294"/>
    <w:rsid w:val="009A1A95"/>
    <w:rsid w:val="009A1F1D"/>
    <w:rsid w:val="009A24AD"/>
    <w:rsid w:val="009A253D"/>
    <w:rsid w:val="009A26C1"/>
    <w:rsid w:val="009A288E"/>
    <w:rsid w:val="009A495E"/>
    <w:rsid w:val="009A51F0"/>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4842"/>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B91"/>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66E"/>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1F3"/>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0E27"/>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639F4B"/>
  <w14:defaultImageDpi w14:val="96"/>
  <w15:docId w15:val="{39610886-BCCB-44FE-BBD5-D178A0AFB3B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rturo.Iniguez@eesc.europa.eu" TargetMode="External"/><Relationship Id="rId25" Type="http://schemas.openxmlformats.org/officeDocument/2006/relationships/theme" Target="theme/theme1.xml"/><Relationship Id="rId16" Type="http://schemas.openxmlformats.org/officeDocument/2006/relationships/hyperlink" Target="mailto:Stella.BrozekEveraert@eesc.europa.eu" TargetMode="External"/><Relationship Id="rId20" Type="http://schemas.openxmlformats.org/officeDocument/2006/relationships/footer" Target="footer2.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CTJJHAUHWN5E-644613129-5530</_dlc_DocId>
    <_dlc_DocIdUrl xmlns="bfc960a6-20da-4c94-8684-71380fca093b">
      <Url>http://dm2016/eesc/2019/_layouts/15/DocIdRedir.aspx?ID=CTJJHAUHWN5E-644613129-5530</Url>
      <Description>CTJJHAUHWN5E-644613129-5530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2020-02-05T12:00:00+00:00</ProductionDate>
    <FicheYear xmlns="bfc960a6-20da-4c94-8684-71380fca093b">2019</FicheYear>
    <DocumentNumber xmlns="8374e8f1-db99-4c7a-b8f0-8b1e32999b5b">5791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2020-02-19T12:00:00+00:00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954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550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5116C-A200-4796-AED6-F6A1EDDF0094}"/>
</file>

<file path=customXml/itemProps2.xml><?xml version="1.0" encoding="utf-8"?>
<ds:datastoreItem xmlns:ds="http://schemas.openxmlformats.org/officeDocument/2006/customXml" ds:itemID="{84EDE17A-5AA5-44C9-B6D8-1762C0EF02C0}"/>
</file>

<file path=customXml/itemProps3.xml><?xml version="1.0" encoding="utf-8"?>
<ds:datastoreItem xmlns:ds="http://schemas.openxmlformats.org/officeDocument/2006/customXml" ds:itemID="{E32AB417-FCDF-405B-92A0-96720F834604}"/>
</file>

<file path=customXml/itemProps4.xml><?xml version="1.0" encoding="utf-8"?>
<ds:datastoreItem xmlns:ds="http://schemas.openxmlformats.org/officeDocument/2006/customXml" ds:itemID="{572C9023-2532-446F-8A75-74FDE4C3B75D}"/>
</file>

<file path=docProps/app.xml><?xml version="1.0" encoding="utf-8"?>
<Properties xmlns="http://schemas.openxmlformats.org/officeDocument/2006/extended-properties" xmlns:vt="http://schemas.openxmlformats.org/officeDocument/2006/docPropsVTypes">
  <Template>Styles.dotm</Template>
  <TotalTime>198</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gennaio 2020</dc:title>
  <dc:subject>Lavori consultivi, varie</dc:subject>
  <dc:creator>Marcos Jaime Tornin</dc:creator>
  <cp:keywords>EESC-2019-05791-00-00-TCD-TRA-EN</cp:keywords>
  <dc:description>Rapporteur:  - Original language: EN - Date of document: 05/02/2020 - Date of meeting: 19/02/2020 - External documents:  - Administrator:  DEGIORGIO Reuben</dc:description>
  <cp:lastModifiedBy>Francesco Baglieri</cp:lastModifiedBy>
  <cp:revision>14</cp:revision>
  <cp:lastPrinted>2020-01-07T12:46:00Z</cp:lastPrinted>
  <dcterms:created xsi:type="dcterms:W3CDTF">2020-01-30T12:46:00Z</dcterms:created>
  <dcterms:modified xsi:type="dcterms:W3CDTF">2020-02-05T09:56:00Z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30/01/2020, 17/12/2019, 23/07/2019, 19/07/2019, 27/06/2019, 05/06/2019, 03/05/2019, 13/12/2018, 09/11/2018, 12/07/2018, 23/05/2018, 13/03/2018, 26/02/2018, 14/02/2018, 24/01/2018, 16/01/2018, 19/12/2017, 01/12/2017, 16/11/2017, 15/11/2017, 17/10/2017, 13/</vt:lpwstr>
  </property>
  <property fmtid="{D5CDD505-2E9C-101B-9397-08002B2CF9AE}" pid="4" name="Pref_Time">
    <vt:lpwstr>13:43:53, 12:32:46, 14:11:10, 11:32:00, 12:00:39, 16:39:54, 14:43:22, 11:27:48, 09:10:15, 14:45:38, 09:50:08, 13:54:15, 10:33:11, 11:57:02, 15:31:00, 09:45:52, 11:53:01, 15:00:14, 15:49:39, 15:47:16, 10:48:52, 11:23:50, 09:51:12, 14:43:57, 12:54:34, 12:22</vt:lpwstr>
  </property>
  <property fmtid="{D5CDD505-2E9C-101B-9397-08002B2CF9AE}" pid="5" name="Pref_User">
    <vt:lpwstr>jhvi, amett,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EESC-2019-05791-00-00-TCD-ORI.docx, EESC-2019-05065-00-00-TCD-ORI.docx,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0x010100EA97B91038054C99906057A708A1480A004A07B7D2C585754B97D3BEF52E07EE2D</vt:lpwstr>
  </property>
  <property fmtid="{D5CDD505-2E9C-101B-9397-08002B2CF9AE}" pid="8" name="_dlc_DocIdItemGuid">
    <vt:lpwstr>7e3e44c7-8fd7-4af4-8b0a-ceb03eea3718</vt:lpwstr>
  </property>
  <property fmtid="{D5CDD505-2E9C-101B-9397-08002B2CF9AE}" pid="9" name="AvailableTranslations">
    <vt:lpwstr>62;#FI|87606a43-d45f-42d6-b8c9-e1a3457db5b7;#57;#RO|feb747a2-64cd-4299-af12-4833ddc30497;#52;#DA|5d49c027-8956-412b-aa16-e85a0f96ad0e;#38;#SV|c2ed69e7-a339-43d7-8f22-d93680a92aa0;#64;#PT|50ccc04a-eadd-42ae-a0cb-acaf45f812ba;#4;#EN|f2175f21-25d7-44a3-96da-d6a61b075e1b;#65;#ET|ff6c3f4c-b02c-4c3c-ab07-2c37995a7a0a;#60;#HU|6b229040-c589-4408-b4c1-4285663d20a8;#49;#EL|6d4f4d51-af9b-4650-94b4-4276bee85c91;#45;#NL|55c6556c-b4f4-441d-9acf-c498d4f838bd;#16;#PL|1e03da61-4678-4e07-b136-b5024ca9197b;#10;#FR|d2afafd3-4c81-4f60-8f52-ee33f2f54ff3;#17;#ES|e7a6b05b-ae16-40c8-add9-68b64b03aeba;#14;#DE|f6b31e5a-26fa-4935-b661-318e46daf27e;#55;#BG|1a1b3951-7821-4e6a-85f5-5673fc08bd2c;#59;#HR|2f555653-ed1a-4fe6-8362-9082d95989e5;#25;#SK|46d9fce0-ef79-4f71-b89b-cd6aa82426b8;#48;#LT|a7ff5ce7-6123-4f68-865a-a57c31810414;#46;#CS|72f9705b-0217-4fd3-bea2-cbc7ed80e26e;#21;#IT|0774613c-01ed-4e5d-a25d-11d2388de825;#56;#SL|98a412ae-eb01-49e9-ae3d-585a81724cfc;#58;#LV|46f7e311-5d9f-4663-b433-18aeccb7ace7</vt:lpwstr>
  </property>
  <property fmtid="{D5CDD505-2E9C-101B-9397-08002B2CF9AE}" pid="10" name="DocumentType_0">
    <vt:lpwstr>TCD|cd9d6eb6-3f4f-424a-b2d1-57c9d450eaaf</vt:lpwstr>
  </property>
  <property fmtid="{D5CDD505-2E9C-101B-9397-08002B2CF9AE}" pid="11" name="MeetingNumber">
    <vt:i4>550</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5791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31;#SPL-CES|32d8cb1f-c9ec-4365-95c7-8385a18618ac</vt:lpwstr>
  </property>
  <property fmtid="{D5CDD505-2E9C-101B-9397-08002B2CF9AE}" pid="29" name="MeetingDate">
    <vt:filetime>2020-02-19T12:00:00Z</vt:filetime>
  </property>
  <property fmtid="{D5CDD505-2E9C-101B-9397-08002B2CF9AE}" pid="30" name="AvailableTranslations_0">
    <vt:lpwstr>DA|5d49c027-8956-412b-aa16-e85a0f96ad0e;SV|c2ed69e7-a339-43d7-8f22-d93680a92aa0;PT|50ccc04a-eadd-42ae-a0cb-acaf45f812ba;EN|f2175f21-25d7-44a3-96da-d6a61b075e1b;HU|6b229040-c589-4408-b4c1-4285663d20a8;NL|55c6556c-b4f4-441d-9acf-c498d4f838bd;ES|e7a6b05b-ae16-40c8-add9-68b64b03aeba;HR|2f555653-ed1a-4fe6-8362-9082d95989e5;SK|46d9fce0-ef79-4f71-b89b-cd6aa82426b8;LT|a7ff5ce7-6123-4f68-865a-a57c31810414;CS|72f9705b-0217-4fd3-bea2-cbc7ed80e26e;SL|98a412ae-eb01-49e9-ae3d-585a81724cfc;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EESC|422833ec-8d7e-4e65-8e4e-8bed07ffb729;#31;#SPL-CES|32d8cb1f-c9ec-4365-95c7-8385a18618ac;#64;#PT|50ccc04a-eadd-42ae-a0cb-acaf45f812ba;#25;#SK|46d9fce0-ef79-4f71-b89b-cd6aa82426b8;#60;#HU|6b229040-c589-4408-b4c1-4285663d20a8;#59;#HR|2f555653-ed1a-4fe6-8362-9082d95989e5;#58;#LV|46f7e311-5d9f-4663-b433-18aeccb7ace7;#56;#SL|98a412ae-eb01-49e9-ae3d-585a81724cfc;#45;#NL|55c6556c-b4f4-441d-9acf-c498d4f838bd;#17;#ES|e7a6b05b-ae16-40c8-add9-68b64b03aeba;#52;#DA|5d49c027-8956-412b-aa16-e85a0f96ad0e;#48;#LT|a7ff5ce7-6123-4f68-865a-a57c31810414;#46;#CS|72f9705b-0217-4fd3-bea2-cbc7ed80e26e;#8;#TCD|cd9d6eb6-3f4f-424a-b2d1-57c9d450eaaf;#7;#Final|ea5e6674-7b27-4bac-b091-73adbb394efe;#5;#Unrestricted|826e22d7-d029-4ec0-a450-0c28ff673572;#4;#EN|f2175f21-25d7-44a3-96da-d6a61b075e1b;#2;#TRA|150d2a88-1431-44e6-a8ca-0bb753ab8672;#38;#SV|c2ed69e7-a339-43d7-8f22-d93680a92aa0</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954</vt:i4>
  </property>
  <property fmtid="{D5CDD505-2E9C-101B-9397-08002B2CF9AE}" pid="38" name="DocumentLanguage">
    <vt:lpwstr>21;#IT|0774613c-01ed-4e5d-a25d-11d2388de825</vt:lpwstr>
  </property>
</Properties>
</file>