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Default="002A291E" w:rsidP="004B755F">
      <w:pPr>
        <w:spacing w:before="4200"/>
        <w:jc w:val="center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666570" w:rsidRDefault="00667532" w:rsidP="00666570">
      <w:pPr>
        <w:pStyle w:val="Title"/>
      </w:pPr>
      <w:r>
        <w:t>Saavutettavuusseloste</w:t>
      </w:r>
    </w:p>
    <w:p w14:paraId="5AF68968" w14:textId="77777777" w:rsidR="00DD11A1" w:rsidRDefault="00DD11A1">
      <w:r>
        <w:br w:type="page"/>
      </w:r>
    </w:p>
    <w:p w14:paraId="3A496AAB" w14:textId="22183A04" w:rsidR="00667532" w:rsidRDefault="00667532" w:rsidP="00667532">
      <w:r>
        <w:lastRenderedPageBreak/>
        <w:t xml:space="preserve">ETSK pyrkii takaamaan verkkosivustonsa saavutettavuuden </w:t>
      </w:r>
      <w:hyperlink r:id="rId8" w:history="1">
        <w:r>
          <w:rPr>
            <w:rStyle w:val="Hyperlink"/>
          </w:rPr>
          <w:t>Euroopan parlamentin ja neuvoston direktiivin (EU) 2016/2102</w:t>
        </w:r>
      </w:hyperlink>
      <w:r>
        <w:t xml:space="preserve"> mukaisesti.</w:t>
      </w:r>
    </w:p>
    <w:p w14:paraId="2D8DEF26" w14:textId="2326ED7B" w:rsidR="00667532" w:rsidRPr="007F6116" w:rsidRDefault="00667532" w:rsidP="00C90BD5">
      <w:r>
        <w:t xml:space="preserve">Tämä saavutettavuusseloste koskee sivustoa </w:t>
      </w:r>
      <w:hyperlink r:id="rId9" w:history="1">
        <w:r>
          <w:rPr>
            <w:rStyle w:val="Hyperlink"/>
          </w:rPr>
          <w:t>https://www.eesc.europa.eu/en/</w:t>
        </w:r>
      </w:hyperlink>
      <w:r>
        <w:t xml:space="preserve">. </w:t>
      </w:r>
    </w:p>
    <w:p w14:paraId="391C5428" w14:textId="77777777" w:rsidR="00667532" w:rsidRDefault="00667532" w:rsidP="00667532">
      <w:pPr>
        <w:pStyle w:val="Heading1"/>
      </w:pPr>
      <w:r>
        <w:t>Selosteen laatija</w:t>
      </w:r>
    </w:p>
    <w:p w14:paraId="0ED543B9" w14:textId="77777777" w:rsidR="00667532" w:rsidRDefault="00667532" w:rsidP="00667532">
      <w:r>
        <w:t>Euroopan talous- ja sosiaalikomitea</w:t>
      </w:r>
    </w:p>
    <w:p w14:paraId="2693C4BC" w14:textId="77777777" w:rsidR="00667532" w:rsidRDefault="00667532" w:rsidP="00667532">
      <w:r>
        <w:t>Rue Belliard/Belliardstraat 99</w:t>
      </w:r>
    </w:p>
    <w:p w14:paraId="0DEF2070" w14:textId="77777777" w:rsidR="00667532" w:rsidRDefault="00667532" w:rsidP="00667532">
      <w:r>
        <w:t>B-1040 BRUXELLES/BRUSSEL</w:t>
      </w:r>
    </w:p>
    <w:p w14:paraId="29BC2EBF" w14:textId="77777777" w:rsidR="00667532" w:rsidRDefault="00667532" w:rsidP="00667532">
      <w:r>
        <w:t>Belgique/België</w:t>
      </w:r>
    </w:p>
    <w:p w14:paraId="335A28DC" w14:textId="77777777" w:rsidR="00667532" w:rsidRPr="00D77423" w:rsidRDefault="00667532" w:rsidP="00667532">
      <w:r>
        <w:t>Yhteydenotot: webeesc@eesc.europa.eu</w:t>
      </w:r>
    </w:p>
    <w:p w14:paraId="24DE40BD" w14:textId="77777777" w:rsidR="00667532" w:rsidRDefault="00667532" w:rsidP="00667532">
      <w:pPr>
        <w:pStyle w:val="Heading1"/>
      </w:pPr>
      <w:r>
        <w:t>Vaatimustenmukaisuustilanne</w:t>
      </w:r>
    </w:p>
    <w:p w14:paraId="7D664AB4" w14:textId="27713E29" w:rsidR="00667532" w:rsidRDefault="00667532" w:rsidP="00BD24CB">
      <w:r>
        <w:t xml:space="preserve">Tämä verkkosivusto on verkkosisällön saavutettavuusohjeiden (WCAG) 2.0 ja 2.1 mukainen. </w:t>
      </w:r>
    </w:p>
    <w:p w14:paraId="584CD67F" w14:textId="77777777" w:rsidR="00667532" w:rsidRDefault="00667532" w:rsidP="00667532">
      <w:pPr>
        <w:pStyle w:val="Heading2"/>
      </w:pPr>
      <w:r>
        <w:t>Testien tulokset</w:t>
      </w:r>
    </w:p>
    <w:p w14:paraId="16CDB0C3" w14:textId="77777777" w:rsidR="00667532" w:rsidRPr="00CB1341" w:rsidRDefault="00667532" w:rsidP="00667532">
      <w:r>
        <w:t>Ulkopuolinen yritys on tarkastanut, täyttääkö sivusto WCAG 2.0- ja WCAG 2.1 -ohjeiden mukaiset kriteerit.</w:t>
      </w:r>
    </w:p>
    <w:p w14:paraId="6C02EE85" w14:textId="77777777" w:rsidR="00667532" w:rsidRPr="00C83C12" w:rsidRDefault="00667532" w:rsidP="00667532">
      <w:pPr>
        <w:pStyle w:val="Heading3"/>
      </w:pPr>
      <w:r>
        <w:t>WCAG 2.0</w:t>
      </w:r>
    </w:p>
    <w:p w14:paraId="478561AC" w14:textId="47B187FC" w:rsidR="00667532" w:rsidRDefault="00667532" w:rsidP="00667532">
      <w:r>
        <w:t>Tarkastus osoitti, että sivusto täyttää kaiken kaikkiaan 100 % WCAG 2.0 -ohjeiden tasojen A ja AA kriteereistä seuraavasti:</w:t>
      </w:r>
    </w:p>
    <w:p w14:paraId="6300D8FA" w14:textId="031BF4A9" w:rsidR="00667532" w:rsidRDefault="00667532" w:rsidP="00667532">
      <w:pPr>
        <w:pStyle w:val="ListParagraph"/>
        <w:numPr>
          <w:ilvl w:val="0"/>
          <w:numId w:val="46"/>
        </w:numPr>
      </w:pPr>
      <w:r>
        <w:t>Sivusto täytti 100 % tason A kriteereistä.</w:t>
      </w:r>
    </w:p>
    <w:p w14:paraId="3290D254" w14:textId="006CAAE0" w:rsidR="00667532" w:rsidRDefault="00667532" w:rsidP="00667532">
      <w:pPr>
        <w:pStyle w:val="ListParagraph"/>
        <w:numPr>
          <w:ilvl w:val="0"/>
          <w:numId w:val="46"/>
        </w:numPr>
      </w:pPr>
      <w:r>
        <w:t>Sivusto täytti 100 % tason AA kriteereistä.</w:t>
      </w:r>
    </w:p>
    <w:p w14:paraId="78E19C61" w14:textId="77777777" w:rsidR="00667532" w:rsidRPr="00C83C12" w:rsidRDefault="00667532" w:rsidP="00667532">
      <w:pPr>
        <w:pStyle w:val="Heading3"/>
      </w:pPr>
      <w:r>
        <w:t>WCAG 2.1</w:t>
      </w:r>
    </w:p>
    <w:p w14:paraId="02393A77" w14:textId="372DECA1" w:rsidR="00667532" w:rsidRDefault="00667532" w:rsidP="00667532">
      <w:r>
        <w:t>Tarkastus osoitti, että sivusto täyttää kaiken kaikkiaan 100 % WCAG 2.1 -ohjeiden tasojen A ja AA kriteereistä seuraavasti:</w:t>
      </w:r>
    </w:p>
    <w:p w14:paraId="68849935" w14:textId="0DFB16E4" w:rsidR="00667532" w:rsidRDefault="00667532" w:rsidP="00667532">
      <w:pPr>
        <w:pStyle w:val="ListParagraph"/>
        <w:numPr>
          <w:ilvl w:val="0"/>
          <w:numId w:val="46"/>
        </w:numPr>
      </w:pPr>
      <w:r>
        <w:t>Sivusto täytti 100 % tason A kriteereistä.</w:t>
      </w:r>
    </w:p>
    <w:p w14:paraId="41F66604" w14:textId="4E85428A" w:rsidR="00667532" w:rsidRDefault="00667532" w:rsidP="00667532">
      <w:pPr>
        <w:pStyle w:val="ListParagraph"/>
        <w:numPr>
          <w:ilvl w:val="0"/>
          <w:numId w:val="46"/>
        </w:numPr>
      </w:pPr>
      <w:r>
        <w:t>Sivusto täytti 100 % tason AA kriteereistä.</w:t>
      </w:r>
    </w:p>
    <w:p w14:paraId="24B4772E" w14:textId="77777777" w:rsidR="00667532" w:rsidRPr="002B0E3B" w:rsidRDefault="00667532" w:rsidP="00667532">
      <w:pPr>
        <w:pStyle w:val="Heading1"/>
      </w:pPr>
      <w:r>
        <w:t>Ei-saavutettava sisältö</w:t>
      </w:r>
    </w:p>
    <w:p w14:paraId="3A4CDD61" w14:textId="77777777" w:rsidR="00667532" w:rsidRDefault="00667532" w:rsidP="00667532">
      <w:pPr>
        <w:pStyle w:val="Heading2"/>
      </w:pPr>
      <w:r>
        <w:t>Kolmannen osapuolen tuottama sisältö</w:t>
      </w:r>
    </w:p>
    <w:p w14:paraId="31D59886" w14:textId="1200D0B2" w:rsidR="00667532" w:rsidRDefault="00667532" w:rsidP="007D2792">
      <w:pPr>
        <w:pStyle w:val="ListParagraph"/>
        <w:numPr>
          <w:ilvl w:val="0"/>
          <w:numId w:val="40"/>
        </w:numPr>
      </w:pPr>
      <w:r>
        <w:rPr>
          <w:b/>
          <w:bCs/>
        </w:rPr>
        <w:t>Twitter-syöte</w:t>
      </w:r>
      <w:r>
        <w:t>: Tietyillä ETSK:n verkkosivuilla (esimerkiksi sivulla ”</w:t>
      </w:r>
      <w:hyperlink r:id="rId10" w:history="1">
        <w:r>
          <w:rPr>
            <w:rStyle w:val="Hyperlink"/>
          </w:rPr>
          <w:t>ETSK:n puheenjohtaja</w:t>
        </w:r>
      </w:hyperlink>
      <w:r>
        <w:t>”) on Twitter-syötteitä. ETSK ei pysty muuttamaan niiden koodia eikä esitystapaa. Tällaisen sisällön osalta tehtiin poikkeus, koska se on kolmannen osapuolen tuottamaa.</w:t>
      </w:r>
    </w:p>
    <w:p w14:paraId="6A490EB0" w14:textId="77777777" w:rsidR="00667532" w:rsidRPr="005D0946" w:rsidRDefault="00667532" w:rsidP="00667532">
      <w:pPr>
        <w:pStyle w:val="ListParagraph"/>
        <w:numPr>
          <w:ilvl w:val="0"/>
          <w:numId w:val="40"/>
        </w:numPr>
      </w:pPr>
      <w:r>
        <w:t xml:space="preserve">Osa videoista käyttää Youtube-soitinta, jossa saattaa olla puutteita. </w:t>
      </w:r>
    </w:p>
    <w:p w14:paraId="0FC5771E" w14:textId="77777777" w:rsidR="00667532" w:rsidRDefault="00667532" w:rsidP="00667532">
      <w:pPr>
        <w:pStyle w:val="Heading2"/>
      </w:pPr>
      <w:r>
        <w:t>Sivuston sisältö</w:t>
      </w:r>
    </w:p>
    <w:p w14:paraId="25777312" w14:textId="77777777" w:rsidR="00667532" w:rsidRDefault="00667532" w:rsidP="00667532">
      <w:r>
        <w:t xml:space="preserve">Jäljempänä mainitut sisällöt ovat ETSK:n tuottamia sisältöjä, jotka eivät ole kaikilta osin saavutettavuussääntöjen mukaisia. </w:t>
      </w:r>
    </w:p>
    <w:p w14:paraId="728643B7" w14:textId="77777777" w:rsidR="00667532" w:rsidRDefault="00667532" w:rsidP="00667532">
      <w:pPr>
        <w:pStyle w:val="Heading3"/>
      </w:pPr>
      <w:r>
        <w:lastRenderedPageBreak/>
        <w:t>Multimediasisältö</w:t>
      </w:r>
    </w:p>
    <w:p w14:paraId="23E0BCF1" w14:textId="4452F383" w:rsidR="00667532" w:rsidRDefault="00667532" w:rsidP="007D2792">
      <w:r>
        <w:t>ETSK:n internetsivuilla on saatavilla lukuisia videoita. Videoita julkaistaan hyvin usein artikkelien kuvituksena. Koska kyse ei ole sivuston keskeisestä sisällöstä ja videoita on paljon, katsottiin, että niiden saavutettavuuden varmistamisesta aiheutuisi kohtuutonta rasitetta.</w:t>
      </w:r>
    </w:p>
    <w:p w14:paraId="7FBD2DF5" w14:textId="77777777" w:rsidR="00667532" w:rsidRDefault="00667532" w:rsidP="00667532">
      <w:r>
        <w:t xml:space="preserve">Jossakin videoissa ei ole tekstitystä, tekstitys on upotettu kuvaan eikä sitä voi kytkeä pois päältä tai tekstitys on muulla kuin videon kielellä. </w:t>
      </w:r>
    </w:p>
    <w:p w14:paraId="179909FD" w14:textId="777A4A37" w:rsidR="00667532" w:rsidRDefault="00667532" w:rsidP="007D2792">
      <w:r>
        <w:t>Kaikissa tämän selosteen laatimista varten tarkastetuissa videoissa oli kuitenkin kuultua puhetta vastaava tekstitys, ja ETSK pyrkii tarjoamaan sellaisen strukturoidun tekstin muodossa ainakin kaikista julkaisemistaan informatiivisista videoista.</w:t>
      </w:r>
    </w:p>
    <w:p w14:paraId="6520FDA8" w14:textId="77777777" w:rsidR="00667532" w:rsidRPr="00460B8E" w:rsidRDefault="00667532" w:rsidP="00667532">
      <w:pPr>
        <w:pStyle w:val="Heading3"/>
      </w:pPr>
      <w:r>
        <w:t>Asiakirja-aineisto</w:t>
      </w:r>
    </w:p>
    <w:p w14:paraId="3DB01290" w14:textId="297E256E" w:rsidR="00667532" w:rsidRDefault="00667532" w:rsidP="007D2792">
      <w:r>
        <w:t>ETSK tuottaa jatkuvasti hyvin paljon erilaisia työhönsä liittyviä asiakirjoja. Kaikki tähän mennessä julkaistut asiakirjat ovat joiltakin osin vaatimusten vastaisia (nämä vaatimusten noudattamatta jättämiset eivät kuitenkaan estä tiedonhakua).</w:t>
      </w:r>
    </w:p>
    <w:p w14:paraId="26C4F3CF" w14:textId="4D155B08" w:rsidR="00667532" w:rsidRDefault="00667532" w:rsidP="003D5672">
      <w:r>
        <w:t>Kyse on erityisesti sivuston osiossa ”</w:t>
      </w:r>
      <w:hyperlink r:id="rId11" w:history="1">
        <w:r>
          <w:rPr>
            <w:rStyle w:val="Hyperlink"/>
          </w:rPr>
          <w:t>Toiminta</w:t>
        </w:r>
      </w:hyperlink>
      <w:r>
        <w:t xml:space="preserve">” saatavilla olevista asiakirjoista (lausunnot, tiedonannot jne.) mutta myös muualla verkkosivuilla (esim. uutisosiossa) olevasta aineistosta. </w:t>
      </w:r>
    </w:p>
    <w:p w14:paraId="6CCA0957" w14:textId="47522CC1" w:rsidR="00667532" w:rsidRDefault="00667532" w:rsidP="003D5672">
      <w:r>
        <w:t xml:space="preserve">Jo julkaistujen asiakirjojen suuren määrän vuoksi katsottiin, että niiden kaikkien muuntaminen saavutettavaksi aiheuttaisi kohtuutonta rasitetta. ETSK työstää kuitenkin saavutettavuuden takaavaa mallia, jota noudattaen voitaisiin varmistaa tulevien julkaisujen vaatimustenmukaisuus. </w:t>
      </w:r>
    </w:p>
    <w:p w14:paraId="1DD530D7" w14:textId="2AB93E05" w:rsidR="00667532" w:rsidRDefault="00667532" w:rsidP="003D5672">
      <w:r>
        <w:t>Tietyt (”Tietoa ETSK:sta” -osiossa julkaistuista) PDF-tiedostoista eivät ole saavutettavia. Kyseiset julkaisut katsottiin tarkastusajankohtana arkistoaineistoksi, minkä johdosta niiden osalta tehtiin poikkeus.</w:t>
      </w:r>
    </w:p>
    <w:p w14:paraId="16BF60AE" w14:textId="77777777" w:rsidR="00667532" w:rsidRPr="00E749DE" w:rsidRDefault="00667532" w:rsidP="00667532">
      <w:pPr>
        <w:pStyle w:val="Heading2"/>
      </w:pPr>
      <w:r>
        <w:t>Oikeus saada korvaava versio</w:t>
      </w:r>
    </w:p>
    <w:p w14:paraId="46ECAC02" w14:textId="0385C766" w:rsidR="00667532" w:rsidRPr="00393F11" w:rsidRDefault="00667532" w:rsidP="003D5672">
      <w:pPr>
        <w:pStyle w:val="Encartreco"/>
        <w:rPr>
          <w:b/>
          <w:bCs/>
          <w:i/>
          <w:iCs/>
        </w:rPr>
      </w:pPr>
      <w:r>
        <w:rPr>
          <w:b/>
          <w:bCs/>
          <w:i/>
          <w:iCs/>
        </w:rPr>
        <w:t>Käyttäjää, joka ei ole jonkin esteen vuoksi pystynyt tutustumaan mainittuihin asiakirjoihin tai videoihin, pyydetään ottamaan yhteyttä ETSK:n saavutettavuusvastaavaan, jotta tämä voi toimittaa käyttäjälle pyydetystä asiakirjasta saavutettavan version mahdollisimman pian.</w:t>
      </w:r>
    </w:p>
    <w:p w14:paraId="008F966E" w14:textId="1B0450F6" w:rsidR="00667532" w:rsidRDefault="00667532" w:rsidP="003D5672">
      <w:pPr>
        <w:pStyle w:val="Heading1"/>
      </w:pPr>
      <w:r>
        <w:t>Tämän saavutettavuusselosteen laatiminen</w:t>
      </w:r>
    </w:p>
    <w:p w14:paraId="1F8ABB4D" w14:textId="70DE23A6" w:rsidR="00667532" w:rsidRDefault="00667532" w:rsidP="003D5672">
      <w:r>
        <w:t>Tämä seloste on laadittu 27. syyskuuta 2019.</w:t>
      </w:r>
    </w:p>
    <w:p w14:paraId="28403B70" w14:textId="150A98DC" w:rsidR="00667532" w:rsidRDefault="00667532" w:rsidP="003D5672">
      <w:r>
        <w:t xml:space="preserve">Ulkopuolinen yritys tarkasti WCAG 2.0 -ohjeiden kaikkien tason A ja tason AA kriteereiden perusteella 30 verkkosivua. </w:t>
      </w:r>
    </w:p>
    <w:p w14:paraId="4334FB16" w14:textId="77777777" w:rsidR="00667532" w:rsidRDefault="00667532" w:rsidP="00667532">
      <w:pPr>
        <w:pStyle w:val="Heading2"/>
      </w:pPr>
      <w:r>
        <w:t>Verkkosivuston sivut, joiden osalta vaatimustenmukaisuus tarkastettiin</w:t>
      </w:r>
    </w:p>
    <w:p w14:paraId="62915072" w14:textId="01F4CDDA" w:rsidR="00667532" w:rsidRDefault="00667532" w:rsidP="003D5672">
      <w:r>
        <w:t>Tarkastusotos koostui 30:stä edustavaksi katsotusta verkkosivuston sivusta. Vain englanninkieliset sivut tarkastettiin, mutta virheitä korjattiin myös sivuston muissa kieliversioissa ja monilla tarkastusotoksen ulkopuolisilla sivuilla.</w:t>
      </w:r>
    </w:p>
    <w:p w14:paraId="7BC818A7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2" w:history="1">
        <w:r w:rsidR="00446050">
          <w:rPr>
            <w:rStyle w:val="Hyperlink"/>
          </w:rPr>
          <w:t>Etusivu</w:t>
        </w:r>
      </w:hyperlink>
    </w:p>
    <w:p w14:paraId="4666A672" w14:textId="77777777" w:rsidR="00667532" w:rsidRDefault="00667532" w:rsidP="00667532">
      <w:pPr>
        <w:numPr>
          <w:ilvl w:val="0"/>
          <w:numId w:val="43"/>
        </w:numPr>
        <w:spacing w:before="100" w:beforeAutospacing="1" w:after="100" w:afterAutospacing="1"/>
      </w:pPr>
      <w:r>
        <w:t>Navigointivalikko</w:t>
      </w:r>
    </w:p>
    <w:p w14:paraId="6B0C2CE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3" w:history="1">
        <w:r w:rsidR="00446050">
          <w:rPr>
            <w:rStyle w:val="Hyperlink"/>
          </w:rPr>
          <w:t>Tietoa ETSK:sta</w:t>
        </w:r>
      </w:hyperlink>
    </w:p>
    <w:p w14:paraId="4D24147A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4" w:history="1">
        <w:r w:rsidR="00446050">
          <w:rPr>
            <w:rStyle w:val="Hyperlink"/>
          </w:rPr>
          <w:t>ETSK:n puheenjohtaja</w:t>
        </w:r>
      </w:hyperlink>
    </w:p>
    <w:p w14:paraId="7C3275BE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5" w:history="1">
        <w:r w:rsidR="00446050">
          <w:rPr>
            <w:rStyle w:val="Hyperlink"/>
          </w:rPr>
          <w:t>Organisaatiokaavio</w:t>
        </w:r>
      </w:hyperlink>
    </w:p>
    <w:p w14:paraId="36DBE9A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6" w:history="1">
        <w:r w:rsidR="00446050">
          <w:rPr>
            <w:rStyle w:val="Hyperlink"/>
          </w:rPr>
          <w:t>Lausunnot (suodatti</w:t>
        </w:r>
        <w:bookmarkStart w:id="0" w:name="_GoBack"/>
        <w:bookmarkEnd w:id="0"/>
        <w:r w:rsidR="00446050">
          <w:rPr>
            <w:rStyle w:val="Hyperlink"/>
          </w:rPr>
          <w:t>min)</w:t>
        </w:r>
      </w:hyperlink>
    </w:p>
    <w:p w14:paraId="2DA01179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7" w:history="1">
        <w:r w:rsidR="00446050">
          <w:rPr>
            <w:rStyle w:val="Hyperlink"/>
          </w:rPr>
          <w:t>Lausunto</w:t>
        </w:r>
      </w:hyperlink>
    </w:p>
    <w:p w14:paraId="70CB2C51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8" w:history="1">
        <w:r w:rsidR="00446050">
          <w:rPr>
            <w:rStyle w:val="Hyperlink"/>
          </w:rPr>
          <w:t>Julkaisut (tarkennettu haku mukaan luettuna)</w:t>
        </w:r>
      </w:hyperlink>
    </w:p>
    <w:p w14:paraId="3D7005B4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19" w:history="1">
        <w:r w:rsidR="00446050">
          <w:rPr>
            <w:rStyle w:val="Hyperlink"/>
          </w:rPr>
          <w:t>Politiikan ala</w:t>
        </w:r>
      </w:hyperlink>
    </w:p>
    <w:p w14:paraId="0D97A1FC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0" w:history="1">
        <w:r w:rsidR="00446050">
          <w:rPr>
            <w:rStyle w:val="Hyperlink"/>
          </w:rPr>
          <w:t>Hakutulos</w:t>
        </w:r>
      </w:hyperlink>
    </w:p>
    <w:p w14:paraId="0D2E00FD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1" w:history="1">
        <w:r w:rsidR="00446050">
          <w:rPr>
            <w:rStyle w:val="Hyperlink"/>
          </w:rPr>
          <w:t>Kaikki tapahtumat</w:t>
        </w:r>
      </w:hyperlink>
    </w:p>
    <w:p w14:paraId="38E8A57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2" w:history="1">
        <w:r w:rsidR="00446050">
          <w:rPr>
            <w:rStyle w:val="Hyperlink"/>
          </w:rPr>
          <w:t>Eurooppalaisen kansalaisaloitteen päivän 2018 ohjelma</w:t>
        </w:r>
      </w:hyperlink>
    </w:p>
    <w:p w14:paraId="502122A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3" w:history="1">
        <w:r w:rsidR="00446050">
          <w:rPr>
            <w:rStyle w:val="Hyperlink"/>
          </w:rPr>
          <w:t>Lehdistötiedote</w:t>
        </w:r>
      </w:hyperlink>
    </w:p>
    <w:p w14:paraId="223BE2CC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4" w:history="1">
        <w:r w:rsidR="00446050">
          <w:rPr>
            <w:rStyle w:val="Hyperlink"/>
          </w:rPr>
          <w:t>Heinäkuun 2018 ETSK-info</w:t>
        </w:r>
      </w:hyperlink>
    </w:p>
    <w:p w14:paraId="6E787C6E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5" w:history="1">
        <w:r w:rsidR="00446050">
          <w:rPr>
            <w:rStyle w:val="Hyperlink"/>
          </w:rPr>
          <w:t>ETSK sosiaalisessa mediassa</w:t>
        </w:r>
      </w:hyperlink>
    </w:p>
    <w:p w14:paraId="1F4A7D60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6" w:history="1">
        <w:r w:rsidR="00446050">
          <w:rPr>
            <w:rStyle w:val="Hyperlink"/>
          </w:rPr>
          <w:t>Mediakirjasto</w:t>
        </w:r>
      </w:hyperlink>
    </w:p>
    <w:p w14:paraId="07B897A2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7" w:history="1">
        <w:r w:rsidR="00446050">
          <w:rPr>
            <w:rStyle w:val="Hyperlink"/>
          </w:rPr>
          <w:t>Valokuvia</w:t>
        </w:r>
      </w:hyperlink>
    </w:p>
    <w:p w14:paraId="4F9DC777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8" w:history="1">
        <w:r w:rsidR="00446050">
          <w:rPr>
            <w:rStyle w:val="Hyperlink"/>
          </w:rPr>
          <w:t>Video kansalaisyhteiskuntapäiviltä 2018</w:t>
        </w:r>
      </w:hyperlink>
    </w:p>
    <w:p w14:paraId="72FA011C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29" w:history="1">
        <w:r w:rsidR="00446050">
          <w:rPr>
            <w:rStyle w:val="Hyperlink"/>
          </w:rPr>
          <w:t>Lehdistöyksikön yhteystiedot</w:t>
        </w:r>
      </w:hyperlink>
    </w:p>
    <w:p w14:paraId="7C098A0D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0" w:history="1">
        <w:r w:rsidR="00446050">
          <w:rPr>
            <w:rStyle w:val="Hyperlink"/>
          </w:rPr>
          <w:t>Työntekijät-ryhmän esittely</w:t>
        </w:r>
      </w:hyperlink>
    </w:p>
    <w:p w14:paraId="150210B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1" w:history="1">
        <w:r w:rsidR="00446050">
          <w:rPr>
            <w:rStyle w:val="Hyperlink"/>
          </w:rPr>
          <w:t>Työntekijät-ryhmän organisaatio</w:t>
        </w:r>
      </w:hyperlink>
    </w:p>
    <w:p w14:paraId="0B48A117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2" w:history="1">
        <w:r w:rsidR="00446050">
          <w:rPr>
            <w:rStyle w:val="Hyperlink"/>
          </w:rPr>
          <w:t>Luettelo kumppaniorganisaatioista</w:t>
        </w:r>
      </w:hyperlink>
    </w:p>
    <w:p w14:paraId="7C58A9F2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3" w:history="1">
        <w:r w:rsidR="00446050">
          <w:rPr>
            <w:rStyle w:val="Hyperlink"/>
          </w:rPr>
          <w:t>Kulkuyhteydet ETSK:hon</w:t>
        </w:r>
      </w:hyperlink>
    </w:p>
    <w:p w14:paraId="707CAAC3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4" w:history="1">
        <w:r w:rsidR="00446050">
          <w:rPr>
            <w:rStyle w:val="Hyperlink"/>
          </w:rPr>
          <w:t>Sivuston rakenne</w:t>
        </w:r>
      </w:hyperlink>
    </w:p>
    <w:p w14:paraId="79AFF2CC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5" w:history="1">
        <w:r w:rsidR="00446050">
          <w:rPr>
            <w:rStyle w:val="Hyperlink"/>
          </w:rPr>
          <w:t>Työpaikat</w:t>
        </w:r>
      </w:hyperlink>
    </w:p>
    <w:p w14:paraId="6E0274F7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6" w:history="1">
        <w:r w:rsidR="00446050">
          <w:rPr>
            <w:rStyle w:val="Hyperlink"/>
          </w:rPr>
          <w:t>CESlink</w:t>
        </w:r>
      </w:hyperlink>
    </w:p>
    <w:p w14:paraId="6F4E277B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7" w:history="1">
        <w:r w:rsidR="00446050">
          <w:rPr>
            <w:rStyle w:val="Hyperlink"/>
          </w:rPr>
          <w:t>Puhujat</w:t>
        </w:r>
      </w:hyperlink>
    </w:p>
    <w:p w14:paraId="244D8E59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8" w:history="1">
        <w:r w:rsidR="00446050">
          <w:rPr>
            <w:rStyle w:val="Hyperlink"/>
          </w:rPr>
          <w:t>Menettely vaiheittain</w:t>
        </w:r>
      </w:hyperlink>
    </w:p>
    <w:p w14:paraId="4E5ABF21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39" w:history="1">
        <w:r w:rsidR="00446050">
          <w:rPr>
            <w:rStyle w:val="Hyperlink"/>
          </w:rPr>
          <w:t>ETSK:n puheenjohtajan tiimi</w:t>
        </w:r>
      </w:hyperlink>
    </w:p>
    <w:p w14:paraId="0A6323D1" w14:textId="77777777" w:rsidR="00667532" w:rsidRDefault="00EC45FF" w:rsidP="00667532">
      <w:pPr>
        <w:numPr>
          <w:ilvl w:val="0"/>
          <w:numId w:val="43"/>
        </w:numPr>
        <w:spacing w:before="100" w:beforeAutospacing="1" w:after="100" w:afterAutospacing="1"/>
      </w:pPr>
      <w:hyperlink r:id="rId40" w:history="1">
        <w:r w:rsidR="00446050">
          <w:rPr>
            <w:rStyle w:val="Hyperlink"/>
          </w:rPr>
          <w:t>Puheenjohtajan video (kuvaan upotettu tekstitys)</w:t>
        </w:r>
      </w:hyperlink>
    </w:p>
    <w:p w14:paraId="1861BFB3" w14:textId="77777777" w:rsidR="00667532" w:rsidRDefault="00667532" w:rsidP="00667532">
      <w:pPr>
        <w:pStyle w:val="Heading2"/>
      </w:pPr>
      <w:r>
        <w:t>Sivuston ja saavutettavuustestien tekniset tiedot</w:t>
      </w:r>
    </w:p>
    <w:p w14:paraId="79040765" w14:textId="77777777" w:rsidR="00667532" w:rsidRDefault="00667532" w:rsidP="00667532">
      <w:pPr>
        <w:pStyle w:val="Heading3"/>
      </w:pPr>
      <w:r>
        <w:t>Sivuston laadinnassa käytetty teknologia</w:t>
      </w:r>
    </w:p>
    <w:p w14:paraId="2A9CB7F0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HTML5</w:t>
      </w:r>
    </w:p>
    <w:p w14:paraId="59492A9B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CSS</w:t>
      </w:r>
    </w:p>
    <w:p w14:paraId="66F473E4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JavaScript</w:t>
      </w:r>
    </w:p>
    <w:p w14:paraId="4B0EEE22" w14:textId="77777777" w:rsidR="00667532" w:rsidRDefault="00667532" w:rsidP="00667532">
      <w:pPr>
        <w:pStyle w:val="Heading3"/>
      </w:pPr>
      <w:r>
        <w:t>Sisällön saavutettavuuden tarkastamisessa käytetyt asiakassovellukset ja avustava teknologia</w:t>
      </w:r>
    </w:p>
    <w:p w14:paraId="16D2754E" w14:textId="77777777" w:rsidR="00667532" w:rsidRDefault="00667532" w:rsidP="00667532">
      <w:r>
        <w:t>Monitoimintaisten komponenttien näkymätestit tehtiin seuraavilla yhdistelmillä:</w:t>
      </w:r>
    </w:p>
    <w:p w14:paraId="22EAFAD8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Firefox 69.1 / NVDA 2019</w:t>
      </w:r>
    </w:p>
    <w:p w14:paraId="2BA5EB37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Internet Explorer 11 ja JAWS 2018</w:t>
      </w:r>
    </w:p>
    <w:p w14:paraId="173D600B" w14:textId="2789CEAE" w:rsidR="00667532" w:rsidRDefault="00667532" w:rsidP="00667532">
      <w:pPr>
        <w:pStyle w:val="Heading1"/>
      </w:pPr>
      <w:r>
        <w:t>Palaute ja yhteystiedot</w:t>
      </w:r>
    </w:p>
    <w:p w14:paraId="289A4F47" w14:textId="16CDB1ED" w:rsidR="00667532" w:rsidRDefault="00667532" w:rsidP="00667532">
      <w:r>
        <w:t>Jotta voisimme parantaa sisältöjen saavutettavuutta, voit ilmoittaa alla olevaan osoitteeseen havaituista ongelmista tai pyytää saavutettavassa muodossa tietoa tai asiakirjaa, jonka katsot olevan ei-saavutettava. Vastaamme mahdollisimman pian.</w:t>
      </w:r>
    </w:p>
    <w:p w14:paraId="42E022FF" w14:textId="77777777" w:rsidR="00667532" w:rsidRPr="009F265C" w:rsidRDefault="00EC45FF" w:rsidP="00667532">
      <w:hyperlink r:id="rId41" w:history="1">
        <w:r w:rsidR="00446050">
          <w:rPr>
            <w:rStyle w:val="Hyperlink"/>
          </w:rPr>
          <w:t>webeesc@eesc.europa.eu</w:t>
        </w:r>
      </w:hyperlink>
    </w:p>
    <w:p w14:paraId="2BAB6010" w14:textId="6C2F9E45" w:rsidR="00667532" w:rsidRDefault="00667532" w:rsidP="00667532">
      <w:pPr>
        <w:pStyle w:val="Heading1"/>
      </w:pPr>
      <w:r>
        <w:t>Täytäntöönpanomenettely</w:t>
      </w:r>
    </w:p>
    <w:p w14:paraId="68910DF7" w14:textId="79D7C0B6" w:rsidR="00667532" w:rsidRDefault="00667532" w:rsidP="00667532">
      <w:r>
        <w:t xml:space="preserve">Jos et pysty puutteellisen saavutettavuuden takia tutustumaan johonkin sisältöön tai käyttämään jotakin sivuston toimintoa etkä saa asiasta meille ilmoitettuasi tyydyttävää vastausta kohtuullisessa ajassa, sinulla on oikeus tehdä kantelu </w:t>
      </w:r>
      <w:hyperlink r:id="rId42" w:history="1">
        <w:r>
          <w:rPr>
            <w:rStyle w:val="Hyperlink"/>
          </w:rPr>
          <w:t>Euroopan oikeusasiamiehelle</w:t>
        </w:r>
      </w:hyperlink>
      <w:r>
        <w:t>.</w:t>
      </w:r>
    </w:p>
    <w:p w14:paraId="1FD1B9DD" w14:textId="77777777" w:rsidR="00667532" w:rsidRDefault="00667532" w:rsidP="00667532">
      <w:pPr>
        <w:pStyle w:val="ListParagraph"/>
        <w:numPr>
          <w:ilvl w:val="0"/>
          <w:numId w:val="47"/>
        </w:numPr>
      </w:pPr>
      <w:r>
        <w:t xml:space="preserve">Voit </w:t>
      </w:r>
      <w:hyperlink r:id="rId43" w:history="1">
        <w:r>
          <w:rPr>
            <w:rStyle w:val="Hyperlink"/>
          </w:rPr>
          <w:t>tehdä kantelun verkossa Euroopan oikeusasiamiehen verkkosivuilla</w:t>
        </w:r>
      </w:hyperlink>
      <w:r>
        <w:t>.</w:t>
      </w:r>
    </w:p>
    <w:p w14:paraId="4BD413CC" w14:textId="65090BDD" w:rsidR="00667532" w:rsidRDefault="00667532" w:rsidP="003D5672">
      <w:pPr>
        <w:pStyle w:val="ListParagraph"/>
        <w:numPr>
          <w:ilvl w:val="0"/>
          <w:numId w:val="47"/>
        </w:numPr>
      </w:pPr>
      <w:r>
        <w:t xml:space="preserve">Voit </w:t>
      </w:r>
      <w:hyperlink r:id="rId44" w:history="1">
        <w:r>
          <w:rPr>
            <w:rStyle w:val="Hyperlink"/>
          </w:rPr>
          <w:t>lähettää täytetyn lomakkeen postitse</w:t>
        </w:r>
      </w:hyperlink>
      <w:r>
        <w:t xml:space="preserve"> seuraavaan osoitteeseen: </w:t>
      </w:r>
    </w:p>
    <w:p w14:paraId="22086203" w14:textId="77777777" w:rsidR="00667532" w:rsidRDefault="00667532" w:rsidP="00667532">
      <w:pPr>
        <w:pStyle w:val="ListParagraph"/>
        <w:ind w:left="1440"/>
      </w:pPr>
      <w:r>
        <w:t>Médiateur européen</w:t>
      </w:r>
    </w:p>
    <w:p w14:paraId="36A4CBF5" w14:textId="77777777" w:rsidR="00667532" w:rsidRDefault="00667532" w:rsidP="00667532">
      <w:pPr>
        <w:pStyle w:val="ListParagraph"/>
        <w:ind w:left="1440"/>
      </w:pPr>
      <w:r>
        <w:t>1 avenue du Président Robert Schuman</w:t>
      </w:r>
    </w:p>
    <w:p w14:paraId="6B3138B0" w14:textId="77777777" w:rsidR="00667532" w:rsidRDefault="00667532" w:rsidP="00667532">
      <w:pPr>
        <w:pStyle w:val="ListParagraph"/>
        <w:ind w:left="1440"/>
      </w:pPr>
      <w:r>
        <w:t>CS 30403</w:t>
      </w:r>
    </w:p>
    <w:p w14:paraId="5A58AB1A" w14:textId="77777777" w:rsidR="00667532" w:rsidRPr="009F265C" w:rsidRDefault="00667532" w:rsidP="00667532">
      <w:pPr>
        <w:pStyle w:val="ListParagraph"/>
        <w:ind w:left="1440"/>
      </w:pPr>
      <w:r>
        <w:lastRenderedPageBreak/>
        <w:t>F-67001 Strasbourg Cedex</w:t>
      </w:r>
    </w:p>
    <w:p w14:paraId="39FFB5AC" w14:textId="77777777" w:rsidR="00272FD3" w:rsidRDefault="00272FD3" w:rsidP="00272FD3">
      <w:pPr>
        <w:jc w:val="right"/>
      </w:pPr>
    </w:p>
    <w:p w14:paraId="0F78B3A6" w14:textId="77777777" w:rsidR="00272FD3" w:rsidRDefault="00272FD3" w:rsidP="00272FD3">
      <w:pPr>
        <w:jc w:val="right"/>
      </w:pPr>
    </w:p>
    <w:p w14:paraId="5C2F8993" w14:textId="64B0BAA6" w:rsidR="00272FD3" w:rsidRDefault="00272FD3" w:rsidP="00272FD3">
      <w:pPr>
        <w:jc w:val="right"/>
      </w:pPr>
    </w:p>
    <w:p w14:paraId="575B8CCB" w14:textId="2718FFF8" w:rsidR="002766C4" w:rsidRDefault="00272FD3" w:rsidP="003D5672">
      <w:pPr>
        <w:jc w:val="right"/>
      </w:pPr>
      <w:r>
        <w:t>Jean-Pierre Villain, toimitusjohtaja, Access42</w:t>
      </w:r>
    </w:p>
    <w:p w14:paraId="540EB7E0" w14:textId="32EBE392" w:rsidR="00272FD3" w:rsidRDefault="00272FD3" w:rsidP="00272FD3">
      <w:pPr>
        <w:jc w:val="right"/>
      </w:pPr>
    </w:p>
    <w:p w14:paraId="486507A6" w14:textId="3EE428F0" w:rsidR="00272FD3" w:rsidRDefault="00272FD3" w:rsidP="00272FD3">
      <w:pPr>
        <w:jc w:val="right"/>
      </w:pPr>
    </w:p>
    <w:sectPr w:rsidR="00272FD3" w:rsidSect="00426276">
      <w:footerReference w:type="default" r:id="rId45"/>
      <w:headerReference w:type="first" r:id="rId46"/>
      <w:footerReference w:type="first" r:id="rId47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FEB" w14:textId="77777777" w:rsidR="00FE1B4C" w:rsidRDefault="00FE1B4C" w:rsidP="00E952FB">
      <w:r>
        <w:separator/>
      </w:r>
    </w:p>
  </w:endnote>
  <w:endnote w:type="continuationSeparator" w:id="0">
    <w:p w14:paraId="197FC235" w14:textId="77777777" w:rsidR="00FE1B4C" w:rsidRDefault="00FE1B4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36F97A81" w:rsidR="004B5068" w:rsidRPr="006832AD" w:rsidRDefault="004B5068" w:rsidP="003D5672">
    <w:pPr>
      <w:pStyle w:val="Footer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r w:rsidR="00EC45FF" w:rsidRPr="00EC45FF">
      <w:t xml:space="preserve">Saavutettavuusseloste </w:t>
    </w:r>
    <w:r w:rsidR="00152BC9" w:rsidRPr="00152BC9">
      <w:t xml:space="preserve"> </w:t>
    </w:r>
    <w:r w:rsidR="003D5672">
      <w:t>–</w:t>
    </w:r>
    <w:r w:rsidR="00152BC9">
      <w:rPr>
        <w:sz w:val="16"/>
        <w:szCs w:val="16"/>
      </w:rPr>
      <w:t xml:space="preserve"> CESE </w:t>
    </w:r>
    <w:r w:rsidR="003D5672">
      <w:rPr>
        <w:sz w:val="16"/>
        <w:szCs w:val="16"/>
      </w:rPr>
      <w:t>–</w:t>
    </w:r>
    <w:r w:rsidR="00152BC9">
      <w:rPr>
        <w:sz w:val="16"/>
        <w:szCs w:val="16"/>
      </w:rPr>
      <w:t xml:space="preserve"> 2019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="00EC45FF">
      <w:rPr>
        <w:noProof/>
        <w:sz w:val="16"/>
        <w:szCs w:val="16"/>
      </w:rPr>
      <w:t>5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NUMPAGES  \* MERGEFORMAT </w:instrText>
    </w:r>
    <w:r w:rsidRPr="006832AD">
      <w:rPr>
        <w:sz w:val="16"/>
        <w:szCs w:val="16"/>
      </w:rPr>
      <w:fldChar w:fldCharType="separate"/>
    </w:r>
    <w:r w:rsidR="00EC45FF">
      <w:rPr>
        <w:noProof/>
        <w:sz w:val="16"/>
        <w:szCs w:val="16"/>
      </w:rPr>
      <w:t>5</w:t>
    </w:r>
    <w:r w:rsidRPr="006832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1F155AA0" w:rsidR="004B5068" w:rsidRDefault="00FE1B4C" w:rsidP="00A0090B">
    <w:pPr>
      <w:pStyle w:val="Footer"/>
    </w:pPr>
    <w:fldSimple w:instr=" TITLE  \* MERGEFORMAT ">
      <w:r w:rsidR="00EC45FF" w:rsidRPr="00EC45FF">
        <w:t xml:space="preserve">Saavutettavuusseloste </w:t>
      </w:r>
      <w:r w:rsidR="00152BC9">
        <w:t xml:space="preserve"> </w:t>
      </w:r>
      <w:r w:rsidR="00A0090B">
        <w:t>–</w:t>
      </w:r>
      <w:r w:rsidR="00152BC9">
        <w:t xml:space="preserve"> CESE </w:t>
      </w:r>
      <w:r w:rsidR="00A0090B">
        <w:t>–</w:t>
      </w:r>
      <w:r w:rsidR="00152BC9">
        <w:t xml:space="preserve"> 2019</w:t>
      </w:r>
    </w:fldSimple>
    <w:r>
      <w:tab/>
    </w:r>
    <w:r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EC45FF">
      <w:rPr>
        <w:noProof/>
      </w:rPr>
      <w:t>1</w:t>
    </w:r>
    <w:r w:rsidR="004B5068">
      <w:fldChar w:fldCharType="end"/>
    </w:r>
    <w:r>
      <w:t>/</w:t>
    </w:r>
    <w:fldSimple w:instr=" NUMPAGES  \* MERGEFORMAT ">
      <w:r w:rsidR="00EC45F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02DB" w14:textId="77777777" w:rsidR="00FE1B4C" w:rsidRDefault="00FE1B4C" w:rsidP="00E952FB">
      <w:r>
        <w:separator/>
      </w:r>
    </w:p>
  </w:footnote>
  <w:footnote w:type="continuationSeparator" w:id="0">
    <w:p w14:paraId="606E05C7" w14:textId="77777777" w:rsidR="00FE1B4C" w:rsidRDefault="00FE1B4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14:paraId="559DF4E8" w14:textId="77777777" w:rsidTr="00FA4F95">
      <w:trPr>
        <w:trHeight w:val="585"/>
      </w:trPr>
      <w:tc>
        <w:tcPr>
          <w:tcW w:w="5832" w:type="dxa"/>
          <w:vAlign w:val="center"/>
        </w:tcPr>
        <w:p w14:paraId="3F4C0783" w14:textId="1999FBD1"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14:paraId="62C90A53" w14:textId="0521D716" w:rsidR="004B5068" w:rsidRPr="00A01C3A" w:rsidRDefault="004B5068" w:rsidP="00833BB2">
          <w:pPr>
            <w:jc w:val="right"/>
          </w:pPr>
        </w:p>
      </w:tc>
    </w:tr>
  </w:tbl>
  <w:p w14:paraId="27C9518F" w14:textId="77777777"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ctiveWritingStyle w:lang="fi-FI" w:vendorID="64" w:dllVersion="131078" w:nlCheck="1" w:checkStyle="0" w:appName="MSWord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45FF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B5074D"/>
  <w15:docId w15:val="{996DA977-3663-4B37-8F33-1EB1B484E609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/about" TargetMode="External"/><Relationship Id="rId18" Type="http://schemas.openxmlformats.org/officeDocument/2006/relationships/hyperlink" Target="https://www.eesc.europa.eu/en/our-work/publications-other-work/publications" TargetMode="External"/><Relationship Id="rId26" Type="http://schemas.openxmlformats.org/officeDocument/2006/relationships/hyperlink" Target="https://www.eesc.europa.eu/avdb" TargetMode="External"/><Relationship Id="rId39" Type="http://schemas.openxmlformats.org/officeDocument/2006/relationships/hyperlink" Target="https://www.eesc.europa.eu/en/about/political-organisation/eesc-president/team" TargetMode="External"/><Relationship Id="rId21" Type="http://schemas.openxmlformats.org/officeDocument/2006/relationships/hyperlink" Target="https://www.eesc.europa.eu/en/agenda/our-events/events" TargetMode="External"/><Relationship Id="rId34" Type="http://schemas.openxmlformats.org/officeDocument/2006/relationships/hyperlink" Target="https://www.eesc.europa.eu/en/sitemap" TargetMode="External"/><Relationship Id="rId42" Type="http://schemas.openxmlformats.org/officeDocument/2006/relationships/hyperlink" Target="https://www.ombudsman.europa.eu/fi/make-a-complaint" TargetMode="External"/><Relationship Id="rId47" Type="http://schemas.openxmlformats.org/officeDocument/2006/relationships/footer" Target="footer2.xml"/><Relationship Id="rId50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our-work/opinions-information-reports/opinions" TargetMode="External"/><Relationship Id="rId29" Type="http://schemas.openxmlformats.org/officeDocument/2006/relationships/hyperlink" Target="https://www.eesc.europa.eu/en/news-media/contact-press-office" TargetMode="External"/><Relationship Id="rId11" Type="http://schemas.openxmlformats.org/officeDocument/2006/relationships/hyperlink" Target="https://www.eesc.europa.eu/en/our-work" TargetMode="External"/><Relationship Id="rId24" Type="http://schemas.openxmlformats.org/officeDocument/2006/relationships/hyperlink" Target="https://www.eesc.europa.eu/en/news-media/eesc-info/092018" TargetMode="External"/><Relationship Id="rId32" Type="http://schemas.openxmlformats.org/officeDocument/2006/relationships/hyperlink" Target="https://www.eesc.europa.eu/en/members-groups/groups/workers-group/partner-organisations" TargetMode="External"/><Relationship Id="rId37" Type="http://schemas.openxmlformats.org/officeDocument/2006/relationships/hyperlink" Target="https://www.eesc.europa.eu/en/speakers/speaker-biographies" TargetMode="External"/><Relationship Id="rId40" Type="http://schemas.openxmlformats.org/officeDocument/2006/relationships/hyperlink" Target="https://www.eesc.europa.eu/en/news-media/videos/leuropaebella-luca-jahier-conversation-innovative-minds-europe" TargetMode="External"/><Relationship Id="rId45" Type="http://schemas.openxmlformats.org/officeDocument/2006/relationships/footer" Target="footer1.xm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eesc.europa.eu/en/about/administrative-organisation/organisation-chart-administrative" TargetMode="External"/><Relationship Id="rId23" Type="http://schemas.openxmlformats.org/officeDocument/2006/relationships/hyperlink" Target="https://www.eesc.europa.eu/en/news-media/press-releases/securing-social-triple-rating-eu-requires-political-engagement-and-proper-funding" TargetMode="External"/><Relationship Id="rId28" Type="http://schemas.openxmlformats.org/officeDocument/2006/relationships/hyperlink" Target="https://www.eesc.europa.eu/en/avdb/video/civil-society-days-2018" TargetMode="External"/><Relationship Id="rId36" Type="http://schemas.openxmlformats.org/officeDocument/2006/relationships/hyperlink" Target="https://www.eesc.europa.eu/ceslink/e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esc.europa.eu/en/about/political-organisation/eesc-president" TargetMode="External"/><Relationship Id="rId19" Type="http://schemas.openxmlformats.org/officeDocument/2006/relationships/hyperlink" Target="https://www.eesc.europa.eu/en/policies/policy-areas/external-relations" TargetMode="External"/><Relationship Id="rId31" Type="http://schemas.openxmlformats.org/officeDocument/2006/relationships/hyperlink" Target="https://www.eesc.europa.eu/en/members-groups/groups/workers-group/organisation" TargetMode="External"/><Relationship Id="rId44" Type="http://schemas.openxmlformats.org/officeDocument/2006/relationships/hyperlink" Target="https://www.ombudsman.europa.eu/fi/make-a-complaint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eesc.europa.eu/en/" TargetMode="External"/><Relationship Id="rId14" Type="http://schemas.openxmlformats.org/officeDocument/2006/relationships/hyperlink" Target="https://www.eesc.europa.eu/en/about/political-organisation/eesc-president" TargetMode="External"/><Relationship Id="rId22" Type="http://schemas.openxmlformats.org/officeDocument/2006/relationships/hyperlink" Target="https://www.eesc.europa.eu/en/agenda/our-events/events/eci-day-2018-working-together/programme" TargetMode="External"/><Relationship Id="rId27" Type="http://schemas.openxmlformats.org/officeDocument/2006/relationships/hyperlink" Target="https://www.eesc.europa.eu/en/avdb/galleries/civil-society-days-2018" TargetMode="External"/><Relationship Id="rId30" Type="http://schemas.openxmlformats.org/officeDocument/2006/relationships/hyperlink" Target="https://www.eesc.europa.eu/en/members-groups/groups/workers-group" TargetMode="External"/><Relationship Id="rId35" Type="http://schemas.openxmlformats.org/officeDocument/2006/relationships/hyperlink" Target="https://www.eesc.europa.eu/en/work-with-us/jobs" TargetMode="External"/><Relationship Id="rId43" Type="http://schemas.openxmlformats.org/officeDocument/2006/relationships/hyperlink" Target="https://www.ombudsman.europa.eu/fi/make-a-complai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ur-lex.europa.eu/legal-content/FI/TXT/?uri=CELEX:32016L2102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www.eesc.europa.eu/en" TargetMode="External"/><Relationship Id="rId17" Type="http://schemas.openxmlformats.org/officeDocument/2006/relationships/hyperlink" Target="https://www.eesc.europa.eu/en/our-work/opinions-information-reports/opinions/eu-action-plan-2017-2019-tackling-gender-pay-gap" TargetMode="External"/><Relationship Id="rId25" Type="http://schemas.openxmlformats.org/officeDocument/2006/relationships/hyperlink" Target="https://www.eesc.europa.eu/en/news-media/eesc-social-media" TargetMode="External"/><Relationship Id="rId33" Type="http://schemas.openxmlformats.org/officeDocument/2006/relationships/hyperlink" Target="https://www.eesc.europa.eu/en/contact/how-get-eesc" TargetMode="External"/><Relationship Id="rId38" Type="http://schemas.openxmlformats.org/officeDocument/2006/relationships/hyperlink" Target="https://www.eesc.europa.eu/en/work-with-us/partnership/step-step-procedur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eesc.europa.eu/en/search/node/Agriculture" TargetMode="External"/><Relationship Id="rId41" Type="http://schemas.openxmlformats.org/officeDocument/2006/relationships/hyperlink" Target="mailto:webeesc@eesc.europa.eu" TargetMode="External"/><Relationship Id="rId6" Type="http://schemas.openxmlformats.org/officeDocument/2006/relationships/footnotes" Target="footnote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CTJJHAUHWN5E-644613129-1643</_dlc_DocId>
    <_dlc_DocIdUrl xmlns="bfc960a6-20da-4c94-8684-71380fca093b">
      <Url>http://dm2016/eesc/2019/_layouts/15/DocIdRedir.aspx?ID=CTJJHAUHWN5E-644613129-1643</Url>
      <Description>CTJJHAUHWN5E-644613129-1643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BBE18-7655-439F-B041-A13A485EAC05}"/>
</file>

<file path=customXml/itemProps2.xml><?xml version="1.0" encoding="utf-8"?>
<ds:datastoreItem xmlns:ds="http://schemas.openxmlformats.org/officeDocument/2006/customXml" ds:itemID="{43209A92-0545-4268-A771-61A68B18B523}"/>
</file>

<file path=customXml/itemProps3.xml><?xml version="1.0" encoding="utf-8"?>
<ds:datastoreItem xmlns:ds="http://schemas.openxmlformats.org/officeDocument/2006/customXml" ds:itemID="{52D954C8-4E37-4FBD-BF05-43D924A7F7DC}"/>
</file>

<file path=customXml/itemProps4.xml><?xml version="1.0" encoding="utf-8"?>
<ds:datastoreItem xmlns:ds="http://schemas.openxmlformats.org/officeDocument/2006/customXml" ds:itemID="{25B6EB4A-EC73-4304-BC7A-F4E7B98B05DA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8926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Saavutettavuusseloste - verkkosivuston saavutettavuus - 2019</dc:title>
  <dc:creator>Access 42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APaak</cp:lastModifiedBy>
  <cp:revision>5</cp:revision>
  <cp:lastPrinted>2019-11-06T04:41:00Z</cp:lastPrinted>
  <dcterms:created xsi:type="dcterms:W3CDTF">2019-12-04T14:39:00Z</dcterms:created>
  <dcterms:modified xsi:type="dcterms:W3CDTF">2019-12-05T09:43:00Z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0cfc7c16-d6df-411e-a8fe-733cae4c3745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ES|e7a6b05b-ae16-40c8-add9-68b64b03aeba;IT|0774613c-01ed-4e5d-a25d-11d2388de825;HU|6b229040-c589-4408-b4c1-4285663d20a8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5;#Unrestricted|826e22d7-d029-4ec0-a450-0c28ff673572;#21;#IT|0774613c-01ed-4e5d-a25d-11d2388de825;#10;#FR|d2afafd3-4c81-4f60-8f52-ee33f2f54ff3;#60;#HU|6b229040-c589-4408-b4c1-4285663d20a8;#7;#Final|ea5e6674-7b27-4bac-b091-73adbb394efe;#73;#WEB|f9c2e806-c7b4-42cb-b487-6fc237e5776f;#4;#EN|f2175f21-25d7-44a3-96da-d6a61b075e1b;#2;#TRA|150d2a88-1431-44e6-a8ca-0bb753ab8672;#1;#EESC|422833ec-8d7e-4e65-8e4e-8bed07ffb729;#17;#ES|e7a6b05b-ae16-40c8-add9-68b64b03aeb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62;#FI|87606a43-d45f-42d6-b8c9-e1a3457db5b7</vt:lpwstr>
  </property>
  <property fmtid="{D5CDD505-2E9C-101B-9397-08002B2CF9AE}" pid="38" name="_docset_NoMedatataSyncRequired">
    <vt:lpwstr>False</vt:lpwstr>
  </property>
</Properties>
</file>