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77" w:rsidRDefault="00DC05B0" w:rsidP="00290B55">
      <w:pPr>
        <w:pStyle w:val="Heading110"/>
        <w:shd w:val="clear" w:color="auto" w:fill="auto"/>
        <w:spacing w:after="120" w:line="276" w:lineRule="auto"/>
        <w:rPr>
          <w:color w:val="000000"/>
        </w:rPr>
      </w:pPr>
      <w:bookmarkStart w:id="0" w:name="bookmark0"/>
      <w:bookmarkStart w:id="1" w:name="_GoBack"/>
      <w:bookmarkEnd w:id="1"/>
      <w:r>
        <w:rPr>
          <w:color w:val="000000"/>
        </w:rPr>
        <w:t>Simulação de Ação Climática: Países desenvolvidos</w:t>
      </w:r>
      <w:bookmarkEnd w:id="0"/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953"/>
      </w:tblGrid>
      <w:tr w:rsidR="004D0CFD" w:rsidTr="00290B55">
        <w:trPr>
          <w:trHeight w:val="725"/>
        </w:trPr>
        <w:tc>
          <w:tcPr>
            <w:tcW w:w="2660" w:type="dxa"/>
            <w:vMerge w:val="restart"/>
          </w:tcPr>
          <w:p w:rsidR="004D0CFD" w:rsidRPr="00290B55" w:rsidRDefault="0091067F" w:rsidP="004D0CF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drawing>
                <wp:anchor distT="0" distB="0" distL="63500" distR="63500" simplePos="0" relativeHeight="377491201" behindDoc="1" locked="0" layoutInCell="1" allowOverlap="1" wp14:anchorId="48386D96" wp14:editId="37D0F14E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40640</wp:posOffset>
                  </wp:positionV>
                  <wp:extent cx="1615440" cy="871855"/>
                  <wp:effectExtent l="0" t="0" r="3810" b="4445"/>
                  <wp:wrapSquare wrapText="bothSides"/>
                  <wp:docPr id="6" name="Picture 6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4D0CFD" w:rsidRPr="00290B55" w:rsidRDefault="004D0CFD" w:rsidP="00290B55">
            <w:pPr>
              <w:spacing w:before="120"/>
              <w:rPr>
                <w:b/>
              </w:rPr>
            </w:pPr>
            <w:r>
              <w:rPr>
                <w:b/>
                <w:color w:val="000000"/>
              </w:rPr>
              <w:t xml:space="preserve">Nota aos: </w:t>
            </w:r>
          </w:p>
        </w:tc>
        <w:tc>
          <w:tcPr>
            <w:tcW w:w="5953" w:type="dxa"/>
          </w:tcPr>
          <w:p w:rsidR="004D0CFD" w:rsidRPr="00290B55" w:rsidRDefault="004D0CFD" w:rsidP="00290B55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Negociadores Principais dos Países Desenvolvidos</w:t>
            </w:r>
          </w:p>
          <w:p w:rsidR="004D0CFD" w:rsidRDefault="004D0CFD" w:rsidP="004D0CFD">
            <w:r>
              <w:rPr>
                <w:color w:val="000000"/>
              </w:rPr>
              <w:t>(EUA, Canadá, União Europeia, Japão, Rússia e outras antigas repúblicas soviéticas, Coreia do Sul, Austrália, Nova Zelândia)</w:t>
            </w:r>
          </w:p>
        </w:tc>
      </w:tr>
      <w:tr w:rsidR="004D0CFD" w:rsidTr="00290B55">
        <w:trPr>
          <w:trHeight w:val="725"/>
        </w:trPr>
        <w:tc>
          <w:tcPr>
            <w:tcW w:w="2660" w:type="dxa"/>
            <w:vMerge/>
          </w:tcPr>
          <w:p w:rsidR="004D0CFD" w:rsidRPr="004D0CFD" w:rsidRDefault="004D0CFD" w:rsidP="004D0CFD">
            <w:pPr>
              <w:rPr>
                <w:lang w:bidi="en-US"/>
              </w:rPr>
            </w:pPr>
          </w:p>
        </w:tc>
        <w:tc>
          <w:tcPr>
            <w:tcW w:w="1134" w:type="dxa"/>
          </w:tcPr>
          <w:p w:rsidR="004D0CFD" w:rsidRPr="00290B55" w:rsidRDefault="004D0CFD" w:rsidP="00290B55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Assunto:</w:t>
            </w:r>
          </w:p>
        </w:tc>
        <w:tc>
          <w:tcPr>
            <w:tcW w:w="5953" w:type="dxa"/>
          </w:tcPr>
          <w:p w:rsidR="004D0CFD" w:rsidRPr="00290B55" w:rsidRDefault="004D0CFD" w:rsidP="00290B55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Preparação da Cimeira sobre a Ação Climática</w:t>
            </w:r>
          </w:p>
        </w:tc>
      </w:tr>
    </w:tbl>
    <w:p w:rsidR="004D0CFD" w:rsidRPr="00290B55" w:rsidRDefault="004D0CFD" w:rsidP="00290B55"/>
    <w:p w:rsidR="002C1D77" w:rsidRPr="004D0CFD" w:rsidRDefault="00DC05B0" w:rsidP="00290B55">
      <w:pPr>
        <w:spacing w:after="120"/>
      </w:pPr>
      <w:r>
        <w:t xml:space="preserve">Bem-vindos à Cimeira sobre a Ação Climática. O secretário-geral das Nações Unidas convidou-vos e aos líderes de todas as partes interessadas pertinentes para colaborarem na procura de uma solução para combater as alterações climáticas. No convite, o secretário-geral </w:t>
      </w:r>
      <w:r>
        <w:rPr>
          <w:rStyle w:val="Bodytext2"/>
        </w:rPr>
        <w:t>assinalou</w:t>
      </w:r>
      <w:r>
        <w:t xml:space="preserve"> que: «A emergência climática é uma corrida que estamos a perder, mas que ainda podemos vencer [...]. Os dados científicos mais fiáveis [...] mostram que um aumento da temperatura acima de 1,5 °C causará danos graves e irreversíveis aos ecossistemas que nos sustentam [...]. Contudo, a ciência diz-nos também que não é demasiado tarde. É possível [...]. Mas é necessário realizar transformações profundas em todos os aspetos da sociedade: como cultivamos os alimentos, como utilizamos os solos, como movemos os nossos meios de transporte, como fornecemos energia à nossa economia [...]. Agindo em conjunto, não deixaremos ninguém para trás.»</w:t>
      </w:r>
    </w:p>
    <w:p w:rsidR="002C1D77" w:rsidRPr="004D0CFD" w:rsidRDefault="00DC05B0" w:rsidP="000A6D24">
      <w:pPr>
        <w:spacing w:after="120" w:line="276" w:lineRule="auto"/>
      </w:pPr>
      <w:r>
        <w:rPr>
          <w:color w:val="000000"/>
        </w:rPr>
        <w:t xml:space="preserve">O objetivo da cimeira é elaborar um plano que limite o aumento do aquecimento global a menos de 2 °C acima dos níveis pré-industriais e que tente limitar esse aumento a 1,5 °C, ou seja, os objetivos internacionais formalmente reconhecidos no Acordo de Paris sobre o clima. </w:t>
      </w:r>
      <w:r>
        <w:t xml:space="preserve">Os </w:t>
      </w:r>
      <w:r>
        <w:rPr>
          <w:rStyle w:val="Bodytext2"/>
        </w:rPr>
        <w:t>dados científicos</w:t>
      </w:r>
      <w:r>
        <w:t xml:space="preserve"> não deixam margem para dúvidas: o aquecimento acima desse limite produzirá efeitos catastróficos e irreversíveis que ameaçam a saúde, a prosperidade e a vida das pessoas em todas as nações.</w:t>
      </w:r>
    </w:p>
    <w:p w:rsidR="002C1D77" w:rsidRPr="004D0CFD" w:rsidRDefault="00DC05B0" w:rsidP="00290B55">
      <w:pPr>
        <w:spacing w:after="120" w:line="276" w:lineRule="auto"/>
      </w:pPr>
      <w:r>
        <w:rPr>
          <w:color w:val="000000"/>
        </w:rPr>
        <w:t xml:space="preserve">O vosso grupo representa os países desenvolvidos do mundo (acima enumerados). Em conjunto, a população dos vossos países representa 1,3 mil milhões de pessoas, perfazendo cerca de 17% dos 7,7 mil milhões de habitantes no mundo. No entanto, os vossos países geram, coletivamente, 60% da produção económica mundial e apresentam o PIB (produto interno bruto) </w:t>
      </w:r>
      <w:r>
        <w:rPr>
          <w:i/>
          <w:iCs/>
          <w:color w:val="000000"/>
        </w:rPr>
        <w:t>per capita</w:t>
      </w:r>
      <w:r>
        <w:rPr>
          <w:color w:val="000000"/>
        </w:rPr>
        <w:t xml:space="preserve"> mais elevado.</w:t>
      </w:r>
    </w:p>
    <w:p w:rsidR="002C1D77" w:rsidRPr="004D0CFD" w:rsidRDefault="00DC05B0" w:rsidP="00290B55">
      <w:pPr>
        <w:spacing w:after="120" w:line="276" w:lineRule="auto"/>
      </w:pPr>
      <w:r>
        <w:rPr>
          <w:color w:val="000000"/>
        </w:rPr>
        <w:t>As vossas prioridades políticas são enunciadas em seguida. Contudo, o vosso grupo pode propor ou opor-se a qualquer outra política disponível.</w:t>
      </w:r>
    </w:p>
    <w:p w:rsidR="002C1D77" w:rsidRPr="007A09A4" w:rsidRDefault="00DC05B0" w:rsidP="00290B55">
      <w:pPr>
        <w:numPr>
          <w:ilvl w:val="0"/>
          <w:numId w:val="1"/>
        </w:numPr>
        <w:spacing w:after="120" w:line="276" w:lineRule="auto"/>
        <w:ind w:left="403" w:hanging="403"/>
      </w:pPr>
      <w:r>
        <w:rPr>
          <w:b/>
          <w:color w:val="000000"/>
        </w:rPr>
        <w:t>Subsidiar as energias renováveis (por exemplo, solar, eólica, geotérmica, hidroelétrica, e respetivo armazenamento).</w:t>
      </w:r>
      <w:r>
        <w:rPr>
          <w:color w:val="000000"/>
        </w:rPr>
        <w:t xml:space="preserve"> </w:t>
      </w:r>
      <w:r>
        <w:t>O setor das energias renováveis está a crescer rapidamente, mas continua a representar menos de 5% do aprovisionamento energético mundial. Os subsídios ajudarão este setor a crescer, gerando emprego nos vossos países (se conseguirem superar o ritmo de desenvolvimento da tecnologia eólica, solar e de baterias registado na China e noutros países em desenvolvimento). O armazenamento (por exemplo, através de pilhas, térmico, hidrobombeado) e a tecnologia de «rede inteligente» permitem a integração de fontes de energia renovável variável, como a eólica e a solar, no sistema energético, assegurando simultaneamente o fornecimento contínuo de energia elétrica.</w:t>
      </w:r>
    </w:p>
    <w:p w:rsidR="002C1D77" w:rsidRPr="00290B55" w:rsidRDefault="00DC05B0" w:rsidP="00290B55">
      <w:pPr>
        <w:numPr>
          <w:ilvl w:val="0"/>
          <w:numId w:val="1"/>
        </w:numPr>
        <w:spacing w:after="120" w:line="276" w:lineRule="auto"/>
        <w:ind w:left="403" w:hanging="403"/>
        <w:rPr>
          <w:b/>
        </w:rPr>
      </w:pPr>
      <w:r>
        <w:rPr>
          <w:rStyle w:val="Bodytext2Bold"/>
        </w:rPr>
        <w:t>Reduzir a desflorestação.</w:t>
      </w:r>
      <w:r>
        <w:t xml:space="preserve"> </w:t>
      </w:r>
      <w:r>
        <w:rPr>
          <w:color w:val="000000"/>
        </w:rPr>
        <w:t>A desflorestação é atualmente responsável por cerca de 15% das emissões de gases com efeito de estufa a nível mundial. Grande parte dessa desflorestação ocorre nas florestas tropicais de países em desenvolvimento, designadamente na Amazónia, em África e no Sudeste Asiático/Ásia do Sul. A proteção das florestas pode reduzir essas emissões e, simultaneamente, preservar a biodiversidade e as reservas de água.</w:t>
      </w:r>
    </w:p>
    <w:p w:rsidR="002C1D77" w:rsidRPr="00290B55" w:rsidRDefault="00DC05B0" w:rsidP="00290B55">
      <w:pPr>
        <w:numPr>
          <w:ilvl w:val="0"/>
          <w:numId w:val="1"/>
        </w:numPr>
        <w:spacing w:after="120" w:line="276" w:lineRule="auto"/>
        <w:ind w:left="403" w:hanging="403"/>
        <w:rPr>
          <w:b/>
        </w:rPr>
      </w:pPr>
      <w:r>
        <w:rPr>
          <w:rStyle w:val="Bodytext2Bold"/>
        </w:rPr>
        <w:t xml:space="preserve">Considerar a florestação. </w:t>
      </w:r>
      <w:r>
        <w:rPr>
          <w:color w:val="000000"/>
        </w:rPr>
        <w:t xml:space="preserve">Por florestação, entende-se a plantação de novas florestas em superfícies desprovidas de árvores, o que, por vezes, se realiza em terras que foram previamente desflorestadas ou degradadas. </w:t>
      </w:r>
      <w:r>
        <w:t>À medida que as árvores crescem, sequestram CO</w:t>
      </w:r>
      <w:r>
        <w:rPr>
          <w:vertAlign w:val="subscript"/>
        </w:rPr>
        <w:t>2</w:t>
      </w:r>
      <w:r>
        <w:t xml:space="preserve"> da atmosfera e armazenam-no na biomassa e nos solos.</w:t>
      </w:r>
      <w:r>
        <w:rPr>
          <w:color w:val="000000"/>
        </w:rPr>
        <w:t xml:space="preserve"> Se implementada em grande escala, a florestação pode implicar a utilização de superfícies necessárias às culturas e à pecuária, aumentando, deste modo, os preços dos alimentos. O </w:t>
      </w:r>
      <w:r>
        <w:rPr>
          <w:color w:val="000000"/>
        </w:rPr>
        <w:lastRenderedPageBreak/>
        <w:t>vosso grupo deve ter em conta a superfície necessária à aplicação de cada política de florestação proposta.</w:t>
      </w:r>
    </w:p>
    <w:p w:rsidR="002C1D77" w:rsidRPr="007A09A4" w:rsidRDefault="00DC05B0" w:rsidP="00290B55">
      <w:pPr>
        <w:numPr>
          <w:ilvl w:val="0"/>
          <w:numId w:val="1"/>
        </w:numPr>
        <w:spacing w:after="120" w:line="276" w:lineRule="auto"/>
        <w:ind w:left="400" w:hanging="400"/>
      </w:pPr>
      <w:r>
        <w:rPr>
          <w:b/>
          <w:color w:val="000000"/>
        </w:rPr>
        <w:t>Reduzir as emissões de metano, óxido nitroso e outros gases com efeito de estufa.</w:t>
      </w:r>
      <w:r>
        <w:t xml:space="preserve"> O CO</w:t>
      </w:r>
      <w:r>
        <w:rPr>
          <w:vertAlign w:val="subscript"/>
        </w:rPr>
        <w:t>2</w:t>
      </w:r>
      <w:r>
        <w:t xml:space="preserve"> é o gás com efeito de estufa mais conhecido, mas há outros gases responsáveis por cerca de um quarto do aquecimento global. Trata-se do metano (CH</w:t>
      </w:r>
      <w:r>
        <w:rPr>
          <w:vertAlign w:val="subscript"/>
        </w:rPr>
        <w:t>4</w:t>
      </w:r>
      <w:r>
        <w:t>), do óxido nitroso (N</w:t>
      </w:r>
      <w:r>
        <w:rPr>
          <w:vertAlign w:val="subscript"/>
        </w:rPr>
        <w:t>2</w:t>
      </w:r>
      <w:r>
        <w:t>O) e de uma vasta gama de clorofluorocarbonetos e outros compostos fluorados (os «gases fluorados»). No espaço de um século, molécula a molécula, muitos destes gases contribuem dezenas, centenas e mesmo milhares de vezes mais para o aquecimento global do que o CO</w:t>
      </w:r>
      <w:r>
        <w:rPr>
          <w:vertAlign w:val="subscript"/>
        </w:rPr>
        <w:t>2</w:t>
      </w:r>
      <w:r>
        <w:t>. Embora as suas concentrações sejam baixas, têm vindo a aumentar rapidamente.</w:t>
      </w:r>
    </w:p>
    <w:p w:rsidR="002C1D77" w:rsidRPr="007A09A4" w:rsidRDefault="00DC05B0" w:rsidP="00290B55">
      <w:pPr>
        <w:keepLines/>
        <w:numPr>
          <w:ilvl w:val="0"/>
          <w:numId w:val="1"/>
        </w:numPr>
        <w:spacing w:after="120" w:line="276" w:lineRule="auto"/>
        <w:ind w:left="403" w:hanging="403"/>
      </w:pPr>
      <w:r>
        <w:rPr>
          <w:b/>
        </w:rPr>
        <w:t>Decidir se convém investir em investigação e desenvolvimento (I&amp;D) para encontrar uma nova fonte de energia de baixo custo neutra em carbono.</w:t>
      </w:r>
      <w:r>
        <w:t xml:space="preserve"> Alguns cientistas acreditam que um novo tipo de energia nuclear, como a cisão de tório ou a fusão nuclear, proporcionaria a melhor fonte de energia para substituir os combustíveis fósseis, alegando que essas tecnologias poderiam fornecer eletricidade suficiente a baixo custo e neutra em carbono. Várias universidades e empresas de relevo estão a explorar novas soluções promissoras no domínio da energia nuclear. Contudo, essas novas tecnologias ainda não estão disponíveis e exigem investimento avultado para se tornarem comercialmente viáveis.</w:t>
      </w:r>
    </w:p>
    <w:p w:rsidR="002C1D77" w:rsidRPr="007A09A4" w:rsidRDefault="00DC05B0" w:rsidP="00290B55">
      <w:pPr>
        <w:numPr>
          <w:ilvl w:val="0"/>
          <w:numId w:val="1"/>
        </w:numPr>
        <w:spacing w:after="120" w:line="276" w:lineRule="auto"/>
        <w:ind w:left="403" w:hanging="403"/>
      </w:pPr>
      <w:r>
        <w:rPr>
          <w:b/>
          <w:color w:val="000000"/>
        </w:rPr>
        <w:t>Decidir se a tecnologia de remoção do carbono pode ser objeto de grande evolução.</w:t>
      </w:r>
      <w:r>
        <w:t xml:space="preserve"> O ramo emergente da tecnologia de remoção do dióxido de carbono (</w:t>
      </w:r>
      <w:r>
        <w:rPr>
          <w:i/>
          <w:iCs/>
        </w:rPr>
        <w:t>carbon dioxide removal</w:t>
      </w:r>
      <w:r>
        <w:t xml:space="preserve"> – CDR) procura encontrar métodos para remover o CO</w:t>
      </w:r>
      <w:r>
        <w:rPr>
          <w:vertAlign w:val="subscript"/>
        </w:rPr>
        <w:t>2</w:t>
      </w:r>
      <w:r>
        <w:t xml:space="preserve"> já presente na atmosfera. Estas tecnologias vão desde alterações nas práticas agrícolas, que em princípio já poderiam ser implementadas, até tecnologias especulativas e não testadas, como a captura diretamente da atmosfera (</w:t>
      </w:r>
      <w:r>
        <w:rPr>
          <w:i/>
          <w:iCs/>
        </w:rPr>
        <w:t>Direct Air Capture</w:t>
      </w:r>
      <w:r>
        <w:t xml:space="preserve"> – DAC). O vosso grupo pode decidir investir nessas tecnologias.</w:t>
      </w:r>
    </w:p>
    <w:p w:rsidR="002C1D77" w:rsidRPr="007A09A4" w:rsidRDefault="00DC05B0" w:rsidP="00290B55">
      <w:pPr>
        <w:numPr>
          <w:ilvl w:val="0"/>
          <w:numId w:val="1"/>
        </w:numPr>
        <w:tabs>
          <w:tab w:val="left" w:pos="355"/>
        </w:tabs>
        <w:spacing w:after="120" w:line="276" w:lineRule="auto"/>
        <w:ind w:left="403" w:hanging="403"/>
      </w:pPr>
      <w:r>
        <w:rPr>
          <w:b/>
        </w:rPr>
        <w:t>Considerar o estabelecimento de um preço para as emissões de CO</w:t>
      </w:r>
      <w:r>
        <w:rPr>
          <w:b/>
          <w:vertAlign w:val="subscript"/>
        </w:rPr>
        <w:t>2</w:t>
      </w:r>
      <w:r>
        <w:rPr>
          <w:b/>
        </w:rPr>
        <w:t>.</w:t>
      </w:r>
      <w:r>
        <w:t xml:space="preserve"> Os combustíveis fósseis ainda dominam o sistema energético mundial e o CO</w:t>
      </w:r>
      <w:r>
        <w:rPr>
          <w:vertAlign w:val="subscript"/>
        </w:rPr>
        <w:t>2</w:t>
      </w:r>
      <w:r>
        <w:t xml:space="preserve"> que produzem é, de longe, a principal fonte de emissões de gases com efeito de estufa. Os economistas concordam que o estabelecimento de um preço do carbono é a melhor forma de reduzir as emissões de gases com efeito de estufa a nível mundial. O vosso grupo deve ponderar o estabelecimento de um preço do carbono, talvez de forma gradual para que a indústria e os consumidores se possam adaptar. As receitas podem ser restituídas aos cidadãos sob a forma de subsídios, contribuir para compensar os custos de outras políticas, diminuir o vosso défice orçamental ou financiar a ajuda aos países em desenvolvimento para redução das respetivas emissões. Embora alguns dos países, estados e regiões representados no vosso grupo apliquem um preço do carbono, na grande maioria, este valor é substancialmente inferior aos 30-50 dólares por tonelada de CO</w:t>
      </w:r>
      <w:r>
        <w:rPr>
          <w:vertAlign w:val="subscript"/>
        </w:rPr>
        <w:t>2</w:t>
      </w:r>
      <w:r>
        <w:t>, por vezes mais, recomendados por muitos economistas. A indústria dos combustíveis fósseis opõe-se aos preços do carbono, assim como as empresas fortemente dependentes dos combustíveis fósseis.</w:t>
      </w:r>
    </w:p>
    <w:p w:rsidR="002C1D77" w:rsidRPr="000A6D24" w:rsidRDefault="00DC05B0" w:rsidP="00290B55">
      <w:pPr>
        <w:spacing w:after="120" w:line="276" w:lineRule="auto"/>
        <w:rPr>
          <w:b/>
        </w:rPr>
      </w:pPr>
      <w:r>
        <w:rPr>
          <w:b/>
          <w:color w:val="000000"/>
        </w:rPr>
        <w:t>Observações suplementares</w:t>
      </w:r>
    </w:p>
    <w:p w:rsidR="002C1D77" w:rsidRPr="004D0CFD" w:rsidRDefault="00DC05B0" w:rsidP="000A6D24">
      <w:pPr>
        <w:spacing w:after="120" w:line="276" w:lineRule="auto"/>
      </w:pPr>
      <w:r>
        <w:rPr>
          <w:color w:val="000000"/>
        </w:rPr>
        <w:t>O vosso grupo reconhece que as alterações climáticas são um fenómeno real, provocado principalmente pela queima de combustíveis fósseis, que põe seriamente em risco as pessoas em todo o mundo, incluindo nos vossos países. As alterações climáticas são um grave multiplicador de ameaças que compromete a vossa segurança nacional, pois os danos causados pelas alterações climáticas provocam cada vez mais conflitos e fenómenos de migração, que já suscitam reações negativas em alguns segmentos da população e reivindicações para aplicação de políticas anti-imigração.</w:t>
      </w:r>
    </w:p>
    <w:p w:rsidR="002C1D77" w:rsidRPr="004D0CFD" w:rsidRDefault="00DC05B0" w:rsidP="000A6D24">
      <w:pPr>
        <w:spacing w:after="120" w:line="276" w:lineRule="auto"/>
      </w:pPr>
      <w:r>
        <w:rPr>
          <w:color w:val="000000"/>
        </w:rPr>
        <w:t xml:space="preserve">Ao mesmo tempo, os vossos países dependem dos combustíveis fósseis, sendo hoje responsáveis por 36% das emissões de gases com efeito de estufa a nível mundial e por uma percentagem consideravelmente superior de emissões cumulativas desde a revolução industrial. A economia de alguns países do vosso grupo depende das exportações de combustíveis fósseis, em especial a Rússia (petróleo e gás), a Austrália (carvão) e o Canadá (petróleo de areias betuminosas). Os Estados Unidos anunciaram a sua intenção de se retirarem do Acordo de Paris sobre o clima, alcançado em 2015, e o Governo federal dos EUA está a pôr </w:t>
      </w:r>
      <w:r>
        <w:rPr>
          <w:color w:val="000000"/>
        </w:rPr>
        <w:lastRenderedPageBreak/>
        <w:t xml:space="preserve">fim a muitas políticas em prol do clima. </w:t>
      </w:r>
      <w:r>
        <w:t xml:space="preserve">Paralelamente, </w:t>
      </w:r>
      <w:r>
        <w:rPr>
          <w:rStyle w:val="Bodytext2"/>
        </w:rPr>
        <w:t>dezenas de estados</w:t>
      </w:r>
      <w:r>
        <w:t xml:space="preserve"> e centenas de cidades, regiões e empresas americanas afirmaram que ainda respeitam o acordo, criando o movimento </w:t>
      </w:r>
      <w:r>
        <w:rPr>
          <w:rStyle w:val="Bodytext2"/>
        </w:rPr>
        <w:t>#WeAreStillIn</w:t>
      </w:r>
      <w:r>
        <w:t xml:space="preserve"> e comprometendo-se a cumprir ou superar a sua parte do compromisso assumido pelos EUA.</w:t>
      </w:r>
      <w:r>
        <w:rPr>
          <w:color w:val="000000"/>
        </w:rPr>
        <w:t xml:space="preserve"> Muitos governos e empresas têm vindo a aperceber-se de que as políticas em prol do clima são benéficas para a economia. A eficiência energética e as energias renováveis, como a eólica e a solar, são frequentemente rentáveis, criam emprego e melhoram a saúde pública.</w:t>
      </w:r>
    </w:p>
    <w:p w:rsidR="002C1D77" w:rsidRPr="004D0CFD" w:rsidRDefault="00DC05B0">
      <w:pPr>
        <w:spacing w:line="276" w:lineRule="auto"/>
      </w:pPr>
      <w:r>
        <w:rPr>
          <w:color w:val="000000"/>
        </w:rPr>
        <w:t xml:space="preserve">Embora os países representados no vosso grupo se esforcem por reduzir as respetivas emissões de gases com efeito de estufa, não deixam de observar que a China é o maior poluidor do mundo (perfazendo 28% das emissões mundiais) e que os países em desenvolvimento e os países emergentes em rápido crescimento produzem, coletivamente, cerca de 65% das emissões a nível mundial, ainda que as emissões </w:t>
      </w:r>
      <w:r>
        <w:rPr>
          <w:i/>
          <w:iCs/>
          <w:color w:val="000000"/>
        </w:rPr>
        <w:t>per capita</w:t>
      </w:r>
      <w:r>
        <w:rPr>
          <w:color w:val="000000"/>
        </w:rPr>
        <w:t xml:space="preserve"> nesses países sejam baixas.</w:t>
      </w:r>
    </w:p>
    <w:sectPr w:rsidR="002C1D77" w:rsidRPr="004D0CFD" w:rsidSect="004D0CFD">
      <w:footerReference w:type="default" r:id="rId8"/>
      <w:pgSz w:w="11906" w:h="16838" w:code="9"/>
      <w:pgMar w:top="851" w:right="1134" w:bottom="1134" w:left="1247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B0" w:rsidRDefault="00DC05B0">
      <w:pPr>
        <w:spacing w:line="240" w:lineRule="auto"/>
      </w:pPr>
      <w:r>
        <w:separator/>
      </w:r>
    </w:p>
  </w:endnote>
  <w:endnote w:type="continuationSeparator" w:id="0">
    <w:p w:rsidR="00DC05B0" w:rsidRDefault="00D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FD" w:rsidRPr="00290B55" w:rsidRDefault="004D0CFD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Desenvolvido por </w:t>
    </w:r>
    <w:r>
      <w:rPr>
        <w:sz w:val="18"/>
        <w:szCs w:val="18"/>
      </w:rPr>
      <w:t>Climate Interactive</w:t>
    </w:r>
    <w:r>
      <w:rPr>
        <w:i/>
        <w:sz w:val="18"/>
        <w:szCs w:val="18"/>
      </w:rPr>
      <w:t xml:space="preserve">, </w:t>
    </w:r>
    <w:r>
      <w:rPr>
        <w:sz w:val="18"/>
        <w:szCs w:val="18"/>
      </w:rPr>
      <w:t>MIT Sloan School of Management Sustainability Initiative</w:t>
    </w:r>
    <w:r>
      <w:rPr>
        <w:i/>
        <w:sz w:val="18"/>
        <w:szCs w:val="18"/>
      </w:rPr>
      <w:t xml:space="preserve">, </w:t>
    </w:r>
    <w:r>
      <w:rPr>
        <w:sz w:val="18"/>
        <w:szCs w:val="18"/>
      </w:rPr>
      <w:t>ESB Business School</w:t>
    </w:r>
    <w:r>
      <w:rPr>
        <w:i/>
        <w:sz w:val="18"/>
        <w:szCs w:val="18"/>
      </w:rPr>
      <w:t xml:space="preserve"> e </w:t>
    </w:r>
    <w:r>
      <w:rPr>
        <w:sz w:val="18"/>
        <w:szCs w:val="18"/>
      </w:rPr>
      <w:t>UMass Lowell Climate Change Initiative</w:t>
    </w:r>
    <w:r>
      <w:rPr>
        <w:i/>
        <w:sz w:val="18"/>
        <w:szCs w:val="18"/>
      </w:rPr>
      <w:t xml:space="preserve">. Última atualização em setembro de 2019. </w:t>
    </w:r>
    <w:hyperlink r:id="rId1" w:history="1">
      <w:r>
        <w:rPr>
          <w:rStyle w:val="Hyperlink"/>
          <w:i/>
          <w:sz w:val="18"/>
          <w:szCs w:val="18"/>
        </w:rPr>
        <w:t>www.climateinteractive.org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B0" w:rsidRDefault="00DC05B0"/>
  </w:footnote>
  <w:footnote w:type="continuationSeparator" w:id="0">
    <w:p w:rsidR="00DC05B0" w:rsidRDefault="00DC05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3B2488"/>
    <w:multiLevelType w:val="multilevel"/>
    <w:tmpl w:val="69EAB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77"/>
    <w:rsid w:val="0006720E"/>
    <w:rsid w:val="000A6D24"/>
    <w:rsid w:val="00182719"/>
    <w:rsid w:val="00290B55"/>
    <w:rsid w:val="002C1D77"/>
    <w:rsid w:val="004D0CFD"/>
    <w:rsid w:val="00571732"/>
    <w:rsid w:val="005C1752"/>
    <w:rsid w:val="006D3A3F"/>
    <w:rsid w:val="007412A6"/>
    <w:rsid w:val="007835BC"/>
    <w:rsid w:val="007A09A4"/>
    <w:rsid w:val="0091067F"/>
    <w:rsid w:val="00A26097"/>
    <w:rsid w:val="00BE2C0D"/>
    <w:rsid w:val="00BE3933"/>
    <w:rsid w:val="00DC05B0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44EB3-437C-47BE-8B64-5F030D19757D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FD"/>
    <w:pPr>
      <w:widowControl/>
      <w:spacing w:line="288" w:lineRule="auto"/>
      <w:jc w:val="both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D0CFD"/>
    <w:pPr>
      <w:numPr>
        <w:numId w:val="2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D0CFD"/>
    <w:pPr>
      <w:numPr>
        <w:ilvl w:val="1"/>
        <w:numId w:val="2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D0CFD"/>
    <w:pPr>
      <w:numPr>
        <w:ilvl w:val="2"/>
        <w:numId w:val="2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0CFD"/>
    <w:pPr>
      <w:numPr>
        <w:ilvl w:val="3"/>
        <w:numId w:val="2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D0CFD"/>
    <w:pPr>
      <w:numPr>
        <w:ilvl w:val="4"/>
        <w:numId w:val="2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D0CFD"/>
    <w:pPr>
      <w:numPr>
        <w:ilvl w:val="5"/>
        <w:numId w:val="2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D0CFD"/>
    <w:pPr>
      <w:numPr>
        <w:ilvl w:val="6"/>
        <w:numId w:val="2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D0CFD"/>
    <w:pPr>
      <w:numPr>
        <w:ilvl w:val="7"/>
        <w:numId w:val="2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D0CFD"/>
    <w:pPr>
      <w:numPr>
        <w:ilvl w:val="8"/>
        <w:numId w:val="2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FD"/>
    <w:rPr>
      <w:color w:val="0563C1" w:themeColor="hyperlink"/>
      <w:u w:val="single"/>
    </w:rPr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"/>
    <w:basedOn w:val="DefaultParagraphFont"/>
    <w:semiHidden/>
    <w:unhideWhenUsed/>
    <w:rsid w:val="000A6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E"/>
      <w:spacing w:val="0"/>
      <w:w w:val="100"/>
      <w:position w:val="0"/>
      <w:sz w:val="22"/>
      <w:szCs w:val="22"/>
      <w:u w:val="single"/>
      <w:lang w:val="pt-PT" w:eastAsia="en-US" w:bidi="en-US"/>
    </w:rPr>
  </w:style>
  <w:style w:type="character" w:customStyle="1" w:styleId="Bodytext20">
    <w:name w:val="Body text|2"/>
    <w:basedOn w:val="DefaultParagraphFont"/>
    <w:semiHidden/>
    <w:unhideWhenUsed/>
    <w:rsid w:val="000A6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E"/>
      <w:spacing w:val="0"/>
      <w:w w:val="100"/>
      <w:position w:val="0"/>
      <w:sz w:val="22"/>
      <w:szCs w:val="22"/>
      <w:u w:val="none"/>
      <w:lang w:val="pt-PT" w:eastAsia="en-US" w:bidi="en-US"/>
    </w:rPr>
  </w:style>
  <w:style w:type="character" w:customStyle="1" w:styleId="Bodytext21">
    <w:name w:val="Body text|2"/>
    <w:basedOn w:val="DefaultParagraphFont"/>
    <w:semiHidden/>
    <w:unhideWhenUsed/>
    <w:rsid w:val="000A6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2"/>
      <w:szCs w:val="22"/>
      <w:u w:val="none"/>
      <w:lang w:val="pt-PT" w:eastAsia="en-US" w:bidi="en-US"/>
    </w:rPr>
  </w:style>
  <w:style w:type="character" w:customStyle="1" w:styleId="Bodytext2Bold">
    <w:name w:val="Body text|2 + Bold"/>
    <w:basedOn w:val="DefaultParagraphFont"/>
    <w:semiHidden/>
    <w:unhideWhenUsed/>
    <w:rsid w:val="000A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PT" w:eastAsia="en-US" w:bidi="en-US"/>
    </w:rPr>
  </w:style>
  <w:style w:type="character" w:customStyle="1" w:styleId="Bodytext26pt">
    <w:name w:val="Body text|2 + 6 pt"/>
    <w:basedOn w:val="DefaultParagraphFont"/>
    <w:semiHidden/>
    <w:unhideWhenUsed/>
    <w:rsid w:val="000A6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PT" w:eastAsia="en-US" w:bidi="en-US"/>
    </w:rPr>
  </w:style>
  <w:style w:type="character" w:customStyle="1" w:styleId="Bodytext3NotBold">
    <w:name w:val="Body text|3 + Not Bold"/>
    <w:basedOn w:val="DefaultParagraphFont"/>
    <w:semiHidden/>
    <w:unhideWhenUsed/>
    <w:rsid w:val="000A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PT" w:eastAsia="en-US" w:bidi="en-US"/>
    </w:rPr>
  </w:style>
  <w:style w:type="character" w:customStyle="1" w:styleId="Bodytext36ptNotBold">
    <w:name w:val="Body text|3 + 6 pt;Not Bold"/>
    <w:basedOn w:val="DefaultParagraphFont"/>
    <w:semiHidden/>
    <w:unhideWhenUsed/>
    <w:rsid w:val="000A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PT" w:eastAsia="en-US" w:bidi="en-US"/>
    </w:rPr>
  </w:style>
  <w:style w:type="character" w:customStyle="1" w:styleId="Bodytext3">
    <w:name w:val="Body text|3"/>
    <w:basedOn w:val="DefaultParagraphFont"/>
    <w:semiHidden/>
    <w:unhideWhenUsed/>
    <w:rsid w:val="000A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pacing w:val="0"/>
      <w:w w:val="100"/>
      <w:position w:val="0"/>
      <w:sz w:val="22"/>
      <w:szCs w:val="22"/>
      <w:u w:val="none"/>
      <w:lang w:val="pt-PT" w:eastAsia="en-US" w:bidi="en-US"/>
    </w:rPr>
  </w:style>
  <w:style w:type="character" w:customStyle="1" w:styleId="Bodytext26pt0">
    <w:name w:val="Body text|2 + 6 pt"/>
    <w:basedOn w:val="DefaultParagraphFont"/>
    <w:semiHidden/>
    <w:unhideWhenUsed/>
    <w:rsid w:val="000A6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2"/>
      <w:szCs w:val="12"/>
      <w:u w:val="none"/>
      <w:lang w:val="pt-PT" w:eastAsia="en-US" w:bidi="en-US"/>
    </w:rPr>
  </w:style>
  <w:style w:type="character" w:customStyle="1" w:styleId="Bodytext2Bold0">
    <w:name w:val="Body text|2 + Bold"/>
    <w:basedOn w:val="DefaultParagraphFont"/>
    <w:semiHidden/>
    <w:unhideWhenUsed/>
    <w:rsid w:val="000A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pacing w:val="0"/>
      <w:w w:val="100"/>
      <w:position w:val="0"/>
      <w:sz w:val="22"/>
      <w:szCs w:val="22"/>
      <w:u w:val="none"/>
      <w:lang w:val="pt-PT" w:eastAsia="en-US" w:bidi="en-US"/>
    </w:rPr>
  </w:style>
  <w:style w:type="table" w:styleId="TableGrid">
    <w:name w:val="Table Grid"/>
    <w:basedOn w:val="TableNormal"/>
    <w:uiPriority w:val="39"/>
    <w:rsid w:val="004D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#1|1"/>
    <w:basedOn w:val="Normal"/>
    <w:link w:val="Heading11"/>
    <w:qFormat/>
    <w:pPr>
      <w:widowControl w:val="0"/>
      <w:shd w:val="clear" w:color="auto" w:fill="FFFFFF"/>
      <w:spacing w:after="300"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4D0CFD"/>
    <w:rPr>
      <w:kern w:val="28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rsid w:val="004D0CFD"/>
    <w:rPr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4D0CFD"/>
    <w:rPr>
      <w:sz w:val="22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rsid w:val="004D0CFD"/>
    <w:rPr>
      <w:sz w:val="22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rsid w:val="004D0CFD"/>
    <w:rPr>
      <w:sz w:val="22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4D0CFD"/>
    <w:rPr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4D0CFD"/>
    <w:rPr>
      <w:sz w:val="22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4D0CFD"/>
    <w:rPr>
      <w:sz w:val="22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rsid w:val="004D0CFD"/>
    <w:rPr>
      <w:sz w:val="22"/>
      <w:szCs w:val="22"/>
      <w:lang w:bidi="ar-SA"/>
    </w:rPr>
  </w:style>
  <w:style w:type="paragraph" w:styleId="Footer">
    <w:name w:val="footer"/>
    <w:basedOn w:val="Normal"/>
    <w:link w:val="FooterChar"/>
    <w:qFormat/>
    <w:rsid w:val="004D0CFD"/>
  </w:style>
  <w:style w:type="character" w:customStyle="1" w:styleId="FooterChar">
    <w:name w:val="Footer Char"/>
    <w:basedOn w:val="DefaultParagraphFont"/>
    <w:link w:val="Footer"/>
    <w:rsid w:val="004D0CFD"/>
    <w:rPr>
      <w:sz w:val="22"/>
      <w:szCs w:val="22"/>
      <w:lang w:bidi="ar-SA"/>
    </w:rPr>
  </w:style>
  <w:style w:type="paragraph" w:styleId="FootnoteText">
    <w:name w:val="footnote text"/>
    <w:basedOn w:val="Normal"/>
    <w:link w:val="FootnoteTextChar"/>
    <w:qFormat/>
    <w:rsid w:val="004D0CF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D0CFD"/>
    <w:rPr>
      <w:sz w:val="16"/>
      <w:szCs w:val="22"/>
      <w:lang w:bidi="ar-SA"/>
    </w:rPr>
  </w:style>
  <w:style w:type="paragraph" w:styleId="Header">
    <w:name w:val="header"/>
    <w:basedOn w:val="Normal"/>
    <w:link w:val="HeaderChar"/>
    <w:qFormat/>
    <w:rsid w:val="004D0CFD"/>
  </w:style>
  <w:style w:type="character" w:customStyle="1" w:styleId="HeaderChar">
    <w:name w:val="Header Char"/>
    <w:basedOn w:val="DefaultParagraphFont"/>
    <w:link w:val="Header"/>
    <w:rsid w:val="004D0CFD"/>
    <w:rPr>
      <w:sz w:val="22"/>
      <w:szCs w:val="22"/>
      <w:lang w:bidi="ar-SA"/>
    </w:rPr>
  </w:style>
  <w:style w:type="paragraph" w:customStyle="1" w:styleId="quotes">
    <w:name w:val="quotes"/>
    <w:basedOn w:val="Normal"/>
    <w:next w:val="Normal"/>
    <w:rsid w:val="004D0CF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4D0CFD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mateinteractive.org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CTJJHAUHWN5E-644613129-2705</_dlc_DocId>
    <_dlc_DocIdUrl xmlns="bfc960a6-20da-4c94-8684-71380fca093b">
      <Url>http://dm2016/eesc/2019/_layouts/15/DocIdRedir.aspx?ID=CTJJHAUHWN5E-644613129-2705</Url>
      <Description>CTJJHAUHWN5E-644613129-2705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2019-12-09T12:00:00+00:00</ProductionDate>
    <FicheYear xmlns="bfc960a6-20da-4c94-8684-71380fca093b">2019</FicheYear>
    <DocumentNumber xmlns="8374e8f1-db99-4c7a-b8f0-8b1e32999b5b">5163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153</Value>
      <Value>64</Value>
      <Value>63</Value>
      <Value>62</Value>
      <Value>246</Value>
      <Value>152</Value>
      <Value>56</Value>
      <Value>55</Value>
      <Value>17</Value>
      <Value>52</Value>
      <Value>162</Value>
      <Value>21</Value>
      <Value>11</Value>
      <Value>45</Value>
      <Value>7</Value>
      <Value>154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11388</FicheNumber>
    <DocumentPart xmlns="bfc960a6-20da-4c94-8684-71380fca093b">5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D7ACD-7B53-4038-B92E-41937DD132AD}"/>
</file>

<file path=customXml/itemProps2.xml><?xml version="1.0" encoding="utf-8"?>
<ds:datastoreItem xmlns:ds="http://schemas.openxmlformats.org/officeDocument/2006/customXml" ds:itemID="{C2AC932E-8EB8-4DE8-98EC-BF384AD330FA}"/>
</file>

<file path=customXml/itemProps3.xml><?xml version="1.0" encoding="utf-8"?>
<ds:datastoreItem xmlns:ds="http://schemas.openxmlformats.org/officeDocument/2006/customXml" ds:itemID="{70AD9D1D-24D5-49D7-80EA-47C76546BD5E}"/>
</file>

<file path=customXml/itemProps4.xml><?xml version="1.0" encoding="utf-8"?>
<ds:datastoreItem xmlns:ds="http://schemas.openxmlformats.org/officeDocument/2006/customXml" ds:itemID="{3F08B0B9-BC4D-4740-A2C8-04D7B1773438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tua Europa, a tua voz 2020 - Documentos de trabalho - Grupo 6A - Países desenvolvidos</dc:title>
  <dc:subject>Documento de informação</dc:subject>
  <cp:keywords>EESC-2019-05163-05-00-INFO-TRA-EN</cp:keywords>
  <dc:description>Rapporteur:  - Original language: EN - Date of document: 09/12/2019 - Date of meeting:  - External documents:  - Administrator: MME LAHOUSSE Chloé</dc:description>
  <cp:lastModifiedBy>Encarnaçao Matias</cp:lastModifiedBy>
  <cp:revision>5</cp:revision>
  <dcterms:created xsi:type="dcterms:W3CDTF">2019-11-15T11:30:00Z</dcterms:created>
  <dcterms:modified xsi:type="dcterms:W3CDTF">2019-12-09T14:03:00Z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15/11/2019, 15/11/2019</vt:lpwstr>
  </property>
  <property fmtid="{D5CDD505-2E9C-101B-9397-08002B2CF9AE}" pid="4" name="Pref_Time">
    <vt:lpwstr>11:50:56, 11:31:01</vt:lpwstr>
  </property>
  <property fmtid="{D5CDD505-2E9C-101B-9397-08002B2CF9AE}" pid="5" name="Pref_User">
    <vt:lpwstr>hnic, ssex</vt:lpwstr>
  </property>
  <property fmtid="{D5CDD505-2E9C-101B-9397-08002B2CF9AE}" pid="6" name="Pref_FileName">
    <vt:lpwstr>EESC-2019-05163-05-00-INFO-TRA-EN-CRR.docx, EESC-2019-05163-05-00-INFO-ORI.docx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956f4b93-1c5b-44e8-b17c-16c8b0b32b87</vt:lpwstr>
  </property>
  <property fmtid="{D5CDD505-2E9C-101B-9397-08002B2CF9AE}" pid="9" name="AvailableTranslations">
    <vt:lpwstr>63;#MT|7df99101-6854-4a26-b53a-b88c0da02c26;#152;#MK|34ce48bb-063e-4413-a932-50853dc71c5c;#162;#TR|6e4ededd-04c4-4fa0-94e0-1028050302d5;#64;#PT|50ccc04a-eadd-42ae-a0cb-acaf45f812ba;#62;#FI|87606a43-d45f-42d6-b8c9-e1a3457db5b7;#154;#SQ|5ac17240-8d11-45ec-9893-659b209d7a00;#56;#SL|98a412ae-eb01-49e9-ae3d-585a81724cfc;#4;#EN|f2175f21-25d7-44a3-96da-d6a61b075e1b;#52;#DA|5d49c027-8956-412b-aa16-e85a0f96ad0e;#45;#NL|55c6556c-b4f4-441d-9acf-c498d4f838bd;#17;#ES|e7a6b05b-ae16-40c8-add9-68b64b03aeba;#153;#SR|7f3a1d13-b985-4bfd-981e-afe31377edff;#55;#BG|1a1b3951-7821-4e6a-85f5-5673fc08bd2c;#246;#ME|925b3da5-5ac0-4b3c-928c-6ef66a5c9b3c;#21;#IT|0774613c-01ed-4e5d-a25d-11d2388de825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5163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5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MT|7df99101-6854-4a26-b53a-b88c0da02c26;MK|34ce48bb-063e-4413-a932-50853dc71c5c;TR|6e4ededd-04c4-4fa0-94e0-1028050302d5;SQ|5ac17240-8d11-45ec-9893-659b209d7a00;EN|f2175f21-25d7-44a3-96da-d6a61b075e1b;DA|5d49c027-8956-412b-aa16-e85a0f96ad0e;NL|55c6556c-b4f4-441d-9acf-c498d4f838bd;ES|e7a6b05b-ae16-40c8-add9-68b64b03aeba;SR|7f3a1d13-b985-4bfd-981e-afe31377edff;ME|925b3da5-5ac0-4b3c-928c-6ef66a5c9b3c;IT|0774613c-01ed-4e5d-a25d-11d2388de825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63;#MT|7df99101-6854-4a26-b53a-b88c0da02c26;#153;#SR|7f3a1d13-b985-4bfd-981e-afe31377edff;#246;#ME|925b3da5-5ac0-4b3c-928c-6ef66a5c9b3c;#152;#MK|34ce48bb-063e-4413-a932-50853dc71c5c;#21;#IT|0774613c-01ed-4e5d-a25d-11d2388de825;#17;#ES|e7a6b05b-ae16-40c8-add9-68b64b03aeba;#52;#DA|5d49c027-8956-412b-aa16-e85a0f96ad0e;#162;#TR|6e4ededd-04c4-4fa0-94e0-1028050302d5;#11;#INFO|d9136e7c-93a9-4c42-9d28-92b61e85f80c;#45;#NL|55c6556c-b4f4-441d-9acf-c498d4f838bd;#7;#Final|ea5e6674-7b27-4bac-b091-73adbb394efe;#154;#SQ|5ac17240-8d11-45ec-9893-659b209d7a00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11388</vt:i4>
  </property>
  <property fmtid="{D5CDD505-2E9C-101B-9397-08002B2CF9AE}" pid="37" name="DocumentLanguage">
    <vt:lpwstr>64;#PT|50ccc04a-eadd-42ae-a0cb-acaf45f812ba</vt:lpwstr>
  </property>
</Properties>
</file>