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10" w:rsidRDefault="00D81B2C" w:rsidP="00186876">
      <w:pPr>
        <w:pStyle w:val="Heading110"/>
        <w:shd w:val="clear" w:color="auto" w:fill="auto"/>
        <w:spacing w:after="0"/>
        <w:jc w:val="center"/>
      </w:pPr>
      <w:bookmarkStart w:id="0" w:name="bookmark0"/>
      <w:r>
        <w:t>Symulacja działań dla klimatu: przemysł i handel</w:t>
      </w:r>
      <w:bookmarkEnd w:id="0"/>
    </w:p>
    <w:p w:rsidR="006D1734" w:rsidRPr="00D81B2C" w:rsidRDefault="006D1734" w:rsidP="00186876">
      <w:pPr>
        <w:pStyle w:val="Heading110"/>
        <w:shd w:val="clear" w:color="auto" w:fill="auto"/>
        <w:spacing w:after="0"/>
        <w:jc w:val="both"/>
        <w:rPr>
          <w:lang w:val="en-GB"/>
        </w:rPr>
      </w:pPr>
    </w:p>
    <w:p w:rsidR="00097510" w:rsidRPr="00D81B2C" w:rsidRDefault="00D81B2C">
      <w:pPr>
        <w:pStyle w:val="Bodytext30"/>
        <w:pBdr>
          <w:top w:val="single" w:sz="4" w:space="1" w:color="auto"/>
        </w:pBdr>
        <w:shd w:val="clear" w:color="auto" w:fill="auto"/>
        <w:tabs>
          <w:tab w:val="left" w:pos="1440"/>
        </w:tabs>
        <w:spacing w:before="0"/>
      </w:pPr>
      <w:r>
        <w:t>Do</w:t>
      </w:r>
      <w:proofErr w:type="gramStart"/>
      <w:r>
        <w:t>:</w:t>
      </w:r>
      <w:r>
        <w:tab/>
        <w:t>Główni</w:t>
      </w:r>
      <w:proofErr w:type="gramEnd"/>
      <w:r>
        <w:t xml:space="preserve"> negocjatorzy i negocjatorki ds. przemysłu i handlu</w:t>
      </w:r>
    </w:p>
    <w:p w:rsidR="00097510" w:rsidRPr="00D81B2C" w:rsidRDefault="00D81B2C">
      <w:pPr>
        <w:pStyle w:val="Bodytext30"/>
        <w:shd w:val="clear" w:color="auto" w:fill="auto"/>
        <w:tabs>
          <w:tab w:val="left" w:pos="1440"/>
        </w:tabs>
        <w:spacing w:before="0" w:after="120"/>
      </w:pPr>
      <w:r>
        <w:t>Dot</w:t>
      </w:r>
      <w:proofErr w:type="gramStart"/>
      <w:r>
        <w:t>.:</w:t>
      </w:r>
      <w:r>
        <w:tab/>
        <w:t>Przygotowania</w:t>
      </w:r>
      <w:proofErr w:type="gramEnd"/>
      <w:r>
        <w:t xml:space="preserve"> do Szczytu na rzecz Działań Klimatycznych</w:t>
      </w:r>
    </w:p>
    <w:p w:rsidR="00097510" w:rsidRPr="00D81B2C" w:rsidRDefault="00D81B2C" w:rsidP="00186876">
      <w:pPr>
        <w:pStyle w:val="Bodytext20"/>
        <w:shd w:val="clear" w:color="auto" w:fill="auto"/>
        <w:spacing w:before="0"/>
        <w:ind w:firstLine="0"/>
        <w:jc w:val="both"/>
      </w:pPr>
      <w:r>
        <w:t>Witamy na Szczycie na rzecz Działań Klimatycznych. Sekretarz gen</w:t>
      </w:r>
      <w:r w:rsidR="00D62D86">
        <w:t>eralny ONZ zwrócił się do Was i </w:t>
      </w:r>
      <w:r>
        <w:t xml:space="preserve">do przywódców wszystkich zainteresowanych stron o podjęcie wspólnych działań na rzecz skutecznego rozwiązania problemu zmiany klimatu. W swym zaproszeniu sekretarz generalny </w:t>
      </w:r>
      <w:r>
        <w:rPr>
          <w:rStyle w:val="Bodytext21"/>
        </w:rPr>
        <w:t>stwierdził:</w:t>
      </w:r>
      <w:r>
        <w:t xml:space="preserve"> „Kryzys klimatyczny jest wyścigiem, który przegrywamy, ale możemy go jeszcze wygrać [...] Według najbardziej wiarygodnych danych naukowych każdy wzrost temperatury powyżej 1,5°C doprowadzi do poważnych i nieodwracalnych szkód w życiodajnych ekosystemach[...] Ale nauka mówi nam również, że nie jest jeszcze za późno. Możemy wygrać ten wyścig [....]  Ale będzie to wymagało fundamentalnej transformacji wszystkich aspektów nas</w:t>
      </w:r>
      <w:r w:rsidR="00D62D86">
        <w:t>zego społeczeństwa – sposobu, w </w:t>
      </w:r>
      <w:r>
        <w:t>jakim wytwarzamy żywność, użytkujemy grunty, dostarczamy paliwa na potrzeby naszego transportu i zaopatrujemy w energię nasze gospodarki [....] Nikt nie pozostanie w tyle pod warunkiem, że będziemy działać razem”.</w:t>
      </w:r>
    </w:p>
    <w:p w:rsidR="00097510" w:rsidRPr="00D81B2C" w:rsidRDefault="00D81B2C" w:rsidP="00186876">
      <w:pPr>
        <w:pStyle w:val="Bodytext20"/>
        <w:shd w:val="clear" w:color="auto" w:fill="auto"/>
        <w:spacing w:before="0"/>
        <w:ind w:firstLine="0"/>
        <w:jc w:val="both"/>
      </w:pPr>
      <w:r>
        <w:t xml:space="preserve">Celem szczytu jest opracowanie planu ograniczenia globalnego ocieplenia do mniej niż 2 °C [3,6 °F] powyżej poziomu sprzed epoki przemysłowej, a nawet będziemy dążyć do ograniczenia go do 1,5 °C [2,7 °F], zgodnie z międzynarodowym celami, które zostały formalnie przyjęte w paryskim porozumieniu klimatycznym. </w:t>
      </w:r>
      <w:r>
        <w:rPr>
          <w:rStyle w:val="Bodytext21"/>
        </w:rPr>
        <w:t>Dowody naukowe</w:t>
      </w:r>
      <w:r>
        <w:t xml:space="preserve"> są jednoznaczne: ocieplenie powyżej tego pułapu przyniesie katastrofalne i nieodwracalne skutki, które zagrożą zdrowiu, dobrobytowi i życiu ludzi we wszystkich krajach.</w:t>
      </w:r>
    </w:p>
    <w:p w:rsidR="00097510" w:rsidRPr="00D81B2C" w:rsidRDefault="00D81B2C" w:rsidP="00186876">
      <w:pPr>
        <w:pStyle w:val="Bodytext20"/>
        <w:shd w:val="clear" w:color="auto" w:fill="auto"/>
        <w:spacing w:before="0" w:after="140"/>
        <w:ind w:firstLine="0"/>
        <w:jc w:val="both"/>
      </w:pPr>
      <w:r>
        <w:t>W skład Waszej grupy wchodzą dyrektorzy generalni najważniejszych sektorów i korporacji na świecie, które są odpowiedzialne za zużycie energii, takich jak przemysł samochodowy, linie lotnicze, spedycja i transport towarowy, producenci towarów przemysłowych i konsumenckich, budownictwo, nieruchomości mieszkalne i handlowe, produkcja dóbr konsumpcyjny</w:t>
      </w:r>
      <w:r w:rsidR="00D62D86">
        <w:t>ch, technologie informatyczne i </w:t>
      </w:r>
      <w:r>
        <w:t>inne duże przedsiębiorstwa.</w:t>
      </w:r>
    </w:p>
    <w:p w:rsidR="00097510" w:rsidRPr="00D81B2C" w:rsidRDefault="00D81B2C">
      <w:pPr>
        <w:pStyle w:val="Bodytext20"/>
        <w:shd w:val="clear" w:color="auto" w:fill="auto"/>
        <w:spacing w:before="0" w:after="100" w:line="244" w:lineRule="exact"/>
        <w:ind w:firstLine="0"/>
        <w:jc w:val="both"/>
      </w:pPr>
      <w:r>
        <w:t>Wasze priorytety polityczne zostały wymienione poniżej. Możecie jednak zaproponować dowolną politykę lub zablokować jedną z wymienionych polityk.</w:t>
      </w:r>
    </w:p>
    <w:p w:rsidR="00097510" w:rsidRPr="00D81B2C" w:rsidRDefault="00D81B2C" w:rsidP="00186876">
      <w:pPr>
        <w:pStyle w:val="Bodytext20"/>
        <w:numPr>
          <w:ilvl w:val="0"/>
          <w:numId w:val="1"/>
        </w:numPr>
        <w:shd w:val="clear" w:color="auto" w:fill="auto"/>
        <w:tabs>
          <w:tab w:val="left" w:pos="362"/>
        </w:tabs>
        <w:spacing w:before="0"/>
        <w:ind w:left="400"/>
        <w:jc w:val="both"/>
      </w:pPr>
      <w:r>
        <w:rPr>
          <w:rStyle w:val="Bodytext2Bold"/>
        </w:rPr>
        <w:t xml:space="preserve">Utrzymanie cen energii na niskim poziomie. </w:t>
      </w:r>
      <w:r>
        <w:t xml:space="preserve">Koszty produktów zwiększą się, jeżeli ceny energii </w:t>
      </w:r>
      <w:proofErr w:type="gramStart"/>
      <w:r>
        <w:t>wzrosną</w:t>
      </w:r>
      <w:proofErr w:type="gramEnd"/>
      <w:r>
        <w:t>, co sprawi, że konsumenci będą mniej skłonni kupować Wasze produkty. Utrzymajcie niskie ceny energii poprzez dążenie do opodatkowania energii oraz wysokie ceny węgla przy jednoczesnym promowaniu dopłat do energii. Rozważ, w jaki</w:t>
      </w:r>
      <w:r w:rsidR="00D62D86">
        <w:t xml:space="preserve"> sposób proponowane przez Was i </w:t>
      </w:r>
      <w:r>
        <w:t>inne grupy polityki wpłyną na koszt energii.</w:t>
      </w:r>
    </w:p>
    <w:p w:rsidR="00097510" w:rsidRPr="00D81B2C" w:rsidRDefault="00D81B2C" w:rsidP="00186876">
      <w:pPr>
        <w:pStyle w:val="Bodytext20"/>
        <w:numPr>
          <w:ilvl w:val="0"/>
          <w:numId w:val="1"/>
        </w:numPr>
        <w:shd w:val="clear" w:color="auto" w:fill="auto"/>
        <w:tabs>
          <w:tab w:val="left" w:pos="362"/>
        </w:tabs>
        <w:spacing w:before="0"/>
        <w:ind w:left="400"/>
        <w:jc w:val="both"/>
      </w:pPr>
      <w:r>
        <w:rPr>
          <w:rStyle w:val="Bodytext2Bold"/>
        </w:rPr>
        <w:t xml:space="preserve">Zwiększenie efektywności energetycznej transportu, budynków i przemysłu. </w:t>
      </w:r>
      <w:r>
        <w:t>Efektywność energetyczna oznacza wykorzystanie mniejszej ilości energii w celu świadczenia takich samych usług lub produkcji towarów. Podnoszenie efektywności energetycznej czasami zwiększa koszty początkowe, ale zmniejsza koszty operacyjne, co w perspektywie długoterminowej przynosi oszczędności. Poprawa efektywności może być atrakcyjną opcją w kontekście ograniczania emisji gazów cieplarnianych. Sprzeciwiacie się jednak politykom i rozporządzeniom, które wymagałyby dramatycznego wzrostu wydajności, aby uniknąć szybkich i kosztownych zmian Waszych produktów i procesów.</w:t>
      </w:r>
    </w:p>
    <w:p w:rsidR="00097510" w:rsidRPr="00D81B2C" w:rsidRDefault="00D81B2C" w:rsidP="00186876">
      <w:pPr>
        <w:pStyle w:val="Bodytext20"/>
        <w:numPr>
          <w:ilvl w:val="0"/>
          <w:numId w:val="1"/>
        </w:numPr>
        <w:shd w:val="clear" w:color="auto" w:fill="auto"/>
        <w:tabs>
          <w:tab w:val="left" w:pos="362"/>
        </w:tabs>
        <w:spacing w:before="0"/>
        <w:ind w:left="400"/>
        <w:jc w:val="both"/>
      </w:pPr>
      <w:r>
        <w:rPr>
          <w:rStyle w:val="Bodytext2Bold"/>
        </w:rPr>
        <w:t xml:space="preserve">Zbadanie możliwości elektryfikacji transportu, budynków i przemysłu. </w:t>
      </w:r>
      <w:r>
        <w:t xml:space="preserve">Dzisiejszy sektor transportu w ogromnej mierze uzależniony jest od ropy naftowej napędzającej nasze samochody, ciężarówki, statki, pociągi i samoloty. Ponadto emisje gazów cieplarnianych z budynków powstają przede wszystkim z paliw kopalnych spalanych w celu ogrzewania. Gdyby transport, ogrzewanie i procesy przemysłowe byłyby zelektryfikowane, mogłyby być zasilane energią ze źródeł odnawialnych, jeżeli te źródła energii elektrycznej będą niezawodne i tańsze niż energia </w:t>
      </w:r>
      <w:r>
        <w:lastRenderedPageBreak/>
        <w:t>pochodząca z paliw kopalnych.</w:t>
      </w:r>
    </w:p>
    <w:p w:rsidR="00097510" w:rsidRPr="00D81B2C" w:rsidRDefault="00D81B2C" w:rsidP="00186876">
      <w:pPr>
        <w:pStyle w:val="Bodytext20"/>
        <w:numPr>
          <w:ilvl w:val="0"/>
          <w:numId w:val="1"/>
        </w:numPr>
        <w:shd w:val="clear" w:color="auto" w:fill="auto"/>
        <w:tabs>
          <w:tab w:val="left" w:pos="362"/>
        </w:tabs>
        <w:spacing w:before="0" w:after="140"/>
        <w:ind w:left="400"/>
        <w:jc w:val="both"/>
      </w:pPr>
      <w:r>
        <w:rPr>
          <w:rStyle w:val="Bodytext2Bold"/>
        </w:rPr>
        <w:t xml:space="preserve">Zachęcanie do podejmowania działań, które nie mają bezpośredniego wpływu na Wasze branże. </w:t>
      </w:r>
      <w:r>
        <w:t>Pomimo świadomości, że zmiana klimatu niesie ze sobą zagrożenia, konieczna jest także ochrona wartości dla akcjonariuszy. W związku z tym opowiadacie się za polityką, która mogłaby ograniczyć emisje gazów cieplarnianych bez szkody dla przemysłu. Chociaż emisje CO</w:t>
      </w:r>
      <w:r>
        <w:rPr>
          <w:vertAlign w:val="subscript"/>
        </w:rPr>
        <w:t>2</w:t>
      </w:r>
      <w:r>
        <w:t xml:space="preserve"> z paliw kopalnych przyczyniają się w największym stopniu do zmiany klimatu, metan (CH</w:t>
      </w:r>
      <w:r>
        <w:rPr>
          <w:vertAlign w:val="subscript"/>
        </w:rPr>
        <w:t>4</w:t>
      </w:r>
      <w:r>
        <w:t>), podtlenek azotu (N</w:t>
      </w:r>
      <w:r>
        <w:rPr>
          <w:vertAlign w:val="subscript"/>
        </w:rPr>
        <w:t>2</w:t>
      </w:r>
      <w:r>
        <w:t>O) i inne gazy są silnymi gazami cieplarnianymi, a ich wpływ rośnie. Światowe praktyki w zakresie rolnictwa i leśnictwa w znacznym stopniu przyczyniają się do emisji tych gazów. Wspieracie politykę mającą na celu zmniejszenie emisji tych gazów cieplarnianych, w tym emisji wynikających z użytkowania gruntów, rolnictwa i leśnictwa. Wspieracie wysiłki na rzecz ograniczenia wylesiania oraz produkcji nowych lasów (zalesianie).</w:t>
      </w:r>
    </w:p>
    <w:p w:rsidR="00097510" w:rsidRPr="00D81B2C" w:rsidRDefault="00D81B2C" w:rsidP="00186876">
      <w:pPr>
        <w:pStyle w:val="Bodytext50"/>
        <w:keepNext/>
        <w:widowControl/>
        <w:shd w:val="clear" w:color="auto" w:fill="auto"/>
        <w:spacing w:before="0" w:after="100"/>
      </w:pPr>
      <w:r>
        <w:t>Inne kwestie</w:t>
      </w:r>
    </w:p>
    <w:p w:rsidR="00097510" w:rsidRPr="00D81B2C" w:rsidRDefault="00D81B2C" w:rsidP="00186876">
      <w:pPr>
        <w:pStyle w:val="Bodytext20"/>
        <w:shd w:val="clear" w:color="auto" w:fill="auto"/>
        <w:spacing w:before="0"/>
        <w:ind w:firstLine="0"/>
        <w:jc w:val="both"/>
      </w:pPr>
      <w:r>
        <w:t>Branże, które reprezentujecie, powstały w dobie niedrogiej energii, a Wasze modele biznesowe zakładają, że paliwo i energia elektryczna pozostaną tanie i będą dostępne w obfitości. Radykalne zwiększenie efektywności energetycznej wymagałoby znacznych zmian kulturowych i nowych zdolności. Niektóre z najważniejszych zainteresowanych stron, w tym już działający producenci samochodów oraz przemysł lotniczy i sektor spedytorski i towarowy mogą być poszkodowane przez polityki podnoszenia cen paliw. Niektóre z nich mogą nie przetrwać. W innych sektorach produkty energooszczędne mogą być sprzedawane powyżej wartości nominalnej i generować zyski. Efektywność energetyczna nie tylko zmniejsza zapotrzebowanie na energię, ale może również zwiększyć odporność społeczeństwa na klęski związane ze zmianą klimatu. Na przykład dobra izolacja domu utrzymuje ciepło, nawet jeśli burza zniszczy linie energetyczne. Energochłonność gospodarki (zużycie energii na jednostkę PKB) spada w tempie około 1,3 % rocznie. Oczekuje się, że tendencja ta utrzyma się w nadchodzących dziesięcioleciach. Niektórzy analitycy podsumowują, że energochłonność może spaść nawet o 5–7 % rocznie (przy pewnym koszcie i nie we wszystkich sektorach).</w:t>
      </w:r>
    </w:p>
    <w:p w:rsidR="00097510" w:rsidRPr="00D81B2C" w:rsidRDefault="00D81B2C" w:rsidP="00186876">
      <w:pPr>
        <w:pStyle w:val="Bodytext20"/>
        <w:shd w:val="clear" w:color="auto" w:fill="auto"/>
        <w:spacing w:before="0"/>
        <w:ind w:firstLine="0"/>
        <w:jc w:val="both"/>
      </w:pPr>
      <w:r>
        <w:t>Firmy wiodące w Waszym sektorze stwierdzają, że wiele projektów w zakresie efektywności energetycznej ma krótki okres zwrotu i pozytywną wartość bieżącą netto przy niewielkim ryzyku. Innowacyjne mechanizmy finansowania mogą reinwestować oszczędności wynikające z niższych kosztów energii w finansowanie nowych projektów w zakresie efektywności energetycznej, co sprawia, że takie projekty są atrakcyjne finansowo dla zainteresowanych stron.</w:t>
      </w:r>
    </w:p>
    <w:p w:rsidR="00097510" w:rsidRPr="00D81B2C" w:rsidRDefault="00D81B2C" w:rsidP="00186876">
      <w:pPr>
        <w:pStyle w:val="Bodytext20"/>
        <w:shd w:val="clear" w:color="auto" w:fill="auto"/>
        <w:spacing w:before="0"/>
        <w:ind w:firstLine="0"/>
        <w:jc w:val="both"/>
      </w:pPr>
      <w:r>
        <w:t>Globalny sektor budownictwa rozwija się w niespotykanym dotąd tempie, napędzanym światowym wzrostem liczby ludności i wzrostem gospodarczym. Oczekuje się, że w ciągu najbliższych 40 lat powstanie 230 mld metrów kwadratowych nowego budownictwa – co oznacza pojawienie się na planecie co tydzień odpowiednika obszaru Paryża. Do przyspieszen</w:t>
      </w:r>
      <w:r w:rsidR="00D62D86">
        <w:t>ia efektywności energetycznej i </w:t>
      </w:r>
      <w:r>
        <w:t>wytwarzania energii ze źródeł odnawialnych w globalnym sektorze budownictwa, jak również do modernizacji istniejących struktur potrzebne są nowe strategie polit</w:t>
      </w:r>
      <w:r w:rsidR="00D62D86">
        <w:t>yczne i zachęty. Nowe budynki i </w:t>
      </w:r>
      <w:r>
        <w:t>modernizacje energetyczne istniejących budynków mogą zmniejszyć zużycie energii o 25–80 % lub więcej, a zeroemisyjne budynki energetyczne są obecnie możliwe do realizacji i opłacalne w wielu obszarach. Energochłonne sektory przemysłu, takie jak żelazo, stal i cement stają się bardziej wydajne dzięki wprowadzeniu nowego sprzętu i ponownemu wykorzystaniu ciepła odpadowego. Wydajne, prawidłowo dopasowane silniki i napędy mogą przynieść oszczędności energii w wysokości 20–25 %. Jednak długi okres eksploatacji budynków, pojazdów i infrastru</w:t>
      </w:r>
      <w:r w:rsidR="00D62D86">
        <w:t>ktury ogranicza tempo poprawy i </w:t>
      </w:r>
      <w:r>
        <w:t>podkreśla znaczenie modernizacji, a nie tylko nowych inwestycji.</w:t>
      </w:r>
    </w:p>
    <w:p w:rsidR="00097510" w:rsidRPr="00D81B2C" w:rsidRDefault="00D81B2C" w:rsidP="00186876">
      <w:pPr>
        <w:pStyle w:val="Bodytext20"/>
        <w:shd w:val="clear" w:color="auto" w:fill="auto"/>
        <w:spacing w:before="0"/>
        <w:ind w:firstLine="0"/>
        <w:jc w:val="both"/>
      </w:pPr>
      <w:r>
        <w:t>Pomimo potencjału musicie zachować czujność w odniesieniu do polityki, która nakładałaby na przedsiębiorstwa nowe koszty, w tym duży wzrost ceny energii, od której jesteście uzależnieni. Jako grupa, która zawsze powoływała się na innowacje, możecie uznać za atrakcyjne rozwiązania technologiczne, które pozwolą ograniczyć emisje gazów cieplarnianych, i popieracie dotacje rządowe tworzące nowe możliwości biznesowe.</w:t>
      </w:r>
    </w:p>
    <w:p w:rsidR="00097510" w:rsidRPr="00D81B2C" w:rsidRDefault="00D81B2C" w:rsidP="00186876">
      <w:pPr>
        <w:pStyle w:val="Bodytext20"/>
        <w:shd w:val="clear" w:color="auto" w:fill="auto"/>
        <w:spacing w:before="0" w:after="0"/>
        <w:ind w:firstLine="0"/>
        <w:jc w:val="both"/>
      </w:pPr>
      <w:r>
        <w:lastRenderedPageBreak/>
        <w:t>Wiecie, że światowe emisje gazów cieplarnianych muszą zostać ograniczone, aby uniknąć najgorszych skutków zmiany klimatu. Podnoszący się poziom mórz,</w:t>
      </w:r>
      <w:r w:rsidR="00D62D86">
        <w:t xml:space="preserve"> ekstremalne warunki pogodowe i </w:t>
      </w:r>
      <w:bookmarkStart w:id="1" w:name="_GoBack"/>
      <w:bookmarkEnd w:id="1"/>
      <w:r>
        <w:t xml:space="preserve">wynikające z tego problemy geopolityczne stanowią poważne zagrożenie dla Waszych łańcuchów dostaw, klientów i pracowników. Wzrost szkód związanych ze zmianą klimatu powoduje również wzrost prawdopodobieństwa wystąpienia skrajnych polityk i przepisów, które podniosłyby koszty energii i zaszkodziłyby Waszemu przemysłowi. Podejmując działania mające na celu uprzedzenie polityki i regulacji, które stanowiłyby niesprawiedliwe obciążenie dla Waszych gałęzi przemysłu, musicie również dążyć do ograniczenia emisji gazów cieplarnianych i powolnej zmiany klimatu, tak aby utrzymać rentowność i przetrwać w warunkach globalnego ocieplenia. Jak podobno powiedział Paul </w:t>
      </w:r>
      <w:proofErr w:type="spellStart"/>
      <w:r>
        <w:t>Polman</w:t>
      </w:r>
      <w:proofErr w:type="spellEnd"/>
      <w:r>
        <w:t xml:space="preserve">, dyrektor generalny Unilever: </w:t>
      </w:r>
      <w:r>
        <w:rPr>
          <w:rStyle w:val="Bodytext21"/>
        </w:rPr>
        <w:t>Na martwej planecie nie ma zysków</w:t>
      </w:r>
      <w:r>
        <w:t>.</w:t>
      </w:r>
    </w:p>
    <w:p w:rsidR="00D81B2C" w:rsidRPr="00D81B2C" w:rsidRDefault="00D81B2C">
      <w:pPr>
        <w:pStyle w:val="Bodytext20"/>
        <w:shd w:val="clear" w:color="auto" w:fill="auto"/>
        <w:spacing w:before="0" w:after="0"/>
        <w:ind w:firstLine="0"/>
        <w:rPr>
          <w:lang w:val="en-GB"/>
        </w:rPr>
      </w:pPr>
    </w:p>
    <w:p w:rsidR="00D81B2C" w:rsidRPr="00D81B2C" w:rsidRDefault="00D81B2C">
      <w:pPr>
        <w:jc w:val="center"/>
      </w:pPr>
      <w:r>
        <w:t>_____________</w:t>
      </w:r>
    </w:p>
    <w:p w:rsidR="00D81B2C" w:rsidRPr="00D81B2C" w:rsidRDefault="00D81B2C">
      <w:pPr>
        <w:pStyle w:val="Bodytext20"/>
        <w:shd w:val="clear" w:color="auto" w:fill="auto"/>
        <w:spacing w:before="0" w:after="0"/>
        <w:ind w:firstLine="0"/>
        <w:rPr>
          <w:lang w:val="en-GB"/>
        </w:rPr>
      </w:pPr>
    </w:p>
    <w:p w:rsidR="00D81B2C" w:rsidRPr="00D81B2C" w:rsidRDefault="00D81B2C">
      <w:pPr>
        <w:pStyle w:val="Bodytext20"/>
        <w:shd w:val="clear" w:color="auto" w:fill="auto"/>
        <w:spacing w:before="0" w:after="0"/>
        <w:ind w:firstLine="0"/>
        <w:rPr>
          <w:lang w:val="en-GB"/>
        </w:rPr>
      </w:pPr>
    </w:p>
    <w:sectPr w:rsidR="00D81B2C" w:rsidRPr="00D81B2C" w:rsidSect="00186876">
      <w:footerReference w:type="default" r:id="rId7"/>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FC" w:rsidRDefault="00D81B2C">
      <w:r>
        <w:separator/>
      </w:r>
    </w:p>
  </w:endnote>
  <w:endnote w:type="continuationSeparator" w:id="0">
    <w:p w:rsidR="006C74FC" w:rsidRDefault="00D8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2C" w:rsidRPr="00D81B2C" w:rsidRDefault="00D81B2C" w:rsidP="00D81B2C">
    <w:pPr>
      <w:pStyle w:val="Bodytext20"/>
      <w:shd w:val="clear" w:color="auto" w:fill="auto"/>
      <w:spacing w:before="0" w:after="0"/>
      <w:ind w:firstLine="0"/>
      <w:rPr>
        <w:i/>
        <w:sz w:val="20"/>
        <w:szCs w:val="20"/>
      </w:rPr>
    </w:pPr>
    <w:r>
      <w:rPr>
        <w:i/>
        <w:sz w:val="20"/>
        <w:szCs w:val="20"/>
      </w:rPr>
      <w:t xml:space="preserve">Opracowane przez </w:t>
    </w:r>
    <w:proofErr w:type="spellStart"/>
    <w:r>
      <w:rPr>
        <w:i/>
        <w:sz w:val="20"/>
        <w:szCs w:val="20"/>
      </w:rPr>
      <w:t>Climate</w:t>
    </w:r>
    <w:proofErr w:type="spellEnd"/>
    <w:r>
      <w:rPr>
        <w:i/>
        <w:sz w:val="20"/>
        <w:szCs w:val="20"/>
      </w:rPr>
      <w:t xml:space="preserve"> Interactive, MIT Sloan School of Management </w:t>
    </w:r>
    <w:proofErr w:type="spellStart"/>
    <w:r>
      <w:rPr>
        <w:i/>
        <w:sz w:val="20"/>
        <w:szCs w:val="20"/>
      </w:rPr>
      <w:t>Sustainability</w:t>
    </w:r>
    <w:proofErr w:type="spellEnd"/>
    <w:r>
      <w:rPr>
        <w:i/>
        <w:sz w:val="20"/>
        <w:szCs w:val="20"/>
      </w:rPr>
      <w:t xml:space="preserve"> </w:t>
    </w:r>
    <w:proofErr w:type="spellStart"/>
    <w:r>
      <w:rPr>
        <w:i/>
        <w:sz w:val="20"/>
        <w:szCs w:val="20"/>
      </w:rPr>
      <w:t>Initiative</w:t>
    </w:r>
    <w:proofErr w:type="spellEnd"/>
    <w:r>
      <w:rPr>
        <w:i/>
        <w:sz w:val="20"/>
        <w:szCs w:val="20"/>
      </w:rPr>
      <w:t xml:space="preserve">, ESB Business School i </w:t>
    </w:r>
    <w:proofErr w:type="spellStart"/>
    <w:r>
      <w:rPr>
        <w:i/>
        <w:sz w:val="20"/>
        <w:szCs w:val="20"/>
      </w:rPr>
      <w:t>UMass</w:t>
    </w:r>
    <w:proofErr w:type="spellEnd"/>
    <w:r>
      <w:rPr>
        <w:i/>
        <w:sz w:val="20"/>
        <w:szCs w:val="20"/>
      </w:rPr>
      <w:t xml:space="preserve"> Lowell </w:t>
    </w:r>
    <w:proofErr w:type="spellStart"/>
    <w:r>
      <w:rPr>
        <w:i/>
        <w:sz w:val="20"/>
        <w:szCs w:val="20"/>
      </w:rPr>
      <w:t>Climate</w:t>
    </w:r>
    <w:proofErr w:type="spellEnd"/>
    <w:r>
      <w:rPr>
        <w:i/>
        <w:sz w:val="20"/>
        <w:szCs w:val="20"/>
      </w:rPr>
      <w:t xml:space="preserve"> </w:t>
    </w:r>
    <w:proofErr w:type="spellStart"/>
    <w:r>
      <w:rPr>
        <w:i/>
        <w:sz w:val="20"/>
        <w:szCs w:val="20"/>
      </w:rPr>
      <w:t>Change</w:t>
    </w:r>
    <w:proofErr w:type="spellEnd"/>
    <w:r>
      <w:rPr>
        <w:i/>
        <w:sz w:val="20"/>
        <w:szCs w:val="20"/>
      </w:rPr>
      <w:t xml:space="preserve"> </w:t>
    </w:r>
    <w:proofErr w:type="spellStart"/>
    <w:r>
      <w:rPr>
        <w:i/>
        <w:sz w:val="20"/>
        <w:szCs w:val="20"/>
      </w:rPr>
      <w:t>Initiative</w:t>
    </w:r>
    <w:proofErr w:type="spellEnd"/>
    <w:r>
      <w:rPr>
        <w:i/>
        <w:sz w:val="20"/>
        <w:szCs w:val="20"/>
      </w:rPr>
      <w:t xml:space="preserve"> Ostatnia aktualizacja: wrzesień 2019 r. </w:t>
    </w:r>
    <w:hyperlink r:id="rId1" w:history="1">
      <w:r>
        <w:rPr>
          <w:i/>
          <w:sz w:val="20"/>
          <w:szCs w:val="20"/>
        </w:rPr>
        <w:t>www.cllmatelnteractlve.org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510" w:rsidRDefault="00097510"/>
  </w:footnote>
  <w:footnote w:type="continuationSeparator" w:id="0">
    <w:p w:rsidR="00097510" w:rsidRDefault="0009751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732"/>
    <w:multiLevelType w:val="multilevel"/>
    <w:tmpl w:val="A02E6F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10"/>
    <w:rsid w:val="00097510"/>
    <w:rsid w:val="00186876"/>
    <w:rsid w:val="006C74FC"/>
    <w:rsid w:val="006D1734"/>
    <w:rsid w:val="00A54829"/>
    <w:rsid w:val="00CC0C1E"/>
    <w:rsid w:val="00D62D86"/>
    <w:rsid w:val="00D81B2C"/>
    <w:rsid w:val="00E232AA"/>
    <w:rsid w:val="00ED0390"/>
    <w:rsid w:val="00ED344D"/>
    <w:rsid w:val="00F25364"/>
    <w:rsid w:val="00FD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1744"/>
  <w15:docId w15:val="{CE6D2EC8-FEFE-4DA9-92E2-D8714158878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E"/>
      <w:spacing w:val="0"/>
      <w:w w:val="100"/>
      <w:position w:val="0"/>
      <w:sz w:val="22"/>
      <w:szCs w:val="22"/>
      <w:u w:val="single"/>
      <w:lang w:val="pl-PL"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E"/>
      <w:spacing w:val="0"/>
      <w:w w:val="100"/>
      <w:position w:val="0"/>
      <w:sz w:val="22"/>
      <w:szCs w:val="22"/>
      <w:u w:val="none"/>
      <w:lang w:val="pl-PL"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1200" w:line="402" w:lineRule="exact"/>
      <w:outlineLvl w:val="0"/>
    </w:pPr>
    <w:rPr>
      <w:rFonts w:ascii="Arial" w:eastAsia="Arial" w:hAnsi="Arial" w:cs="Arial"/>
      <w:b/>
      <w:bCs/>
      <w:sz w:val="36"/>
      <w:szCs w:val="36"/>
    </w:rPr>
  </w:style>
  <w:style w:type="paragraph" w:customStyle="1" w:styleId="Bodytext30">
    <w:name w:val="Body text|3"/>
    <w:basedOn w:val="Normal"/>
    <w:link w:val="Bodytext3"/>
    <w:pPr>
      <w:shd w:val="clear" w:color="auto" w:fill="FFFFFF"/>
      <w:spacing w:before="1200" w:line="269" w:lineRule="exact"/>
      <w:jc w:val="both"/>
    </w:pPr>
    <w:rPr>
      <w:b/>
      <w:bCs/>
      <w:sz w:val="22"/>
      <w:szCs w:val="22"/>
    </w:rPr>
  </w:style>
  <w:style w:type="paragraph" w:customStyle="1" w:styleId="Bodytext20">
    <w:name w:val="Body text|2"/>
    <w:basedOn w:val="Normal"/>
    <w:link w:val="Bodytext2"/>
    <w:qFormat/>
    <w:pPr>
      <w:shd w:val="clear" w:color="auto" w:fill="FFFFFF"/>
      <w:spacing w:before="120" w:after="120" w:line="269" w:lineRule="exact"/>
      <w:ind w:hanging="400"/>
    </w:pPr>
    <w:rPr>
      <w:sz w:val="22"/>
      <w:szCs w:val="22"/>
    </w:rPr>
  </w:style>
  <w:style w:type="paragraph" w:customStyle="1" w:styleId="Bodytext40">
    <w:name w:val="Body text|4"/>
    <w:basedOn w:val="Normal"/>
    <w:link w:val="Bodytext4"/>
    <w:pPr>
      <w:shd w:val="clear" w:color="auto" w:fill="FFFFFF"/>
      <w:spacing w:before="48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D81B2C"/>
    <w:pPr>
      <w:tabs>
        <w:tab w:val="center" w:pos="4513"/>
        <w:tab w:val="right" w:pos="9026"/>
      </w:tabs>
    </w:pPr>
  </w:style>
  <w:style w:type="character" w:customStyle="1" w:styleId="HeaderChar">
    <w:name w:val="Header Char"/>
    <w:basedOn w:val="DefaultParagraphFont"/>
    <w:link w:val="Header"/>
    <w:uiPriority w:val="99"/>
    <w:rsid w:val="00D81B2C"/>
    <w:rPr>
      <w:color w:val="000000"/>
    </w:rPr>
  </w:style>
  <w:style w:type="paragraph" w:styleId="Footer">
    <w:name w:val="footer"/>
    <w:basedOn w:val="Normal"/>
    <w:link w:val="FooterChar"/>
    <w:uiPriority w:val="99"/>
    <w:unhideWhenUsed/>
    <w:rsid w:val="00D81B2C"/>
    <w:pPr>
      <w:tabs>
        <w:tab w:val="center" w:pos="4513"/>
        <w:tab w:val="right" w:pos="9026"/>
      </w:tabs>
    </w:pPr>
  </w:style>
  <w:style w:type="character" w:customStyle="1" w:styleId="FooterChar">
    <w:name w:val="Footer Char"/>
    <w:basedOn w:val="DefaultParagraphFont"/>
    <w:link w:val="Footer"/>
    <w:uiPriority w:val="99"/>
    <w:rsid w:val="00D81B2C"/>
    <w:rPr>
      <w:color w:val="000000"/>
    </w:rPr>
  </w:style>
  <w:style w:type="paragraph" w:styleId="BalloonText">
    <w:name w:val="Balloon Text"/>
    <w:basedOn w:val="Normal"/>
    <w:link w:val="BalloonTextChar"/>
    <w:uiPriority w:val="99"/>
    <w:semiHidden/>
    <w:unhideWhenUsed/>
    <w:rsid w:val="00186876"/>
    <w:rPr>
      <w:rFonts w:ascii="Tahoma" w:hAnsi="Tahoma" w:cs="Tahoma"/>
      <w:sz w:val="16"/>
      <w:szCs w:val="16"/>
    </w:rPr>
  </w:style>
  <w:style w:type="character" w:customStyle="1" w:styleId="BalloonTextChar">
    <w:name w:val="Balloon Text Char"/>
    <w:basedOn w:val="DefaultParagraphFont"/>
    <w:link w:val="BalloonText"/>
    <w:uiPriority w:val="99"/>
    <w:semiHidden/>
    <w:rsid w:val="0018687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CTJJHAUHWN5E-644613129-2810</_dlc_DocId>
    <_dlc_DocIdUrl xmlns="bfc960a6-20da-4c94-8684-71380fca093b">
      <Url>http://dm2016/eesc/2019/_layouts/15/DocIdRedir.aspx?ID=CTJJHAUHWN5E-644613129-2810</Url>
      <Description>CTJJHAUHWN5E-644613129-2810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2019-12-09T12:00:00+00:00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153</Value>
      <Value>55</Value>
      <Value>63</Value>
      <Value>62</Value>
      <Value>246</Value>
      <Value>21</Value>
      <Value>56</Value>
      <Value>152</Value>
      <Value>17</Value>
      <Value>16</Value>
      <Value>52</Value>
      <Value>162</Value>
      <Value>49</Value>
      <Value>11</Value>
      <Value>46</Value>
      <Value>45</Value>
      <Value>7</Value>
      <Value>154</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11387</FicheNumber>
    <DocumentPart xmlns="bfc960a6-20da-4c94-8684-71380fca093b">4</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EB1C276-C7B8-4296-BC7C-43E46B68E20C}"/>
</file>

<file path=customXml/itemProps2.xml><?xml version="1.0" encoding="utf-8"?>
<ds:datastoreItem xmlns:ds="http://schemas.openxmlformats.org/officeDocument/2006/customXml" ds:itemID="{118F34D3-380E-4E1B-A0F2-F2B4BF70443D}"/>
</file>

<file path=customXml/itemProps3.xml><?xml version="1.0" encoding="utf-8"?>
<ds:datastoreItem xmlns:ds="http://schemas.openxmlformats.org/officeDocument/2006/customXml" ds:itemID="{E8DD5B25-3A44-4B58-9028-0BDB8FEC5D98}"/>
</file>

<file path=customXml/itemProps4.xml><?xml version="1.0" encoding="utf-8"?>
<ds:datastoreItem xmlns:ds="http://schemas.openxmlformats.org/officeDocument/2006/customXml" ds:itemID="{B35608FA-61A5-4012-AFEC-1615DD93EFA5}"/>
</file>

<file path=docProps/app.xml><?xml version="1.0" encoding="utf-8"?>
<Properties xmlns="http://schemas.openxmlformats.org/officeDocument/2006/extended-properties" xmlns:vt="http://schemas.openxmlformats.org/officeDocument/2006/docPropsVTypes">
  <Template>Styles.dotm</Template>
  <TotalTime>4</TotalTime>
  <Pages>3</Pages>
  <Words>1371</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Dokumenty robocze - Grupa 5 - Symulacja działań dla klimatu: przemysł i handel</dc:title>
  <cp:keywords>EESC-2019-05163-04-00-INFO-TRA-EN</cp:keywords>
  <dc:description>Rapporteur:  - Original language: EN - Date of document: 09/12/2019 - Date of meeting:  - External documents:  - Administrator: MME LAHOUSSE Chloé</dc:description>
  <cp:lastModifiedBy>Agnieszka Klimaszewska</cp:lastModifiedBy>
  <cp:revision>5</cp:revision>
  <dcterms:created xsi:type="dcterms:W3CDTF">2019-11-15T10:30:00Z</dcterms:created>
  <dcterms:modified xsi:type="dcterms:W3CDTF">2019-12-09T16:22:00Z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11:18:38, 10:14:49</vt:lpwstr>
  </property>
  <property fmtid="{D5CDD505-2E9C-101B-9397-08002B2CF9AE}" pid="5" name="Pref_User">
    <vt:lpwstr>hnic, htoo</vt:lpwstr>
  </property>
  <property fmtid="{D5CDD505-2E9C-101B-9397-08002B2CF9AE}" pid="6" name="Pref_FileName">
    <vt:lpwstr>EESC-2019-05163-04-00-INFO-TRA-EN-CRR.docx, EESC-2019-05163-04-00-INFO-CRR-EN.docx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8e185702-8d42-4bfd-a67e-f51a6c39260c</vt:lpwstr>
  </property>
  <property fmtid="{D5CDD505-2E9C-101B-9397-08002B2CF9AE}" pid="9" name="AvailableTranslations">
    <vt:lpwstr>21;#IT|0774613c-01ed-4e5d-a25d-11d2388de825;#152;#MK|34ce48bb-063e-4413-a932-50853dc71c5c;#49;#EL|6d4f4d51-af9b-4650-94b4-4276bee85c91;#46;#CS|72f9705b-0217-4fd3-bea2-cbc7ed80e26e;#62;#FI|87606a43-d45f-42d6-b8c9-e1a3457db5b7;#52;#DA|5d49c027-8956-412b-aa16-e85a0f96ad0e;#63;#MT|7df99101-6854-4a26-b53a-b88c0da02c26;#154;#SQ|5ac17240-8d11-45ec-9893-659b209d7a00;#162;#TR|6e4ededd-04c4-4fa0-94e0-1028050302d5;#56;#SL|98a412ae-eb01-49e9-ae3d-585a81724cfc;#55;#BG|1a1b3951-7821-4e6a-85f5-5673fc08bd2c;#153;#SR|7f3a1d13-b985-4bfd-981e-afe31377edff;#17;#ES|e7a6b05b-ae16-40c8-add9-68b64b03aeba;#45;#NL|55c6556c-b4f4-441d-9acf-c498d4f838bd;#246;#ME|925b3da5-5ac0-4b3c-928c-6ef66a5c9b3c;#4;#EN|f2175f21-25d7-44a3-96da-d6a61b075e1b;#16;#PL|1e03da61-4678-4e07-b136-b5024ca9197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4</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MK|34ce48bb-063e-4413-a932-50853dc71c5c;EL|6d4f4d51-af9b-4650-94b4-4276bee85c91;CS|72f9705b-0217-4fd3-bea2-cbc7ed80e26e;FI|87606a43-d45f-42d6-b8c9-e1a3457db5b7;DA|5d49c027-8956-412b-aa16-e85a0f96ad0e;MT|7df99101-6854-4a26-b53a-b88c0da02c26;SQ|5ac17240-8d11-45ec-9893-659b209d7a00;TR|6e4ededd-04c4-4fa0-94e0-1028050302d5;SL|98a412ae-eb01-49e9-ae3d-585a81724cfc;BG|1a1b3951-7821-4e6a-85f5-5673fc08bd2c;SR|7f3a1d13-b985-4bfd-981e-afe31377edff;ES|e7a6b05b-ae16-40c8-add9-68b64b03aeba;NL|55c6556c-b4f4-441d-9acf-c498d4f838bd;ME|925b3da5-5ac0-4b3c-928c-6ef66a5c9b3c;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153;#SR|7f3a1d13-b985-4bfd-981e-afe31377edff;#63;#MT|7df99101-6854-4a26-b53a-b88c0da02c26;#62;#FI|87606a43-d45f-42d6-b8c9-e1a3457db5b7;#246;#ME|925b3da5-5ac0-4b3c-928c-6ef66a5c9b3c;#152;#MK|34ce48bb-063e-4413-a932-50853dc71c5c;#56;#SL|98a412ae-eb01-49e9-ae3d-585a81724cfc;#55;#BG|1a1b3951-7821-4e6a-85f5-5673fc08bd2c;#17;#ES|e7a6b05b-ae16-40c8-add9-68b64b03aeba;#52;#DA|5d49c027-8956-412b-aa16-e85a0f96ad0e;#162;#TR|6e4ededd-04c4-4fa0-94e0-1028050302d5;#49;#EL|6d4f4d51-af9b-4650-94b4-4276bee85c91;#11;#INFO|d9136e7c-93a9-4c42-9d28-92b61e85f80c;#46;#CS|72f9705b-0217-4fd3-bea2-cbc7ed80e26e;#45;#NL|55c6556c-b4f4-441d-9acf-c498d4f838bd;#7;#Final|ea5e6674-7b27-4bac-b091-73adbb394efe;#154;#SQ|5ac17240-8d11-45ec-9893-659b209d7a00;#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11387</vt:i4>
  </property>
  <property fmtid="{D5CDD505-2E9C-101B-9397-08002B2CF9AE}" pid="37" name="DocumentLanguage">
    <vt:lpwstr>16;#PL|1e03da61-4678-4e07-b136-b5024ca9197b</vt:lpwstr>
  </property>
</Properties>
</file>