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FD" w:rsidRPr="00017A78" w:rsidRDefault="00061DF7" w:rsidP="00017A78">
      <w:pPr>
        <w:pStyle w:val="Bodytext30"/>
        <w:widowControl/>
        <w:shd w:val="clear" w:color="auto" w:fill="auto"/>
        <w:spacing w:after="38" w:line="240" w:lineRule="auto"/>
        <w:jc w:val="both"/>
        <w:rPr>
          <w:rFonts w:ascii="Times New Roman" w:hAnsi="Times New Roman" w:cs="Times New Roman"/>
        </w:rPr>
      </w:pPr>
      <w:r>
        <w:rPr>
          <w:rFonts w:ascii="Times New Roman" w:hAnsi="Times New Roman"/>
        </w:rPr>
        <w:t>Symulacja działań dla klimatu: konwencjonalne źródła zaopatrzenia w energię</w:t>
      </w:r>
    </w:p>
    <w:p w:rsidR="0010014B" w:rsidRPr="00017A78" w:rsidRDefault="0010014B" w:rsidP="00017A78">
      <w:pPr>
        <w:pStyle w:val="Bodytext30"/>
        <w:widowControl/>
        <w:shd w:val="clear" w:color="auto" w:fill="auto"/>
        <w:spacing w:after="38" w:line="240" w:lineRule="auto"/>
        <w:rPr>
          <w:rFonts w:ascii="Times New Roman" w:hAnsi="Times New Roman" w:cs="Times New Roman"/>
          <w:lang w:val="en-GB"/>
        </w:rPr>
      </w:pPr>
    </w:p>
    <w:p w:rsidR="00EA7CFD" w:rsidRPr="00017A78" w:rsidRDefault="00061DF7" w:rsidP="00017A78">
      <w:pPr>
        <w:pStyle w:val="Bodytext40"/>
        <w:widowControl/>
        <w:shd w:val="clear" w:color="auto" w:fill="auto"/>
        <w:tabs>
          <w:tab w:val="left" w:pos="1440"/>
        </w:tabs>
        <w:spacing w:line="240" w:lineRule="auto"/>
      </w:pPr>
      <w:r>
        <w:t>Do</w:t>
      </w:r>
      <w:proofErr w:type="gramStart"/>
      <w:r>
        <w:t>:</w:t>
      </w:r>
      <w:r>
        <w:tab/>
        <w:t>Głównych</w:t>
      </w:r>
      <w:proofErr w:type="gramEnd"/>
      <w:r>
        <w:t xml:space="preserve"> negocjatorów z ramienia sektora energii konwencjonalnej</w:t>
      </w:r>
    </w:p>
    <w:p w:rsidR="00EA7CFD" w:rsidRPr="00017A78" w:rsidRDefault="00061DF7" w:rsidP="00017A78">
      <w:pPr>
        <w:pStyle w:val="Bodytext40"/>
        <w:widowControl/>
        <w:shd w:val="clear" w:color="auto" w:fill="auto"/>
        <w:tabs>
          <w:tab w:val="left" w:pos="1440"/>
        </w:tabs>
        <w:spacing w:after="120" w:line="240" w:lineRule="auto"/>
      </w:pPr>
      <w:r>
        <w:t>Dot</w:t>
      </w:r>
      <w:proofErr w:type="gramStart"/>
      <w:r>
        <w:t>.:</w:t>
      </w:r>
      <w:r>
        <w:tab/>
        <w:t>Przygotowania</w:t>
      </w:r>
      <w:proofErr w:type="gramEnd"/>
      <w:r>
        <w:t xml:space="preserve"> do szczytu na rzecz działań klimatycznych</w:t>
      </w:r>
    </w:p>
    <w:p w:rsidR="00EA7CFD" w:rsidRPr="00017A78" w:rsidRDefault="00061DF7" w:rsidP="00017A78">
      <w:pPr>
        <w:pStyle w:val="Bodytext20"/>
        <w:widowControl/>
        <w:shd w:val="clear" w:color="auto" w:fill="auto"/>
        <w:spacing w:before="0" w:after="120" w:line="240" w:lineRule="auto"/>
        <w:ind w:firstLine="0"/>
        <w:jc w:val="both"/>
      </w:pPr>
      <w:r>
        <w:t xml:space="preserve">Witamy na szczycie poświęconym działaniom na rzecz klimatu. Sekretarz generalny ONZ zwrócił się do Was i do przywódców wszystkich zainteresowanych stron o podjęcie wspólnych działań na rzecz skutecznego rozwiązania problemu zmiany klimatu. W swym zaproszeniu sekretarz generalny </w:t>
      </w:r>
      <w:r>
        <w:rPr>
          <w:rStyle w:val="Bodytext21"/>
        </w:rPr>
        <w:t>stwierdził</w:t>
      </w:r>
      <w:r>
        <w:t>: „Kryzys klimatyczny jest wyścigiem, który przegrywamy, ale możemy go jeszcze wygrać [...] Według najbardziej wiarygodnych danych naukowych, każdy wzrost temperatury powyżej 1,5°C doprowadzi do poważnych i nieodwracalnych szkód w życiodajnych ekosystemach [...] Ale nauka mówi nam również, że nie jest jeszcze za późno.</w:t>
      </w:r>
    </w:p>
    <w:p w:rsidR="00EA7CFD" w:rsidRPr="00017A78" w:rsidRDefault="00061DF7" w:rsidP="00017A78">
      <w:pPr>
        <w:pStyle w:val="Bodytext20"/>
        <w:widowControl/>
        <w:shd w:val="clear" w:color="auto" w:fill="auto"/>
        <w:spacing w:before="0" w:after="120" w:line="240" w:lineRule="auto"/>
        <w:ind w:firstLine="0"/>
        <w:jc w:val="both"/>
      </w:pPr>
      <w:r>
        <w:t>Możemy wygrać ten wyścig [...]. Ale będzie to wymagało fundamentalnej transformacji wszystkich aspektów naszego społeczeństwa – sposobu, w jakim wytwarzamy żywność, użytkujemy grunty, dostarczamy paliwa na potrzeby naszego transportu i zaopatrujemy w energię nasze gospodarki [...]. Nikt nie pozostanie w tyle pod warunkiem, że będziemy działać razem”.</w:t>
      </w:r>
    </w:p>
    <w:p w:rsidR="00EA7CFD" w:rsidRPr="00017A78" w:rsidRDefault="00061DF7" w:rsidP="00017A78">
      <w:pPr>
        <w:pStyle w:val="Bodytext20"/>
        <w:widowControl/>
        <w:shd w:val="clear" w:color="auto" w:fill="auto"/>
        <w:spacing w:before="0" w:after="120" w:line="240" w:lineRule="auto"/>
        <w:ind w:firstLine="0"/>
        <w:jc w:val="both"/>
      </w:pPr>
      <w:r>
        <w:t xml:space="preserve">Celem szczytu jest opracowanie planu dotyczącego ograniczenia globalnego ocieplenia do mniej niż 2°C [3,6°F] powyżej poziomu sprzed epoki przemysłowej, a nawet do ograniczenia go do 1,5°C [2,7°F], zgodnie z międzynarodowym celami, które zostały formalnie przyjęte w paryskim porozumieniu klimatycznym. </w:t>
      </w:r>
      <w:r>
        <w:rPr>
          <w:rStyle w:val="Bodytext21"/>
        </w:rPr>
        <w:t>Dowody naukowe</w:t>
      </w:r>
      <w:r>
        <w:t xml:space="preserve"> są jednoznaczne: ocieplenie powyżej tego pułapu przyniesie katastrofalne i nieodwracalne skutki zagrażające zdrowiu, dobrobytowi i życiu ludzi we wszystkich krajach.</w:t>
      </w:r>
    </w:p>
    <w:p w:rsidR="00EA7CFD" w:rsidRPr="00017A78" w:rsidRDefault="00061DF7" w:rsidP="00017A78">
      <w:pPr>
        <w:pStyle w:val="Bodytext20"/>
        <w:widowControl/>
        <w:shd w:val="clear" w:color="auto" w:fill="auto"/>
        <w:spacing w:before="0" w:after="120" w:line="240" w:lineRule="auto"/>
        <w:ind w:firstLine="0"/>
        <w:jc w:val="both"/>
      </w:pPr>
      <w:r>
        <w:t>Reprezentujecie sektory węgla, ropy naftowej, gazu ziemnego, energii jądrowej i elektrycznej, które dostarczają dziś najwięcej energii na świecie. Wasza grupa obejmuje spółki publiczne, krajowe przedsiębiorstwa naftowe i gazowe, spółki węglowe, zakłady energetyczne użyteczności publicznej zależne od paliw kopalnych oraz firmy dostarczające usługi i sprzęt dla tych sektorów.</w:t>
      </w:r>
    </w:p>
    <w:p w:rsidR="00EA7CFD" w:rsidRPr="00017A78" w:rsidRDefault="00061DF7" w:rsidP="00017A78">
      <w:pPr>
        <w:pStyle w:val="Bodytext20"/>
        <w:widowControl/>
        <w:shd w:val="clear" w:color="auto" w:fill="auto"/>
        <w:spacing w:before="0" w:after="120" w:line="240" w:lineRule="auto"/>
        <w:ind w:firstLine="0"/>
        <w:jc w:val="both"/>
      </w:pPr>
      <w:r>
        <w:t>Wasze priorytety polityczne wymieniono poniżej. Możecie jednak zaproponować lub zablokować dowolną dostępną politykę.</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Sprzeciwianie się wysokiej cenie emisji dwutlenku węgla. </w:t>
      </w:r>
      <w:r>
        <w:t>Wasi ekonomiści przyznają, że podwyższenie cen paliw kopalnych poprzez zastosowanie opł</w:t>
      </w:r>
      <w:r w:rsidR="00C83A7E">
        <w:t>aty za emisję dwutlenku węgla w </w:t>
      </w:r>
      <w:r>
        <w:t>celu odzwierciedlenia środowiskowych i społecznych kosztów emisji gazów cieplarnianych może być najlepszym sposobem ograniczenia emisji w skali światowej. Jednak cena emisji dwutlenku węgla przekraczająca 25–30 USD za tonę CO</w:t>
      </w:r>
      <w:r>
        <w:rPr>
          <w:vertAlign w:val="subscript"/>
        </w:rPr>
        <w:t>2</w:t>
      </w:r>
      <w:r>
        <w:t xml:space="preserve"> wyrządziłaby niedopuszczalną szkodę przemysłowi paliw kopalnych z uwagi na podniesienie kosztów i ograniczenie popytu, co doprowadziłoby do powstania aktywów osieroconych i utraty wartości dla udziałowców. Pomimo tego, że niektóre firmy naftowe podają do publicznej wiadomości, że popierają wprowadzenie opłaty za emisję gazów cieplarnianych, reprezentowany przez was przemysł nadal finansuje polityków, którzy sprzeciwiają się temu i blokują stosowne działania. Przewidujecie, że inne grupy będą naciskać na wprowadzenie opłat za emisję gazów cieplarnianych. Jednak wy zdecydowanie sprzeciwiacie się takiej polityce.</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Sprzeciwianie się opodatkowaniu paliw kopalnych. </w:t>
      </w:r>
      <w:r>
        <w:t>Wasza branża nie chce być regulowana ani ponosić kosztów łagodzenia zmiany klimatu. Już teraz przewidujecie, że poniesiecie znaczne straty gospodarcze w związku z globalnym odejściem od paliw kopalnych w nadchodzącym stuleciu, a więc nie możecie pozwolić sobie na ponoszenie dodatkowych kosztów, które niesprawiedliwie obciążają wasz przemysł. Możecie nawet wystąpić o dotacje na gaz ziemny, promowany przez was jako paliwo pomostowe, ponieważ powoduje mniej emisji gazów niż węgiel i ropa naftowa. Jeśli regulacje okażą się nieuniknione, to lepiej będzie ograniczyć węgiel niż ropę naftową i gaz. Węgiel emituje najwięcej dwutlenku węgla podczas spalania i jest mniej rentowny od ropy i gazu.</w:t>
      </w:r>
    </w:p>
    <w:p w:rsidR="00934588" w:rsidRPr="00017A78" w:rsidRDefault="00934588" w:rsidP="00017A78">
      <w:pPr>
        <w:pStyle w:val="Bodytext20"/>
        <w:widowControl/>
        <w:numPr>
          <w:ilvl w:val="0"/>
          <w:numId w:val="1"/>
        </w:numPr>
        <w:shd w:val="clear" w:color="auto" w:fill="auto"/>
        <w:spacing w:before="0" w:after="120" w:line="240" w:lineRule="auto"/>
        <w:ind w:left="400" w:right="-1"/>
        <w:jc w:val="both"/>
      </w:pPr>
      <w:r>
        <w:rPr>
          <w:b/>
        </w:rPr>
        <w:lastRenderedPageBreak/>
        <w:t>Promowanie nowych technologii, w tym technologicznego usuwania dwutlenku węgla, wychwytywania i składowania dwutlenku węgla (CCS) oraz biopaliw.</w:t>
      </w:r>
    </w:p>
    <w:p w:rsidR="00EA7CFD" w:rsidRPr="00C83A7E" w:rsidRDefault="00061DF7" w:rsidP="00017A78">
      <w:pPr>
        <w:pStyle w:val="Bodytext20"/>
        <w:widowControl/>
        <w:shd w:val="clear" w:color="auto" w:fill="auto"/>
        <w:spacing w:before="0" w:after="120" w:line="240" w:lineRule="auto"/>
        <w:ind w:left="400" w:firstLine="0"/>
        <w:jc w:val="both"/>
      </w:pPr>
      <w:r w:rsidRPr="00C83A7E">
        <w:t>Wasza branża popiera zwiększone wykorzystanie gazu ziemnego i biopaliw oraz badania nad rozwojem technologii usuwania dwutlenku węgla, które po</w:t>
      </w:r>
      <w:r w:rsidR="00C83A7E" w:rsidRPr="00C83A7E">
        <w:t>zwalają usuwać go z atmosfery i </w:t>
      </w:r>
      <w:r w:rsidRPr="00C83A7E">
        <w:t>przechowywać pod ziemią.</w:t>
      </w:r>
      <w:r w:rsidRPr="00C83A7E">
        <w:rPr>
          <w:i/>
          <w:iCs/>
        </w:rPr>
        <w:t xml:space="preserve"> </w:t>
      </w:r>
      <w:r w:rsidRPr="00C83A7E">
        <w:t>Wasza wiedza fachowa z zakresu inżynierii, geologii i transportu paliw na dużą skalę może być wykorzystana na potrzeby tych paliw i gałęzi przemysłu.</w:t>
      </w:r>
      <w:r w:rsidRPr="00C83A7E">
        <w:rPr>
          <w:i/>
          <w:iCs/>
        </w:rPr>
        <w:t xml:space="preserve"> </w:t>
      </w:r>
      <w:r w:rsidRPr="00C83A7E">
        <w:t>Możecie również wesprzeć wychwytywanie i składowanie dwutlenku węgla (CCS) przez elektrownie węglowe oraz inne zakłady, w tym podczas produkcji biopaliw.</w:t>
      </w:r>
      <w:r w:rsidRPr="00C83A7E">
        <w:rPr>
          <w:i/>
          <w:iCs/>
        </w:rPr>
        <w:t xml:space="preserve"> </w:t>
      </w:r>
      <w:r w:rsidRPr="00C83A7E">
        <w:t xml:space="preserve">CCS może wychwytywać 90% emisji </w:t>
      </w:r>
      <w:r w:rsidRPr="00C83A7E">
        <w:rPr>
          <w:i/>
          <w:iCs/>
        </w:rPr>
        <w:t>CO</w:t>
      </w:r>
      <w:r w:rsidRPr="00C83A7E">
        <w:rPr>
          <w:vertAlign w:val="subscript"/>
        </w:rPr>
        <w:t>2</w:t>
      </w:r>
      <w:r w:rsidRPr="00C83A7E">
        <w:t xml:space="preserve"> pochodzących ze spalania paliw kopalnych w elektrowniach i w trakcie procesów przemysłowych. Dwutlenek węgla można następnie skroplić i wpompować pod ziemię w celu zwiększenia produkcji ropy naftowej i gazu lub, co jest mniej opłacalne, przepompować go do stabilnych (jak zapewniacie) zbiorników geologicznych. Technologia usuwania dwutlenku węgla, jeśli stanie się wykonalna i konkurencyjna pod względem kosztów, byłaby dla waszej branży pomocna, ponieważ umożliwiłaby usuwanie </w:t>
      </w:r>
      <w:r w:rsidRPr="00C83A7E">
        <w:rPr>
          <w:i/>
          <w:iCs/>
        </w:rPr>
        <w:t>CO</w:t>
      </w:r>
      <w:r w:rsidRPr="00C83A7E">
        <w:rPr>
          <w:vertAlign w:val="subscript"/>
        </w:rPr>
        <w:t>2</w:t>
      </w:r>
      <w:r w:rsidRPr="00C83A7E">
        <w:t xml:space="preserve"> z atmosfery, co równoważyłoby emisje pochodzące z dalszego wykorzystywania paliw kopalnych.</w:t>
      </w:r>
    </w:p>
    <w:p w:rsidR="00EA7CFD" w:rsidRPr="00941B40" w:rsidRDefault="00061DF7" w:rsidP="00017A78">
      <w:pPr>
        <w:pStyle w:val="Bodytext20"/>
        <w:widowControl/>
        <w:numPr>
          <w:ilvl w:val="0"/>
          <w:numId w:val="1"/>
        </w:numPr>
        <w:shd w:val="clear" w:color="auto" w:fill="auto"/>
        <w:spacing w:before="0" w:after="120" w:line="240" w:lineRule="auto"/>
        <w:ind w:left="400" w:right="-1"/>
        <w:jc w:val="both"/>
      </w:pPr>
      <w:r>
        <w:rPr>
          <w:b/>
        </w:rPr>
        <w:t>Zachęcanie do podejmowania działań niemających bezpośredniego wpływu na wasz sektor.</w:t>
      </w:r>
      <w:r>
        <w:t xml:space="preserve"> Jesteście świadomi tego, że zmiana klimatu jest niebezpieczna, zarazem jednak musicie chronić wartość dla udziałowców. W związku z tym opowiadacie się za polityką mogącą ograniczyć emisje gazów cieplarnianych bez zmniejszania zużycia paliw kopalnych. Chociaż dwutlenek węgla pochodzący z paliw kopalnych w największym stopniu przyczynia się do zmiany klimatu, metan (CH</w:t>
      </w:r>
      <w:r>
        <w:rPr>
          <w:vertAlign w:val="subscript"/>
        </w:rPr>
        <w:t>4</w:t>
      </w:r>
      <w:r>
        <w:t>), podtlenek azotu (N</w:t>
      </w:r>
      <w:r>
        <w:rPr>
          <w:vertAlign w:val="subscript"/>
        </w:rPr>
        <w:t>2</w:t>
      </w:r>
      <w:r>
        <w:t>O) i inne gazy także wpływają na efekt cieplarniany, a ich oddziaływanie stale rośnie. Stosowane na świecie praktyki w rolnictwie i leśnictwie w znacznym stopniu przyczyniają się do emisji tych gazów. Popieracie politykę ograniczenia emisji pozostałych gazów cieplarnianych, pochodzących głównie z u</w:t>
      </w:r>
      <w:r w:rsidR="00C83A7E">
        <w:t>żytkowania gruntów, rolnictwa i </w:t>
      </w:r>
      <w:r>
        <w:t>leśnictwa. Wspieracie także wysiłki na rzecz ograniczenie wylesiania, a także zalesianie terenów zdegradowanych i wylesionych.</w:t>
      </w:r>
    </w:p>
    <w:p w:rsidR="00EA7CFD" w:rsidRPr="00017A78" w:rsidRDefault="00061DF7" w:rsidP="00017A78">
      <w:pPr>
        <w:pStyle w:val="Bodytext60"/>
        <w:widowControl/>
        <w:shd w:val="clear" w:color="auto" w:fill="auto"/>
        <w:spacing w:before="0" w:after="120" w:line="240" w:lineRule="auto"/>
      </w:pPr>
      <w:r>
        <w:t>Kwestie dodatkowe</w:t>
      </w:r>
    </w:p>
    <w:p w:rsidR="00EA7CFD" w:rsidRPr="00017A78" w:rsidRDefault="00061DF7" w:rsidP="00017A78">
      <w:pPr>
        <w:pStyle w:val="Bodytext20"/>
        <w:widowControl/>
        <w:shd w:val="clear" w:color="auto" w:fill="auto"/>
        <w:spacing w:before="0" w:after="120" w:line="240" w:lineRule="auto"/>
        <w:ind w:firstLine="0"/>
        <w:jc w:val="both"/>
      </w:pPr>
      <w:r>
        <w:t>Wasi eksperci od klimatu zgadzają się z opinią Międzyrządowego Zespołu ds. Zmian Klimatu (IPCC) na temat zagrożeń związanych ze zmianą klimatu. Musicie jednak zachować równowagę między koniecznością zapobiegania niebezpiecznej zmianie klimatu a potrzebami waszych kluczowych interesariuszy, w tym akcjonariuszy, pracowników, obywateli (waszych klientów), a także decydentów politycznych, którzy udzielają wam licencji na działalność, wprowadzają regulacje dotyczące waszego przemysłu i wpływają na wasze koszty operacyjne. Jako menadżerowie firm musicie także uwzględnić wasze osobiste interesy finansowe.</w:t>
      </w:r>
    </w:p>
    <w:p w:rsidR="00EA7CFD" w:rsidRPr="00017A78" w:rsidRDefault="00061DF7" w:rsidP="00017A78">
      <w:pPr>
        <w:pStyle w:val="Bodytext20"/>
        <w:widowControl/>
        <w:shd w:val="clear" w:color="auto" w:fill="auto"/>
        <w:spacing w:before="0" w:after="120" w:line="240" w:lineRule="auto"/>
        <w:ind w:firstLine="0"/>
        <w:jc w:val="both"/>
      </w:pPr>
      <w:r>
        <w:t>Konwencjonalne źródła energii, w tym paliwa kopalne i jądrowe, zapewniają ponad 95% światowego zaopatrzenia w energię. Wasz przemysł dostarcza jedynie tego, czego potrzebują konsumenci i nie powinien być obwiniany ani karany za zmianę klimatu. Ograniczanie zużycia paliw kopalnych może być kosztowne dla konsumentów i gospodarki w perspektywie krótkoterminowej. W większości miejsc na świecie zainstalowano już infrastrukturę paliw kopalnych, a wiele krajów rozwijających się wciąż robi szybkie postępy w zakresie nowych zdolności wytwarzania energii z paliw kopalnych. Nie da się zapewnić ciągłego dostarczania energii z takich źródeł odnawialnych jak wiatr i energia słoneczna, w związku z czym nie są one jeszcze w stanie zasilać gospodarki światowej. Wasze stanowisko jest takie, że paliwa kopalne mają zasadnicze znaczenie dla wyeliminowania ubóstwa energetycznego i napędzania wzrostu gospodarczego, zwłaszcza w krajach rozwijających się. Nie pozwólcie, by działacze na rzecz ochrony środowiska przedstawiali was jako ludzi nietroszczących się o sprawiedliwość społeczną.</w:t>
      </w:r>
    </w:p>
    <w:p w:rsidR="00EA7CFD" w:rsidRPr="00017A78" w:rsidRDefault="00061DF7" w:rsidP="00017A78">
      <w:pPr>
        <w:pStyle w:val="Bodytext20"/>
        <w:widowControl/>
        <w:shd w:val="clear" w:color="auto" w:fill="auto"/>
        <w:spacing w:before="0" w:after="120" w:line="240" w:lineRule="auto"/>
        <w:ind w:firstLine="0"/>
        <w:jc w:val="both"/>
      </w:pPr>
      <w:r>
        <w:t>Producenci paliw kopalnych, w tym przedsiębiorstwa węglowe, nafto</w:t>
      </w:r>
      <w:r w:rsidR="00C83A7E">
        <w:t>we i gazowe, będą borykać się z </w:t>
      </w:r>
      <w:bookmarkStart w:id="0" w:name="_GoBack"/>
      <w:bookmarkEnd w:id="0"/>
      <w:r>
        <w:t xml:space="preserve">poważnymi trudnościami finansowymi w przypadku realizacji polityk mających ograniczyć ocieplenie do poziomu bliskiego 2°C. Firmy, które są zależne od paliw kopalnych, będą musiały ponownie określić swój profil lub zniknąć z rynku. Ograniczenie ocieplenia do 2°C oznacza, że znaczna część znanych zasobów paliw kopalnych będzie musiała pozostać w ziemi i stanie się </w:t>
      </w:r>
      <w:r>
        <w:lastRenderedPageBreak/>
        <w:t>aktywami osieroconymi, które nigdy nie wygenerują zysków dla udziałowców lub rządów. Wiele miejsc pracy zostanie zlikwidowanych.</w:t>
      </w:r>
    </w:p>
    <w:p w:rsidR="00EA7CFD" w:rsidRPr="00017A78" w:rsidRDefault="00061DF7" w:rsidP="00017A78">
      <w:pPr>
        <w:pStyle w:val="Bodytext20"/>
        <w:widowControl/>
        <w:shd w:val="clear" w:color="auto" w:fill="auto"/>
        <w:spacing w:before="0" w:after="120" w:line="240" w:lineRule="auto"/>
        <w:ind w:firstLine="0"/>
        <w:jc w:val="both"/>
      </w:pPr>
      <w:r>
        <w:t>Jednocześnie macie świadomość tego, że należy ograniczyć światowe emisje, aby uniknąć najgorszych skutków zmiany klimatu. Podnoszący się poziom mórz, bardziej ekstremalne warunki pogodowe i wynikające z tego perturbacje geopolityczne stanowią poważne zagrożenie dla istniejących zasobów energetycznych i gospodarki światowej. Rosnąca liczba szkód związanych ze zmianą klimatu zwiększa również prawdopodobieństwo skrajnych polityk i przepisów mogących zaszkodzić przemysłowi paliw kopalnych. Z jednej strony podejmujecie działania w celu uniknięcia tego rodzaju polityk i regulacji, ale z drugiej strony musicie zastanowić się nad tym, w jaki sposób wykorzystać waszą infrastrukturę, kapitał finansowy i wiedzę fachową, by konkurować – i przetrwać – w warunkach globalnego ocieplenia.</w:t>
      </w:r>
    </w:p>
    <w:p w:rsidR="00934588" w:rsidRPr="00017A78" w:rsidRDefault="00934588" w:rsidP="00017A78">
      <w:pPr>
        <w:pStyle w:val="Bodytext20"/>
        <w:widowControl/>
        <w:shd w:val="clear" w:color="auto" w:fill="auto"/>
        <w:spacing w:before="0" w:after="120" w:line="240" w:lineRule="auto"/>
        <w:ind w:firstLine="0"/>
        <w:jc w:val="both"/>
        <w:rPr>
          <w:lang w:val="en-GB"/>
        </w:rPr>
      </w:pPr>
    </w:p>
    <w:p w:rsidR="00934588" w:rsidRPr="00017A78" w:rsidRDefault="00934588" w:rsidP="00017A78">
      <w:pPr>
        <w:widowControl/>
        <w:jc w:val="center"/>
      </w:pPr>
      <w:r>
        <w:t>_____________</w:t>
      </w:r>
    </w:p>
    <w:p w:rsidR="00934588" w:rsidRPr="00B75ADD" w:rsidRDefault="00934588">
      <w:pPr>
        <w:pStyle w:val="Bodytext20"/>
        <w:widowControl/>
        <w:shd w:val="clear" w:color="auto" w:fill="auto"/>
        <w:spacing w:before="0" w:after="120" w:line="240" w:lineRule="auto"/>
        <w:ind w:firstLine="0"/>
        <w:jc w:val="both"/>
        <w:rPr>
          <w:lang w:val="en-GB"/>
        </w:rPr>
      </w:pPr>
    </w:p>
    <w:sectPr w:rsidR="00934588" w:rsidRPr="00B75ADD" w:rsidSect="00934588">
      <w:footerReference w:type="default" r:id="rId7"/>
      <w:pgSz w:w="11907" w:h="16840" w:code="9"/>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79" w:rsidRDefault="00061DF7">
      <w:r>
        <w:separator/>
      </w:r>
    </w:p>
  </w:endnote>
  <w:endnote w:type="continuationSeparator" w:id="0">
    <w:p w:rsidR="00007579" w:rsidRDefault="000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88" w:rsidRPr="00934588" w:rsidRDefault="00934588" w:rsidP="00934588">
    <w:pPr>
      <w:pStyle w:val="Footer"/>
      <w:spacing w:line="240" w:lineRule="auto"/>
      <w:rPr>
        <w:i/>
        <w:sz w:val="20"/>
        <w:szCs w:val="20"/>
      </w:rPr>
    </w:pPr>
    <w:r>
      <w:rPr>
        <w:i/>
        <w:sz w:val="20"/>
        <w:szCs w:val="20"/>
      </w:rPr>
      <w:t xml:space="preserve">Opracowane przez </w:t>
    </w:r>
    <w:proofErr w:type="spellStart"/>
    <w:r>
      <w:rPr>
        <w:i/>
        <w:sz w:val="20"/>
        <w:szCs w:val="20"/>
      </w:rPr>
      <w:t>Climate</w:t>
    </w:r>
    <w:proofErr w:type="spellEnd"/>
    <w:r>
      <w:rPr>
        <w:i/>
        <w:sz w:val="20"/>
        <w:szCs w:val="20"/>
      </w:rPr>
      <w:t xml:space="preserve"> Interactive, MIT Sloan School of Management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Business School, oraz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Ostatnia aktualizacja: wrzesień 2019 r. </w:t>
    </w:r>
    <w:hyperlink r:id="rId1" w:history="1">
      <w:r>
        <w:rPr>
          <w:rStyle w:val="Hyperlink"/>
          <w:i/>
          <w:sz w:val="20"/>
          <w:szCs w:val="20"/>
        </w:rPr>
        <w:t>www.cllmatelnteractlve.org</w:t>
      </w:r>
    </w:hyperlink>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FD" w:rsidRDefault="00EA7CFD"/>
  </w:footnote>
  <w:footnote w:type="continuationSeparator" w:id="0">
    <w:p w:rsidR="00EA7CFD" w:rsidRDefault="00EA7C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7507"/>
    <w:multiLevelType w:val="multilevel"/>
    <w:tmpl w:val="D7A45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D"/>
    <w:rsid w:val="00007579"/>
    <w:rsid w:val="00017A78"/>
    <w:rsid w:val="00061DF7"/>
    <w:rsid w:val="0010014B"/>
    <w:rsid w:val="001C401E"/>
    <w:rsid w:val="002A3890"/>
    <w:rsid w:val="00565AD4"/>
    <w:rsid w:val="00934588"/>
    <w:rsid w:val="00941B40"/>
    <w:rsid w:val="009C54B9"/>
    <w:rsid w:val="00B66DC1"/>
    <w:rsid w:val="00B75ADD"/>
    <w:rsid w:val="00C83A7E"/>
    <w:rsid w:val="00DF6E68"/>
    <w:rsid w:val="00EA7CFD"/>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EFF4"/>
  <w15:docId w15:val="{16384D9D-EA92-44FF-9B0C-8769826EFE5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DefaultParagraphFon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pl-PL" w:eastAsia="el-GR" w:bidi="el-GR"/>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pl-PL"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pl-PL"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paragraph" w:customStyle="1" w:styleId="Bodytext30">
    <w:name w:val="Body text|3"/>
    <w:basedOn w:val="Normal"/>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Normal"/>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Normal"/>
    <w:link w:val="Bodytext4"/>
    <w:pPr>
      <w:shd w:val="clear" w:color="auto" w:fill="FFFFFF"/>
      <w:spacing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50">
    <w:name w:val="Body text|5"/>
    <w:basedOn w:val="Normal"/>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Normal"/>
    <w:link w:val="Bodytext6"/>
    <w:pPr>
      <w:shd w:val="clear" w:color="auto" w:fill="FFFFFF"/>
      <w:spacing w:before="120" w:line="269" w:lineRule="exact"/>
    </w:pPr>
    <w:rPr>
      <w:b/>
      <w:bCs/>
      <w:sz w:val="22"/>
      <w:szCs w:val="22"/>
    </w:rPr>
  </w:style>
  <w:style w:type="paragraph" w:styleId="Header">
    <w:name w:val="header"/>
    <w:basedOn w:val="Normal"/>
    <w:link w:val="HeaderChar"/>
    <w:uiPriority w:val="99"/>
    <w:unhideWhenUsed/>
    <w:rsid w:val="0010014B"/>
    <w:pPr>
      <w:spacing w:line="288" w:lineRule="auto"/>
      <w:jc w:val="both"/>
    </w:pPr>
    <w:rPr>
      <w:sz w:val="22"/>
    </w:rPr>
  </w:style>
  <w:style w:type="character" w:customStyle="1" w:styleId="HeaderChar">
    <w:name w:val="Header Char"/>
    <w:basedOn w:val="DefaultParagraphFont"/>
    <w:link w:val="Header"/>
    <w:uiPriority w:val="99"/>
    <w:rsid w:val="0010014B"/>
    <w:rPr>
      <w:color w:val="000000"/>
      <w:sz w:val="22"/>
    </w:rPr>
  </w:style>
  <w:style w:type="paragraph" w:styleId="Footer">
    <w:name w:val="footer"/>
    <w:basedOn w:val="Normal"/>
    <w:link w:val="FooterChar"/>
    <w:uiPriority w:val="99"/>
    <w:unhideWhenUsed/>
    <w:rsid w:val="0010014B"/>
    <w:pPr>
      <w:spacing w:line="288" w:lineRule="auto"/>
      <w:jc w:val="both"/>
    </w:pPr>
    <w:rPr>
      <w:sz w:val="22"/>
    </w:rPr>
  </w:style>
  <w:style w:type="character" w:customStyle="1" w:styleId="FooterChar">
    <w:name w:val="Footer Char"/>
    <w:basedOn w:val="DefaultParagraphFont"/>
    <w:link w:val="Footer"/>
    <w:uiPriority w:val="99"/>
    <w:rsid w:val="0010014B"/>
    <w:rPr>
      <w:color w:val="000000"/>
      <w:sz w:val="22"/>
    </w:rPr>
  </w:style>
  <w:style w:type="character" w:styleId="Hyperlink">
    <w:name w:val="Hyperlink"/>
    <w:basedOn w:val="DefaultParagraphFont"/>
    <w:uiPriority w:val="99"/>
    <w:unhideWhenUsed/>
    <w:rsid w:val="0093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CTJJHAUHWN5E-644613129-2809</_dlc_DocId>
    <_dlc_DocIdUrl xmlns="bfc960a6-20da-4c94-8684-71380fca093b">
      <Url>http://dm2016/eesc/2019/_layouts/15/DocIdRedir.aspx?ID=CTJJHAUHWN5E-644613129-2809</Url>
      <Description>CTJJHAUHWN5E-644613129-2809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246</Value>
      <Value>154</Value>
      <Value>64</Value>
      <Value>63</Value>
      <Value>62</Value>
      <Value>59</Value>
      <Value>56</Value>
      <Value>55</Value>
      <Value>52</Value>
      <Value>49</Value>
      <Value>48</Value>
      <Value>46</Value>
      <Value>45</Value>
      <Value>38</Value>
      <Value>153</Value>
      <Value>25</Value>
      <Value>21</Value>
      <Value>17</Value>
      <Value>16</Value>
      <Value>152</Value>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11384</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A787AF5-77C4-4363-9AD3-5CFF6EAF0BFD}"/>
</file>

<file path=customXml/itemProps2.xml><?xml version="1.0" encoding="utf-8"?>
<ds:datastoreItem xmlns:ds="http://schemas.openxmlformats.org/officeDocument/2006/customXml" ds:itemID="{A48CD145-4598-4BDE-A742-74044C27872E}"/>
</file>

<file path=customXml/itemProps3.xml><?xml version="1.0" encoding="utf-8"?>
<ds:datastoreItem xmlns:ds="http://schemas.openxmlformats.org/officeDocument/2006/customXml" ds:itemID="{ACF6E267-2D9D-460F-AC36-E238F553444B}"/>
</file>

<file path=customXml/itemProps4.xml><?xml version="1.0" encoding="utf-8"?>
<ds:datastoreItem xmlns:ds="http://schemas.openxmlformats.org/officeDocument/2006/customXml" ds:itemID="{32B0101C-409E-40FE-A2C6-401594C68608}"/>
</file>

<file path=docProps/app.xml><?xml version="1.0" encoding="utf-8"?>
<Properties xmlns="http://schemas.openxmlformats.org/officeDocument/2006/extended-properties" xmlns:vt="http://schemas.openxmlformats.org/officeDocument/2006/docPropsVTypes">
  <Template>Styles.dotm</Template>
  <TotalTime>4</TotalTime>
  <Pages>3</Pages>
  <Words>1415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Dokumenty robocze - Grupa 2 - Symulacja działań dla klimatu: konwencjonalne źródła zaopatrzenia w energię</dc:title>
  <cp:keywords>EESC-2019-05163-01-00-INFO-TRA-EN</cp:keywords>
  <dc:description>Rapporteur:  - Original language: EN - Date of document: 09/12/2019 - Date of meeting:  - External documents:  - Administrator: MME LAHOUSSE Chloé</dc:description>
  <cp:lastModifiedBy>Agnieszka Klimaszewska</cp:lastModifiedBy>
  <cp:revision>5</cp:revision>
  <dcterms:created xsi:type="dcterms:W3CDTF">2019-11-15T07:09:00Z</dcterms:created>
  <dcterms:modified xsi:type="dcterms:W3CDTF">2019-12-09T16:13:00Z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08:03:13, 17:09:52</vt:lpwstr>
  </property>
  <property fmtid="{D5CDD505-2E9C-101B-9397-08002B2CF9AE}" pid="5" name="Pref_User">
    <vt:lpwstr>enied, htoo</vt:lpwstr>
  </property>
  <property fmtid="{D5CDD505-2E9C-101B-9397-08002B2CF9AE}" pid="6" name="Pref_FileName">
    <vt:lpwstr>EESC-2019-05163-01-00-INFO-TRA-EN-CRR.docx, EESC-2019-05163-01-00-INFO-CRR-EN.docx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740314b1-6baf-47c9-a284-d52edf918aef</vt:lpwstr>
  </property>
  <property fmtid="{D5CDD505-2E9C-101B-9397-08002B2CF9AE}" pid="9" name="AvailableTranslations">
    <vt:lpwstr>55;#BG|1a1b3951-7821-4e6a-85f5-5673fc08bd2c;#25;#SK|46d9fce0-ef79-4f71-b89b-cd6aa82426b8;#21;#IT|0774613c-01ed-4e5d-a25d-11d2388de825;#38;#SV|c2ed69e7-a339-43d7-8f22-d93680a92aa0;#49;#EL|6d4f4d51-af9b-4650-94b4-4276bee85c91;#62;#FI|87606a43-d45f-42d6-b8c9-e1a3457db5b7;#152;#MK|34ce48bb-063e-4413-a932-50853dc71c5c;#46;#CS|72f9705b-0217-4fd3-bea2-cbc7ed80e26e;#48;#LT|a7ff5ce7-6123-4f68-865a-a57c31810414;#64;#PT|50ccc04a-eadd-42ae-a0cb-acaf45f812ba;#45;#NL|55c6556c-b4f4-441d-9acf-c498d4f838bd;#162;#TR|6e4ededd-04c4-4fa0-94e0-1028050302d5;#63;#MT|7df99101-6854-4a26-b53a-b88c0da02c26;#52;#DA|5d49c027-8956-412b-aa16-e85a0f96ad0e;#17;#ES|e7a6b05b-ae16-40c8-add9-68b64b03aeba;#246;#ME|925b3da5-5ac0-4b3c-928c-6ef66a5c9b3c;#59;#HR|2f555653-ed1a-4fe6-8362-9082d95989e5;#153;#SR|7f3a1d13-b985-4bfd-981e-afe31377edff;#16;#PL|1e03da61-4678-4e07-b136-b5024ca9197b;#4;#EN|f2175f21-25d7-44a3-96da-d6a61b075e1b;#154;#SQ|5ac17240-8d11-45ec-9893-659b209d7a00;#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BG|1a1b3951-7821-4e6a-85f5-5673fc08bd2c;SK|46d9fce0-ef79-4f71-b89b-cd6aa82426b8;IT|0774613c-01ed-4e5d-a25d-11d2388de825;SV|c2ed69e7-a339-43d7-8f22-d93680a92aa0;EL|6d4f4d51-af9b-4650-94b4-4276bee85c91;FI|87606a43-d45f-42d6-b8c9-e1a3457db5b7;MK|34ce48bb-063e-4413-a932-50853dc71c5c;CS|72f9705b-0217-4fd3-bea2-cbc7ed80e26e;LT|a7ff5ce7-6123-4f68-865a-a57c31810414;PT|50ccc04a-eadd-42ae-a0cb-acaf45f812ba;NL|55c6556c-b4f4-441d-9acf-c498d4f838bd;TR|6e4ededd-04c4-4fa0-94e0-1028050302d5;MT|7df99101-6854-4a26-b53a-b88c0da02c26;DA|5d49c027-8956-412b-aa16-e85a0f96ad0e;ES|e7a6b05b-ae16-40c8-add9-68b64b03aeba;ME|925b3da5-5ac0-4b3c-928c-6ef66a5c9b3c;HR|2f555653-ed1a-4fe6-8362-9082d95989e5;SR|7f3a1d13-b985-4bfd-981e-afe31377edff;EN|f2175f21-25d7-44a3-96da-d6a61b075e1b;SQ|5ac17240-8d11-45ec-9893-659b209d7a00;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152;#MK|34ce48bb-063e-4413-a932-50853dc71c5c;#1;#EESC|422833ec-8d7e-4e65-8e4e-8bed07ffb729;#153;#SR|7f3a1d13-b985-4bfd-981e-afe31377edff;#64;#PT|50ccc04a-eadd-42ae-a0cb-acaf45f812ba;#63;#MT|7df99101-6854-4a26-b53a-b88c0da02c26;#62;#FI|87606a43-d45f-42d6-b8c9-e1a3457db5b7;#246;#ME|925b3da5-5ac0-4b3c-928c-6ef66a5c9b3c;#59;#HR|2f555653-ed1a-4fe6-8362-9082d95989e5;#21;#IT|0774613c-01ed-4e5d-a25d-11d2388de825;#56;#SL|98a412ae-eb01-49e9-ae3d-585a81724cfc;#55;#BG|1a1b3951-7821-4e6a-85f5-5673fc08bd2c;#17;#ES|e7a6b05b-ae16-40c8-add9-68b64b03aeba;#52;#DA|5d49c027-8956-412b-aa16-e85a0f96ad0e;#162;#TR|6e4ededd-04c4-4fa0-94e0-1028050302d5;#49;#EL|6d4f4d51-af9b-4650-94b4-4276bee85c91;#11;#INFO|d9136e7c-93a9-4c42-9d28-92b61e85f80c;#46;#CS|72f9705b-0217-4fd3-bea2-cbc7ed80e26e;#45;#NL|55c6556c-b4f4-441d-9acf-c498d4f838bd;#7;#Final|ea5e6674-7b27-4bac-b091-73adbb394efe;#154;#SQ|5ac17240-8d11-45ec-9893-659b209d7a00;#5;#Unrestricted|826e22d7-d029-4ec0-a450-0c28ff673572;#4;#EN|f2175f21-25d7-44a3-96da-d6a61b075e1b;#2;#TRA|150d2a88-1431-44e6-a8ca-0bb753ab8672;#38;#SV|c2ed69e7-a339-43d7-8f22-d93680a92aa0;#25;#SK|46d9fce0-ef79-4f71-b89b-cd6aa82426b8</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11384</vt:i4>
  </property>
  <property fmtid="{D5CDD505-2E9C-101B-9397-08002B2CF9AE}" pid="37" name="DocumentLanguage">
    <vt:lpwstr>16;#PL|1e03da61-4678-4e07-b136-b5024ca9197b</vt:lpwstr>
  </property>
</Properties>
</file>