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CFD" w:rsidRPr="00017A78" w:rsidRDefault="00061DF7" w:rsidP="00017A78">
      <w:pPr>
        <w:pStyle w:val="Bodytext30"/>
        <w:widowControl/>
        <w:shd w:val="clear" w:color="auto" w:fill="auto"/>
        <w:spacing w:after="38" w:line="240" w:lineRule="auto"/>
        <w:jc w:val="both"/>
        <w:rPr>
          <w:rFonts w:ascii="Times New Roman" w:hAnsi="Times New Roman" w:cs="Times New Roman"/>
        </w:rPr>
      </w:pPr>
      <w:r>
        <w:rPr>
          <w:rFonts w:ascii="Times New Roman" w:hAnsi="Times New Roman"/>
        </w:rPr>
        <w:t>Kliimameetmete simulatsioon: tavapärane energiavarustus</w:t>
      </w:r>
    </w:p>
    <w:p w:rsidR="0010014B" w:rsidRPr="00017A78" w:rsidRDefault="0010014B" w:rsidP="00017A78">
      <w:pPr>
        <w:pStyle w:val="Bodytext30"/>
        <w:widowControl/>
        <w:shd w:val="clear" w:color="auto" w:fill="auto"/>
        <w:spacing w:after="38" w:line="240" w:lineRule="auto"/>
        <w:rPr>
          <w:rFonts w:ascii="Times New Roman" w:hAnsi="Times New Roman" w:cs="Times New Roman"/>
          <w:lang w:val="en-GB"/>
        </w:rPr>
      </w:pPr>
    </w:p>
    <w:p w:rsidR="00EA7CFD" w:rsidRPr="00017A78" w:rsidRDefault="00061DF7" w:rsidP="00017A78">
      <w:pPr>
        <w:pStyle w:val="Bodytext40"/>
        <w:widowControl/>
        <w:shd w:val="clear" w:color="auto" w:fill="auto"/>
        <w:tabs>
          <w:tab w:val="left" w:pos="1440"/>
        </w:tabs>
        <w:spacing w:line="240" w:lineRule="auto"/>
      </w:pPr>
      <w:r>
        <w:t>Kellele:</w:t>
      </w:r>
      <w:r>
        <w:tab/>
        <w:t>tavapärase energiatööstuse pealäbirääkijatele</w:t>
      </w:r>
    </w:p>
    <w:p w:rsidR="00EA7CFD" w:rsidRPr="00017A78" w:rsidRDefault="00061DF7" w:rsidP="00017A78">
      <w:pPr>
        <w:pStyle w:val="Bodytext40"/>
        <w:widowControl/>
        <w:shd w:val="clear" w:color="auto" w:fill="auto"/>
        <w:tabs>
          <w:tab w:val="left" w:pos="1440"/>
        </w:tabs>
        <w:spacing w:after="120" w:line="240" w:lineRule="auto"/>
      </w:pPr>
      <w:r>
        <w:t>Teema:</w:t>
      </w:r>
      <w:r>
        <w:tab/>
        <w:t>kliimameetmete tippkohtumise ettevalmistus</w:t>
      </w:r>
    </w:p>
    <w:p w:rsidR="00EA7CFD" w:rsidRPr="00017A78" w:rsidRDefault="00061DF7" w:rsidP="00017A78">
      <w:pPr>
        <w:pStyle w:val="Bodytext20"/>
        <w:widowControl/>
        <w:shd w:val="clear" w:color="auto" w:fill="auto"/>
        <w:spacing w:before="0" w:after="120" w:line="240" w:lineRule="auto"/>
        <w:ind w:firstLine="0"/>
        <w:jc w:val="both"/>
      </w:pPr>
      <w:r>
        <w:t xml:space="preserve">Tere tulemast kliimameetmete tippkohtumisele! ÜRO peasekretär on kutsunud teid ja kõigi asjaomaste sidusrühmade juhte üles töötama koos, et edukalt kliimamuutuste probleemi lahendada. Kutses </w:t>
      </w:r>
      <w:r>
        <w:rPr>
          <w:rStyle w:val="Bodytext21"/>
        </w:rPr>
        <w:t>märkis</w:t>
      </w:r>
      <w:r>
        <w:t xml:space="preserve"> peasekretär: „Kliimakriis on võidujooks, milles me praegu oleme kaotusseisus, kuid see on võidujooks, mille võime võita [...]. Tipptasemel teadusuuringud [...] näitavad meile, et kui temperatuur tõuseb üle 1,5 °C, kahjustab see oluliselt ja pöördumatult meid toetavaid ökosüsteeme [...]. Kuid teadus ütleb meile ka seda, et veel ei ole liiga hilja.</w:t>
      </w:r>
    </w:p>
    <w:p w:rsidR="00EA7CFD" w:rsidRPr="00017A78" w:rsidRDefault="00061DF7" w:rsidP="00017A78">
      <w:pPr>
        <w:pStyle w:val="Bodytext20"/>
        <w:widowControl/>
        <w:shd w:val="clear" w:color="auto" w:fill="auto"/>
        <w:spacing w:before="0" w:after="120" w:line="240" w:lineRule="auto"/>
        <w:ind w:firstLine="0"/>
        <w:jc w:val="both"/>
      </w:pPr>
      <w:r>
        <w:t>Me suudame seda teha [...]. Kuid see nõuab põhjalikke muutusi ühiskonna kõigis aspektides – kuidas me kasvatame toitu, kasutame maad, tugevdame majandust ja tarbime kütust [...]. Üheskoos tegutsedes ei jäta me kedagi kõrvale.“</w:t>
      </w:r>
    </w:p>
    <w:p w:rsidR="00EA7CFD" w:rsidRPr="00017A78" w:rsidRDefault="00061DF7" w:rsidP="00017A78">
      <w:pPr>
        <w:pStyle w:val="Bodytext20"/>
        <w:widowControl/>
        <w:shd w:val="clear" w:color="auto" w:fill="auto"/>
        <w:spacing w:before="0" w:after="120" w:line="240" w:lineRule="auto"/>
        <w:ind w:firstLine="0"/>
        <w:jc w:val="both"/>
      </w:pPr>
      <w:r>
        <w:t xml:space="preserve">Tippkohtumise eesmärk on koostada kava, et hoida ülemaailmne soojenemine alla 2 °C (3,6 °F) võrreldes tööstusühiskonna eelse tasemega ning püüelda eesmärgi poole hoida see alla 1,5 °C (2,7 °F), mis on Pariisi kliimakokkuleppes ametlikult tunnustatud rahvusvahelised eesmärgid. </w:t>
      </w:r>
      <w:r>
        <w:rPr>
          <w:rStyle w:val="Bodytext21"/>
        </w:rPr>
        <w:t>Teaduslikud tõendid</w:t>
      </w:r>
      <w:r>
        <w:t xml:space="preserve"> on selged: soojenemine üle selle taseme tekitab katastroofilist ja pöördumatut kahju, mis ohustab kõigi rahvaste tervist, heaolu ja elu.</w:t>
      </w:r>
    </w:p>
    <w:p w:rsidR="00EA7CFD" w:rsidRPr="00017A78" w:rsidRDefault="00061DF7" w:rsidP="00017A78">
      <w:pPr>
        <w:pStyle w:val="Bodytext20"/>
        <w:widowControl/>
        <w:shd w:val="clear" w:color="auto" w:fill="auto"/>
        <w:spacing w:before="0" w:after="120" w:line="240" w:lineRule="auto"/>
        <w:ind w:firstLine="0"/>
        <w:jc w:val="both"/>
      </w:pPr>
      <w:r>
        <w:t>Esindate söe-, nafta-, maagaasi-, tuumaenergia- ja elektritööstust, mis annab tänapäeval suurema osa maailma energiast. Teie rühma kuuluvad avalikult kaubeldavad ja riiklikud nafta- ja gaasiettevõtted, söeettevõtted, fossiilkütustest sõltuvad elektriettevõtted ning ettevõtted, mis pakuvad nendele tööstusharudele teenuseid ja seadmeid.</w:t>
      </w:r>
    </w:p>
    <w:p w:rsidR="00EA7CFD" w:rsidRPr="00017A78" w:rsidRDefault="00061DF7" w:rsidP="00017A78">
      <w:pPr>
        <w:pStyle w:val="Bodytext20"/>
        <w:widowControl/>
        <w:shd w:val="clear" w:color="auto" w:fill="auto"/>
        <w:spacing w:before="0" w:after="120" w:line="240" w:lineRule="auto"/>
        <w:ind w:firstLine="0"/>
        <w:jc w:val="both"/>
      </w:pPr>
      <w:r>
        <w:t>Teie poliitilised prioriteedid on loetletud allpool. Võite pakkuda või blokeerida ükskõik millise poliitikameetme.</w:t>
      </w:r>
    </w:p>
    <w:p w:rsidR="00EA7CFD" w:rsidRPr="00017A78" w:rsidRDefault="00061DF7" w:rsidP="00017A78">
      <w:pPr>
        <w:pStyle w:val="Bodytext20"/>
        <w:widowControl/>
        <w:numPr>
          <w:ilvl w:val="0"/>
          <w:numId w:val="1"/>
        </w:numPr>
        <w:shd w:val="clear" w:color="auto" w:fill="auto"/>
        <w:tabs>
          <w:tab w:val="left" w:pos="362"/>
        </w:tabs>
        <w:spacing w:before="0" w:after="120" w:line="240" w:lineRule="auto"/>
        <w:ind w:left="400" w:right="-1"/>
        <w:jc w:val="both"/>
      </w:pPr>
      <w:r>
        <w:rPr>
          <w:rStyle w:val="Bodytext2Bold"/>
        </w:rPr>
        <w:t>Vastuseis kõrgele CO</w:t>
      </w:r>
      <w:r>
        <w:rPr>
          <w:rStyle w:val="Bodytext2Bold"/>
          <w:vertAlign w:val="subscript"/>
        </w:rPr>
        <w:t>2</w:t>
      </w:r>
      <w:r>
        <w:rPr>
          <w:rStyle w:val="Bodytext2Bold"/>
        </w:rPr>
        <w:t xml:space="preserve"> hinnale. </w:t>
      </w:r>
      <w:r>
        <w:t>Teie majandusteadlased tunnistavad, et parim viis ülemaailmsete heitkoguste vähendamiseks on tõsta fossiilkütuste hindu, et kajastada kasvuhoonegaaside heitkoguste keskkonna- ja sotsiaalkulusid CO</w:t>
      </w:r>
      <w:r>
        <w:rPr>
          <w:vertAlign w:val="subscript"/>
        </w:rPr>
        <w:t>2</w:t>
      </w:r>
      <w:r>
        <w:t xml:space="preserve"> hinnaga. Kuid CO</w:t>
      </w:r>
      <w:r>
        <w:rPr>
          <w:vertAlign w:val="subscript"/>
        </w:rPr>
        <w:t>2</w:t>
      </w:r>
      <w:r>
        <w:t xml:space="preserve"> hind, mis ületab 25–30 USA dollarit tonni kohta, kahjustaks lubamatult fossiilkütusetööstust, suurendades kulusid ja vähendades nõudlust, mistõttu muutuvad varad kasutuskõlbmatuks ja väheneb aktsionäride vara. Kuigi mõned naftaettevõtted teatavad avalikult, et nad pooldavad CO</w:t>
      </w:r>
      <w:r>
        <w:rPr>
          <w:vertAlign w:val="subscript"/>
        </w:rPr>
        <w:t>2</w:t>
      </w:r>
      <w:r>
        <w:t xml:space="preserve"> hinda, rahastab teie tööstus jätkuvalt poliitikuid, kes on selle vastu ja blokeerivad tegevust. Te eeldate, et teised rühmad avaldavad survet CO</w:t>
      </w:r>
      <w:r>
        <w:rPr>
          <w:vertAlign w:val="subscript"/>
        </w:rPr>
        <w:t>2</w:t>
      </w:r>
      <w:r>
        <w:t xml:space="preserve"> hinna kehtestamiseks. Võtke kindel seisukoht, et astuda sellise poliitika vastu.</w:t>
      </w:r>
    </w:p>
    <w:p w:rsidR="00EA7CFD" w:rsidRPr="00017A78" w:rsidRDefault="00061DF7" w:rsidP="00017A78">
      <w:pPr>
        <w:pStyle w:val="Bodytext20"/>
        <w:widowControl/>
        <w:numPr>
          <w:ilvl w:val="0"/>
          <w:numId w:val="1"/>
        </w:numPr>
        <w:shd w:val="clear" w:color="auto" w:fill="auto"/>
        <w:tabs>
          <w:tab w:val="left" w:pos="362"/>
        </w:tabs>
        <w:spacing w:before="0" w:after="120" w:line="240" w:lineRule="auto"/>
        <w:ind w:left="400" w:right="-1"/>
        <w:jc w:val="both"/>
      </w:pPr>
      <w:r>
        <w:rPr>
          <w:rStyle w:val="Bodytext2Bold"/>
        </w:rPr>
        <w:t xml:space="preserve">Vastuseis fossiilkütuste maksustamisele. </w:t>
      </w:r>
      <w:r>
        <w:t>Teie tööstusharu ei soovi reguleerimist ega maksta kliimamuutuste leevendamise kulude eest. Kuna te juba ootate märkimisväärseid ärikadusid, kui maailm hakkab järgmisel sajandil vähem fossiilkütusteid kasutama, ei saa te kanda lisakulusid, mis karistavad ebaõiglaselt teie tööstust. Tegelikult võite taotleda toetusi maagaasile, mida reklaamite sildkütusena, sest see on vähem CO</w:t>
      </w:r>
      <w:r>
        <w:rPr>
          <w:vertAlign w:val="subscript"/>
        </w:rPr>
        <w:t>2</w:t>
      </w:r>
      <w:r>
        <w:t>-mahukas kui kivisüsi ja nafta. Kui reguleerimine on vältimatu, on parem piirata sütt kui naftat ja gaasi. Kivisüsi tekitab põletamisel kõige rohkem CO</w:t>
      </w:r>
      <w:r>
        <w:rPr>
          <w:vertAlign w:val="subscript"/>
        </w:rPr>
        <w:t>2</w:t>
      </w:r>
      <w:r>
        <w:t xml:space="preserve"> ning on vähem kasumlik kui nafta ja gaas.</w:t>
      </w:r>
    </w:p>
    <w:p w:rsidR="00934588" w:rsidRPr="00017A78" w:rsidRDefault="00934588" w:rsidP="00017A78">
      <w:pPr>
        <w:pStyle w:val="Bodytext20"/>
        <w:widowControl/>
        <w:numPr>
          <w:ilvl w:val="0"/>
          <w:numId w:val="1"/>
        </w:numPr>
        <w:shd w:val="clear" w:color="auto" w:fill="auto"/>
        <w:spacing w:before="0" w:after="120" w:line="240" w:lineRule="auto"/>
        <w:ind w:left="400" w:right="-1"/>
        <w:jc w:val="both"/>
      </w:pPr>
      <w:r>
        <w:rPr>
          <w:b/>
        </w:rPr>
        <w:t>Uute tehnoloogiate, sh tehnoloogilise süsinikdioksiidi kõrvaldamise, süsinikdioksiidi kogumise ja säilitamise ning biokütuste edendamine.</w:t>
      </w:r>
    </w:p>
    <w:p w:rsidR="00EA7CFD" w:rsidRPr="00F534AB" w:rsidRDefault="00061DF7" w:rsidP="00017A78">
      <w:pPr>
        <w:pStyle w:val="Bodytext20"/>
        <w:widowControl/>
        <w:shd w:val="clear" w:color="auto" w:fill="auto"/>
        <w:spacing w:before="0" w:after="120" w:line="240" w:lineRule="auto"/>
        <w:ind w:left="400" w:firstLine="0"/>
        <w:jc w:val="both"/>
      </w:pPr>
      <w:r>
        <w:t>Teie tööstus toetab maagaasi ja biokütuste laialdasemat kasutamist ning teadusuuringuid, et töötada välja CO</w:t>
      </w:r>
      <w:r>
        <w:rPr>
          <w:vertAlign w:val="subscript"/>
        </w:rPr>
        <w:t>2</w:t>
      </w:r>
      <w:r>
        <w:t xml:space="preserve"> sidumise tehnoloogia, mis seob CO</w:t>
      </w:r>
      <w:r>
        <w:rPr>
          <w:vertAlign w:val="subscript"/>
        </w:rPr>
        <w:t>2</w:t>
      </w:r>
      <w:r>
        <w:t xml:space="preserve"> atmosfäärist ja ladustab seda maa all.</w:t>
      </w:r>
      <w:r>
        <w:rPr>
          <w:i/>
          <w:iCs/>
          <w:sz w:val="18"/>
          <w:szCs w:val="18"/>
        </w:rPr>
        <w:t xml:space="preserve"> Selliste kütuste ja tööstusharude puhul on võimalik kasutada teie teadmisi inseneriteadusest, geoloogiast ja kütusetranspordist. Toetate ka söe- ja muude elektrijaamade süsinikdioksiidi kogumist ja säilitamist, sh süsinikdioksiidi kogumise ja säilitamisega seotud biokütuseid. </w:t>
      </w:r>
      <w:r>
        <w:t>Süsinikdioksiidi kogumise ja säilitamisega võib koguda 90% süsinikdioksiidist, mis on toodetud fossiilkütuste põletamisel elektrijaamades ja tööstuslikes protsessides. Seejärel saab CO</w:t>
      </w:r>
      <w:r>
        <w:rPr>
          <w:vertAlign w:val="subscript"/>
        </w:rPr>
        <w:t>2</w:t>
      </w:r>
      <w:r>
        <w:t xml:space="preserve"> veeldada ja maa alla pumbata, et parandada nafta ja gaasi </w:t>
      </w:r>
      <w:r>
        <w:lastRenderedPageBreak/>
        <w:t>tootmist, või – vähem kasumlikult – pumbata see sinna, mille kohta te kinnitate, et see tagab stabiilsed geoloogilised reservuaarid. Kui süsinikdioksiidi kõrvaldamise tehnoloogia muutub teostatavaks ja majanduslikult konkurentsivõimeliseks, oleks see teie tööstusharule kasulik, sest CO</w:t>
      </w:r>
      <w:r>
        <w:rPr>
          <w:vertAlign w:val="subscript"/>
        </w:rPr>
        <w:t>2</w:t>
      </w:r>
      <w:r>
        <w:t xml:space="preserve"> saaks seejärel atmosfäärist eemaldada, mis kompenseeriks fossiilkütuste jätkuvast kasutamisest tuleneva heite.</w:t>
      </w:r>
    </w:p>
    <w:p w:rsidR="00EA7CFD" w:rsidRPr="00941B40" w:rsidRDefault="00061DF7" w:rsidP="00017A78">
      <w:pPr>
        <w:pStyle w:val="Bodytext20"/>
        <w:widowControl/>
        <w:numPr>
          <w:ilvl w:val="0"/>
          <w:numId w:val="1"/>
        </w:numPr>
        <w:shd w:val="clear" w:color="auto" w:fill="auto"/>
        <w:spacing w:before="0" w:after="120" w:line="240" w:lineRule="auto"/>
        <w:ind w:left="400" w:right="-1"/>
        <w:jc w:val="both"/>
      </w:pPr>
      <w:r>
        <w:rPr>
          <w:b/>
        </w:rPr>
        <w:t>Üleskutse võtta meetmeid, mis ei mõjuta otseselt teie tööstust</w:t>
      </w:r>
      <w:r>
        <w:t>. Kuigi mõistate, et kliimamuutused on ohtlikud, peate kaitsma ka aktsionäride vara. Seetõttu pooldate poliitikat, mis võiks vähendada kasvuhoonegaaside heidet, vähendamata seejuures fossiilkütuste kasutamist. Kuigi fossiilkütuste kasutamisest tulenev CO</w:t>
      </w:r>
      <w:r>
        <w:rPr>
          <w:vertAlign w:val="subscript"/>
        </w:rPr>
        <w:t>2</w:t>
      </w:r>
      <w:r>
        <w:t xml:space="preserve"> soodustab kliimamuutusi kõige rohkem, on metaan (CH</w:t>
      </w:r>
      <w:r>
        <w:rPr>
          <w:vertAlign w:val="subscript"/>
        </w:rPr>
        <w:t>4</w:t>
      </w:r>
      <w:r>
        <w:t xml:space="preserve">), </w:t>
      </w:r>
      <w:proofErr w:type="spellStart"/>
      <w:r>
        <w:t>dilämmastikoksiid</w:t>
      </w:r>
      <w:proofErr w:type="spellEnd"/>
      <w:r>
        <w:t xml:space="preserve"> (N</w:t>
      </w:r>
      <w:r>
        <w:rPr>
          <w:vertAlign w:val="subscript"/>
        </w:rPr>
        <w:t>2</w:t>
      </w:r>
      <w:r>
        <w:t>O) ja muud gaasid tugeva toimega kasvuhoonegaasid ning nende tagajärjed suurenevad. Ülemaailmsed põllumajandus- ja metsandustavad tekitavad suure osa nende gaaside heitest. Toetate poliitikat, mille abil vähendada nende teiste kasvuhoonegaaside, eelkõige maakasutusest, põllumajandusest ja metsandusest pärit heiteid. Toetate jõupingutusi, mille abil vähendada metsade raadamist ning metsastada maa-alasid, mis oli varem halvas seisundis või raadatud.</w:t>
      </w:r>
    </w:p>
    <w:p w:rsidR="00EA7CFD" w:rsidRPr="00017A78" w:rsidRDefault="00061DF7" w:rsidP="00017A78">
      <w:pPr>
        <w:pStyle w:val="Bodytext60"/>
        <w:widowControl/>
        <w:shd w:val="clear" w:color="auto" w:fill="auto"/>
        <w:spacing w:before="0" w:after="120" w:line="240" w:lineRule="auto"/>
      </w:pPr>
      <w:r>
        <w:t>Millele tasub veel tähelepanu pöörata</w:t>
      </w:r>
    </w:p>
    <w:p w:rsidR="00EA7CFD" w:rsidRPr="00017A78" w:rsidRDefault="00061DF7" w:rsidP="00017A78">
      <w:pPr>
        <w:pStyle w:val="Bodytext20"/>
        <w:widowControl/>
        <w:shd w:val="clear" w:color="auto" w:fill="auto"/>
        <w:spacing w:before="0" w:after="120" w:line="240" w:lineRule="auto"/>
        <w:ind w:firstLine="0"/>
        <w:jc w:val="both"/>
      </w:pPr>
      <w:r>
        <w:t>Teie enda kliimateaduse-eksperdid nõustuvad valitsustevahelise kliimamuutuste rühma (</w:t>
      </w:r>
      <w:proofErr w:type="spellStart"/>
      <w:r>
        <w:t>Intergovernmental</w:t>
      </w:r>
      <w:proofErr w:type="spellEnd"/>
      <w:r>
        <w:t xml:space="preserve"> </w:t>
      </w:r>
      <w:proofErr w:type="spellStart"/>
      <w:r>
        <w:t>Panel</w:t>
      </w:r>
      <w:proofErr w:type="spellEnd"/>
      <w:r>
        <w:t xml:space="preserve"> on </w:t>
      </w:r>
      <w:proofErr w:type="spellStart"/>
      <w:r>
        <w:t>Climate</w:t>
      </w:r>
      <w:proofErr w:type="spellEnd"/>
      <w:r>
        <w:t xml:space="preserve"> </w:t>
      </w:r>
      <w:proofErr w:type="spellStart"/>
      <w:r>
        <w:t>Change</w:t>
      </w:r>
      <w:proofErr w:type="spellEnd"/>
      <w:r>
        <w:t>, IPCC) hinnanguga kliimamuutuste ohu kohta. Samas peate tasakaalustama ohtlike kliimamuutuste ennetamise vajaduse oma peamiste sidusrühmade vajadustega. Sidusrühmade hulka kuuluvad teie aktsionärid, töötajad, üldsus (teie kliendid) ja poliitikakujundajad, kes annavad teile loa tegutseda, reguleerivad teie tööstusharu ja mõjutavad teie tegevuskulusid. Samuti tulevad mängu teie isiklikud finantshuvid nende ettevõtete juhtidena.</w:t>
      </w:r>
    </w:p>
    <w:p w:rsidR="00EA7CFD" w:rsidRPr="00017A78" w:rsidRDefault="00061DF7" w:rsidP="00017A78">
      <w:pPr>
        <w:pStyle w:val="Bodytext20"/>
        <w:widowControl/>
        <w:shd w:val="clear" w:color="auto" w:fill="auto"/>
        <w:spacing w:before="0" w:after="120" w:line="240" w:lineRule="auto"/>
        <w:ind w:firstLine="0"/>
        <w:jc w:val="both"/>
      </w:pPr>
      <w:r>
        <w:t xml:space="preserve">Tavapärastest energiaallikatest, sh fossiilkütused ja tuumaenergia, tuleb üle 95% ülemaailmsest energiavarustusest. Teie tööstusharu pakub ainult seda, mida tarbijad soovivad, ning neid ei tohiks süüdistada kliimamuutustes ega karistada nende eest. Fossiilkütuste kasutamise vähendamine võib lähitulevikus olla tarbijatele ja majandusele kulukas. Suurel osal maailmast on fossiilkütuste </w:t>
      </w:r>
      <w:proofErr w:type="spellStart"/>
      <w:r>
        <w:t>taristu</w:t>
      </w:r>
      <w:proofErr w:type="spellEnd"/>
      <w:r>
        <w:t xml:space="preserve"> juba olemas ja paljudes arengumaades arendatakse ikka veel kiiresti välja uut fossiilkütuste energiavõimsust. Taastuvad energiaallikad, nagu tuule- ja päikeseenergia, on katkendlikud ega suuda veel maailmamajandusele piisavat energiat pakkuda. Teie seisukoht on see, et fossiilkütused on energiaostuvõimetuse kaotamiseks ja majanduskasvu hoogustamiseks hädavajalikud, eriti maailma arenguriikides. Ärge lubage keskkonnaaktivistidel teid kujutada inimestena, kes ei hooli sotsiaalsest õiglusest.</w:t>
      </w:r>
    </w:p>
    <w:p w:rsidR="00EA7CFD" w:rsidRPr="00017A78" w:rsidRDefault="00061DF7" w:rsidP="00017A78">
      <w:pPr>
        <w:pStyle w:val="Bodytext20"/>
        <w:widowControl/>
        <w:shd w:val="clear" w:color="auto" w:fill="auto"/>
        <w:spacing w:before="0" w:after="120" w:line="240" w:lineRule="auto"/>
        <w:ind w:firstLine="0"/>
        <w:jc w:val="both"/>
      </w:pPr>
      <w:r>
        <w:t>Fossiilkütuste tootjad, sh söe-, nafta- ja gaasiettevõtted, seisavad silmitsi tõsiste rahaliste raskustega, kui kehtestatakse poliitika, mille eesmärk on piirata soojenemist nii, et see ei ületaks 2 °C. Fossiilkütustest sõltuvad ettevõtted peavad alustama nullist või äritegevuse lõpetama. Soojenemise piiramine 2 </w:t>
      </w:r>
      <w:proofErr w:type="spellStart"/>
      <w:r>
        <w:t>°C-ni</w:t>
      </w:r>
      <w:proofErr w:type="spellEnd"/>
      <w:r>
        <w:t xml:space="preserve"> tähendab, et suur osa teadaolevatest fossiilkütuste varudest peab jääma maapinda ja neist saavad kasutuskõlbmatud varad, mis ei tooda kunagi kasumit aktsionäridele ega valitsustele. Paljud töökohad kaovad.</w:t>
      </w:r>
    </w:p>
    <w:p w:rsidR="00EA7CFD" w:rsidRPr="00017A78" w:rsidRDefault="00061DF7" w:rsidP="00017A78">
      <w:pPr>
        <w:pStyle w:val="Bodytext20"/>
        <w:widowControl/>
        <w:shd w:val="clear" w:color="auto" w:fill="auto"/>
        <w:spacing w:before="0" w:after="120" w:line="240" w:lineRule="auto"/>
        <w:ind w:firstLine="0"/>
        <w:jc w:val="both"/>
      </w:pPr>
      <w:r>
        <w:t xml:space="preserve">Samal ajal teate, et kliimamuutuste halvimate mõjude vältimiseks tuleb vähendada ülemaailmseid heitkoguseid. Merevee taseme tõus, äärmuslikumad ilmastikuolud ja sellest tulenevad geopoliitilised häired ohustavad tõsiselt olemasolevaid energiavarusid ja maailmamajandust. Ulatuslikumad kliimakahjustused suurendavad ka selliste äärmuslike poliitikameetmete ja eeskirjade tõenäosust, mis kahjustaksid fossiilkütuse tööstust. Samal ajal kui püüate taolisi poliitikameetmeid ja eeskirju ennetada, peate uurima ka seda, kuidas saaksite kasutada oma </w:t>
      </w:r>
      <w:proofErr w:type="spellStart"/>
      <w:r>
        <w:t>taristut</w:t>
      </w:r>
      <w:proofErr w:type="spellEnd"/>
      <w:r>
        <w:t>, finantskapitali ja eksperditeadmisi, et konkureerida ja ellu jääda soojenevas maailmas.</w:t>
      </w:r>
    </w:p>
    <w:p w:rsidR="00934588" w:rsidRPr="00017A78" w:rsidRDefault="00934588" w:rsidP="00017A78">
      <w:pPr>
        <w:widowControl/>
        <w:jc w:val="center"/>
      </w:pPr>
      <w:bookmarkStart w:id="0" w:name="_GoBack"/>
      <w:bookmarkEnd w:id="0"/>
      <w:r>
        <w:t>_____________</w:t>
      </w:r>
    </w:p>
    <w:p w:rsidR="00934588" w:rsidRPr="00B75ADD" w:rsidRDefault="00934588">
      <w:pPr>
        <w:pStyle w:val="Bodytext20"/>
        <w:widowControl/>
        <w:shd w:val="clear" w:color="auto" w:fill="auto"/>
        <w:spacing w:before="0" w:after="120" w:line="240" w:lineRule="auto"/>
        <w:ind w:firstLine="0"/>
        <w:jc w:val="both"/>
        <w:rPr>
          <w:lang w:val="en-GB"/>
        </w:rPr>
      </w:pPr>
    </w:p>
    <w:sectPr w:rsidR="00934588" w:rsidRPr="00B75ADD" w:rsidSect="00934588">
      <w:footerReference w:type="default" r:id="rId8"/>
      <w:pgSz w:w="11907" w:h="16840" w:code="9"/>
      <w:pgMar w:top="1417" w:right="1417" w:bottom="1417" w:left="1417" w:header="709" w:footer="70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579" w:rsidRDefault="00061DF7">
      <w:r>
        <w:separator/>
      </w:r>
    </w:p>
  </w:endnote>
  <w:endnote w:type="continuationSeparator" w:id="0">
    <w:p w:rsidR="00007579" w:rsidRDefault="0006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8" w:rsidRPr="00934588" w:rsidRDefault="00934588" w:rsidP="00934588">
    <w:pPr>
      <w:pStyle w:val="Footer"/>
      <w:spacing w:line="240" w:lineRule="auto"/>
      <w:rPr>
        <w:i/>
        <w:sz w:val="20"/>
        <w:szCs w:val="20"/>
      </w:rPr>
    </w:pPr>
    <w:r>
      <w:rPr>
        <w:i/>
        <w:sz w:val="20"/>
        <w:szCs w:val="20"/>
      </w:rPr>
      <w:t xml:space="preserve">Koostajad: </w:t>
    </w:r>
    <w:proofErr w:type="spellStart"/>
    <w:r>
      <w:rPr>
        <w:i/>
        <w:sz w:val="20"/>
        <w:szCs w:val="20"/>
      </w:rPr>
      <w:t>Climate</w:t>
    </w:r>
    <w:proofErr w:type="spellEnd"/>
    <w:r>
      <w:rPr>
        <w:i/>
        <w:sz w:val="20"/>
        <w:szCs w:val="20"/>
      </w:rPr>
      <w:t xml:space="preserve"> </w:t>
    </w:r>
    <w:proofErr w:type="spellStart"/>
    <w:r>
      <w:rPr>
        <w:i/>
        <w:sz w:val="20"/>
        <w:szCs w:val="20"/>
      </w:rPr>
      <w:t>Interactive</w:t>
    </w:r>
    <w:proofErr w:type="spellEnd"/>
    <w:r>
      <w:rPr>
        <w:i/>
        <w:sz w:val="20"/>
        <w:szCs w:val="20"/>
      </w:rPr>
      <w:t xml:space="preserve">, MIT </w:t>
    </w:r>
    <w:proofErr w:type="spellStart"/>
    <w:r>
      <w:rPr>
        <w:i/>
        <w:sz w:val="20"/>
        <w:szCs w:val="20"/>
      </w:rPr>
      <w:t>Sloan</w:t>
    </w:r>
    <w:proofErr w:type="spellEnd"/>
    <w:r>
      <w:rPr>
        <w:i/>
        <w:sz w:val="20"/>
        <w:szCs w:val="20"/>
      </w:rPr>
      <w:t xml:space="preserve"> </w:t>
    </w:r>
    <w:proofErr w:type="spellStart"/>
    <w:r>
      <w:rPr>
        <w:i/>
        <w:sz w:val="20"/>
        <w:szCs w:val="20"/>
      </w:rPr>
      <w:t>School</w:t>
    </w:r>
    <w:proofErr w:type="spellEnd"/>
    <w:r>
      <w:rPr>
        <w:i/>
        <w:sz w:val="20"/>
        <w:szCs w:val="20"/>
      </w:rPr>
      <w:t xml:space="preserve"> of </w:t>
    </w:r>
    <w:proofErr w:type="spellStart"/>
    <w:r>
      <w:rPr>
        <w:i/>
        <w:sz w:val="20"/>
        <w:szCs w:val="20"/>
      </w:rPr>
      <w:t>Management</w:t>
    </w:r>
    <w:proofErr w:type="spellEnd"/>
    <w:r>
      <w:rPr>
        <w:i/>
        <w:sz w:val="20"/>
        <w:szCs w:val="20"/>
      </w:rPr>
      <w:t xml:space="preserve"> </w:t>
    </w:r>
    <w:proofErr w:type="spellStart"/>
    <w:r>
      <w:rPr>
        <w:i/>
        <w:sz w:val="20"/>
        <w:szCs w:val="20"/>
      </w:rPr>
      <w:t>Sustainability</w:t>
    </w:r>
    <w:proofErr w:type="spellEnd"/>
    <w:r>
      <w:rPr>
        <w:i/>
        <w:sz w:val="20"/>
        <w:szCs w:val="20"/>
      </w:rPr>
      <w:t xml:space="preserve"> </w:t>
    </w:r>
    <w:proofErr w:type="spellStart"/>
    <w:r>
      <w:rPr>
        <w:i/>
        <w:sz w:val="20"/>
        <w:szCs w:val="20"/>
      </w:rPr>
      <w:t>Initiative</w:t>
    </w:r>
    <w:proofErr w:type="spellEnd"/>
    <w:r>
      <w:rPr>
        <w:i/>
        <w:sz w:val="20"/>
        <w:szCs w:val="20"/>
      </w:rPr>
      <w:t xml:space="preserve">, ESB </w:t>
    </w:r>
    <w:proofErr w:type="spellStart"/>
    <w:r>
      <w:rPr>
        <w:i/>
        <w:sz w:val="20"/>
        <w:szCs w:val="20"/>
      </w:rPr>
      <w:t>Business</w:t>
    </w:r>
    <w:proofErr w:type="spellEnd"/>
    <w:r>
      <w:rPr>
        <w:i/>
        <w:sz w:val="20"/>
        <w:szCs w:val="20"/>
      </w:rPr>
      <w:t xml:space="preserve"> </w:t>
    </w:r>
    <w:proofErr w:type="spellStart"/>
    <w:r>
      <w:rPr>
        <w:i/>
        <w:sz w:val="20"/>
        <w:szCs w:val="20"/>
      </w:rPr>
      <w:t>School</w:t>
    </w:r>
    <w:proofErr w:type="spellEnd"/>
    <w:r>
      <w:rPr>
        <w:i/>
        <w:sz w:val="20"/>
        <w:szCs w:val="20"/>
      </w:rPr>
      <w:t xml:space="preserve"> ja </w:t>
    </w:r>
    <w:proofErr w:type="spellStart"/>
    <w:r>
      <w:rPr>
        <w:i/>
        <w:sz w:val="20"/>
        <w:szCs w:val="20"/>
      </w:rPr>
      <w:t>UMass</w:t>
    </w:r>
    <w:proofErr w:type="spellEnd"/>
    <w:r>
      <w:rPr>
        <w:i/>
        <w:sz w:val="20"/>
        <w:szCs w:val="20"/>
      </w:rPr>
      <w:t xml:space="preserve"> </w:t>
    </w:r>
    <w:proofErr w:type="spellStart"/>
    <w:r>
      <w:rPr>
        <w:i/>
        <w:sz w:val="20"/>
        <w:szCs w:val="20"/>
      </w:rPr>
      <w:t>Lowell</w:t>
    </w:r>
    <w:proofErr w:type="spellEnd"/>
    <w:r>
      <w:rPr>
        <w:i/>
        <w:sz w:val="20"/>
        <w:szCs w:val="20"/>
      </w:rPr>
      <w:t xml:space="preserve"> </w:t>
    </w:r>
    <w:proofErr w:type="spellStart"/>
    <w:r>
      <w:rPr>
        <w:i/>
        <w:sz w:val="20"/>
        <w:szCs w:val="20"/>
      </w:rPr>
      <w:t>Climate</w:t>
    </w:r>
    <w:proofErr w:type="spellEnd"/>
    <w:r>
      <w:rPr>
        <w:i/>
        <w:sz w:val="20"/>
        <w:szCs w:val="20"/>
      </w:rPr>
      <w:t xml:space="preserve"> </w:t>
    </w:r>
    <w:proofErr w:type="spellStart"/>
    <w:r>
      <w:rPr>
        <w:i/>
        <w:sz w:val="20"/>
        <w:szCs w:val="20"/>
      </w:rPr>
      <w:t>Change</w:t>
    </w:r>
    <w:proofErr w:type="spellEnd"/>
    <w:r>
      <w:rPr>
        <w:i/>
        <w:sz w:val="20"/>
        <w:szCs w:val="20"/>
      </w:rPr>
      <w:t xml:space="preserve"> </w:t>
    </w:r>
    <w:proofErr w:type="spellStart"/>
    <w:r>
      <w:rPr>
        <w:i/>
        <w:sz w:val="20"/>
        <w:szCs w:val="20"/>
      </w:rPr>
      <w:t>Initiative</w:t>
    </w:r>
    <w:proofErr w:type="spellEnd"/>
    <w:r>
      <w:rPr>
        <w:i/>
        <w:sz w:val="20"/>
        <w:szCs w:val="20"/>
      </w:rPr>
      <w:t xml:space="preserve">. Viimati uuendatud septembris 2019. </w:t>
    </w:r>
    <w:hyperlink r:id="rId1" w:history="1">
      <w:r>
        <w:rPr>
          <w:rStyle w:val="Hyperlink"/>
          <w:i/>
          <w:sz w:val="20"/>
          <w:szCs w:val="20"/>
        </w:rPr>
        <w:t>www.cllmatelnteractlve.org</w:t>
      </w:r>
    </w:hyperlink>
    <w:r>
      <w:rPr>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CFD" w:rsidRDefault="00EA7CFD"/>
  </w:footnote>
  <w:footnote w:type="continuationSeparator" w:id="0">
    <w:p w:rsidR="00EA7CFD" w:rsidRDefault="00EA7C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67507"/>
    <w:multiLevelType w:val="multilevel"/>
    <w:tmpl w:val="D7A450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 Toomey">
    <w15:presenceInfo w15:providerId="None" w15:userId="Helen Toom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FD"/>
    <w:rsid w:val="00007579"/>
    <w:rsid w:val="00017A78"/>
    <w:rsid w:val="00061DF7"/>
    <w:rsid w:val="0010014B"/>
    <w:rsid w:val="001C401E"/>
    <w:rsid w:val="002A3890"/>
    <w:rsid w:val="00565AD4"/>
    <w:rsid w:val="00651050"/>
    <w:rsid w:val="00934588"/>
    <w:rsid w:val="00941B40"/>
    <w:rsid w:val="009C54B9"/>
    <w:rsid w:val="00B66DC1"/>
    <w:rsid w:val="00B75ADD"/>
    <w:rsid w:val="00DF6E68"/>
    <w:rsid w:val="00EA7CFD"/>
    <w:rsid w:val="00F53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t-EE"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3_"/>
    <w:basedOn w:val="DefaultParagraphFont"/>
    <w:link w:val="Bodytext30"/>
    <w:rPr>
      <w:rFonts w:ascii="Arial" w:eastAsia="Arial" w:hAnsi="Arial" w:cs="Arial"/>
      <w:b/>
      <w:bCs/>
      <w:i w:val="0"/>
      <w:iCs w:val="0"/>
      <w:smallCaps w:val="0"/>
      <w:strike w:val="0"/>
      <w:sz w:val="36"/>
      <w:szCs w:val="36"/>
      <w:u w:val="none"/>
    </w:rPr>
  </w:style>
  <w:style w:type="character" w:customStyle="1" w:styleId="Heading11">
    <w:name w:val="Heading #1|1_"/>
    <w:basedOn w:val="DefaultParagraphFont"/>
    <w:link w:val="Heading110"/>
    <w:rPr>
      <w:b/>
      <w:bCs/>
      <w:i w:val="0"/>
      <w:iCs w:val="0"/>
      <w:smallCaps w:val="0"/>
      <w:strike w:val="0"/>
      <w:sz w:val="102"/>
      <w:szCs w:val="102"/>
      <w:u w:val="none"/>
    </w:rPr>
  </w:style>
  <w:style w:type="character" w:customStyle="1" w:styleId="Heading1142pt">
    <w:name w:val="Heading #1|1 + 42 pt"/>
    <w:basedOn w:val="Heading11"/>
    <w:semiHidden/>
    <w:unhideWhenUsed/>
    <w:rPr>
      <w:rFonts w:ascii="Times New Roman" w:eastAsia="Times New Roman" w:hAnsi="Times New Roman" w:cs="Times New Roman"/>
      <w:b/>
      <w:bCs/>
      <w:i w:val="0"/>
      <w:iCs w:val="0"/>
      <w:smallCaps w:val="0"/>
      <w:strike w:val="0"/>
      <w:color w:val="000000"/>
      <w:spacing w:val="0"/>
      <w:w w:val="100"/>
      <w:position w:val="0"/>
      <w:sz w:val="84"/>
      <w:szCs w:val="84"/>
      <w:u w:val="none"/>
      <w:lang w:val="et-EE" w:eastAsia="el-GR" w:bidi="el-GR"/>
    </w:rPr>
  </w:style>
  <w:style w:type="character" w:customStyle="1" w:styleId="Bodytext4">
    <w:name w:val="Body text|4_"/>
    <w:basedOn w:val="DefaultParagraphFont"/>
    <w:link w:val="Bodytext4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et-EE"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et-EE"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et-EE"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t-EE" w:eastAsia="en-US" w:bidi="en-US"/>
    </w:rPr>
  </w:style>
  <w:style w:type="character" w:customStyle="1" w:styleId="Bodytext5">
    <w:name w:val="Body text|5_"/>
    <w:basedOn w:val="DefaultParagraphFont"/>
    <w:link w:val="Bodytext50"/>
    <w:rPr>
      <w:rFonts w:ascii="Arial" w:eastAsia="Arial" w:hAnsi="Arial" w:cs="Arial"/>
      <w:b w:val="0"/>
      <w:bCs w:val="0"/>
      <w:i/>
      <w:iCs/>
      <w:smallCaps w:val="0"/>
      <w:strike w:val="0"/>
      <w:sz w:val="18"/>
      <w:szCs w:val="18"/>
      <w:u w:val="none"/>
    </w:rPr>
  </w:style>
  <w:style w:type="character" w:customStyle="1" w:styleId="Bodytext6">
    <w:name w:val="Body text|6_"/>
    <w:basedOn w:val="DefaultParagraphFont"/>
    <w:link w:val="Bodytext60"/>
    <w:rPr>
      <w:b/>
      <w:bCs/>
      <w:i w:val="0"/>
      <w:iCs w:val="0"/>
      <w:smallCaps w:val="0"/>
      <w:strike w:val="0"/>
      <w:sz w:val="22"/>
      <w:szCs w:val="22"/>
      <w:u w:val="none"/>
    </w:rPr>
  </w:style>
  <w:style w:type="character" w:customStyle="1" w:styleId="Bodytext6NotBold">
    <w:name w:val="Body text|6 + Not Bold"/>
    <w:basedOn w:val="Bodytext6"/>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et-EE" w:eastAsia="en-US" w:bidi="en-US"/>
    </w:rPr>
  </w:style>
  <w:style w:type="paragraph" w:customStyle="1" w:styleId="Bodytext30">
    <w:name w:val="Body text|3"/>
    <w:basedOn w:val="Normal"/>
    <w:link w:val="Bodytext3"/>
    <w:pPr>
      <w:shd w:val="clear" w:color="auto" w:fill="FFFFFF"/>
      <w:spacing w:after="620" w:line="402" w:lineRule="exact"/>
    </w:pPr>
    <w:rPr>
      <w:rFonts w:ascii="Arial" w:eastAsia="Arial" w:hAnsi="Arial" w:cs="Arial"/>
      <w:b/>
      <w:bCs/>
      <w:sz w:val="36"/>
      <w:szCs w:val="36"/>
    </w:rPr>
  </w:style>
  <w:style w:type="paragraph" w:customStyle="1" w:styleId="Heading110">
    <w:name w:val="Heading #1|1"/>
    <w:basedOn w:val="Normal"/>
    <w:link w:val="Heading11"/>
    <w:qFormat/>
    <w:pPr>
      <w:shd w:val="clear" w:color="auto" w:fill="FFFFFF"/>
      <w:spacing w:before="620" w:line="1130" w:lineRule="exact"/>
      <w:jc w:val="center"/>
      <w:outlineLvl w:val="0"/>
    </w:pPr>
    <w:rPr>
      <w:b/>
      <w:bCs/>
      <w:sz w:val="102"/>
      <w:szCs w:val="102"/>
    </w:rPr>
  </w:style>
  <w:style w:type="paragraph" w:customStyle="1" w:styleId="Bodytext40">
    <w:name w:val="Body text|4"/>
    <w:basedOn w:val="Normal"/>
    <w:link w:val="Bodytext4"/>
    <w:pPr>
      <w:shd w:val="clear" w:color="auto" w:fill="FFFFFF"/>
      <w:spacing w:line="269" w:lineRule="exact"/>
      <w:jc w:val="both"/>
    </w:pPr>
    <w:rPr>
      <w:b/>
      <w:bCs/>
      <w:sz w:val="22"/>
      <w:szCs w:val="22"/>
    </w:rPr>
  </w:style>
  <w:style w:type="paragraph" w:customStyle="1" w:styleId="Bodytext20">
    <w:name w:val="Body text|2"/>
    <w:basedOn w:val="Normal"/>
    <w:link w:val="Bodytext2"/>
    <w:qFormat/>
    <w:pPr>
      <w:shd w:val="clear" w:color="auto" w:fill="FFFFFF"/>
      <w:spacing w:before="120" w:line="269" w:lineRule="exact"/>
      <w:ind w:hanging="400"/>
    </w:pPr>
    <w:rPr>
      <w:sz w:val="22"/>
      <w:szCs w:val="22"/>
    </w:rPr>
  </w:style>
  <w:style w:type="paragraph" w:customStyle="1" w:styleId="Bodytext50">
    <w:name w:val="Body text|5"/>
    <w:basedOn w:val="Normal"/>
    <w:link w:val="Bodytext5"/>
    <w:pPr>
      <w:shd w:val="clear" w:color="auto" w:fill="FFFFFF"/>
      <w:spacing w:before="280" w:line="206" w:lineRule="exact"/>
    </w:pPr>
    <w:rPr>
      <w:rFonts w:ascii="Arial" w:eastAsia="Arial" w:hAnsi="Arial" w:cs="Arial"/>
      <w:i/>
      <w:iCs/>
      <w:sz w:val="18"/>
      <w:szCs w:val="18"/>
    </w:rPr>
  </w:style>
  <w:style w:type="paragraph" w:customStyle="1" w:styleId="Bodytext60">
    <w:name w:val="Body text|6"/>
    <w:basedOn w:val="Normal"/>
    <w:link w:val="Bodytext6"/>
    <w:pPr>
      <w:shd w:val="clear" w:color="auto" w:fill="FFFFFF"/>
      <w:spacing w:before="120" w:line="269" w:lineRule="exact"/>
    </w:pPr>
    <w:rPr>
      <w:b/>
      <w:bCs/>
      <w:sz w:val="22"/>
      <w:szCs w:val="22"/>
    </w:rPr>
  </w:style>
  <w:style w:type="paragraph" w:styleId="Header">
    <w:name w:val="header"/>
    <w:basedOn w:val="Normal"/>
    <w:link w:val="HeaderChar"/>
    <w:uiPriority w:val="99"/>
    <w:unhideWhenUsed/>
    <w:rsid w:val="0010014B"/>
    <w:pPr>
      <w:spacing w:line="288" w:lineRule="auto"/>
      <w:jc w:val="both"/>
    </w:pPr>
    <w:rPr>
      <w:sz w:val="22"/>
    </w:rPr>
  </w:style>
  <w:style w:type="character" w:customStyle="1" w:styleId="HeaderChar">
    <w:name w:val="Header Char"/>
    <w:basedOn w:val="DefaultParagraphFont"/>
    <w:link w:val="Header"/>
    <w:uiPriority w:val="99"/>
    <w:rsid w:val="0010014B"/>
    <w:rPr>
      <w:color w:val="000000"/>
      <w:sz w:val="22"/>
    </w:rPr>
  </w:style>
  <w:style w:type="paragraph" w:styleId="Footer">
    <w:name w:val="footer"/>
    <w:basedOn w:val="Normal"/>
    <w:link w:val="FooterChar"/>
    <w:uiPriority w:val="99"/>
    <w:unhideWhenUsed/>
    <w:rsid w:val="0010014B"/>
    <w:pPr>
      <w:spacing w:line="288" w:lineRule="auto"/>
      <w:jc w:val="both"/>
    </w:pPr>
    <w:rPr>
      <w:sz w:val="22"/>
    </w:rPr>
  </w:style>
  <w:style w:type="character" w:customStyle="1" w:styleId="FooterChar">
    <w:name w:val="Footer Char"/>
    <w:basedOn w:val="DefaultParagraphFont"/>
    <w:link w:val="Footer"/>
    <w:uiPriority w:val="99"/>
    <w:rsid w:val="0010014B"/>
    <w:rPr>
      <w:color w:val="000000"/>
      <w:sz w:val="22"/>
    </w:rPr>
  </w:style>
  <w:style w:type="character" w:styleId="Hyperlink">
    <w:name w:val="Hyperlink"/>
    <w:basedOn w:val="DefaultParagraphFont"/>
    <w:uiPriority w:val="99"/>
    <w:unhideWhenUsed/>
    <w:rsid w:val="0093458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t-EE"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3_"/>
    <w:basedOn w:val="DefaultParagraphFont"/>
    <w:link w:val="Bodytext30"/>
    <w:rPr>
      <w:rFonts w:ascii="Arial" w:eastAsia="Arial" w:hAnsi="Arial" w:cs="Arial"/>
      <w:b/>
      <w:bCs/>
      <w:i w:val="0"/>
      <w:iCs w:val="0"/>
      <w:smallCaps w:val="0"/>
      <w:strike w:val="0"/>
      <w:sz w:val="36"/>
      <w:szCs w:val="36"/>
      <w:u w:val="none"/>
    </w:rPr>
  </w:style>
  <w:style w:type="character" w:customStyle="1" w:styleId="Heading11">
    <w:name w:val="Heading #1|1_"/>
    <w:basedOn w:val="DefaultParagraphFont"/>
    <w:link w:val="Heading110"/>
    <w:rPr>
      <w:b/>
      <w:bCs/>
      <w:i w:val="0"/>
      <w:iCs w:val="0"/>
      <w:smallCaps w:val="0"/>
      <w:strike w:val="0"/>
      <w:sz w:val="102"/>
      <w:szCs w:val="102"/>
      <w:u w:val="none"/>
    </w:rPr>
  </w:style>
  <w:style w:type="character" w:customStyle="1" w:styleId="Heading1142pt">
    <w:name w:val="Heading #1|1 + 42 pt"/>
    <w:basedOn w:val="Heading11"/>
    <w:semiHidden/>
    <w:unhideWhenUsed/>
    <w:rPr>
      <w:rFonts w:ascii="Times New Roman" w:eastAsia="Times New Roman" w:hAnsi="Times New Roman" w:cs="Times New Roman"/>
      <w:b/>
      <w:bCs/>
      <w:i w:val="0"/>
      <w:iCs w:val="0"/>
      <w:smallCaps w:val="0"/>
      <w:strike w:val="0"/>
      <w:color w:val="000000"/>
      <w:spacing w:val="0"/>
      <w:w w:val="100"/>
      <w:position w:val="0"/>
      <w:sz w:val="84"/>
      <w:szCs w:val="84"/>
      <w:u w:val="none"/>
      <w:lang w:val="et-EE" w:eastAsia="el-GR" w:bidi="el-GR"/>
    </w:rPr>
  </w:style>
  <w:style w:type="character" w:customStyle="1" w:styleId="Bodytext4">
    <w:name w:val="Body text|4_"/>
    <w:basedOn w:val="DefaultParagraphFont"/>
    <w:link w:val="Bodytext4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et-EE"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et-EE"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et-EE"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t-EE" w:eastAsia="en-US" w:bidi="en-US"/>
    </w:rPr>
  </w:style>
  <w:style w:type="character" w:customStyle="1" w:styleId="Bodytext5">
    <w:name w:val="Body text|5_"/>
    <w:basedOn w:val="DefaultParagraphFont"/>
    <w:link w:val="Bodytext50"/>
    <w:rPr>
      <w:rFonts w:ascii="Arial" w:eastAsia="Arial" w:hAnsi="Arial" w:cs="Arial"/>
      <w:b w:val="0"/>
      <w:bCs w:val="0"/>
      <w:i/>
      <w:iCs/>
      <w:smallCaps w:val="0"/>
      <w:strike w:val="0"/>
      <w:sz w:val="18"/>
      <w:szCs w:val="18"/>
      <w:u w:val="none"/>
    </w:rPr>
  </w:style>
  <w:style w:type="character" w:customStyle="1" w:styleId="Bodytext6">
    <w:name w:val="Body text|6_"/>
    <w:basedOn w:val="DefaultParagraphFont"/>
    <w:link w:val="Bodytext60"/>
    <w:rPr>
      <w:b/>
      <w:bCs/>
      <w:i w:val="0"/>
      <w:iCs w:val="0"/>
      <w:smallCaps w:val="0"/>
      <w:strike w:val="0"/>
      <w:sz w:val="22"/>
      <w:szCs w:val="22"/>
      <w:u w:val="none"/>
    </w:rPr>
  </w:style>
  <w:style w:type="character" w:customStyle="1" w:styleId="Bodytext6NotBold">
    <w:name w:val="Body text|6 + Not Bold"/>
    <w:basedOn w:val="Bodytext6"/>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et-EE" w:eastAsia="en-US" w:bidi="en-US"/>
    </w:rPr>
  </w:style>
  <w:style w:type="paragraph" w:customStyle="1" w:styleId="Bodytext30">
    <w:name w:val="Body text|3"/>
    <w:basedOn w:val="Normal"/>
    <w:link w:val="Bodytext3"/>
    <w:pPr>
      <w:shd w:val="clear" w:color="auto" w:fill="FFFFFF"/>
      <w:spacing w:after="620" w:line="402" w:lineRule="exact"/>
    </w:pPr>
    <w:rPr>
      <w:rFonts w:ascii="Arial" w:eastAsia="Arial" w:hAnsi="Arial" w:cs="Arial"/>
      <w:b/>
      <w:bCs/>
      <w:sz w:val="36"/>
      <w:szCs w:val="36"/>
    </w:rPr>
  </w:style>
  <w:style w:type="paragraph" w:customStyle="1" w:styleId="Heading110">
    <w:name w:val="Heading #1|1"/>
    <w:basedOn w:val="Normal"/>
    <w:link w:val="Heading11"/>
    <w:qFormat/>
    <w:pPr>
      <w:shd w:val="clear" w:color="auto" w:fill="FFFFFF"/>
      <w:spacing w:before="620" w:line="1130" w:lineRule="exact"/>
      <w:jc w:val="center"/>
      <w:outlineLvl w:val="0"/>
    </w:pPr>
    <w:rPr>
      <w:b/>
      <w:bCs/>
      <w:sz w:val="102"/>
      <w:szCs w:val="102"/>
    </w:rPr>
  </w:style>
  <w:style w:type="paragraph" w:customStyle="1" w:styleId="Bodytext40">
    <w:name w:val="Body text|4"/>
    <w:basedOn w:val="Normal"/>
    <w:link w:val="Bodytext4"/>
    <w:pPr>
      <w:shd w:val="clear" w:color="auto" w:fill="FFFFFF"/>
      <w:spacing w:line="269" w:lineRule="exact"/>
      <w:jc w:val="both"/>
    </w:pPr>
    <w:rPr>
      <w:b/>
      <w:bCs/>
      <w:sz w:val="22"/>
      <w:szCs w:val="22"/>
    </w:rPr>
  </w:style>
  <w:style w:type="paragraph" w:customStyle="1" w:styleId="Bodytext20">
    <w:name w:val="Body text|2"/>
    <w:basedOn w:val="Normal"/>
    <w:link w:val="Bodytext2"/>
    <w:qFormat/>
    <w:pPr>
      <w:shd w:val="clear" w:color="auto" w:fill="FFFFFF"/>
      <w:spacing w:before="120" w:line="269" w:lineRule="exact"/>
      <w:ind w:hanging="400"/>
    </w:pPr>
    <w:rPr>
      <w:sz w:val="22"/>
      <w:szCs w:val="22"/>
    </w:rPr>
  </w:style>
  <w:style w:type="paragraph" w:customStyle="1" w:styleId="Bodytext50">
    <w:name w:val="Body text|5"/>
    <w:basedOn w:val="Normal"/>
    <w:link w:val="Bodytext5"/>
    <w:pPr>
      <w:shd w:val="clear" w:color="auto" w:fill="FFFFFF"/>
      <w:spacing w:before="280" w:line="206" w:lineRule="exact"/>
    </w:pPr>
    <w:rPr>
      <w:rFonts w:ascii="Arial" w:eastAsia="Arial" w:hAnsi="Arial" w:cs="Arial"/>
      <w:i/>
      <w:iCs/>
      <w:sz w:val="18"/>
      <w:szCs w:val="18"/>
    </w:rPr>
  </w:style>
  <w:style w:type="paragraph" w:customStyle="1" w:styleId="Bodytext60">
    <w:name w:val="Body text|6"/>
    <w:basedOn w:val="Normal"/>
    <w:link w:val="Bodytext6"/>
    <w:pPr>
      <w:shd w:val="clear" w:color="auto" w:fill="FFFFFF"/>
      <w:spacing w:before="120" w:line="269" w:lineRule="exact"/>
    </w:pPr>
    <w:rPr>
      <w:b/>
      <w:bCs/>
      <w:sz w:val="22"/>
      <w:szCs w:val="22"/>
    </w:rPr>
  </w:style>
  <w:style w:type="paragraph" w:styleId="Header">
    <w:name w:val="header"/>
    <w:basedOn w:val="Normal"/>
    <w:link w:val="HeaderChar"/>
    <w:uiPriority w:val="99"/>
    <w:unhideWhenUsed/>
    <w:rsid w:val="0010014B"/>
    <w:pPr>
      <w:spacing w:line="288" w:lineRule="auto"/>
      <w:jc w:val="both"/>
    </w:pPr>
    <w:rPr>
      <w:sz w:val="22"/>
    </w:rPr>
  </w:style>
  <w:style w:type="character" w:customStyle="1" w:styleId="HeaderChar">
    <w:name w:val="Header Char"/>
    <w:basedOn w:val="DefaultParagraphFont"/>
    <w:link w:val="Header"/>
    <w:uiPriority w:val="99"/>
    <w:rsid w:val="0010014B"/>
    <w:rPr>
      <w:color w:val="000000"/>
      <w:sz w:val="22"/>
    </w:rPr>
  </w:style>
  <w:style w:type="paragraph" w:styleId="Footer">
    <w:name w:val="footer"/>
    <w:basedOn w:val="Normal"/>
    <w:link w:val="FooterChar"/>
    <w:uiPriority w:val="99"/>
    <w:unhideWhenUsed/>
    <w:rsid w:val="0010014B"/>
    <w:pPr>
      <w:spacing w:line="288" w:lineRule="auto"/>
      <w:jc w:val="both"/>
    </w:pPr>
    <w:rPr>
      <w:sz w:val="22"/>
    </w:rPr>
  </w:style>
  <w:style w:type="character" w:customStyle="1" w:styleId="FooterChar">
    <w:name w:val="Footer Char"/>
    <w:basedOn w:val="DefaultParagraphFont"/>
    <w:link w:val="Footer"/>
    <w:uiPriority w:val="99"/>
    <w:rsid w:val="0010014B"/>
    <w:rPr>
      <w:color w:val="000000"/>
      <w:sz w:val="22"/>
    </w:rPr>
  </w:style>
  <w:style w:type="character" w:styleId="Hyperlink">
    <w:name w:val="Hyperlink"/>
    <w:basedOn w:val="DefaultParagraphFont"/>
    <w:uiPriority w:val="99"/>
    <w:unhideWhenUsed/>
    <w:rsid w:val="009345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cllmatelnteractlve.org"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CTJJHAUHWN5E-644613129-2946</_dlc_DocId>
    <_dlc_DocIdUrl xmlns="bfc960a6-20da-4c94-8684-71380fca093b">
      <Url>http://dm2016/eesc/2019/_layouts/15/DocIdRedir.aspx?ID=CTJJHAUHWN5E-644613129-2946</Url>
      <Description>CTJJHAUHWN5E-644613129-2946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2019-12-10T12:00:00+00:00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162</Value>
      <Value>72</Value>
      <Value>246</Value>
      <Value>65</Value>
      <Value>64</Value>
      <Value>63</Value>
      <Value>62</Value>
      <Value>60</Value>
      <Value>59</Value>
      <Value>58</Value>
      <Value>56</Value>
      <Value>55</Value>
      <Value>52</Value>
      <Value>49</Value>
      <Value>48</Value>
      <Value>46</Value>
      <Value>45</Value>
      <Value>154</Value>
      <Value>38</Value>
      <Value>153</Value>
      <Value>25</Value>
      <Value>21</Value>
      <Value>17</Value>
      <Value>16</Value>
      <Value>152</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11384</FicheNumber>
    <DocumentPart xmlns="bfc960a6-20da-4c94-8684-71380fca093b">1</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6ED343-7E23-4663-B1E0-6CE6005E16A5}"/>
</file>

<file path=customXml/itemProps2.xml><?xml version="1.0" encoding="utf-8"?>
<ds:datastoreItem xmlns:ds="http://schemas.openxmlformats.org/officeDocument/2006/customXml" ds:itemID="{9B4774FA-A6D0-4B71-9728-CFDBD87CB7B6}"/>
</file>

<file path=customXml/itemProps3.xml><?xml version="1.0" encoding="utf-8"?>
<ds:datastoreItem xmlns:ds="http://schemas.openxmlformats.org/officeDocument/2006/customXml" ds:itemID="{6C7B8A69-FE05-4AB4-ACFB-0BF58C71C81B}"/>
</file>

<file path=customXml/itemProps4.xml><?xml version="1.0" encoding="utf-8"?>
<ds:datastoreItem xmlns:ds="http://schemas.openxmlformats.org/officeDocument/2006/customXml" ds:itemID="{B6B473F7-061D-4611-8C41-7FD129FCFBD1}"/>
</file>

<file path=docProps/app.xml><?xml version="1.0" encoding="utf-8"?>
<Properties xmlns="http://schemas.openxmlformats.org/officeDocument/2006/extended-properties" xmlns:vt="http://schemas.openxmlformats.org/officeDocument/2006/docPropsVTypes">
  <Template>Styles.dotm</Template>
  <TotalTime>2</TotalTime>
  <Pages>2</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 töödokument - II rühm - Tavapärane energiavarustus</dc:title>
  <cp:keywords>EESC-2019-05163-01-00-INFO-TRA-EN</cp:keywords>
  <dc:description>Rapporteur:  - Original language: EN - Date of document: 10/12/2019 - Date of meeting:  - External documents:  - Administrator: MME LAHOUSSE Chloé</dc:description>
  <cp:lastModifiedBy>Aili Rosenberg</cp:lastModifiedBy>
  <cp:revision>5</cp:revision>
  <dcterms:created xsi:type="dcterms:W3CDTF">2019-11-15T07:09:00Z</dcterms:created>
  <dcterms:modified xsi:type="dcterms:W3CDTF">2019-12-10T10:10:00Z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14/11/2019</vt:lpwstr>
  </property>
  <property fmtid="{D5CDD505-2E9C-101B-9397-08002B2CF9AE}" pid="4" name="Pref_Time">
    <vt:lpwstr>08:03:13, 17:09:52</vt:lpwstr>
  </property>
  <property fmtid="{D5CDD505-2E9C-101B-9397-08002B2CF9AE}" pid="5" name="Pref_User">
    <vt:lpwstr>enied, htoo</vt:lpwstr>
  </property>
  <property fmtid="{D5CDD505-2E9C-101B-9397-08002B2CF9AE}" pid="6" name="Pref_FileName">
    <vt:lpwstr>EESC-2019-05163-01-00-INFO-TRA-EN-CRR.docx, EESC-2019-05163-01-00-INFO-CRR-EN.docx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57dc21a4-6f4b-4b17-8a68-4f63eeba7923</vt:lpwstr>
  </property>
  <property fmtid="{D5CDD505-2E9C-101B-9397-08002B2CF9AE}" pid="9" name="AvailableTranslations">
    <vt:lpwstr>55;#BG|1a1b3951-7821-4e6a-85f5-5673fc08bd2c;#25;#SK|46d9fce0-ef79-4f71-b89b-cd6aa82426b8;#21;#IT|0774613c-01ed-4e5d-a25d-11d2388de825;#38;#SV|c2ed69e7-a339-43d7-8f22-d93680a92aa0;#49;#EL|6d4f4d51-af9b-4650-94b4-4276bee85c91;#62;#FI|87606a43-d45f-42d6-b8c9-e1a3457db5b7;#152;#MK|34ce48bb-063e-4413-a932-50853dc71c5c;#65;#ET|ff6c3f4c-b02c-4c3c-ab07-2c37995a7a0a;#46;#CS|72f9705b-0217-4fd3-bea2-cbc7ed80e26e;#48;#LT|a7ff5ce7-6123-4f68-865a-a57c31810414;#64;#PT|50ccc04a-eadd-42ae-a0cb-acaf45f812ba;#72;#GA|762d2456-c427-4ecb-b312-af3dad8e258c;#45;#NL|55c6556c-b4f4-441d-9acf-c498d4f838bd;#10;#FR|d2afafd3-4c81-4f60-8f52-ee33f2f54ff3;#162;#TR|6e4ededd-04c4-4fa0-94e0-1028050302d5;#60;#HU|6b229040-c589-4408-b4c1-4285663d20a8;#63;#MT|7df99101-6854-4a26-b53a-b88c0da02c26;#58;#LV|46f7e311-5d9f-4663-b433-18aeccb7ace7;#52;#DA|5d49c027-8956-412b-aa16-e85a0f96ad0e;#14;#DE|f6b31e5a-26fa-4935-b661-318e46daf27e;#17;#ES|e7a6b05b-ae16-40c8-add9-68b64b03aeba;#246;#ME|925b3da5-5ac0-4b3c-928c-6ef66a5c9b3c;#59;#HR|2f555653-ed1a-4fe6-8362-9082d95989e5;#153;#SR|7f3a1d13-b985-4bfd-981e-afe31377edff;#16;#PL|1e03da61-4678-4e07-b136-b5024ca9197b;#4;#EN|f2175f21-25d7-44a3-96da-d6a61b075e1b;#154;#SQ|5ac17240-8d11-45ec-9893-659b209d7a00;#56;#SL|98a412ae-eb01-49e9-ae3d-585a81724cfc</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1</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BG|1a1b3951-7821-4e6a-85f5-5673fc08bd2c;SK|46d9fce0-ef79-4f71-b89b-cd6aa82426b8;IT|0774613c-01ed-4e5d-a25d-11d2388de825;SV|c2ed69e7-a339-43d7-8f22-d93680a92aa0;EL|6d4f4d51-af9b-4650-94b4-4276bee85c91;FI|87606a43-d45f-42d6-b8c9-e1a3457db5b7;MK|34ce48bb-063e-4413-a932-50853dc71c5c;CS|72f9705b-0217-4fd3-bea2-cbc7ed80e26e;LT|a7ff5ce7-6123-4f68-865a-a57c31810414;PT|50ccc04a-eadd-42ae-a0cb-acaf45f812ba;NL|55c6556c-b4f4-441d-9acf-c498d4f838bd;FR|d2afafd3-4c81-4f60-8f52-ee33f2f54ff3;TR|6e4ededd-04c4-4fa0-94e0-1028050302d5;MT|7df99101-6854-4a26-b53a-b88c0da02c26;LV|46f7e311-5d9f-4663-b433-18aeccb7ace7;DA|5d49c027-8956-412b-aa16-e85a0f96ad0e;ES|e7a6b05b-ae16-40c8-add9-68b64b03aeba;ME|925b3da5-5ac0-4b3c-928c-6ef66a5c9b3c;HR|2f555653-ed1a-4fe6-8362-9082d95989e5;SR|7f3a1d13-b985-4bfd-981e-afe31377edff;PL|1e03da61-4678-4e07-b136-b5024ca9197b;EN|f2175f21-25d7-44a3-96da-d6a61b075e1b;SQ|5ac17240-8d11-45ec-9893-659b209d7a00;SL|98a412ae-eb01-49e9-ae3d-585a81724cf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162;#TR|6e4ededd-04c4-4fa0-94e0-1028050302d5;#246;#ME|925b3da5-5ac0-4b3c-928c-6ef66a5c9b3c;#154;#SQ|5ac17240-8d11-45ec-9893-659b209d7a00;#64;#PT|50ccc04a-eadd-42ae-a0cb-acaf45f812ba;#63;#MT|7df99101-6854-4a26-b53a-b88c0da02c26;#62;#FI|87606a43-d45f-42d6-b8c9-e1a3457db5b7;#59;#HR|2f555653-ed1a-4fe6-8362-9082d95989e5;#58;#LV|46f7e311-5d9f-4663-b433-18aeccb7ace7;#56;#SL|98a412ae-eb01-49e9-ae3d-585a81724cfc;#55;#BG|1a1b3951-7821-4e6a-85f5-5673fc08bd2c;#52;#DA|5d49c027-8956-412b-aa16-e85a0f96ad0e;#49;#EL|6d4f4d51-af9b-4650-94b4-4276bee85c91;#48;#LT|a7ff5ce7-6123-4f68-865a-a57c31810414;#46;#CS|72f9705b-0217-4fd3-bea2-cbc7ed80e26e;#45;#NL|55c6556c-b4f4-441d-9acf-c498d4f838bd;#38;#SV|c2ed69e7-a339-43d7-8f22-d93680a92aa0;#153;#SR|7f3a1d13-b985-4bfd-981e-afe31377edff;#25;#SK|46d9fce0-ef79-4f71-b89b-cd6aa82426b8;#21;#IT|0774613c-01ed-4e5d-a25d-11d2388de825;#17;#ES|e7a6b05b-ae16-40c8-add9-68b64b03aeba;#16;#PL|1e03da61-4678-4e07-b136-b5024ca9197b;#152;#MK|34ce48bb-063e-4413-a932-50853dc71c5c;#11;#INFO|d9136e7c-93a9-4c42-9d28-92b61e85f80c;#10;#FR|d2afafd3-4c81-4f60-8f52-ee33f2f54ff3;#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11384</vt:i4>
  </property>
  <property fmtid="{D5CDD505-2E9C-101B-9397-08002B2CF9AE}" pid="37" name="DocumentLanguage">
    <vt:lpwstr>65;#ET|ff6c3f4c-b02c-4c3c-ab07-2c37995a7a0a</vt:lpwstr>
  </property>
</Properties>
</file>