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21DC8" w14:textId="2CFA4899" w:rsidR="003F3A3E" w:rsidRPr="00176E57" w:rsidRDefault="00B94D29" w:rsidP="00857E41">
      <w:pPr>
        <w:rPr>
          <w:bCs/>
          <w:iCs/>
          <w:sz w:val="24"/>
          <w:szCs w:val="24"/>
        </w:rPr>
      </w:pPr>
      <w:r w:rsidRPr="00176E57">
        <w:rPr>
          <w:bCs/>
          <w:iCs/>
          <w:noProof/>
          <w:sz w:val="20"/>
          <w:szCs w:val="24"/>
          <w:lang w:eastAsia="en-GB"/>
        </w:rPr>
        <mc:AlternateContent>
          <mc:Choice Requires="wps">
            <w:drawing>
              <wp:anchor distT="0" distB="0" distL="114300" distR="114300" simplePos="0" relativeHeight="251659776" behindDoc="1" locked="0" layoutInCell="0" allowOverlap="1" wp14:anchorId="18BFD07A" wp14:editId="11ADA952">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C5DE1" w14:textId="77777777" w:rsidR="00B94D29" w:rsidRPr="00251AF7" w:rsidRDefault="00B94D29">
                            <w:pPr>
                              <w:jc w:val="center"/>
                              <w:rPr>
                                <w:rFonts w:ascii="Arial" w:hAnsi="Arial" w:cs="Arial"/>
                                <w:b/>
                                <w:bCs/>
                                <w:sz w:val="48"/>
                              </w:rPr>
                            </w:pPr>
                            <w:r w:rsidRPr="00251AF7">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FD07A"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1D8C5DE1" w14:textId="77777777" w:rsidR="00B94D29" w:rsidRPr="00251AF7" w:rsidRDefault="00B94D29">
                      <w:pPr>
                        <w:jc w:val="center"/>
                        <w:rPr>
                          <w:rFonts w:ascii="Arial" w:hAnsi="Arial" w:cs="Arial"/>
                          <w:b/>
                          <w:bCs/>
                          <w:sz w:val="48"/>
                        </w:rPr>
                      </w:pPr>
                      <w:r w:rsidRPr="00251AF7">
                        <w:rPr>
                          <w:rFonts w:ascii="Arial" w:hAnsi="Arial" w:cs="Arial"/>
                          <w:b/>
                          <w:bCs/>
                          <w:sz w:val="48"/>
                        </w:rPr>
                        <w:t>EN</w:t>
                      </w:r>
                    </w:p>
                  </w:txbxContent>
                </v:textbox>
                <w10:wrap anchorx="page" anchory="page"/>
              </v:shape>
            </w:pict>
          </mc:Fallback>
        </mc:AlternateContent>
      </w:r>
    </w:p>
    <w:p w14:paraId="1BBF6E67" w14:textId="4C236DEA" w:rsidR="00ED136D" w:rsidRPr="00176E57" w:rsidRDefault="00AE7108" w:rsidP="00857E41">
      <w:pPr>
        <w:jc w:val="center"/>
        <w:rPr>
          <w:b/>
          <w:iCs/>
          <w:sz w:val="24"/>
          <w:szCs w:val="24"/>
        </w:rPr>
      </w:pPr>
      <w:r w:rsidRPr="00176E57">
        <w:rPr>
          <w:b/>
          <w:iCs/>
          <w:sz w:val="24"/>
          <w:szCs w:val="24"/>
        </w:rPr>
        <w:t>New Start for Strong Social Dialogue</w:t>
      </w:r>
    </w:p>
    <w:p w14:paraId="55058E1D" w14:textId="063C8BCB" w:rsidR="00B62D4D" w:rsidRPr="00176E57" w:rsidRDefault="00B62D4D" w:rsidP="00857E41">
      <w:pPr>
        <w:jc w:val="center"/>
        <w:rPr>
          <w:b/>
          <w:iCs/>
          <w:sz w:val="24"/>
          <w:szCs w:val="24"/>
        </w:rPr>
      </w:pPr>
      <w:r w:rsidRPr="00176E57">
        <w:rPr>
          <w:b/>
          <w:iCs/>
          <w:sz w:val="24"/>
          <w:szCs w:val="24"/>
        </w:rPr>
        <w:t xml:space="preserve">Report by Zoran </w:t>
      </w:r>
      <w:bookmarkStart w:id="0" w:name="_GoBack"/>
      <w:r w:rsidRPr="00176E57">
        <w:rPr>
          <w:b/>
          <w:iCs/>
          <w:sz w:val="24"/>
          <w:szCs w:val="24"/>
        </w:rPr>
        <w:t>Stojiljković</w:t>
      </w:r>
      <w:bookmarkEnd w:id="0"/>
    </w:p>
    <w:p w14:paraId="1EB23560" w14:textId="77777777" w:rsidR="00B62D4D" w:rsidRPr="00176E57" w:rsidRDefault="00B62D4D" w:rsidP="00857E41">
      <w:pPr>
        <w:rPr>
          <w:rFonts w:eastAsia="Lucida Sans Unicode"/>
          <w:iCs/>
          <w:sz w:val="24"/>
          <w:szCs w:val="24"/>
          <w:lang w:eastAsia="ar-SA"/>
        </w:rPr>
      </w:pPr>
    </w:p>
    <w:p w14:paraId="37B224B5" w14:textId="7B35D577" w:rsidR="00AB4E97" w:rsidRPr="00176E57" w:rsidRDefault="00AE7108" w:rsidP="00857E41">
      <w:pPr>
        <w:rPr>
          <w:rFonts w:eastAsia="Lucida Sans Unicode"/>
          <w:iCs/>
          <w:lang w:eastAsia="ar-SA"/>
        </w:rPr>
      </w:pPr>
      <w:r w:rsidRPr="00176E57">
        <w:rPr>
          <w:rFonts w:eastAsia="Lucida Sans Unicode"/>
          <w:iCs/>
          <w:lang w:eastAsia="ar-SA"/>
        </w:rPr>
        <w:t>The star</w:t>
      </w:r>
      <w:r w:rsidR="00250156" w:rsidRPr="00176E57">
        <w:rPr>
          <w:rFonts w:eastAsia="Lucida Sans Unicode"/>
          <w:iCs/>
          <w:lang w:eastAsia="ar-SA"/>
        </w:rPr>
        <w:t xml:space="preserve">ting premise and reason for examining social dialogue reforms is the position that without </w:t>
      </w:r>
      <w:r w:rsidR="00E67763" w:rsidRPr="00176E57">
        <w:rPr>
          <w:rFonts w:eastAsia="Lucida Sans Unicode"/>
          <w:iCs/>
          <w:lang w:eastAsia="ar-SA"/>
        </w:rPr>
        <w:t>(1) </w:t>
      </w:r>
      <w:r w:rsidR="00250156" w:rsidRPr="00176E57">
        <w:rPr>
          <w:rFonts w:eastAsia="Lucida Sans Unicode"/>
          <w:iCs/>
          <w:lang w:eastAsia="ar-SA"/>
        </w:rPr>
        <w:t>creating a culture of dialogue and establishing mutual trust</w:t>
      </w:r>
      <w:r w:rsidR="00AB4E97" w:rsidRPr="00176E57">
        <w:rPr>
          <w:rFonts w:eastAsia="Lucida Sans Unicode"/>
          <w:iCs/>
          <w:lang w:eastAsia="ar-SA"/>
        </w:rPr>
        <w:t>, (</w:t>
      </w:r>
      <w:r w:rsidR="005504BE" w:rsidRPr="00176E57">
        <w:rPr>
          <w:rFonts w:eastAsia="Lucida Sans Unicode"/>
          <w:iCs/>
          <w:lang w:eastAsia="ar-SA"/>
        </w:rPr>
        <w:t>2</w:t>
      </w:r>
      <w:r w:rsidR="00AB4E97" w:rsidRPr="00176E57">
        <w:rPr>
          <w:rFonts w:eastAsia="Lucida Sans Unicode"/>
          <w:iCs/>
          <w:lang w:eastAsia="ar-SA"/>
        </w:rPr>
        <w:t xml:space="preserve">) </w:t>
      </w:r>
      <w:r w:rsidR="00250156" w:rsidRPr="00176E57">
        <w:rPr>
          <w:rFonts w:eastAsia="Lucida Sans Unicode"/>
          <w:iCs/>
          <w:lang w:eastAsia="ar-SA"/>
        </w:rPr>
        <w:t xml:space="preserve">without creating normative and institutional framework, as well as without </w:t>
      </w:r>
      <w:r w:rsidR="00AB4E97" w:rsidRPr="00176E57">
        <w:rPr>
          <w:rFonts w:eastAsia="Lucida Sans Unicode"/>
          <w:iCs/>
          <w:lang w:eastAsia="ar-SA"/>
        </w:rPr>
        <w:t>(</w:t>
      </w:r>
      <w:r w:rsidR="005504BE" w:rsidRPr="00176E57">
        <w:rPr>
          <w:rFonts w:eastAsia="Lucida Sans Unicode"/>
          <w:iCs/>
          <w:lang w:eastAsia="ar-SA"/>
        </w:rPr>
        <w:t>3</w:t>
      </w:r>
      <w:r w:rsidR="00AB4E97" w:rsidRPr="00176E57">
        <w:rPr>
          <w:rFonts w:eastAsia="Lucida Sans Unicode"/>
          <w:iCs/>
          <w:lang w:eastAsia="ar-SA"/>
        </w:rPr>
        <w:t xml:space="preserve">) </w:t>
      </w:r>
      <w:r w:rsidR="00250156" w:rsidRPr="00176E57">
        <w:rPr>
          <w:rFonts w:eastAsia="Lucida Sans Unicode"/>
          <w:iCs/>
          <w:lang w:eastAsia="ar-SA"/>
        </w:rPr>
        <w:t xml:space="preserve">real capacity </w:t>
      </w:r>
      <w:r w:rsidR="00E67763" w:rsidRPr="00176E57">
        <w:rPr>
          <w:rFonts w:eastAsia="Lucida Sans Unicode"/>
          <w:iCs/>
          <w:lang w:eastAsia="ar-SA"/>
        </w:rPr>
        <w:t>building</w:t>
      </w:r>
      <w:r w:rsidR="00250156" w:rsidRPr="00176E57">
        <w:rPr>
          <w:rFonts w:eastAsia="Lucida Sans Unicode"/>
          <w:iCs/>
          <w:lang w:eastAsia="ar-SA"/>
        </w:rPr>
        <w:t xml:space="preserve"> of participants in social dialogue, it would not be possible to achieve key progress</w:t>
      </w:r>
      <w:r w:rsidR="00AB4E97" w:rsidRPr="00176E57">
        <w:rPr>
          <w:rFonts w:eastAsia="Lucida Sans Unicode"/>
          <w:iCs/>
          <w:lang w:eastAsia="ar-SA"/>
        </w:rPr>
        <w:t>.</w:t>
      </w:r>
    </w:p>
    <w:p w14:paraId="7ED359C2" w14:textId="77777777" w:rsidR="00667192" w:rsidRPr="00176E57" w:rsidRDefault="00667192" w:rsidP="00857E41">
      <w:pPr>
        <w:rPr>
          <w:iCs/>
        </w:rPr>
      </w:pPr>
    </w:p>
    <w:p w14:paraId="053D9DF2" w14:textId="648095E6" w:rsidR="00467B10" w:rsidRPr="00176E57" w:rsidRDefault="00250156" w:rsidP="00857E41">
      <w:pPr>
        <w:rPr>
          <w:bCs/>
          <w:iCs/>
        </w:rPr>
      </w:pPr>
      <w:r w:rsidRPr="00176E57">
        <w:rPr>
          <w:iCs/>
        </w:rPr>
        <w:t>European Framework and Perspective</w:t>
      </w:r>
    </w:p>
    <w:p w14:paraId="54604780" w14:textId="77777777" w:rsidR="00667192" w:rsidRPr="00176E57" w:rsidRDefault="00667192" w:rsidP="00857E41">
      <w:pPr>
        <w:rPr>
          <w:bCs/>
          <w:iCs/>
        </w:rPr>
      </w:pPr>
    </w:p>
    <w:p w14:paraId="0C3EDDB5" w14:textId="77777777" w:rsidR="00667192" w:rsidRPr="00176E57" w:rsidRDefault="009B3694" w:rsidP="00857E41">
      <w:pPr>
        <w:rPr>
          <w:bCs/>
          <w:iCs/>
        </w:rPr>
      </w:pPr>
      <w:r w:rsidRPr="00176E57">
        <w:rPr>
          <w:bCs/>
          <w:iCs/>
        </w:rPr>
        <w:t>The significance of the European framework is confirmed by the fact that the title of this text is taken from the call of the Presidency of the Council of the European Union on the Member States to undertake necessary steps to</w:t>
      </w:r>
      <w:r w:rsidR="00ED136D" w:rsidRPr="00176E57">
        <w:rPr>
          <w:bCs/>
          <w:iCs/>
        </w:rPr>
        <w:t>:</w:t>
      </w:r>
    </w:p>
    <w:p w14:paraId="00B97AE1" w14:textId="34037AA3" w:rsidR="00ED136D" w:rsidRPr="00176E57" w:rsidRDefault="00ED136D" w:rsidP="00857E41">
      <w:pPr>
        <w:rPr>
          <w:bCs/>
          <w:iCs/>
        </w:rPr>
      </w:pPr>
    </w:p>
    <w:p w14:paraId="3150E1AA" w14:textId="04849024" w:rsidR="00667192" w:rsidRPr="00176E57" w:rsidRDefault="009B3694" w:rsidP="00857E41">
      <w:pPr>
        <w:pStyle w:val="ListParagraph"/>
        <w:numPr>
          <w:ilvl w:val="0"/>
          <w:numId w:val="3"/>
        </w:numPr>
        <w:spacing w:after="0" w:line="288" w:lineRule="auto"/>
        <w:ind w:left="369" w:hanging="369"/>
        <w:rPr>
          <w:rFonts w:ascii="Times New Roman" w:hAnsi="Times New Roman"/>
          <w:lang w:val="en-GB"/>
        </w:rPr>
      </w:pPr>
      <w:r w:rsidRPr="00857E41">
        <w:rPr>
          <w:rFonts w:ascii="Times New Roman" w:hAnsi="Times New Roman"/>
          <w:lang w:val="en-GB"/>
        </w:rPr>
        <w:t>intensively cooperate with social partners while shaping and realizing relevant reforms and politics, in accordance with national practice</w:t>
      </w:r>
      <w:r w:rsidR="00ED136D" w:rsidRPr="00857E41">
        <w:rPr>
          <w:rFonts w:ascii="Times New Roman" w:hAnsi="Times New Roman"/>
          <w:lang w:val="en-GB"/>
        </w:rPr>
        <w:t>;</w:t>
      </w:r>
    </w:p>
    <w:p w14:paraId="6597F7E0" w14:textId="7BA6D5E0" w:rsidR="00ED136D" w:rsidRPr="00176E57" w:rsidRDefault="001A7704" w:rsidP="00857E41">
      <w:pPr>
        <w:pStyle w:val="ListParagraph"/>
        <w:numPr>
          <w:ilvl w:val="0"/>
          <w:numId w:val="3"/>
        </w:numPr>
        <w:spacing w:after="0" w:line="288" w:lineRule="auto"/>
        <w:ind w:left="369" w:hanging="369"/>
        <w:rPr>
          <w:rFonts w:ascii="Times New Roman" w:hAnsi="Times New Roman"/>
          <w:lang w:val="en-GB"/>
        </w:rPr>
      </w:pPr>
      <w:r w:rsidRPr="00857E41">
        <w:rPr>
          <w:rFonts w:ascii="Times New Roman" w:hAnsi="Times New Roman"/>
          <w:lang w:val="en-GB"/>
        </w:rPr>
        <w:t>support improved functioning of social dialogue at national level which facilitates collective bargaining and creates the required space for negotiations of social partners</w:t>
      </w:r>
      <w:r w:rsidR="00ED136D" w:rsidRPr="00857E41">
        <w:rPr>
          <w:rFonts w:ascii="Times New Roman" w:hAnsi="Times New Roman"/>
          <w:lang w:val="en-GB"/>
        </w:rPr>
        <w:t>;</w:t>
      </w:r>
    </w:p>
    <w:p w14:paraId="120D3EDE" w14:textId="4A67E0BE" w:rsidR="00ED136D" w:rsidRPr="00176E57" w:rsidRDefault="001A7704" w:rsidP="00857E41">
      <w:pPr>
        <w:pStyle w:val="ListParagraph"/>
        <w:numPr>
          <w:ilvl w:val="0"/>
          <w:numId w:val="3"/>
        </w:numPr>
        <w:spacing w:after="0" w:line="288" w:lineRule="auto"/>
        <w:ind w:left="369" w:hanging="369"/>
        <w:rPr>
          <w:rFonts w:ascii="Times New Roman" w:hAnsi="Times New Roman"/>
          <w:lang w:val="en-GB" w:eastAsia="sr-Latn-RS"/>
        </w:rPr>
      </w:pPr>
      <w:r w:rsidRPr="00176E57">
        <w:rPr>
          <w:rFonts w:ascii="Times New Roman" w:hAnsi="Times New Roman"/>
          <w:lang w:val="en-GB"/>
        </w:rPr>
        <w:t>encourage building and strengthening of social partners’ capacities through different forms of assistance, including legal and technical expertise, in order for them to become firm and representative organi</w:t>
      </w:r>
      <w:r w:rsidR="00176E57">
        <w:rPr>
          <w:rFonts w:ascii="Times New Roman" w:hAnsi="Times New Roman"/>
          <w:lang w:val="en-GB"/>
        </w:rPr>
        <w:t>s</w:t>
      </w:r>
      <w:r w:rsidRPr="00176E57">
        <w:rPr>
          <w:rFonts w:ascii="Times New Roman" w:hAnsi="Times New Roman"/>
          <w:lang w:val="en-GB"/>
        </w:rPr>
        <w:t>ations</w:t>
      </w:r>
      <w:r w:rsidR="00ED136D" w:rsidRPr="00176E57">
        <w:rPr>
          <w:rFonts w:ascii="Times New Roman" w:hAnsi="Times New Roman"/>
          <w:lang w:val="en-GB"/>
        </w:rPr>
        <w:t>.</w:t>
      </w:r>
      <w:r w:rsidR="00ED136D" w:rsidRPr="00176E57">
        <w:rPr>
          <w:rFonts w:ascii="Times New Roman" w:hAnsi="Times New Roman"/>
          <w:lang w:val="en-GB" w:eastAsia="sr-Latn-RS"/>
        </w:rPr>
        <w:t xml:space="preserve"> (New start for Social Dialogue European Commission - DG Employm</w:t>
      </w:r>
      <w:r w:rsidR="00E67763" w:rsidRPr="00176E57">
        <w:rPr>
          <w:rFonts w:ascii="Times New Roman" w:hAnsi="Times New Roman"/>
          <w:lang w:val="en-GB" w:eastAsia="sr-Latn-RS"/>
        </w:rPr>
        <w:t>ent, Social Affairs &amp; Inclusion</w:t>
      </w:r>
      <w:r w:rsidR="00ED136D" w:rsidRPr="00176E57">
        <w:rPr>
          <w:rFonts w:ascii="Times New Roman" w:hAnsi="Times New Roman"/>
          <w:lang w:val="en-GB" w:eastAsia="sr-Latn-RS"/>
        </w:rPr>
        <w:t xml:space="preserve"> </w:t>
      </w:r>
      <w:hyperlink r:id="rId11" w:tgtFrame="_blank" w:history="1">
        <w:r w:rsidR="00ED136D" w:rsidRPr="00176E57">
          <w:rPr>
            <w:rStyle w:val="Hyperlink"/>
            <w:rFonts w:ascii="Times New Roman" w:hAnsi="Times New Roman"/>
            <w:iCs/>
            <w:lang w:val="en-GB" w:eastAsia="sr-Latn-RS"/>
          </w:rPr>
          <w:t>http://ec.europa.eu/social/main.jsp?catId=738&amp;langId=en&amp;pubId=7918&amp;furtherPubs=yes</w:t>
        </w:r>
      </w:hyperlink>
      <w:r w:rsidR="00ED136D" w:rsidRPr="00176E57">
        <w:rPr>
          <w:rFonts w:ascii="Times New Roman" w:hAnsi="Times New Roman"/>
          <w:lang w:val="en-GB" w:eastAsia="sr-Latn-RS"/>
        </w:rPr>
        <w:t>)</w:t>
      </w:r>
    </w:p>
    <w:p w14:paraId="6B32EDB8" w14:textId="77777777" w:rsidR="00667192" w:rsidRPr="00176E57" w:rsidRDefault="00667192" w:rsidP="00857E41">
      <w:pPr>
        <w:pStyle w:val="ListParagraph"/>
        <w:spacing w:after="0" w:line="288" w:lineRule="auto"/>
        <w:rPr>
          <w:rFonts w:ascii="Times New Roman" w:hAnsi="Times New Roman"/>
          <w:lang w:val="en-GB" w:eastAsia="sr-Latn-RS"/>
        </w:rPr>
      </w:pPr>
    </w:p>
    <w:p w14:paraId="2131931B" w14:textId="066D4983" w:rsidR="00ED136D" w:rsidRPr="00176E57" w:rsidRDefault="00796AC0" w:rsidP="00857E41">
      <w:pPr>
        <w:rPr>
          <w:iCs/>
          <w:lang w:eastAsia="sr-Latn-RS"/>
        </w:rPr>
      </w:pPr>
      <w:r w:rsidRPr="00176E57">
        <w:rPr>
          <w:iCs/>
        </w:rPr>
        <w:t>Another key document for the development of social dialogue is the appeal to EU leaders</w:t>
      </w:r>
      <w:r w:rsidR="00ED136D" w:rsidRPr="00176E57">
        <w:rPr>
          <w:bCs/>
          <w:iCs/>
          <w:kern w:val="36"/>
          <w:lang w:eastAsia="sr-Latn-RS"/>
        </w:rPr>
        <w:t xml:space="preserve">: </w:t>
      </w:r>
      <w:r w:rsidRPr="00176E57">
        <w:rPr>
          <w:bCs/>
          <w:iCs/>
          <w:kern w:val="36"/>
          <w:lang w:eastAsia="sr-Latn-RS"/>
        </w:rPr>
        <w:t>The Europe we want: Just, Sustainable, Democratic and Inclusive</w:t>
      </w:r>
      <w:r w:rsidR="001A7704" w:rsidRPr="00176E57">
        <w:rPr>
          <w:bCs/>
          <w:iCs/>
          <w:kern w:val="36"/>
          <w:lang w:eastAsia="sr-Latn-RS"/>
        </w:rPr>
        <w:t xml:space="preserve">, </w:t>
      </w:r>
      <w:r w:rsidRPr="00176E57">
        <w:rPr>
          <w:bCs/>
          <w:iCs/>
          <w:kern w:val="36"/>
          <w:lang w:eastAsia="sr-Latn-RS"/>
        </w:rPr>
        <w:t xml:space="preserve">of March </w:t>
      </w:r>
      <w:r w:rsidR="00ED136D" w:rsidRPr="00176E57">
        <w:rPr>
          <w:iCs/>
          <w:lang w:eastAsia="sr-Latn-RS"/>
        </w:rPr>
        <w:t>2017</w:t>
      </w:r>
      <w:r w:rsidRPr="00176E57">
        <w:rPr>
          <w:iCs/>
          <w:lang w:eastAsia="sr-Latn-RS"/>
        </w:rPr>
        <w:t xml:space="preserve"> which was sent to European officials by </w:t>
      </w:r>
      <w:r w:rsidR="00ED136D" w:rsidRPr="00176E57">
        <w:rPr>
          <w:iCs/>
          <w:lang w:eastAsia="sr-Latn-RS"/>
        </w:rPr>
        <w:t xml:space="preserve">ETUC </w:t>
      </w:r>
      <w:r w:rsidRPr="00176E57">
        <w:rPr>
          <w:iCs/>
          <w:lang w:eastAsia="sr-Latn-RS"/>
        </w:rPr>
        <w:t>and European civil society associations on the occasion of six decades of European integration</w:t>
      </w:r>
      <w:r w:rsidR="00ED136D" w:rsidRPr="00176E57">
        <w:rPr>
          <w:iCs/>
          <w:lang w:eastAsia="sr-Latn-RS"/>
        </w:rPr>
        <w:t>.</w:t>
      </w:r>
      <w:r w:rsidR="004F78E0" w:rsidRPr="00176E57">
        <w:rPr>
          <w:iCs/>
          <w:lang w:eastAsia="sr-Latn-RS"/>
        </w:rPr>
        <w:t xml:space="preserve"> </w:t>
      </w:r>
      <w:r w:rsidRPr="00176E57">
        <w:rPr>
          <w:iCs/>
          <w:lang w:eastAsia="sr-Latn-RS"/>
        </w:rPr>
        <w:t>Civil society actors demanded</w:t>
      </w:r>
      <w:r w:rsidR="00ED136D" w:rsidRPr="00176E57">
        <w:rPr>
          <w:iCs/>
          <w:lang w:eastAsia="sr-Latn-RS"/>
        </w:rPr>
        <w:t>:</w:t>
      </w:r>
    </w:p>
    <w:p w14:paraId="29A9D007" w14:textId="77777777" w:rsidR="00667192" w:rsidRPr="00176E57" w:rsidRDefault="00667192" w:rsidP="00857E41">
      <w:pPr>
        <w:rPr>
          <w:iCs/>
        </w:rPr>
      </w:pPr>
    </w:p>
    <w:p w14:paraId="05E53F17" w14:textId="5A81B4F8" w:rsidR="00ED136D" w:rsidRPr="00176E57" w:rsidRDefault="00796AC0" w:rsidP="00857E41">
      <w:pPr>
        <w:pStyle w:val="ListParagraph"/>
        <w:numPr>
          <w:ilvl w:val="0"/>
          <w:numId w:val="5"/>
        </w:numPr>
        <w:spacing w:after="0" w:line="288" w:lineRule="auto"/>
        <w:ind w:left="369" w:hanging="369"/>
        <w:rPr>
          <w:rFonts w:ascii="Times New Roman" w:hAnsi="Times New Roman"/>
          <w:lang w:val="en-GB"/>
        </w:rPr>
      </w:pPr>
      <w:r w:rsidRPr="00857E41">
        <w:rPr>
          <w:rFonts w:ascii="Times New Roman" w:hAnsi="Times New Roman"/>
          <w:lang w:val="en-GB"/>
        </w:rPr>
        <w:t>The delivery of the 2030 Agenda for Sustainable Development, by putting the Sustainable Development Goals and the principles that underpin it at the core of EU and national policy-making</w:t>
      </w:r>
      <w:r w:rsidR="00ED136D" w:rsidRPr="00857E41">
        <w:rPr>
          <w:rFonts w:ascii="Times New Roman" w:hAnsi="Times New Roman"/>
          <w:lang w:val="en-GB"/>
        </w:rPr>
        <w:t>;</w:t>
      </w:r>
    </w:p>
    <w:p w14:paraId="72B14B78" w14:textId="3D087220" w:rsidR="00667192" w:rsidRPr="00176E57" w:rsidRDefault="00796AC0" w:rsidP="00857E41">
      <w:pPr>
        <w:pStyle w:val="ListParagraph"/>
        <w:numPr>
          <w:ilvl w:val="0"/>
          <w:numId w:val="5"/>
        </w:numPr>
        <w:spacing w:after="0" w:line="288" w:lineRule="auto"/>
        <w:ind w:left="369" w:hanging="369"/>
        <w:rPr>
          <w:rFonts w:ascii="Times New Roman" w:hAnsi="Times New Roman"/>
          <w:lang w:val="en-GB"/>
        </w:rPr>
      </w:pPr>
      <w:r w:rsidRPr="00857E41">
        <w:rPr>
          <w:rFonts w:ascii="Times New Roman" w:hAnsi="Times New Roman"/>
          <w:lang w:val="en-GB"/>
        </w:rPr>
        <w:t>A just transition for workers and industrial regions from the current economic model to a modern, vibrant, green and socially just economy in which our human and natural capital is cherished</w:t>
      </w:r>
      <w:r w:rsidR="00ED136D" w:rsidRPr="00857E41">
        <w:rPr>
          <w:rFonts w:ascii="Times New Roman" w:hAnsi="Times New Roman"/>
          <w:lang w:val="en-GB"/>
        </w:rPr>
        <w:t>;</w:t>
      </w:r>
    </w:p>
    <w:p w14:paraId="26B9B28D" w14:textId="080EFBE9" w:rsidR="00667192" w:rsidRPr="00176E57" w:rsidRDefault="00796AC0" w:rsidP="00857E41">
      <w:pPr>
        <w:pStyle w:val="ListParagraph"/>
        <w:numPr>
          <w:ilvl w:val="0"/>
          <w:numId w:val="5"/>
        </w:numPr>
        <w:spacing w:after="0" w:line="288" w:lineRule="auto"/>
        <w:ind w:left="369" w:hanging="369"/>
        <w:rPr>
          <w:rFonts w:ascii="Times New Roman" w:hAnsi="Times New Roman"/>
          <w:lang w:val="en-GB"/>
        </w:rPr>
      </w:pPr>
      <w:r w:rsidRPr="00857E41">
        <w:rPr>
          <w:rFonts w:ascii="Times New Roman" w:hAnsi="Times New Roman"/>
          <w:lang w:val="en-GB"/>
        </w:rPr>
        <w:t>A European Social Model that provides full protection to all workers, all consumers and all people living in the EU; one that reverses the wealth gap and reduces poverty and social exclusion</w:t>
      </w:r>
      <w:r w:rsidR="00ED136D" w:rsidRPr="00857E41">
        <w:rPr>
          <w:rFonts w:ascii="Times New Roman" w:hAnsi="Times New Roman"/>
          <w:lang w:val="en-GB"/>
        </w:rPr>
        <w:t>;</w:t>
      </w:r>
    </w:p>
    <w:p w14:paraId="3B537F74" w14:textId="77777777" w:rsidR="00667192" w:rsidRPr="00176E57" w:rsidRDefault="00796AC0" w:rsidP="00857E41">
      <w:pPr>
        <w:pStyle w:val="ListParagraph"/>
        <w:numPr>
          <w:ilvl w:val="0"/>
          <w:numId w:val="5"/>
        </w:numPr>
        <w:spacing w:after="0" w:line="288" w:lineRule="auto"/>
        <w:ind w:left="369" w:hanging="369"/>
        <w:rPr>
          <w:rFonts w:ascii="Times New Roman" w:hAnsi="Times New Roman"/>
          <w:lang w:val="en-GB" w:eastAsia="sr-Latn-RS"/>
        </w:rPr>
      </w:pPr>
      <w:r w:rsidRPr="00176E57">
        <w:rPr>
          <w:rFonts w:ascii="Times New Roman" w:hAnsi="Times New Roman"/>
          <w:lang w:val="en-GB"/>
        </w:rPr>
        <w:lastRenderedPageBreak/>
        <w:t xml:space="preserve">A European Union with a strong social rights pillar, which ensures quality employment and fair pay </w:t>
      </w:r>
      <w:r w:rsidR="00ED136D" w:rsidRPr="00176E57">
        <w:rPr>
          <w:rFonts w:ascii="Times New Roman" w:hAnsi="Times New Roman"/>
          <w:lang w:val="en-GB"/>
        </w:rPr>
        <w:t>(The Europe we want: Just, S</w:t>
      </w:r>
      <w:r w:rsidR="00ED136D" w:rsidRPr="00176E57">
        <w:rPr>
          <w:rFonts w:ascii="Times New Roman" w:hAnsi="Times New Roman"/>
          <w:lang w:val="en-GB" w:eastAsia="sr-Latn-RS"/>
        </w:rPr>
        <w:t xml:space="preserve">ustainable, Democratic and </w:t>
      </w:r>
      <w:r w:rsidR="00AF231B" w:rsidRPr="00176E57">
        <w:rPr>
          <w:rFonts w:ascii="Times New Roman" w:hAnsi="Times New Roman"/>
          <w:lang w:val="en-GB" w:eastAsia="sr-Latn-RS"/>
        </w:rPr>
        <w:t>Inclusive 02.03.2017</w:t>
      </w:r>
      <w:r w:rsidR="00ED136D" w:rsidRPr="00176E57">
        <w:rPr>
          <w:rFonts w:ascii="Times New Roman" w:hAnsi="Times New Roman"/>
          <w:lang w:val="en-GB" w:eastAsia="sr-Latn-RS"/>
        </w:rPr>
        <w:t>).</w:t>
      </w:r>
    </w:p>
    <w:p w14:paraId="22108894" w14:textId="41E2DBA8" w:rsidR="00ED136D" w:rsidRPr="00176E57" w:rsidRDefault="00ED136D" w:rsidP="00857E41">
      <w:pPr>
        <w:pStyle w:val="ListParagraph"/>
        <w:spacing w:after="0" w:line="288" w:lineRule="auto"/>
        <w:ind w:left="0"/>
        <w:rPr>
          <w:rFonts w:ascii="Times New Roman" w:hAnsi="Times New Roman"/>
          <w:lang w:val="en-GB" w:eastAsia="sr-Latn-RS"/>
        </w:rPr>
      </w:pPr>
    </w:p>
    <w:p w14:paraId="32E8F22F" w14:textId="371196D8" w:rsidR="00667192" w:rsidRPr="00176E57" w:rsidRDefault="00452BF6" w:rsidP="00857E41">
      <w:pPr>
        <w:rPr>
          <w:iCs/>
        </w:rPr>
      </w:pPr>
      <w:r w:rsidRPr="00176E57">
        <w:rPr>
          <w:iCs/>
        </w:rPr>
        <w:t xml:space="preserve">In such occasions, the focus is precisely on </w:t>
      </w:r>
      <w:r w:rsidRPr="00176E57">
        <w:rPr>
          <w:b/>
          <w:iCs/>
        </w:rPr>
        <w:t xml:space="preserve">European Pillar of </w:t>
      </w:r>
      <w:r w:rsidR="00A8014E" w:rsidRPr="00176E57">
        <w:rPr>
          <w:b/>
          <w:iCs/>
        </w:rPr>
        <w:t>Social R</w:t>
      </w:r>
      <w:r w:rsidRPr="00176E57">
        <w:rPr>
          <w:b/>
          <w:iCs/>
        </w:rPr>
        <w:t>ights</w:t>
      </w:r>
      <w:r w:rsidR="00ED136D" w:rsidRPr="00176E57">
        <w:rPr>
          <w:iCs/>
        </w:rPr>
        <w:t xml:space="preserve">. </w:t>
      </w:r>
      <w:r w:rsidRPr="00176E57">
        <w:rPr>
          <w:iCs/>
        </w:rPr>
        <w:t xml:space="preserve">The communication of the European Commission of April </w:t>
      </w:r>
      <w:r w:rsidR="00ED136D" w:rsidRPr="00176E57">
        <w:rPr>
          <w:iCs/>
        </w:rPr>
        <w:t>2017</w:t>
      </w:r>
      <w:r w:rsidRPr="00176E57">
        <w:rPr>
          <w:iCs/>
        </w:rPr>
        <w:t xml:space="preserve"> contains 20 principles and rights grouped in three categories</w:t>
      </w:r>
      <w:r w:rsidR="00ED136D" w:rsidRPr="00176E57">
        <w:rPr>
          <w:iCs/>
        </w:rPr>
        <w:t>: (1)</w:t>
      </w:r>
      <w:r w:rsidR="00251AF7" w:rsidRPr="00176E57">
        <w:rPr>
          <w:iCs/>
        </w:rPr>
        <w:t xml:space="preserve"> </w:t>
      </w:r>
      <w:r w:rsidRPr="00176E57">
        <w:rPr>
          <w:iCs/>
        </w:rPr>
        <w:t xml:space="preserve">equal opportunities and access to the labour market, which includes gender equality, lifelong learning and active </w:t>
      </w:r>
      <w:r w:rsidR="009A33EE" w:rsidRPr="00176E57">
        <w:rPr>
          <w:iCs/>
        </w:rPr>
        <w:t>support for employment</w:t>
      </w:r>
      <w:r w:rsidR="00667192" w:rsidRPr="00176E57">
        <w:rPr>
          <w:iCs/>
        </w:rPr>
        <w:t xml:space="preserve">, (2) </w:t>
      </w:r>
      <w:r w:rsidR="009A33EE" w:rsidRPr="00176E57">
        <w:rPr>
          <w:iCs/>
        </w:rPr>
        <w:t>fair working conditions</w:t>
      </w:r>
      <w:r w:rsidR="00ED136D" w:rsidRPr="00176E57">
        <w:rPr>
          <w:iCs/>
        </w:rPr>
        <w:t>,</w:t>
      </w:r>
      <w:r w:rsidR="009A33EE" w:rsidRPr="00176E57">
        <w:rPr>
          <w:iCs/>
        </w:rPr>
        <w:t xml:space="preserve"> with emphasis on decent wage, safety of work and life, work-life balance, i.e. decent work, social dialogue and collective bargaining, and</w:t>
      </w:r>
      <w:r w:rsidR="00ED136D" w:rsidRPr="00176E57">
        <w:rPr>
          <w:iCs/>
        </w:rPr>
        <w:t xml:space="preserve"> (3)</w:t>
      </w:r>
      <w:r w:rsidR="009A33EE" w:rsidRPr="00176E57">
        <w:rPr>
          <w:iCs/>
        </w:rPr>
        <w:t xml:space="preserve"> social protection and inclusion, which includes the universal right to minimum income</w:t>
      </w:r>
      <w:r w:rsidR="00ED136D" w:rsidRPr="00176E57">
        <w:rPr>
          <w:iCs/>
        </w:rPr>
        <w:t xml:space="preserve"> (European Pillar of Social Rights, European Commission, Publication Office, 2017: 10-18).</w:t>
      </w:r>
    </w:p>
    <w:p w14:paraId="6F544DCF" w14:textId="38D4BC01" w:rsidR="00ED136D" w:rsidRPr="00176E57" w:rsidRDefault="00ED136D" w:rsidP="00857E41">
      <w:pPr>
        <w:rPr>
          <w:iCs/>
        </w:rPr>
      </w:pPr>
    </w:p>
    <w:p w14:paraId="06346A1C" w14:textId="77777777" w:rsidR="00667192" w:rsidRPr="00176E57" w:rsidRDefault="00362930" w:rsidP="00857E41">
      <w:pPr>
        <w:rPr>
          <w:iCs/>
        </w:rPr>
      </w:pPr>
      <w:r w:rsidRPr="00176E57">
        <w:rPr>
          <w:iCs/>
        </w:rPr>
        <w:t xml:space="preserve">The document, which was signed by the Council of the European Union, European Commission and Parliament at the Social Summit in Gothenburg, Sweden in November </w:t>
      </w:r>
      <w:r w:rsidR="00ED136D" w:rsidRPr="00176E57">
        <w:rPr>
          <w:iCs/>
        </w:rPr>
        <w:t>2017</w:t>
      </w:r>
      <w:r w:rsidRPr="00176E57">
        <w:rPr>
          <w:iCs/>
        </w:rPr>
        <w:t xml:space="preserve">, contain a </w:t>
      </w:r>
      <w:r w:rsidR="00A8014E" w:rsidRPr="00176E57">
        <w:rPr>
          <w:iCs/>
        </w:rPr>
        <w:t>position that the purpose of social protection is to make the system adequate, sustainable and in respect of intergenerational fairness</w:t>
      </w:r>
      <w:r w:rsidR="00ED136D" w:rsidRPr="00176E57">
        <w:rPr>
          <w:iCs/>
        </w:rPr>
        <w:t>.</w:t>
      </w:r>
    </w:p>
    <w:p w14:paraId="1039F94F" w14:textId="543D3C8B" w:rsidR="00ED136D" w:rsidRPr="00176E57" w:rsidRDefault="00ED136D" w:rsidP="00857E41">
      <w:pPr>
        <w:rPr>
          <w:iCs/>
          <w:lang w:eastAsia="sr-Latn-RS"/>
        </w:rPr>
      </w:pPr>
    </w:p>
    <w:p w14:paraId="241DCF64" w14:textId="77777777" w:rsidR="00667192" w:rsidRPr="00176E57" w:rsidRDefault="00A8014E" w:rsidP="00857E41">
      <w:pPr>
        <w:rPr>
          <w:iCs/>
        </w:rPr>
      </w:pPr>
      <w:r w:rsidRPr="00176E57">
        <w:rPr>
          <w:iCs/>
        </w:rPr>
        <w:t>European Trade Union Confederation, by insisting on the adoption of the Action Plan and constant monitoring of the realization of the goal</w:t>
      </w:r>
      <w:r w:rsidR="00266EBC" w:rsidRPr="00176E57">
        <w:rPr>
          <w:iCs/>
        </w:rPr>
        <w:t>s</w:t>
      </w:r>
      <w:r w:rsidRPr="00176E57">
        <w:rPr>
          <w:iCs/>
        </w:rPr>
        <w:t xml:space="preserve"> contained in the European Pillar of Social Rights</w:t>
      </w:r>
      <w:r w:rsidR="00ED136D" w:rsidRPr="00176E57">
        <w:rPr>
          <w:iCs/>
        </w:rPr>
        <w:t>,</w:t>
      </w:r>
      <w:r w:rsidR="00266EBC" w:rsidRPr="00176E57">
        <w:rPr>
          <w:iCs/>
        </w:rPr>
        <w:t xml:space="preserve"> and with its demand for the European Semester to grow from an economic to an economic and social one</w:t>
      </w:r>
      <w:r w:rsidR="00ED136D" w:rsidRPr="00176E57">
        <w:rPr>
          <w:iCs/>
        </w:rPr>
        <w:t>,</w:t>
      </w:r>
      <w:r w:rsidR="00266EBC" w:rsidRPr="00176E57">
        <w:rPr>
          <w:iCs/>
        </w:rPr>
        <w:t xml:space="preserve"> strives to prevent the situation in which this document remains but a political proclamation</w:t>
      </w:r>
      <w:r w:rsidR="00964E10" w:rsidRPr="00176E57">
        <w:rPr>
          <w:iCs/>
        </w:rPr>
        <w:t>.</w:t>
      </w:r>
      <w:bookmarkStart w:id="1" w:name="_Hlk20196954"/>
    </w:p>
    <w:p w14:paraId="1DFB8CFA" w14:textId="4C487397" w:rsidR="00ED136D" w:rsidRPr="00176E57" w:rsidRDefault="00ED136D" w:rsidP="00857E41">
      <w:pPr>
        <w:rPr>
          <w:iCs/>
          <w:lang w:eastAsia="sr-Latn-RS"/>
        </w:rPr>
      </w:pPr>
    </w:p>
    <w:bookmarkEnd w:id="1"/>
    <w:p w14:paraId="565C0FF6" w14:textId="6C76DE3C" w:rsidR="00ED136D" w:rsidRPr="00176E57" w:rsidRDefault="000D686D" w:rsidP="00857E41">
      <w:pPr>
        <w:keepNext/>
        <w:rPr>
          <w:iCs/>
        </w:rPr>
      </w:pPr>
      <w:r w:rsidRPr="00176E57">
        <w:rPr>
          <w:iCs/>
        </w:rPr>
        <w:t>Messages and Lessons for Serbia</w:t>
      </w:r>
    </w:p>
    <w:p w14:paraId="59B82636" w14:textId="77777777" w:rsidR="00667192" w:rsidRPr="00176E57" w:rsidRDefault="00667192" w:rsidP="00857E41">
      <w:pPr>
        <w:keepNext/>
        <w:rPr>
          <w:iCs/>
          <w:lang w:eastAsia="sr-Latn-RS"/>
        </w:rPr>
      </w:pPr>
    </w:p>
    <w:p w14:paraId="54EAF671" w14:textId="59F48992" w:rsidR="00ED136D" w:rsidRPr="00176E57" w:rsidRDefault="00A92A1A" w:rsidP="00857E41">
      <w:pPr>
        <w:rPr>
          <w:iCs/>
        </w:rPr>
      </w:pPr>
      <w:r w:rsidRPr="00176E57">
        <w:rPr>
          <w:iCs/>
        </w:rPr>
        <w:t>In the public sphere of Serbia, no one is openly challenging the values of social dialogue and social cohesion</w:t>
      </w:r>
      <w:r w:rsidR="00ED136D" w:rsidRPr="00176E57">
        <w:rPr>
          <w:iCs/>
        </w:rPr>
        <w:t>.</w:t>
      </w:r>
      <w:r w:rsidRPr="00176E57">
        <w:rPr>
          <w:iCs/>
        </w:rPr>
        <w:t xml:space="preserve"> Institutionally, they are part of the official policy, primarily via Chapter 19 in the accession negotiations between Serbia and EU</w:t>
      </w:r>
      <w:r w:rsidR="00ED136D" w:rsidRPr="00176E57">
        <w:rPr>
          <w:iCs/>
        </w:rPr>
        <w:t>.</w:t>
      </w:r>
    </w:p>
    <w:p w14:paraId="154E86D9" w14:textId="77777777" w:rsidR="00667192" w:rsidRPr="00176E57" w:rsidRDefault="00667192" w:rsidP="00857E41">
      <w:pPr>
        <w:rPr>
          <w:iCs/>
        </w:rPr>
      </w:pPr>
    </w:p>
    <w:p w14:paraId="0E8A8D59" w14:textId="3ECCD90B" w:rsidR="00ED136D" w:rsidRPr="00176E57" w:rsidRDefault="00A92A1A" w:rsidP="00857E41">
      <w:pPr>
        <w:tabs>
          <w:tab w:val="left" w:pos="0"/>
        </w:tabs>
        <w:suppressAutoHyphens/>
        <w:rPr>
          <w:rFonts w:eastAsia="Lucida Sans Unicode"/>
          <w:iCs/>
          <w:lang w:eastAsia="ar-SA"/>
        </w:rPr>
      </w:pPr>
      <w:r w:rsidRPr="00176E57">
        <w:rPr>
          <w:rFonts w:eastAsia="Lucida Sans Unicode"/>
          <w:iCs/>
          <w:lang w:eastAsia="ar-SA"/>
        </w:rPr>
        <w:t xml:space="preserve">Chapter 19 is focused on the functioning of social dialogue, and particularly on </w:t>
      </w:r>
      <w:r w:rsidR="00F407E3" w:rsidRPr="00176E57">
        <w:rPr>
          <w:rFonts w:eastAsia="Lucida Sans Unicode"/>
          <w:iCs/>
          <w:lang w:eastAsia="ar-SA"/>
        </w:rPr>
        <w:t>general le</w:t>
      </w:r>
      <w:r w:rsidRPr="00176E57">
        <w:rPr>
          <w:rFonts w:eastAsia="Lucida Sans Unicode"/>
          <w:iCs/>
          <w:lang w:eastAsia="ar-SA"/>
        </w:rPr>
        <w:t>gal framework for trade unions and employers’</w:t>
      </w:r>
      <w:r w:rsidR="00F407E3" w:rsidRPr="00176E57">
        <w:rPr>
          <w:rFonts w:eastAsia="Lucida Sans Unicode"/>
          <w:iCs/>
          <w:lang w:eastAsia="ar-SA"/>
        </w:rPr>
        <w:t xml:space="preserve"> organi</w:t>
      </w:r>
      <w:r w:rsidR="00176E57">
        <w:rPr>
          <w:rFonts w:eastAsia="Lucida Sans Unicode"/>
          <w:iCs/>
          <w:lang w:eastAsia="ar-SA"/>
        </w:rPr>
        <w:t>s</w:t>
      </w:r>
      <w:r w:rsidR="00F407E3" w:rsidRPr="00176E57">
        <w:rPr>
          <w:rFonts w:eastAsia="Lucida Sans Unicode"/>
          <w:iCs/>
          <w:lang w:eastAsia="ar-SA"/>
        </w:rPr>
        <w:t>ations, including the rights to organi</w:t>
      </w:r>
      <w:r w:rsidR="00176E57">
        <w:rPr>
          <w:rFonts w:eastAsia="Lucida Sans Unicode"/>
          <w:iCs/>
          <w:lang w:eastAsia="ar-SA"/>
        </w:rPr>
        <w:t>s</w:t>
      </w:r>
      <w:r w:rsidR="00F407E3" w:rsidRPr="00176E57">
        <w:rPr>
          <w:rFonts w:eastAsia="Lucida Sans Unicode"/>
          <w:iCs/>
          <w:lang w:eastAsia="ar-SA"/>
        </w:rPr>
        <w:t xml:space="preserve">e, collective bargaining and strike, </w:t>
      </w:r>
      <w:r w:rsidR="00331500" w:rsidRPr="00176E57">
        <w:rPr>
          <w:rFonts w:eastAsia="Lucida Sans Unicode"/>
          <w:iCs/>
          <w:lang w:eastAsia="ar-SA"/>
        </w:rPr>
        <w:t>tripartite consultation mechanisms, including economic and social councils</w:t>
      </w:r>
      <w:r w:rsidR="00ED136D" w:rsidRPr="00176E57">
        <w:rPr>
          <w:rFonts w:eastAsia="Lucida Sans Unicode"/>
          <w:iCs/>
          <w:lang w:eastAsia="ar-SA"/>
        </w:rPr>
        <w:t xml:space="preserve">, </w:t>
      </w:r>
      <w:r w:rsidR="00331500" w:rsidRPr="00176E57">
        <w:rPr>
          <w:rFonts w:eastAsia="Lucida Sans Unicode"/>
          <w:iCs/>
          <w:lang w:eastAsia="ar-SA"/>
        </w:rPr>
        <w:t>with the basic aim to include social partners in the creation and imple</w:t>
      </w:r>
      <w:r w:rsidR="00E67763" w:rsidRPr="00176E57">
        <w:rPr>
          <w:rFonts w:eastAsia="Lucida Sans Unicode"/>
          <w:iCs/>
          <w:lang w:eastAsia="ar-SA"/>
        </w:rPr>
        <w:t>me</w:t>
      </w:r>
      <w:r w:rsidR="00331500" w:rsidRPr="00176E57">
        <w:rPr>
          <w:rFonts w:eastAsia="Lucida Sans Unicode"/>
          <w:iCs/>
          <w:lang w:eastAsia="ar-SA"/>
        </w:rPr>
        <w:t>ntation of laws, and creation and evaluation of economic and social circumstances</w:t>
      </w:r>
      <w:r w:rsidRPr="00857E41">
        <w:rPr>
          <w:rFonts w:eastAsia="Lucida Sans Unicode"/>
          <w:iCs/>
          <w:vertAlign w:val="superscript"/>
          <w:lang w:eastAsia="ar-SA"/>
        </w:rPr>
        <w:footnoteReference w:id="1"/>
      </w:r>
      <w:r w:rsidR="00E310E5" w:rsidRPr="00176E57">
        <w:rPr>
          <w:rFonts w:eastAsia="Lucida Sans Unicode"/>
          <w:iCs/>
          <w:lang w:eastAsia="ar-SA"/>
        </w:rPr>
        <w:t>.</w:t>
      </w:r>
    </w:p>
    <w:p w14:paraId="2B2B637E" w14:textId="77777777" w:rsidR="00667192" w:rsidRPr="00176E57" w:rsidRDefault="00667192" w:rsidP="00857E41">
      <w:pPr>
        <w:tabs>
          <w:tab w:val="left" w:pos="0"/>
        </w:tabs>
        <w:suppressAutoHyphens/>
        <w:rPr>
          <w:rFonts w:eastAsia="Lucida Sans Unicode"/>
          <w:iCs/>
          <w:lang w:eastAsia="ar-SA"/>
        </w:rPr>
      </w:pPr>
    </w:p>
    <w:p w14:paraId="348057C7" w14:textId="53AF4CBE" w:rsidR="00667192" w:rsidRPr="00176E57" w:rsidRDefault="00331500" w:rsidP="00857E41">
      <w:pPr>
        <w:autoSpaceDE w:val="0"/>
        <w:autoSpaceDN w:val="0"/>
        <w:adjustRightInd w:val="0"/>
        <w:rPr>
          <w:rFonts w:eastAsia="MyriadPro-BoldCond"/>
          <w:b/>
          <w:bCs/>
          <w:iCs/>
        </w:rPr>
      </w:pPr>
      <w:r w:rsidRPr="00176E57">
        <w:rPr>
          <w:rFonts w:eastAsia="MyriadPro-BoldCond"/>
          <w:b/>
          <w:bCs/>
          <w:iCs/>
        </w:rPr>
        <w:t>Challenges</w:t>
      </w:r>
    </w:p>
    <w:p w14:paraId="6AFA54FD" w14:textId="071FF563" w:rsidR="00805EFA" w:rsidRPr="00176E57" w:rsidRDefault="00805EFA" w:rsidP="00857E41">
      <w:pPr>
        <w:autoSpaceDE w:val="0"/>
        <w:autoSpaceDN w:val="0"/>
        <w:adjustRightInd w:val="0"/>
        <w:rPr>
          <w:rFonts w:eastAsia="MyriadPro-BoldCond"/>
          <w:b/>
          <w:bCs/>
          <w:iCs/>
        </w:rPr>
      </w:pPr>
    </w:p>
    <w:p w14:paraId="08A48D59" w14:textId="70157AB4" w:rsidR="00667192" w:rsidRPr="00176E57" w:rsidRDefault="00AA3A6E" w:rsidP="00857E41">
      <w:pPr>
        <w:suppressAutoHyphens/>
        <w:rPr>
          <w:rFonts w:eastAsia="Lucida Sans Unicode"/>
          <w:iCs/>
          <w:lang w:eastAsia="ar-SA"/>
        </w:rPr>
      </w:pPr>
      <w:r w:rsidRPr="00176E57">
        <w:rPr>
          <w:rFonts w:eastAsia="Calibri"/>
          <w:iCs/>
          <w:lang w:eastAsia="ar-SA"/>
        </w:rPr>
        <w:t>At the same time</w:t>
      </w:r>
      <w:r w:rsidR="00ED136D" w:rsidRPr="00176E57">
        <w:rPr>
          <w:rFonts w:eastAsia="Calibri"/>
          <w:iCs/>
          <w:lang w:eastAsia="ar-SA"/>
        </w:rPr>
        <w:t xml:space="preserve">, </w:t>
      </w:r>
      <w:r w:rsidRPr="00176E57">
        <w:rPr>
          <w:rFonts w:eastAsia="Calibri"/>
          <w:iCs/>
          <w:lang w:eastAsia="ar-SA"/>
        </w:rPr>
        <w:t>the entire functioning of tripartite consultations within which a development strategy should be formulated is in permanent crisis</w:t>
      </w:r>
      <w:r w:rsidR="00ED136D" w:rsidRPr="00176E57">
        <w:rPr>
          <w:rFonts w:eastAsia="Calibri"/>
          <w:iCs/>
          <w:lang w:eastAsia="ar-SA"/>
        </w:rPr>
        <w:t xml:space="preserve">. </w:t>
      </w:r>
      <w:r w:rsidRPr="00176E57">
        <w:rPr>
          <w:rFonts w:eastAsia="Calibri"/>
          <w:iCs/>
          <w:lang w:eastAsia="ar-SA"/>
        </w:rPr>
        <w:t>Mutual mistrust of social partners is reflected in non-functional social dialogue at national level, and its negligibly small presence in lower instances of authority</w:t>
      </w:r>
      <w:r w:rsidR="00ED136D" w:rsidRPr="00176E57">
        <w:rPr>
          <w:rFonts w:eastAsia="Calibri"/>
          <w:iCs/>
          <w:lang w:eastAsia="ar-SA"/>
        </w:rPr>
        <w:t xml:space="preserve">. </w:t>
      </w:r>
      <w:r w:rsidRPr="00176E57">
        <w:rPr>
          <w:rFonts w:eastAsia="Calibri"/>
          <w:iCs/>
          <w:lang w:eastAsia="ar-SA"/>
        </w:rPr>
        <w:t xml:space="preserve">Instead of a system and network of bodies for participation and dialogue, we practically have just a head without developed (sectoral, regional and local) </w:t>
      </w:r>
      <w:r w:rsidR="00176E57" w:rsidRPr="00176E57">
        <w:rPr>
          <w:rFonts w:eastAsia="Calibri"/>
          <w:iCs/>
          <w:lang w:eastAsia="ar-SA"/>
        </w:rPr>
        <w:t>torso</w:t>
      </w:r>
      <w:r w:rsidRPr="00176E57">
        <w:rPr>
          <w:rFonts w:eastAsia="Calibri"/>
          <w:iCs/>
          <w:lang w:eastAsia="ar-SA"/>
        </w:rPr>
        <w:t xml:space="preserve"> and limbs</w:t>
      </w:r>
      <w:r w:rsidR="00ED136D" w:rsidRPr="00176E57">
        <w:rPr>
          <w:rFonts w:eastAsia="Lucida Sans Unicode"/>
          <w:iCs/>
          <w:lang w:eastAsia="ar-SA"/>
        </w:rPr>
        <w:t>.</w:t>
      </w:r>
    </w:p>
    <w:p w14:paraId="754688C7" w14:textId="03113DE3" w:rsidR="00ED136D" w:rsidRPr="00176E57" w:rsidRDefault="00ED136D" w:rsidP="00857E41">
      <w:pPr>
        <w:suppressAutoHyphens/>
        <w:rPr>
          <w:rFonts w:eastAsia="Calibri"/>
          <w:iCs/>
          <w:lang w:eastAsia="ar-SA"/>
        </w:rPr>
      </w:pPr>
    </w:p>
    <w:p w14:paraId="50B62B7B" w14:textId="77777777" w:rsidR="00667192" w:rsidRPr="00176E57" w:rsidRDefault="00AA3A6E" w:rsidP="00857E41">
      <w:pPr>
        <w:suppressAutoHyphens/>
        <w:rPr>
          <w:rFonts w:eastAsia="Calibri"/>
          <w:iCs/>
          <w:lang w:eastAsia="ar-SA"/>
        </w:rPr>
      </w:pPr>
      <w:r w:rsidRPr="00176E57">
        <w:rPr>
          <w:rFonts w:eastAsia="Calibri"/>
          <w:iCs/>
          <w:lang w:eastAsia="ar-SA"/>
        </w:rPr>
        <w:t>Unfortunately</w:t>
      </w:r>
      <w:r w:rsidR="009D7C97" w:rsidRPr="00176E57">
        <w:rPr>
          <w:rFonts w:eastAsia="Calibri"/>
          <w:iCs/>
          <w:lang w:eastAsia="ar-SA"/>
        </w:rPr>
        <w:t xml:space="preserve">, </w:t>
      </w:r>
      <w:r w:rsidRPr="00176E57">
        <w:rPr>
          <w:rFonts w:eastAsia="Calibri"/>
          <w:iCs/>
          <w:lang w:eastAsia="ar-SA"/>
        </w:rPr>
        <w:t>one of the catalysts for this situation was the predilection of the governments towards the accelerated procedure for adoption of crucial legislation</w:t>
      </w:r>
      <w:r w:rsidR="00ED136D" w:rsidRPr="00176E57">
        <w:rPr>
          <w:rFonts w:eastAsia="Calibri"/>
          <w:iCs/>
          <w:lang w:eastAsia="ar-SA"/>
        </w:rPr>
        <w:t>.</w:t>
      </w:r>
    </w:p>
    <w:p w14:paraId="2DFA24B1" w14:textId="477FCF8F" w:rsidR="00ED136D" w:rsidRPr="00176E57" w:rsidRDefault="00ED136D" w:rsidP="00857E41">
      <w:pPr>
        <w:suppressAutoHyphens/>
        <w:rPr>
          <w:rFonts w:eastAsia="Calibri"/>
          <w:iCs/>
          <w:lang w:eastAsia="ar-SA"/>
        </w:rPr>
      </w:pPr>
    </w:p>
    <w:p w14:paraId="05DC12EF" w14:textId="0D4A6D3B" w:rsidR="00667192" w:rsidRPr="00176E57" w:rsidRDefault="00E67763" w:rsidP="00857E41">
      <w:pPr>
        <w:suppressAutoHyphens/>
        <w:rPr>
          <w:rFonts w:eastAsia="Calibri"/>
          <w:iCs/>
          <w:lang w:eastAsia="ar-SA"/>
        </w:rPr>
      </w:pPr>
      <w:r w:rsidRPr="00176E57">
        <w:rPr>
          <w:rFonts w:eastAsia="Calibri"/>
          <w:iCs/>
          <w:lang w:eastAsia="ar-SA"/>
        </w:rPr>
        <w:t>Insufficiently</w:t>
      </w:r>
      <w:r w:rsidR="00AA3A6E" w:rsidRPr="00176E57">
        <w:rPr>
          <w:rFonts w:eastAsia="Calibri"/>
          <w:iCs/>
          <w:lang w:eastAsia="ar-SA"/>
        </w:rPr>
        <w:t xml:space="preserve"> consolidated social partners and feelings of being endangered and ignored, predominantly on the part of trade unions, also present key problems for further functioning of social dialogue</w:t>
      </w:r>
      <w:r w:rsidR="00ED136D" w:rsidRPr="00176E57">
        <w:rPr>
          <w:rFonts w:eastAsia="Calibri"/>
          <w:iCs/>
          <w:lang w:eastAsia="ar-SA"/>
        </w:rPr>
        <w:t>.</w:t>
      </w:r>
    </w:p>
    <w:p w14:paraId="705E7171" w14:textId="7B4D3776" w:rsidR="00ED136D" w:rsidRPr="00176E57" w:rsidRDefault="00ED136D" w:rsidP="00857E41">
      <w:pPr>
        <w:suppressAutoHyphens/>
        <w:rPr>
          <w:rFonts w:eastAsia="Lucida Sans Unicode"/>
          <w:iCs/>
          <w:lang w:eastAsia="ar-SA"/>
        </w:rPr>
      </w:pPr>
    </w:p>
    <w:p w14:paraId="57456B4B" w14:textId="77777777" w:rsidR="00667192" w:rsidRPr="00176E57" w:rsidRDefault="001A4AAB" w:rsidP="00857E41">
      <w:pPr>
        <w:tabs>
          <w:tab w:val="left" w:pos="0"/>
        </w:tabs>
        <w:suppressAutoHyphens/>
        <w:rPr>
          <w:rFonts w:eastAsia="Lucida Sans Unicode"/>
          <w:iCs/>
          <w:lang w:eastAsia="ar-SA"/>
        </w:rPr>
      </w:pPr>
      <w:r w:rsidRPr="00176E57">
        <w:rPr>
          <w:rFonts w:eastAsia="Lucida Sans Unicode"/>
          <w:iCs/>
          <w:lang w:eastAsia="ar-SA"/>
        </w:rPr>
        <w:t>Simultaneously</w:t>
      </w:r>
      <w:r w:rsidR="00ED136D" w:rsidRPr="00176E57">
        <w:rPr>
          <w:rFonts w:eastAsia="Lucida Sans Unicode"/>
          <w:iCs/>
          <w:lang w:eastAsia="ar-SA"/>
        </w:rPr>
        <w:t xml:space="preserve">, </w:t>
      </w:r>
      <w:r w:rsidRPr="00176E57">
        <w:rPr>
          <w:rFonts w:eastAsia="Lucida Sans Unicode"/>
          <w:iCs/>
          <w:lang w:eastAsia="ar-SA"/>
        </w:rPr>
        <w:t>bipartite social dialogue remains underdeveloped with almost a complete halt in collective bargaining. Only a few sector collective agreements are being implemented</w:t>
      </w:r>
      <w:r w:rsidR="00ED136D" w:rsidRPr="00176E57">
        <w:rPr>
          <w:rFonts w:eastAsia="Lucida Sans Unicode"/>
          <w:iCs/>
          <w:lang w:eastAsia="ar-SA"/>
        </w:rPr>
        <w:t>.</w:t>
      </w:r>
    </w:p>
    <w:p w14:paraId="7232DF67" w14:textId="5C55B190" w:rsidR="00ED136D" w:rsidRPr="00176E57" w:rsidRDefault="00ED136D" w:rsidP="00857E41">
      <w:pPr>
        <w:tabs>
          <w:tab w:val="left" w:pos="0"/>
        </w:tabs>
        <w:suppressAutoHyphens/>
        <w:rPr>
          <w:rFonts w:eastAsia="Lucida Sans Unicode"/>
          <w:iCs/>
          <w:lang w:eastAsia="ar-SA"/>
        </w:rPr>
      </w:pPr>
    </w:p>
    <w:p w14:paraId="12F6D05A" w14:textId="5E89B95A" w:rsidR="00805EFA" w:rsidRPr="00176E57" w:rsidRDefault="001A4AAB" w:rsidP="00857E41">
      <w:pPr>
        <w:suppressAutoHyphens/>
        <w:rPr>
          <w:rFonts w:eastAsia="Lucida Sans Unicode"/>
          <w:iCs/>
          <w:lang w:eastAsia="ar-SA"/>
        </w:rPr>
      </w:pPr>
      <w:r w:rsidRPr="00176E57">
        <w:rPr>
          <w:rFonts w:eastAsia="Lucida Sans Unicode"/>
          <w:iCs/>
          <w:lang w:eastAsia="ar-SA"/>
        </w:rPr>
        <w:t>Neuralgic points of social dialogue</w:t>
      </w:r>
    </w:p>
    <w:p w14:paraId="60FC6511" w14:textId="77777777" w:rsidR="00667192" w:rsidRPr="00176E57" w:rsidRDefault="00667192" w:rsidP="00857E41">
      <w:pPr>
        <w:suppressAutoHyphens/>
        <w:rPr>
          <w:rFonts w:eastAsia="Lucida Sans Unicode"/>
          <w:iCs/>
          <w:lang w:eastAsia="ar-SA"/>
        </w:rPr>
      </w:pPr>
    </w:p>
    <w:p w14:paraId="21A3BC6D" w14:textId="3071A386" w:rsidR="00805EFA" w:rsidRPr="00176E57" w:rsidRDefault="001A4AAB" w:rsidP="00857E41">
      <w:pPr>
        <w:pStyle w:val="ListParagraph"/>
        <w:numPr>
          <w:ilvl w:val="0"/>
          <w:numId w:val="2"/>
        </w:numPr>
        <w:suppressAutoHyphens/>
        <w:spacing w:after="0" w:line="288" w:lineRule="auto"/>
        <w:ind w:left="567" w:hanging="567"/>
        <w:rPr>
          <w:rFonts w:ascii="Times New Roman" w:eastAsia="Lucida Sans Unicode" w:hAnsi="Times New Roman"/>
          <w:iCs/>
          <w:lang w:val="en-GB" w:eastAsia="ar-SA"/>
        </w:rPr>
      </w:pPr>
      <w:r w:rsidRPr="00176E57">
        <w:rPr>
          <w:rFonts w:ascii="Times New Roman" w:eastAsia="Lucida Sans Unicode" w:hAnsi="Times New Roman"/>
          <w:iCs/>
          <w:lang w:val="en-GB" w:eastAsia="ar-SA"/>
        </w:rPr>
        <w:t>Social dialogue is not obligatory</w:t>
      </w:r>
    </w:p>
    <w:p w14:paraId="129B2752" w14:textId="77777777" w:rsidR="00667192" w:rsidRPr="00176E57" w:rsidRDefault="00667192" w:rsidP="00857E41">
      <w:pPr>
        <w:pStyle w:val="ListParagraph"/>
        <w:suppressAutoHyphens/>
        <w:spacing w:after="0" w:line="288" w:lineRule="auto"/>
        <w:ind w:left="567"/>
        <w:rPr>
          <w:rFonts w:ascii="Times New Roman" w:eastAsia="Lucida Sans Unicode" w:hAnsi="Times New Roman"/>
          <w:iCs/>
          <w:lang w:val="en-GB" w:eastAsia="ar-SA"/>
        </w:rPr>
      </w:pPr>
    </w:p>
    <w:p w14:paraId="1FD0DCE4" w14:textId="64989BF1" w:rsidR="00447F76" w:rsidRPr="00176E57" w:rsidRDefault="001C003F" w:rsidP="00857E41">
      <w:pPr>
        <w:autoSpaceDE w:val="0"/>
        <w:autoSpaceDN w:val="0"/>
        <w:adjustRightInd w:val="0"/>
        <w:rPr>
          <w:rFonts w:eastAsia="Lucida Sans Unicode"/>
          <w:iCs/>
          <w:lang w:eastAsia="ar-SA"/>
        </w:rPr>
      </w:pPr>
      <w:r w:rsidRPr="00176E57">
        <w:rPr>
          <w:rFonts w:eastAsia="Lucida Sans Unicode"/>
          <w:iCs/>
          <w:lang w:eastAsia="ar-SA"/>
        </w:rPr>
        <w:t>The Law on Social and Economic Council foresees consultations on legislation of significant influence on the life of employees and business of employers</w:t>
      </w:r>
      <w:r w:rsidR="00805EFA" w:rsidRPr="00176E57">
        <w:rPr>
          <w:rFonts w:eastAsia="Lucida Sans Unicode"/>
          <w:iCs/>
          <w:lang w:eastAsia="ar-SA"/>
        </w:rPr>
        <w:t xml:space="preserve">. </w:t>
      </w:r>
      <w:r w:rsidRPr="00176E57">
        <w:rPr>
          <w:rFonts w:eastAsia="Lucida Sans Unicode"/>
          <w:iCs/>
          <w:lang w:eastAsia="ar-SA"/>
        </w:rPr>
        <w:t xml:space="preserve">This obligation, however, is not </w:t>
      </w:r>
      <w:r w:rsidR="00E67763" w:rsidRPr="00176E57">
        <w:rPr>
          <w:rFonts w:eastAsia="Lucida Sans Unicode"/>
          <w:iCs/>
          <w:lang w:eastAsia="ar-SA"/>
        </w:rPr>
        <w:t>implemented</w:t>
      </w:r>
      <w:r w:rsidRPr="00176E57">
        <w:rPr>
          <w:rFonts w:eastAsia="Lucida Sans Unicode"/>
          <w:iCs/>
          <w:lang w:eastAsia="ar-SA"/>
        </w:rPr>
        <w:t xml:space="preserve"> in the very rules of preparation and adoption of laws and other legal norms</w:t>
      </w:r>
      <w:r w:rsidR="00805EFA" w:rsidRPr="00176E57">
        <w:rPr>
          <w:rFonts w:eastAsia="Lucida Sans Unicode"/>
          <w:iCs/>
          <w:lang w:eastAsia="ar-SA"/>
        </w:rPr>
        <w:t>.</w:t>
      </w:r>
    </w:p>
    <w:p w14:paraId="66DA49F2" w14:textId="77777777" w:rsidR="00667192" w:rsidRPr="00176E57" w:rsidRDefault="00667192" w:rsidP="00857E41">
      <w:pPr>
        <w:autoSpaceDE w:val="0"/>
        <w:autoSpaceDN w:val="0"/>
        <w:adjustRightInd w:val="0"/>
        <w:rPr>
          <w:rFonts w:eastAsia="Lucida Sans Unicode"/>
          <w:iCs/>
          <w:lang w:eastAsia="ar-SA"/>
        </w:rPr>
      </w:pPr>
    </w:p>
    <w:p w14:paraId="71E0A503" w14:textId="0F11D680" w:rsidR="00447F76" w:rsidRPr="00857E41" w:rsidRDefault="001C003F" w:rsidP="00857E41">
      <w:pPr>
        <w:pStyle w:val="ListParagraph"/>
        <w:numPr>
          <w:ilvl w:val="0"/>
          <w:numId w:val="9"/>
        </w:numPr>
        <w:autoSpaceDE w:val="0"/>
        <w:autoSpaceDN w:val="0"/>
        <w:adjustRightInd w:val="0"/>
        <w:spacing w:after="0" w:line="288" w:lineRule="auto"/>
        <w:ind w:left="567" w:hanging="567"/>
        <w:rPr>
          <w:rFonts w:eastAsia="MyriadPro-Cond"/>
          <w:iCs/>
        </w:rPr>
      </w:pPr>
      <w:r w:rsidRPr="00857E41">
        <w:rPr>
          <w:rFonts w:ascii="Times New Roman" w:eastAsia="MyriadPro-Cond" w:hAnsi="Times New Roman"/>
          <w:iCs/>
          <w:lang w:val="en-GB"/>
        </w:rPr>
        <w:t>The governments have shown a tendency to sidestep the debate in SEC by employing an emergency procedure for adoption of laws</w:t>
      </w:r>
      <w:r w:rsidR="00447F76" w:rsidRPr="00857E41">
        <w:rPr>
          <w:rFonts w:ascii="Times New Roman" w:eastAsia="MyriadPro-Cond" w:hAnsi="Times New Roman"/>
          <w:iCs/>
          <w:lang w:val="en-GB"/>
        </w:rPr>
        <w:t>.</w:t>
      </w:r>
    </w:p>
    <w:p w14:paraId="3BDEB252" w14:textId="34B13080" w:rsidR="00805EFA" w:rsidRPr="00857E41" w:rsidRDefault="001C003F" w:rsidP="00857E41">
      <w:pPr>
        <w:pStyle w:val="ListParagraph"/>
        <w:autoSpaceDE w:val="0"/>
        <w:autoSpaceDN w:val="0"/>
        <w:adjustRightInd w:val="0"/>
        <w:spacing w:after="0" w:line="288" w:lineRule="auto"/>
        <w:ind w:left="567"/>
        <w:rPr>
          <w:rFonts w:eastAsia="MyriadPro-Cond"/>
          <w:iCs/>
        </w:rPr>
      </w:pPr>
      <w:r w:rsidRPr="00857E41">
        <w:rPr>
          <w:rFonts w:ascii="Times New Roman" w:eastAsia="MyriadPro-Cond" w:hAnsi="Times New Roman"/>
          <w:iCs/>
          <w:lang w:val="en-GB"/>
        </w:rPr>
        <w:t>For example, SEC was not consulted regarding important legal regulations, such as laws on public companies, excise, value added tax</w:t>
      </w:r>
      <w:r w:rsidR="00805EFA" w:rsidRPr="00857E41">
        <w:rPr>
          <w:rFonts w:ascii="Times New Roman" w:eastAsia="MyriadPro-Cond" w:hAnsi="Times New Roman"/>
          <w:iCs/>
          <w:lang w:val="en-GB"/>
        </w:rPr>
        <w:t>.</w:t>
      </w:r>
    </w:p>
    <w:p w14:paraId="0C9E769E" w14:textId="77777777" w:rsidR="00B62D4D" w:rsidRPr="00176E57" w:rsidRDefault="00B62D4D" w:rsidP="00857E41">
      <w:pPr>
        <w:autoSpaceDE w:val="0"/>
        <w:autoSpaceDN w:val="0"/>
        <w:adjustRightInd w:val="0"/>
        <w:ind w:left="567" w:hanging="567"/>
        <w:rPr>
          <w:rFonts w:eastAsia="MyriadPro-Cond"/>
          <w:iCs/>
        </w:rPr>
      </w:pPr>
    </w:p>
    <w:p w14:paraId="696BD62B" w14:textId="5A3A965B" w:rsidR="00805EFA" w:rsidRPr="00857E41" w:rsidRDefault="001C003F" w:rsidP="00857E41">
      <w:pPr>
        <w:pStyle w:val="ListParagraph"/>
        <w:numPr>
          <w:ilvl w:val="0"/>
          <w:numId w:val="9"/>
        </w:numPr>
        <w:autoSpaceDE w:val="0"/>
        <w:autoSpaceDN w:val="0"/>
        <w:adjustRightInd w:val="0"/>
        <w:spacing w:after="0" w:line="288" w:lineRule="auto"/>
        <w:ind w:left="567" w:hanging="567"/>
        <w:rPr>
          <w:rFonts w:eastAsia="MyriadPro-BoldCond"/>
          <w:b/>
          <w:bCs/>
          <w:iCs/>
        </w:rPr>
      </w:pPr>
      <w:r w:rsidRPr="00857E41">
        <w:rPr>
          <w:rFonts w:ascii="Times New Roman" w:eastAsia="MyriadPro-Cond" w:hAnsi="Times New Roman"/>
          <w:iCs/>
          <w:lang w:val="en-GB"/>
        </w:rPr>
        <w:t xml:space="preserve">Considerably short deadlines given by the government for discussion and giving of opinions/recommendations on law proposals often render the discussions and their outcomes insignificant </w:t>
      </w:r>
      <w:r w:rsidR="00805EFA" w:rsidRPr="00857E41">
        <w:rPr>
          <w:rFonts w:ascii="Times New Roman" w:eastAsia="MyriadPro-Cond" w:hAnsi="Times New Roman"/>
          <w:iCs/>
          <w:lang w:val="en-GB"/>
        </w:rPr>
        <w:t>(</w:t>
      </w:r>
      <w:r w:rsidRPr="00857E41">
        <w:rPr>
          <w:rFonts w:ascii="Times New Roman" w:eastAsia="MyriadPro-Cond" w:hAnsi="Times New Roman"/>
          <w:iCs/>
          <w:lang w:val="en-GB"/>
        </w:rPr>
        <w:t>e.g. five days for debate on the new Labour Law</w:t>
      </w:r>
      <w:r w:rsidR="00805EFA" w:rsidRPr="00857E41">
        <w:rPr>
          <w:rFonts w:ascii="Times New Roman" w:eastAsia="MyriadPro-Cond" w:hAnsi="Times New Roman"/>
          <w:iCs/>
          <w:lang w:val="en-GB"/>
        </w:rPr>
        <w:t>)</w:t>
      </w:r>
      <w:r w:rsidR="00805EFA" w:rsidRPr="00857E41">
        <w:rPr>
          <w:rFonts w:ascii="Times New Roman" w:eastAsia="MyriadPro-BoldCond" w:hAnsi="Times New Roman"/>
          <w:bCs/>
          <w:iCs/>
          <w:lang w:val="en-GB"/>
        </w:rPr>
        <w:t>.</w:t>
      </w:r>
    </w:p>
    <w:p w14:paraId="50AEC0B2" w14:textId="77777777" w:rsidR="00B62D4D" w:rsidRPr="00176E57" w:rsidRDefault="00B62D4D" w:rsidP="00857E41">
      <w:pPr>
        <w:autoSpaceDE w:val="0"/>
        <w:autoSpaceDN w:val="0"/>
        <w:adjustRightInd w:val="0"/>
        <w:ind w:left="567" w:hanging="567"/>
        <w:rPr>
          <w:rFonts w:eastAsia="MyriadPro-Cond"/>
          <w:iCs/>
        </w:rPr>
      </w:pPr>
    </w:p>
    <w:p w14:paraId="69041C6A" w14:textId="196BD4CE" w:rsidR="00805EFA" w:rsidRPr="00857E41" w:rsidRDefault="00847A5A" w:rsidP="00857E41">
      <w:pPr>
        <w:pStyle w:val="ListParagraph"/>
        <w:numPr>
          <w:ilvl w:val="0"/>
          <w:numId w:val="9"/>
        </w:numPr>
        <w:autoSpaceDE w:val="0"/>
        <w:autoSpaceDN w:val="0"/>
        <w:adjustRightInd w:val="0"/>
        <w:spacing w:after="0" w:line="288" w:lineRule="auto"/>
        <w:ind w:left="567" w:hanging="567"/>
        <w:rPr>
          <w:rFonts w:eastAsia="MyriadPro-Cond"/>
          <w:iCs/>
        </w:rPr>
      </w:pPr>
      <w:r w:rsidRPr="00857E41">
        <w:rPr>
          <w:rFonts w:ascii="Times New Roman" w:eastAsia="MyriadPro-Cond" w:hAnsi="Times New Roman"/>
          <w:iCs/>
          <w:lang w:val="en-GB"/>
        </w:rPr>
        <w:t>Representatives of social partners in specialized standing committees of SEC usually do not participate in tripartite working groups organi</w:t>
      </w:r>
      <w:r w:rsidR="00176E57">
        <w:rPr>
          <w:rFonts w:ascii="Times New Roman" w:eastAsia="MyriadPro-Cond" w:hAnsi="Times New Roman"/>
          <w:iCs/>
          <w:lang w:val="en-GB"/>
        </w:rPr>
        <w:t>s</w:t>
      </w:r>
      <w:r w:rsidRPr="00857E41">
        <w:rPr>
          <w:rFonts w:ascii="Times New Roman" w:eastAsia="MyriadPro-Cond" w:hAnsi="Times New Roman"/>
          <w:iCs/>
          <w:lang w:val="en-GB"/>
        </w:rPr>
        <w:t>ed by relevant ministries when initiating procedures for development of laws and policies</w:t>
      </w:r>
      <w:r w:rsidR="00805EFA" w:rsidRPr="00857E41">
        <w:rPr>
          <w:rFonts w:ascii="Times New Roman" w:eastAsia="MyriadPro-Cond" w:hAnsi="Times New Roman"/>
          <w:iCs/>
          <w:lang w:val="en-GB"/>
        </w:rPr>
        <w:t xml:space="preserve">. </w:t>
      </w:r>
      <w:r w:rsidRPr="00857E41">
        <w:rPr>
          <w:rFonts w:ascii="Times New Roman" w:eastAsia="MyriadPro-Cond" w:hAnsi="Times New Roman"/>
          <w:iCs/>
          <w:lang w:val="en-GB"/>
        </w:rPr>
        <w:t>Thus the standing committees cannot have a systematic familiarity with the objectives and contents of government initiatives related to laws and policies</w:t>
      </w:r>
      <w:r w:rsidR="00805EFA" w:rsidRPr="00857E41">
        <w:rPr>
          <w:rFonts w:ascii="Times New Roman" w:eastAsia="MyriadPro-Cond" w:hAnsi="Times New Roman"/>
          <w:iCs/>
          <w:lang w:val="en-GB"/>
        </w:rPr>
        <w:t>.</w:t>
      </w:r>
    </w:p>
    <w:p w14:paraId="760C353C" w14:textId="77777777" w:rsidR="00B62D4D" w:rsidRPr="00176E57" w:rsidRDefault="00B62D4D" w:rsidP="00857E41">
      <w:pPr>
        <w:autoSpaceDE w:val="0"/>
        <w:autoSpaceDN w:val="0"/>
        <w:adjustRightInd w:val="0"/>
        <w:ind w:left="567" w:hanging="567"/>
        <w:rPr>
          <w:rFonts w:eastAsia="MyriadPro-Cond"/>
          <w:iCs/>
        </w:rPr>
      </w:pPr>
    </w:p>
    <w:p w14:paraId="5DC304D1" w14:textId="331EBAB0" w:rsidR="00805EFA" w:rsidRPr="00857E41" w:rsidRDefault="00847A5A" w:rsidP="00857E41">
      <w:pPr>
        <w:pStyle w:val="ListParagraph"/>
        <w:numPr>
          <w:ilvl w:val="0"/>
          <w:numId w:val="9"/>
        </w:numPr>
        <w:autoSpaceDE w:val="0"/>
        <w:autoSpaceDN w:val="0"/>
        <w:adjustRightInd w:val="0"/>
        <w:spacing w:after="0" w:line="288" w:lineRule="auto"/>
        <w:ind w:left="567" w:hanging="567"/>
        <w:rPr>
          <w:rFonts w:eastAsia="MyriadPro-Cond"/>
          <w:iCs/>
        </w:rPr>
      </w:pPr>
      <w:r w:rsidRPr="00857E41">
        <w:rPr>
          <w:rFonts w:ascii="Times New Roman" w:eastAsia="MyriadPro-Cond" w:hAnsi="Times New Roman"/>
          <w:iCs/>
          <w:lang w:val="en-GB"/>
        </w:rPr>
        <w:t>The procedural obligation to send a recommendation related to a law proposal first to the line ministry which submitted the proposal, and then send it to the government if the response from the ministry was not received within 30 days, is an unnecessary delay</w:t>
      </w:r>
      <w:r w:rsidR="00805EFA" w:rsidRPr="00857E41">
        <w:rPr>
          <w:rFonts w:ascii="Times New Roman" w:eastAsia="MyriadPro-Cond" w:hAnsi="Times New Roman"/>
          <w:iCs/>
          <w:lang w:val="en-GB"/>
        </w:rPr>
        <w:t>.</w:t>
      </w:r>
    </w:p>
    <w:p w14:paraId="73693543" w14:textId="77777777" w:rsidR="00B62D4D" w:rsidRPr="00176E57" w:rsidRDefault="00B62D4D" w:rsidP="00857E41">
      <w:pPr>
        <w:autoSpaceDE w:val="0"/>
        <w:autoSpaceDN w:val="0"/>
        <w:adjustRightInd w:val="0"/>
        <w:ind w:left="567" w:hanging="567"/>
        <w:rPr>
          <w:rFonts w:eastAsia="MyriadPro-Cond"/>
          <w:iCs/>
        </w:rPr>
      </w:pPr>
    </w:p>
    <w:p w14:paraId="1D9CBEDD" w14:textId="5FF6E9A2" w:rsidR="00805EFA" w:rsidRPr="00857E41" w:rsidRDefault="00847A5A" w:rsidP="00857E41">
      <w:pPr>
        <w:pStyle w:val="ListParagraph"/>
        <w:numPr>
          <w:ilvl w:val="0"/>
          <w:numId w:val="9"/>
        </w:numPr>
        <w:autoSpaceDE w:val="0"/>
        <w:autoSpaceDN w:val="0"/>
        <w:adjustRightInd w:val="0"/>
        <w:spacing w:after="0" w:line="288" w:lineRule="auto"/>
        <w:ind w:left="567" w:hanging="567"/>
        <w:rPr>
          <w:rFonts w:eastAsia="MyriadPro-Cond"/>
          <w:iCs/>
        </w:rPr>
      </w:pPr>
      <w:r w:rsidRPr="00857E41">
        <w:rPr>
          <w:rFonts w:ascii="Times New Roman" w:eastAsia="MyriadPro-Cond" w:hAnsi="Times New Roman"/>
          <w:iCs/>
          <w:lang w:val="en-GB"/>
        </w:rPr>
        <w:t>Apart from that, the practice of ministers to send their deputies to att</w:t>
      </w:r>
      <w:r w:rsidR="006A329C" w:rsidRPr="00857E41">
        <w:rPr>
          <w:rFonts w:ascii="Times New Roman" w:eastAsia="MyriadPro-Cond" w:hAnsi="Times New Roman"/>
          <w:iCs/>
          <w:lang w:val="en-GB"/>
        </w:rPr>
        <w:t>end the meetings deprives the Council for the full support and authority when adopting opinions or conclusions</w:t>
      </w:r>
      <w:r w:rsidR="00805EFA" w:rsidRPr="00857E41">
        <w:rPr>
          <w:rFonts w:ascii="Times New Roman" w:eastAsia="MyriadPro-Cond" w:hAnsi="Times New Roman"/>
          <w:iCs/>
          <w:lang w:val="en-GB"/>
        </w:rPr>
        <w:t>.</w:t>
      </w:r>
    </w:p>
    <w:p w14:paraId="306A9FD5" w14:textId="77777777" w:rsidR="00B62D4D" w:rsidRPr="00176E57" w:rsidRDefault="00B62D4D" w:rsidP="00857E41">
      <w:pPr>
        <w:autoSpaceDE w:val="0"/>
        <w:autoSpaceDN w:val="0"/>
        <w:adjustRightInd w:val="0"/>
        <w:ind w:left="567" w:hanging="567"/>
        <w:rPr>
          <w:rFonts w:eastAsia="MyriadPro-Cond"/>
          <w:iCs/>
        </w:rPr>
      </w:pPr>
    </w:p>
    <w:p w14:paraId="2152DE35" w14:textId="6A2831D5" w:rsidR="00805EFA" w:rsidRPr="00857E41" w:rsidRDefault="006A329C" w:rsidP="00857E41">
      <w:pPr>
        <w:pStyle w:val="ListParagraph"/>
        <w:widowControl w:val="0"/>
        <w:numPr>
          <w:ilvl w:val="0"/>
          <w:numId w:val="9"/>
        </w:numPr>
        <w:suppressAutoHyphens/>
        <w:spacing w:after="0" w:line="288" w:lineRule="auto"/>
        <w:ind w:left="567" w:right="20" w:hanging="567"/>
        <w:rPr>
          <w:rFonts w:eastAsia="Lucida Sans Unicode"/>
          <w:iCs/>
          <w:lang w:eastAsia="ar-SA"/>
        </w:rPr>
      </w:pPr>
      <w:r w:rsidRPr="00857E41">
        <w:rPr>
          <w:rFonts w:ascii="Times New Roman" w:eastAsia="Lucida Sans Unicode" w:hAnsi="Times New Roman"/>
          <w:iCs/>
          <w:lang w:val="en-GB" w:eastAsia="ar-SA"/>
        </w:rPr>
        <w:t>The line ministry in charge of the preparation of the law must enable the discussion on such a law, as well as the consideration of objections within this discussion</w:t>
      </w:r>
      <w:r w:rsidR="00493E46" w:rsidRPr="00857E41">
        <w:rPr>
          <w:rFonts w:ascii="Times New Roman" w:eastAsia="Lucida Sans Unicode" w:hAnsi="Times New Roman"/>
          <w:iCs/>
          <w:lang w:val="en-GB" w:eastAsia="ar-SA"/>
        </w:rPr>
        <w:t>.</w:t>
      </w:r>
      <w:r w:rsidR="00805EFA" w:rsidRPr="00857E41">
        <w:rPr>
          <w:rFonts w:ascii="Times New Roman" w:eastAsia="Lucida Sans Unicode" w:hAnsi="Times New Roman"/>
          <w:iCs/>
          <w:lang w:val="en-GB" w:eastAsia="ar-SA"/>
        </w:rPr>
        <w:t xml:space="preserve"> </w:t>
      </w:r>
      <w:r w:rsidRPr="00857E41">
        <w:rPr>
          <w:rFonts w:ascii="Times New Roman" w:eastAsia="Lucida Sans Unicode" w:hAnsi="Times New Roman"/>
          <w:iCs/>
          <w:lang w:val="en-GB" w:eastAsia="ar-SA"/>
        </w:rPr>
        <w:t>However, there is no obligation to notify the proposers about the reasons their proposals were not accepted</w:t>
      </w:r>
      <w:r w:rsidR="00805EFA" w:rsidRPr="00857E41">
        <w:rPr>
          <w:rFonts w:ascii="Times New Roman" w:eastAsia="Lucida Sans Unicode" w:hAnsi="Times New Roman"/>
          <w:iCs/>
          <w:lang w:val="en-GB" w:eastAsia="ar-SA"/>
        </w:rPr>
        <w:t>.</w:t>
      </w:r>
    </w:p>
    <w:p w14:paraId="7815E787" w14:textId="77777777" w:rsidR="00B62D4D" w:rsidRPr="00176E57" w:rsidRDefault="00B62D4D" w:rsidP="00857E41">
      <w:pPr>
        <w:widowControl w:val="0"/>
        <w:suppressAutoHyphens/>
        <w:ind w:left="567" w:right="20" w:hanging="567"/>
        <w:rPr>
          <w:rFonts w:eastAsia="Lucida Sans Unicode"/>
          <w:iCs/>
          <w:lang w:eastAsia="ar-SA"/>
        </w:rPr>
      </w:pPr>
    </w:p>
    <w:p w14:paraId="03235A65" w14:textId="35AB307F" w:rsidR="00805EFA" w:rsidRPr="00857E41" w:rsidRDefault="006A329C" w:rsidP="00857E41">
      <w:pPr>
        <w:pStyle w:val="ListParagraph"/>
        <w:numPr>
          <w:ilvl w:val="0"/>
          <w:numId w:val="9"/>
        </w:numPr>
        <w:suppressAutoHyphens/>
        <w:spacing w:after="0" w:line="288" w:lineRule="auto"/>
        <w:ind w:left="567" w:hanging="567"/>
        <w:rPr>
          <w:rFonts w:eastAsia="Lucida Sans Unicode"/>
          <w:iCs/>
          <w:lang w:eastAsia="ar-SA"/>
        </w:rPr>
      </w:pPr>
      <w:r w:rsidRPr="00857E41">
        <w:rPr>
          <w:rFonts w:ascii="Times New Roman" w:eastAsia="Lucida Sans Unicode" w:hAnsi="Times New Roman"/>
          <w:iCs/>
          <w:lang w:val="en-GB" w:eastAsia="ar-SA"/>
        </w:rPr>
        <w:lastRenderedPageBreak/>
        <w:t>The next step in bringing closer the opinions of social partners are the sessions of standing working bodies of the Republic SEC and the meeting of the Republic SEC</w:t>
      </w:r>
      <w:r w:rsidR="00805EFA" w:rsidRPr="00857E41">
        <w:rPr>
          <w:rFonts w:ascii="Times New Roman" w:eastAsia="Lucida Sans Unicode" w:hAnsi="Times New Roman"/>
          <w:iCs/>
          <w:lang w:val="en-GB" w:eastAsia="ar-SA"/>
        </w:rPr>
        <w:t xml:space="preserve">. </w:t>
      </w:r>
      <w:r w:rsidRPr="00857E41">
        <w:rPr>
          <w:rFonts w:ascii="Times New Roman" w:eastAsia="Lucida Sans Unicode" w:hAnsi="Times New Roman"/>
          <w:iCs/>
          <w:lang w:val="en-GB" w:eastAsia="ar-SA"/>
        </w:rPr>
        <w:t>Only after this process is finished, should the proposal be adopted by the Government and subsequently the National Assembly</w:t>
      </w:r>
      <w:r w:rsidR="00805EFA" w:rsidRPr="00857E41">
        <w:rPr>
          <w:rFonts w:ascii="Times New Roman" w:eastAsia="Lucida Sans Unicode" w:hAnsi="Times New Roman"/>
          <w:iCs/>
          <w:lang w:val="en-GB" w:eastAsia="ar-SA"/>
        </w:rPr>
        <w:t>.</w:t>
      </w:r>
    </w:p>
    <w:p w14:paraId="540834A8" w14:textId="77777777" w:rsidR="00667192" w:rsidRPr="00857E41" w:rsidRDefault="00667192" w:rsidP="00857E41">
      <w:pPr>
        <w:pStyle w:val="ListParagraph"/>
        <w:suppressAutoHyphens/>
        <w:spacing w:after="0" w:line="288" w:lineRule="auto"/>
        <w:ind w:left="567"/>
        <w:rPr>
          <w:rFonts w:ascii="Times New Roman" w:eastAsia="Lucida Sans Unicode" w:hAnsi="Times New Roman"/>
          <w:iCs/>
          <w:lang w:val="en-GB" w:eastAsia="ar-SA"/>
        </w:rPr>
      </w:pPr>
    </w:p>
    <w:p w14:paraId="7E4F7E93" w14:textId="037055BA" w:rsidR="00805EFA" w:rsidRPr="00857E41" w:rsidRDefault="006A329C" w:rsidP="00857E41">
      <w:pPr>
        <w:pStyle w:val="ListParagraph"/>
        <w:suppressAutoHyphens/>
        <w:spacing w:after="0" w:line="288" w:lineRule="auto"/>
        <w:ind w:left="567"/>
        <w:rPr>
          <w:rFonts w:eastAsia="Lucida Sans Unicode"/>
          <w:iCs/>
          <w:lang w:eastAsia="ar-SA"/>
        </w:rPr>
      </w:pPr>
      <w:r w:rsidRPr="00857E41">
        <w:rPr>
          <w:rFonts w:ascii="Times New Roman" w:eastAsia="Lucida Sans Unicode" w:hAnsi="Times New Roman"/>
          <w:iCs/>
          <w:lang w:val="en-GB" w:eastAsia="ar-SA"/>
        </w:rPr>
        <w:t>There are two more questions</w:t>
      </w:r>
      <w:r w:rsidR="00805EFA" w:rsidRPr="00857E41">
        <w:rPr>
          <w:rFonts w:ascii="Times New Roman" w:eastAsia="Lucida Sans Unicode" w:hAnsi="Times New Roman"/>
          <w:iCs/>
          <w:lang w:val="en-GB" w:eastAsia="ar-SA"/>
        </w:rPr>
        <w:t>:</w:t>
      </w:r>
      <w:r w:rsidR="00295FE3" w:rsidRPr="00857E41">
        <w:rPr>
          <w:rFonts w:ascii="Times New Roman" w:eastAsia="Lucida Sans Unicode" w:hAnsi="Times New Roman"/>
          <w:iCs/>
          <w:lang w:val="en-GB" w:eastAsia="ar-SA"/>
        </w:rPr>
        <w:t xml:space="preserve"> 8.</w:t>
      </w:r>
      <w:r w:rsidR="00805EFA" w:rsidRPr="00857E41">
        <w:rPr>
          <w:rFonts w:ascii="Times New Roman" w:eastAsia="Lucida Sans Unicode" w:hAnsi="Times New Roman"/>
          <w:iCs/>
          <w:lang w:val="en-GB" w:eastAsia="ar-SA"/>
        </w:rPr>
        <w:t xml:space="preserve"> </w:t>
      </w:r>
      <w:r w:rsidRPr="00857E41">
        <w:rPr>
          <w:rFonts w:ascii="Times New Roman" w:eastAsia="Lucida Sans Unicode" w:hAnsi="Times New Roman"/>
          <w:iCs/>
          <w:lang w:val="en-GB" w:eastAsia="ar-SA"/>
        </w:rPr>
        <w:t>the missing mechanism for control and evaluation</w:t>
      </w:r>
      <w:r w:rsidR="00805EFA" w:rsidRPr="00857E41">
        <w:rPr>
          <w:rFonts w:ascii="Times New Roman" w:eastAsia="Lucida Sans Unicode" w:hAnsi="Times New Roman"/>
          <w:iCs/>
          <w:lang w:val="en-GB" w:eastAsia="ar-SA"/>
        </w:rPr>
        <w:t xml:space="preserve">; </w:t>
      </w:r>
      <w:r w:rsidRPr="00857E41">
        <w:rPr>
          <w:rFonts w:ascii="Times New Roman" w:eastAsia="Lucida Sans Unicode" w:hAnsi="Times New Roman"/>
          <w:iCs/>
          <w:lang w:val="en-GB" w:eastAsia="ar-SA"/>
        </w:rPr>
        <w:t>and</w:t>
      </w:r>
      <w:r w:rsidR="00805EFA" w:rsidRPr="00857E41">
        <w:rPr>
          <w:rFonts w:ascii="Times New Roman" w:eastAsia="Lucida Sans Unicode" w:hAnsi="Times New Roman"/>
          <w:iCs/>
          <w:lang w:val="en-GB" w:eastAsia="ar-SA"/>
        </w:rPr>
        <w:t xml:space="preserve"> </w:t>
      </w:r>
      <w:r w:rsidR="00295FE3" w:rsidRPr="00857E41">
        <w:rPr>
          <w:rFonts w:ascii="Times New Roman" w:eastAsia="Lucida Sans Unicode" w:hAnsi="Times New Roman"/>
          <w:iCs/>
          <w:lang w:val="en-GB" w:eastAsia="ar-SA"/>
        </w:rPr>
        <w:t xml:space="preserve">9. </w:t>
      </w:r>
      <w:r w:rsidRPr="00857E41">
        <w:rPr>
          <w:rFonts w:ascii="Times New Roman" w:eastAsia="Lucida Sans Unicode" w:hAnsi="Times New Roman"/>
          <w:iCs/>
          <w:lang w:val="en-GB" w:eastAsia="ar-SA"/>
        </w:rPr>
        <w:t>the possibility to organi</w:t>
      </w:r>
      <w:r w:rsidR="00176E57">
        <w:rPr>
          <w:rFonts w:ascii="Times New Roman" w:eastAsia="Lucida Sans Unicode" w:hAnsi="Times New Roman"/>
          <w:iCs/>
          <w:lang w:val="en-GB" w:eastAsia="ar-SA"/>
        </w:rPr>
        <w:t>s</w:t>
      </w:r>
      <w:r w:rsidRPr="00857E41">
        <w:rPr>
          <w:rFonts w:ascii="Times New Roman" w:eastAsia="Lucida Sans Unicode" w:hAnsi="Times New Roman"/>
          <w:iCs/>
          <w:lang w:val="en-GB" w:eastAsia="ar-SA"/>
        </w:rPr>
        <w:t>e public hearings on proposals of laws and the effects of their application</w:t>
      </w:r>
      <w:r w:rsidR="00805EFA" w:rsidRPr="00857E41">
        <w:rPr>
          <w:rFonts w:ascii="Times New Roman" w:eastAsia="Lucida Sans Unicode" w:hAnsi="Times New Roman"/>
          <w:iCs/>
          <w:lang w:val="en-GB" w:eastAsia="ar-SA"/>
        </w:rPr>
        <w:t>.</w:t>
      </w:r>
    </w:p>
    <w:p w14:paraId="59162BC0" w14:textId="4F306958" w:rsidR="00B62D4D" w:rsidRPr="00176E57" w:rsidRDefault="00B62D4D" w:rsidP="00857E41">
      <w:pPr>
        <w:suppressAutoHyphens/>
        <w:rPr>
          <w:rFonts w:eastAsia="Lucida Sans Unicode"/>
          <w:iCs/>
          <w:lang w:eastAsia="ar-SA"/>
        </w:rPr>
      </w:pPr>
    </w:p>
    <w:p w14:paraId="4AB7BBD9" w14:textId="155FCFA0" w:rsidR="00805EFA" w:rsidRPr="00857E41" w:rsidRDefault="009F05EE" w:rsidP="00857E41">
      <w:pPr>
        <w:pStyle w:val="ListParagraph"/>
        <w:widowControl w:val="0"/>
        <w:numPr>
          <w:ilvl w:val="0"/>
          <w:numId w:val="2"/>
        </w:numPr>
        <w:suppressAutoHyphens/>
        <w:spacing w:after="0" w:line="288" w:lineRule="auto"/>
        <w:ind w:left="567" w:hanging="567"/>
        <w:rPr>
          <w:rFonts w:eastAsia="Lucida Sans Unicode"/>
          <w:iCs/>
          <w:lang w:eastAsia="ar-SA"/>
        </w:rPr>
      </w:pPr>
      <w:r w:rsidRPr="00857E41">
        <w:rPr>
          <w:rFonts w:ascii="Times New Roman" w:eastAsia="Lucida Sans Unicode" w:hAnsi="Times New Roman"/>
          <w:iCs/>
          <w:lang w:val="en-GB" w:eastAsia="ar-SA"/>
        </w:rPr>
        <w:t>Tripartism under Government domination</w:t>
      </w:r>
    </w:p>
    <w:p w14:paraId="57B0F030" w14:textId="77777777" w:rsidR="00667192" w:rsidRPr="00857E41" w:rsidRDefault="00667192" w:rsidP="00857E41">
      <w:pPr>
        <w:pStyle w:val="ListParagraph"/>
        <w:widowControl w:val="0"/>
        <w:suppressAutoHyphens/>
        <w:spacing w:after="0" w:line="288" w:lineRule="auto"/>
        <w:ind w:left="0"/>
        <w:rPr>
          <w:rFonts w:ascii="Times New Roman" w:eastAsia="Lucida Sans Unicode" w:hAnsi="Times New Roman"/>
          <w:iCs/>
          <w:lang w:val="en-GB" w:eastAsia="ar-SA"/>
        </w:rPr>
      </w:pPr>
    </w:p>
    <w:p w14:paraId="4042DA49" w14:textId="5E7082C5" w:rsidR="00667192" w:rsidRPr="00176E57" w:rsidRDefault="008F0A0B" w:rsidP="00857E41">
      <w:pPr>
        <w:suppressAutoHyphens/>
        <w:rPr>
          <w:rFonts w:eastAsia="Lucida Sans Unicode"/>
          <w:bCs/>
          <w:iCs/>
          <w:color w:val="00000A"/>
          <w:lang w:eastAsia="ar-SA"/>
        </w:rPr>
      </w:pPr>
      <w:r w:rsidRPr="00176E57">
        <w:rPr>
          <w:rFonts w:eastAsia="Lucida Sans Unicode"/>
          <w:bCs/>
          <w:iCs/>
          <w:color w:val="00000A"/>
          <w:lang w:eastAsia="ar-SA"/>
        </w:rPr>
        <w:t xml:space="preserve">The legislative changes achieved government’s majority and taking control over all other tripartite institutions and social </w:t>
      </w:r>
      <w:r w:rsidR="00E67763" w:rsidRPr="00176E57">
        <w:rPr>
          <w:rFonts w:eastAsia="Lucida Sans Unicode"/>
          <w:bCs/>
          <w:iCs/>
          <w:color w:val="00000A"/>
          <w:lang w:eastAsia="ar-SA"/>
        </w:rPr>
        <w:t>funds</w:t>
      </w:r>
      <w:r w:rsidRPr="00176E57">
        <w:rPr>
          <w:rFonts w:eastAsia="Lucida Sans Unicode"/>
          <w:bCs/>
          <w:iCs/>
          <w:color w:val="00000A"/>
          <w:lang w:eastAsia="ar-SA"/>
        </w:rPr>
        <w:t xml:space="preserve"> (Pension and Disability Insurance Fund, </w:t>
      </w:r>
      <w:r w:rsidR="00CE2198" w:rsidRPr="00176E57">
        <w:rPr>
          <w:rFonts w:eastAsia="Lucida Sans Unicode"/>
          <w:bCs/>
          <w:iCs/>
          <w:color w:val="00000A"/>
          <w:lang w:eastAsia="ar-SA"/>
        </w:rPr>
        <w:t xml:space="preserve">National Health </w:t>
      </w:r>
      <w:r w:rsidR="00E67763" w:rsidRPr="00176E57">
        <w:rPr>
          <w:rFonts w:eastAsia="Lucida Sans Unicode"/>
          <w:bCs/>
          <w:iCs/>
          <w:color w:val="00000A"/>
          <w:lang w:eastAsia="ar-SA"/>
        </w:rPr>
        <w:t>Insurance</w:t>
      </w:r>
      <w:r w:rsidR="00CE2198" w:rsidRPr="00176E57">
        <w:rPr>
          <w:rFonts w:eastAsia="Lucida Sans Unicode"/>
          <w:bCs/>
          <w:iCs/>
          <w:color w:val="00000A"/>
          <w:lang w:eastAsia="ar-SA"/>
        </w:rPr>
        <w:t xml:space="preserve"> Fund, National Employment Service</w:t>
      </w:r>
      <w:r w:rsidR="00805EFA" w:rsidRPr="00176E57">
        <w:rPr>
          <w:rFonts w:eastAsia="Lucida Sans Unicode"/>
          <w:bCs/>
          <w:iCs/>
          <w:color w:val="00000A"/>
          <w:lang w:eastAsia="ar-SA"/>
        </w:rPr>
        <w:t>)</w:t>
      </w:r>
      <w:r w:rsidR="00667192" w:rsidRPr="00176E57">
        <w:rPr>
          <w:rFonts w:eastAsia="Lucida Sans Unicode"/>
          <w:bCs/>
          <w:iCs/>
          <w:color w:val="00000A"/>
          <w:lang w:eastAsia="ar-SA"/>
        </w:rPr>
        <w:t>, thereby</w:t>
      </w:r>
      <w:r w:rsidR="00805EFA" w:rsidRPr="00176E57">
        <w:rPr>
          <w:rFonts w:eastAsia="Lucida Sans Unicode"/>
          <w:bCs/>
          <w:iCs/>
          <w:color w:val="00000A"/>
          <w:lang w:eastAsia="ar-SA"/>
        </w:rPr>
        <w:t xml:space="preserve"> </w:t>
      </w:r>
      <w:r w:rsidR="00CE2198" w:rsidRPr="00176E57">
        <w:rPr>
          <w:rFonts w:eastAsia="Lucida Sans Unicode"/>
          <w:bCs/>
          <w:iCs/>
          <w:color w:val="00000A"/>
          <w:lang w:eastAsia="ar-SA"/>
        </w:rPr>
        <w:t>practically reducing the network of tripartite bodies to social and economic councils (SEC)</w:t>
      </w:r>
      <w:r w:rsidR="00805EFA" w:rsidRPr="00176E57">
        <w:rPr>
          <w:rFonts w:eastAsia="Lucida Sans Unicode"/>
          <w:bCs/>
          <w:iCs/>
          <w:color w:val="00000A"/>
          <w:lang w:eastAsia="ar-SA"/>
        </w:rPr>
        <w:t>.</w:t>
      </w:r>
    </w:p>
    <w:p w14:paraId="05AE5AB6" w14:textId="1D55B163" w:rsidR="00805EFA" w:rsidRPr="00176E57" w:rsidRDefault="00805EFA" w:rsidP="00857E41">
      <w:pPr>
        <w:suppressAutoHyphens/>
        <w:rPr>
          <w:rFonts w:eastAsia="Lucida Sans Unicode"/>
          <w:iCs/>
          <w:color w:val="000000"/>
          <w:lang w:eastAsia="ar-SA"/>
        </w:rPr>
      </w:pPr>
    </w:p>
    <w:p w14:paraId="64E2C375" w14:textId="64E8248A" w:rsidR="00667192" w:rsidRPr="00176E57" w:rsidRDefault="00CE2198" w:rsidP="00857E41">
      <w:pPr>
        <w:pStyle w:val="ListParagraph"/>
        <w:widowControl w:val="0"/>
        <w:numPr>
          <w:ilvl w:val="0"/>
          <w:numId w:val="2"/>
        </w:numPr>
        <w:suppressAutoHyphens/>
        <w:spacing w:after="0" w:line="288" w:lineRule="auto"/>
        <w:ind w:left="567" w:hanging="567"/>
        <w:rPr>
          <w:rFonts w:eastAsia="Lucida Sans Unicode"/>
          <w:iCs/>
          <w:lang w:eastAsia="ar-SA"/>
        </w:rPr>
      </w:pPr>
      <w:r w:rsidRPr="00176E57">
        <w:rPr>
          <w:rFonts w:eastAsia="Lucida Sans Unicode"/>
          <w:iCs/>
          <w:lang w:eastAsia="ar-SA"/>
        </w:rPr>
        <w:t>Weak position and resources of SEC</w:t>
      </w:r>
    </w:p>
    <w:p w14:paraId="5C81CFCD" w14:textId="77777777" w:rsidR="00B94D29" w:rsidRPr="00176E57" w:rsidRDefault="00B94D29" w:rsidP="00857E41">
      <w:pPr>
        <w:widowControl w:val="0"/>
        <w:suppressAutoHyphens/>
        <w:rPr>
          <w:rFonts w:eastAsia="Lucida Sans Unicode"/>
          <w:iCs/>
          <w:lang w:eastAsia="ar-SA"/>
        </w:rPr>
      </w:pPr>
    </w:p>
    <w:p w14:paraId="441C7A61" w14:textId="38CEBB98" w:rsidR="00667192" w:rsidRPr="00176E57" w:rsidRDefault="00CE2198" w:rsidP="00857E41">
      <w:pPr>
        <w:widowControl w:val="0"/>
        <w:suppressAutoHyphens/>
        <w:rPr>
          <w:rFonts w:eastAsia="MyriadPro-Cond"/>
          <w:iCs/>
        </w:rPr>
      </w:pPr>
      <w:r w:rsidRPr="00176E57">
        <w:rPr>
          <w:rFonts w:eastAsia="Lucida Sans Unicode"/>
          <w:iCs/>
          <w:lang w:eastAsia="ar-SA"/>
        </w:rPr>
        <w:t xml:space="preserve">The Council’s budget has been </w:t>
      </w:r>
      <w:r w:rsidR="00DB1488" w:rsidRPr="00176E57">
        <w:rPr>
          <w:rFonts w:eastAsia="Lucida Sans Unicode"/>
          <w:iCs/>
          <w:lang w:eastAsia="ar-SA"/>
        </w:rPr>
        <w:t xml:space="preserve">essentially </w:t>
      </w:r>
      <w:r w:rsidRPr="00176E57">
        <w:rPr>
          <w:rFonts w:eastAsia="Lucida Sans Unicode"/>
          <w:iCs/>
          <w:lang w:eastAsia="ar-SA"/>
        </w:rPr>
        <w:t xml:space="preserve">around EUR 200,000 since </w:t>
      </w:r>
      <w:r w:rsidR="00805EFA" w:rsidRPr="00176E57">
        <w:rPr>
          <w:rFonts w:eastAsia="Lucida Sans Unicode"/>
          <w:iCs/>
          <w:lang w:eastAsia="ar-SA"/>
        </w:rPr>
        <w:t>2010</w:t>
      </w:r>
      <w:r w:rsidRPr="00176E57">
        <w:rPr>
          <w:rFonts w:eastAsia="Lucida Sans Unicode"/>
          <w:iCs/>
          <w:lang w:eastAsia="ar-SA"/>
        </w:rPr>
        <w:t xml:space="preserve">, which affects negatively its operative capacities and its </w:t>
      </w:r>
      <w:r w:rsidR="00E67763" w:rsidRPr="00176E57">
        <w:rPr>
          <w:rFonts w:eastAsia="Lucida Sans Unicode"/>
          <w:iCs/>
          <w:lang w:eastAsia="ar-SA"/>
        </w:rPr>
        <w:t>overall</w:t>
      </w:r>
      <w:r w:rsidRPr="00176E57">
        <w:rPr>
          <w:rFonts w:eastAsia="Lucida Sans Unicode"/>
          <w:iCs/>
          <w:lang w:eastAsia="ar-SA"/>
        </w:rPr>
        <w:t xml:space="preserve"> functioning</w:t>
      </w:r>
      <w:r w:rsidR="00805EFA" w:rsidRPr="00176E57">
        <w:rPr>
          <w:rFonts w:eastAsia="Lucida Sans Unicode"/>
          <w:iCs/>
          <w:lang w:eastAsia="ar-SA"/>
        </w:rPr>
        <w:t xml:space="preserve">. </w:t>
      </w:r>
      <w:r w:rsidRPr="00176E57">
        <w:rPr>
          <w:rFonts w:eastAsia="Lucida Sans Unicode"/>
          <w:iCs/>
          <w:lang w:eastAsia="ar-SA"/>
        </w:rPr>
        <w:t>The Secretariat of the Council does not have enough funds to realize research and publish</w:t>
      </w:r>
      <w:r w:rsidR="00805EFA" w:rsidRPr="00176E57">
        <w:rPr>
          <w:rFonts w:eastAsia="Lucida Sans Unicode"/>
          <w:iCs/>
          <w:lang w:eastAsia="ar-SA"/>
        </w:rPr>
        <w:t xml:space="preserve">. </w:t>
      </w:r>
      <w:r w:rsidRPr="00176E57">
        <w:rPr>
          <w:rFonts w:eastAsia="Lucida Sans Unicode"/>
          <w:iCs/>
          <w:lang w:eastAsia="ar-SA"/>
        </w:rPr>
        <w:t>All projects that have been realized thus far were financed with the help of other countries</w:t>
      </w:r>
      <w:r w:rsidR="00805EFA" w:rsidRPr="00176E57">
        <w:rPr>
          <w:rFonts w:eastAsia="Lucida Sans Unicode"/>
          <w:iCs/>
          <w:lang w:eastAsia="ar-SA"/>
        </w:rPr>
        <w:t>.</w:t>
      </w:r>
      <w:r w:rsidR="00805EFA" w:rsidRPr="00176E57">
        <w:rPr>
          <w:rFonts w:eastAsia="MyriadPro-Cond"/>
          <w:iCs/>
        </w:rPr>
        <w:t xml:space="preserve"> </w:t>
      </w:r>
      <w:r w:rsidRPr="00176E57">
        <w:rPr>
          <w:rFonts w:eastAsia="MyriadPro-Cond"/>
          <w:iCs/>
        </w:rPr>
        <w:t>Even though, according to the systematization of jobs, the Secretariat is composed of 10 persons, there are only three employees</w:t>
      </w:r>
      <w:r w:rsidR="00805EFA" w:rsidRPr="00176E57">
        <w:rPr>
          <w:rFonts w:eastAsia="MyriadPro-Cond"/>
          <w:iCs/>
        </w:rPr>
        <w:t>.</w:t>
      </w:r>
    </w:p>
    <w:p w14:paraId="0F1510B6" w14:textId="77777777" w:rsidR="00667192" w:rsidRPr="00176E57" w:rsidRDefault="00667192" w:rsidP="00857E41">
      <w:pPr>
        <w:widowControl w:val="0"/>
        <w:suppressAutoHyphens/>
        <w:rPr>
          <w:rFonts w:eastAsia="MyriadPro-Cond"/>
          <w:iCs/>
        </w:rPr>
      </w:pPr>
    </w:p>
    <w:p w14:paraId="45B6AC57" w14:textId="6DFF7A8D" w:rsidR="00805EFA" w:rsidRPr="00176E57" w:rsidRDefault="00CE2198" w:rsidP="00857E41">
      <w:pPr>
        <w:autoSpaceDE w:val="0"/>
        <w:autoSpaceDN w:val="0"/>
        <w:adjustRightInd w:val="0"/>
        <w:rPr>
          <w:rFonts w:eastAsia="MyriadPro-Cond"/>
          <w:iCs/>
        </w:rPr>
      </w:pPr>
      <w:r w:rsidRPr="00176E57">
        <w:rPr>
          <w:rFonts w:eastAsia="MyriadPro-Cond"/>
          <w:iCs/>
        </w:rPr>
        <w:t xml:space="preserve">The budget funds allocated to SEC were reduced to </w:t>
      </w:r>
      <w:r w:rsidR="00805EFA" w:rsidRPr="00176E57">
        <w:rPr>
          <w:rFonts w:eastAsia="MyriadPro-Cond"/>
          <w:iCs/>
        </w:rPr>
        <w:t xml:space="preserve">62% </w:t>
      </w:r>
      <w:r w:rsidRPr="00176E57">
        <w:rPr>
          <w:rFonts w:eastAsia="MyriadPro-Cond"/>
          <w:iCs/>
        </w:rPr>
        <w:t>in</w:t>
      </w:r>
      <w:r w:rsidR="00805EFA" w:rsidRPr="00176E57">
        <w:rPr>
          <w:rFonts w:eastAsia="MyriadPro-Cond"/>
          <w:iCs/>
        </w:rPr>
        <w:t xml:space="preserve"> 2017</w:t>
      </w:r>
      <w:r w:rsidRPr="00176E57">
        <w:rPr>
          <w:rFonts w:eastAsia="MyriadPro-Cond"/>
          <w:iCs/>
        </w:rPr>
        <w:t xml:space="preserve"> in comparison to </w:t>
      </w:r>
      <w:r w:rsidR="00805EFA" w:rsidRPr="00176E57">
        <w:rPr>
          <w:rFonts w:eastAsia="MyriadPro-Cond"/>
          <w:iCs/>
        </w:rPr>
        <w:t xml:space="preserve">2009. </w:t>
      </w:r>
      <w:r w:rsidR="00DB1488" w:rsidRPr="00176E57">
        <w:rPr>
          <w:rFonts w:eastAsia="MyriadPro-Cond"/>
          <w:iCs/>
        </w:rPr>
        <w:t xml:space="preserve">However, since 2017 it has been increased to EUR </w:t>
      </w:r>
      <w:r w:rsidR="00805EFA" w:rsidRPr="00176E57">
        <w:rPr>
          <w:rFonts w:eastAsia="MyriadPro-Cond"/>
          <w:iCs/>
        </w:rPr>
        <w:t>300</w:t>
      </w:r>
      <w:r w:rsidR="00452E69">
        <w:rPr>
          <w:rFonts w:eastAsia="MyriadPro-Cond"/>
          <w:iCs/>
        </w:rPr>
        <w:t> </w:t>
      </w:r>
      <w:r w:rsidR="00805EFA" w:rsidRPr="00176E57">
        <w:rPr>
          <w:rFonts w:eastAsia="MyriadPro-Cond"/>
          <w:iCs/>
        </w:rPr>
        <w:t>000.</w:t>
      </w:r>
    </w:p>
    <w:p w14:paraId="2EB6C506" w14:textId="77777777" w:rsidR="00B62D4D" w:rsidRPr="00176E57" w:rsidRDefault="00B62D4D" w:rsidP="00857E41">
      <w:pPr>
        <w:autoSpaceDE w:val="0"/>
        <w:autoSpaceDN w:val="0"/>
        <w:adjustRightInd w:val="0"/>
        <w:rPr>
          <w:rFonts w:eastAsia="MyriadPro-Cond"/>
          <w:iCs/>
        </w:rPr>
      </w:pPr>
    </w:p>
    <w:p w14:paraId="1543CBE7" w14:textId="6288B9A5" w:rsidR="00B62D4D" w:rsidRPr="00176E57" w:rsidRDefault="00DB1488" w:rsidP="00857E41">
      <w:pPr>
        <w:autoSpaceDE w:val="0"/>
        <w:autoSpaceDN w:val="0"/>
        <w:adjustRightInd w:val="0"/>
        <w:rPr>
          <w:rFonts w:eastAsia="MyriadPro-BoldCond"/>
          <w:b/>
          <w:bCs/>
          <w:iCs/>
        </w:rPr>
      </w:pPr>
      <w:r w:rsidRPr="00176E57">
        <w:rPr>
          <w:rFonts w:eastAsia="MyriadPro-Cond"/>
          <w:iCs/>
        </w:rPr>
        <w:t>Technical capacities of SEC standing committees for providing expert contribution to a great number of complex economic, fiscal and legal issues are still limited</w:t>
      </w:r>
      <w:r w:rsidR="00805EFA" w:rsidRPr="00176E57">
        <w:rPr>
          <w:rFonts w:eastAsia="MyriadPro-Cond"/>
          <w:iCs/>
        </w:rPr>
        <w:t xml:space="preserve">. </w:t>
      </w:r>
      <w:r w:rsidRPr="00176E57">
        <w:rPr>
          <w:rFonts w:eastAsia="MyriadPro-Cond"/>
          <w:iCs/>
        </w:rPr>
        <w:t>Cooperation with academic community, research institutes and civil society organi</w:t>
      </w:r>
      <w:r w:rsidR="00176E57">
        <w:rPr>
          <w:rFonts w:eastAsia="MyriadPro-Cond"/>
          <w:iCs/>
        </w:rPr>
        <w:t>s</w:t>
      </w:r>
      <w:r w:rsidRPr="00176E57">
        <w:rPr>
          <w:rFonts w:eastAsia="MyriadPro-Cond"/>
          <w:iCs/>
        </w:rPr>
        <w:t>ations would increase quality.</w:t>
      </w:r>
    </w:p>
    <w:p w14:paraId="0BFE55DB" w14:textId="3246CACE" w:rsidR="00805EFA" w:rsidRPr="00176E57" w:rsidRDefault="00805EFA" w:rsidP="00857E41">
      <w:pPr>
        <w:autoSpaceDE w:val="0"/>
        <w:autoSpaceDN w:val="0"/>
        <w:adjustRightInd w:val="0"/>
        <w:rPr>
          <w:rFonts w:eastAsia="MyriadPro-Cond"/>
          <w:iCs/>
        </w:rPr>
      </w:pPr>
    </w:p>
    <w:p w14:paraId="429D0675" w14:textId="60DF0ED6" w:rsidR="00ED136D" w:rsidRPr="00176E57" w:rsidRDefault="00DB1488" w:rsidP="00857E41">
      <w:pPr>
        <w:suppressAutoHyphens/>
        <w:rPr>
          <w:rFonts w:eastAsia="Lucida Sans Unicode"/>
          <w:iCs/>
          <w:lang w:eastAsia="ar-SA"/>
        </w:rPr>
      </w:pPr>
      <w:r w:rsidRPr="00176E57">
        <w:rPr>
          <w:rFonts w:eastAsia="Lucida Sans Unicode"/>
          <w:iCs/>
          <w:lang w:eastAsia="ar-SA"/>
        </w:rPr>
        <w:t>Analysis of (in)sufficient capacities of social partners</w:t>
      </w:r>
    </w:p>
    <w:p w14:paraId="2BC09925" w14:textId="544FDCFB" w:rsidR="00ED136D" w:rsidRPr="00176E57" w:rsidRDefault="00DB1488" w:rsidP="00857E41">
      <w:pPr>
        <w:suppressAutoHyphens/>
        <w:rPr>
          <w:rFonts w:eastAsia="Lucida Sans Unicode"/>
          <w:iCs/>
          <w:lang w:eastAsia="ar-SA"/>
        </w:rPr>
      </w:pPr>
      <w:r w:rsidRPr="00176E57">
        <w:rPr>
          <w:rFonts w:eastAsia="Lucida Sans Unicode"/>
          <w:iCs/>
          <w:lang w:eastAsia="ar-SA"/>
        </w:rPr>
        <w:t xml:space="preserve">The assessment of the situations is </w:t>
      </w:r>
      <w:r w:rsidR="00B94D29" w:rsidRPr="00176E57">
        <w:rPr>
          <w:rFonts w:eastAsia="Lucida Sans Unicode"/>
          <w:iCs/>
          <w:lang w:eastAsia="ar-SA"/>
        </w:rPr>
        <w:t>succinctly</w:t>
      </w:r>
      <w:r w:rsidRPr="00176E57">
        <w:rPr>
          <w:rFonts w:eastAsia="Lucida Sans Unicode"/>
          <w:iCs/>
          <w:lang w:eastAsia="ar-SA"/>
        </w:rPr>
        <w:t xml:space="preserve"> described by the claim that social dialogue does not decide on everything it should, nor does the decision-making include (all) those who have the resources and are truly in position to have a say</w:t>
      </w:r>
      <w:r w:rsidR="00ED136D" w:rsidRPr="00176E57">
        <w:rPr>
          <w:rFonts w:eastAsia="Lucida Sans Unicode"/>
          <w:iCs/>
          <w:lang w:eastAsia="ar-SA"/>
        </w:rPr>
        <w:t>.</w:t>
      </w:r>
    </w:p>
    <w:p w14:paraId="7177B40F" w14:textId="16DD68F2" w:rsidR="00667192" w:rsidRPr="00176E57" w:rsidRDefault="00DB1488" w:rsidP="00857E41">
      <w:pPr>
        <w:suppressAutoHyphens/>
        <w:rPr>
          <w:rFonts w:eastAsia="Lucida Sans Unicode"/>
          <w:iCs/>
          <w:lang w:eastAsia="ar-SA"/>
        </w:rPr>
      </w:pPr>
      <w:r w:rsidRPr="00176E57">
        <w:rPr>
          <w:rFonts w:eastAsia="Lucida Sans Unicode"/>
          <w:iCs/>
          <w:lang w:eastAsia="ar-SA"/>
        </w:rPr>
        <w:t xml:space="preserve">For example, </w:t>
      </w:r>
      <w:r w:rsidR="00B94D29" w:rsidRPr="00176E57">
        <w:rPr>
          <w:rFonts w:eastAsia="Lucida Sans Unicode"/>
          <w:iCs/>
          <w:lang w:eastAsia="ar-SA"/>
        </w:rPr>
        <w:t>stakeholders</w:t>
      </w:r>
      <w:r w:rsidRPr="00176E57">
        <w:rPr>
          <w:rFonts w:eastAsia="Lucida Sans Unicode"/>
          <w:iCs/>
          <w:lang w:eastAsia="ar-SA"/>
        </w:rPr>
        <w:t xml:space="preserve"> who are important economic actors and achieve what is in their interest without participating in social dialogue, are outside SEC (e.g. Foreign Investors</w:t>
      </w:r>
      <w:r w:rsidR="009D5E49" w:rsidRPr="00176E57">
        <w:rPr>
          <w:rFonts w:eastAsia="Lucida Sans Unicode"/>
          <w:iCs/>
          <w:lang w:eastAsia="ar-SA"/>
        </w:rPr>
        <w:t xml:space="preserve"> Council</w:t>
      </w:r>
      <w:r w:rsidR="00ED136D" w:rsidRPr="00176E57">
        <w:rPr>
          <w:rFonts w:eastAsia="Lucida Sans Unicode"/>
          <w:iCs/>
          <w:lang w:eastAsia="ar-SA"/>
        </w:rPr>
        <w:t>).</w:t>
      </w:r>
    </w:p>
    <w:p w14:paraId="7AB471D1" w14:textId="470FC4A2" w:rsidR="0058455E" w:rsidRPr="00176E57" w:rsidRDefault="0058455E" w:rsidP="00857E41">
      <w:pPr>
        <w:suppressAutoHyphens/>
        <w:rPr>
          <w:rFonts w:eastAsia="Lucida Sans Unicode"/>
          <w:iCs/>
          <w:lang w:eastAsia="ar-SA"/>
        </w:rPr>
      </w:pPr>
    </w:p>
    <w:p w14:paraId="35FD2ED1" w14:textId="437EA447" w:rsidR="00667192" w:rsidRPr="00176E57" w:rsidRDefault="00D06266" w:rsidP="00857E41">
      <w:pPr>
        <w:suppressAutoHyphens/>
        <w:rPr>
          <w:rFonts w:eastAsia="Lucida Sans Unicode"/>
          <w:iCs/>
          <w:lang w:eastAsia="ar-SA"/>
        </w:rPr>
      </w:pPr>
      <w:r w:rsidRPr="00176E57">
        <w:rPr>
          <w:rFonts w:eastAsia="Lucida Sans Unicode"/>
          <w:iCs/>
          <w:lang w:eastAsia="ar-SA"/>
        </w:rPr>
        <w:t>The much needed capacity building of stakeholders in social dialogue should offer answers to the following questions and dilemmas</w:t>
      </w:r>
      <w:r w:rsidR="00ED136D" w:rsidRPr="00176E57">
        <w:rPr>
          <w:rFonts w:eastAsia="Lucida Sans Unicode"/>
          <w:iCs/>
          <w:lang w:eastAsia="ar-SA"/>
        </w:rPr>
        <w:t>:</w:t>
      </w:r>
    </w:p>
    <w:p w14:paraId="6C710351" w14:textId="77777777" w:rsidR="00667192" w:rsidRPr="00176E57" w:rsidRDefault="00667192" w:rsidP="00857E41">
      <w:pPr>
        <w:suppressAutoHyphens/>
        <w:rPr>
          <w:rFonts w:eastAsia="Lucida Sans Unicode"/>
          <w:iCs/>
          <w:lang w:eastAsia="ar-SA"/>
        </w:rPr>
      </w:pPr>
    </w:p>
    <w:p w14:paraId="6236157F" w14:textId="285B9ABD" w:rsidR="003D7A27" w:rsidRPr="00857E41" w:rsidRDefault="00D06266" w:rsidP="00857E41">
      <w:pPr>
        <w:pStyle w:val="ListParagraph"/>
        <w:numPr>
          <w:ilvl w:val="1"/>
          <w:numId w:val="11"/>
        </w:numPr>
        <w:suppressAutoHyphens/>
        <w:spacing w:after="0" w:line="288" w:lineRule="auto"/>
        <w:ind w:left="567" w:hanging="567"/>
        <w:rPr>
          <w:rFonts w:eastAsia="Lucida Sans Unicode"/>
          <w:iCs/>
          <w:lang w:eastAsia="ar-SA"/>
        </w:rPr>
      </w:pPr>
      <w:r w:rsidRPr="00857E41">
        <w:rPr>
          <w:rFonts w:ascii="Times New Roman" w:eastAsia="Lucida Sans Unicode" w:hAnsi="Times New Roman"/>
          <w:iCs/>
          <w:lang w:val="en-GB" w:eastAsia="ar-SA"/>
        </w:rPr>
        <w:t>Do representative social partners have an adequate organi</w:t>
      </w:r>
      <w:r w:rsidR="00176E57">
        <w:rPr>
          <w:rFonts w:ascii="Times New Roman" w:eastAsia="Lucida Sans Unicode" w:hAnsi="Times New Roman"/>
          <w:iCs/>
          <w:lang w:val="en-GB" w:eastAsia="ar-SA"/>
        </w:rPr>
        <w:t>s</w:t>
      </w:r>
      <w:r w:rsidRPr="00857E41">
        <w:rPr>
          <w:rFonts w:ascii="Times New Roman" w:eastAsia="Lucida Sans Unicode" w:hAnsi="Times New Roman"/>
          <w:iCs/>
          <w:lang w:val="en-GB" w:eastAsia="ar-SA"/>
        </w:rPr>
        <w:t xml:space="preserve">ational structure and resources to participate in social dialogue at national, provincial and local levels </w:t>
      </w:r>
      <w:r w:rsidR="00ED136D" w:rsidRPr="00857E41">
        <w:rPr>
          <w:rFonts w:ascii="Times New Roman" w:eastAsia="Lucida Sans Unicode" w:hAnsi="Times New Roman"/>
          <w:iCs/>
          <w:lang w:val="en-GB" w:eastAsia="ar-SA"/>
        </w:rPr>
        <w:t>(</w:t>
      </w:r>
      <w:r w:rsidRPr="00857E41">
        <w:rPr>
          <w:rFonts w:ascii="Times New Roman" w:eastAsia="Lucida Sans Unicode" w:hAnsi="Times New Roman"/>
          <w:iCs/>
          <w:lang w:val="en-GB" w:eastAsia="ar-SA"/>
        </w:rPr>
        <w:t xml:space="preserve">projection of </w:t>
      </w:r>
      <w:r w:rsidR="00ED136D" w:rsidRPr="00857E41">
        <w:rPr>
          <w:rFonts w:ascii="Times New Roman" w:eastAsia="Lucida Sans Unicode" w:hAnsi="Times New Roman"/>
          <w:iCs/>
          <w:lang w:val="en-GB" w:eastAsia="ar-SA"/>
        </w:rPr>
        <w:t xml:space="preserve">30 </w:t>
      </w:r>
      <w:r w:rsidRPr="00857E41">
        <w:rPr>
          <w:rFonts w:ascii="Times New Roman" w:eastAsia="Lucida Sans Unicode" w:hAnsi="Times New Roman"/>
          <w:iCs/>
          <w:lang w:val="en-GB" w:eastAsia="ar-SA"/>
        </w:rPr>
        <w:t>local SECs</w:t>
      </w:r>
      <w:r w:rsidR="00ED136D" w:rsidRPr="00857E41">
        <w:rPr>
          <w:rFonts w:ascii="Times New Roman" w:eastAsia="Lucida Sans Unicode" w:hAnsi="Times New Roman"/>
          <w:iCs/>
          <w:lang w:val="en-GB" w:eastAsia="ar-SA"/>
        </w:rPr>
        <w:t>)?</w:t>
      </w:r>
      <w:r w:rsidR="008515E5" w:rsidRPr="00857E41">
        <w:rPr>
          <w:rFonts w:ascii="Times New Roman" w:eastAsia="Lucida Sans Unicode" w:hAnsi="Times New Roman"/>
          <w:iCs/>
          <w:lang w:val="en-GB" w:eastAsia="ar-SA"/>
        </w:rPr>
        <w:t xml:space="preserve"> </w:t>
      </w:r>
      <w:r w:rsidR="00ED136D" w:rsidRPr="00857E41">
        <w:rPr>
          <w:rFonts w:ascii="Times New Roman" w:eastAsia="Lucida Sans Unicode" w:hAnsi="Times New Roman"/>
          <w:iCs/>
          <w:lang w:val="en-GB" w:eastAsia="ar-SA"/>
        </w:rPr>
        <w:t>(</w:t>
      </w:r>
      <w:r w:rsidRPr="00857E41">
        <w:rPr>
          <w:rFonts w:ascii="Times New Roman" w:hAnsi="Times New Roman"/>
          <w:bCs/>
          <w:iCs/>
          <w:lang w:val="en-GB"/>
        </w:rPr>
        <w:t>Twinning Report on functioning of National SEC</w:t>
      </w:r>
      <w:r w:rsidR="00ED136D" w:rsidRPr="00857E41">
        <w:rPr>
          <w:rFonts w:ascii="Times New Roman" w:hAnsi="Times New Roman"/>
          <w:bCs/>
          <w:iCs/>
          <w:lang w:val="en-GB"/>
        </w:rPr>
        <w:t>, 2015)</w:t>
      </w:r>
    </w:p>
    <w:p w14:paraId="79D84C0B" w14:textId="77777777" w:rsidR="00667192" w:rsidRPr="00857E41" w:rsidRDefault="00667192" w:rsidP="00857E41">
      <w:pPr>
        <w:pStyle w:val="ListParagraph"/>
        <w:suppressAutoHyphens/>
        <w:spacing w:after="0" w:line="288" w:lineRule="auto"/>
        <w:ind w:left="567"/>
        <w:rPr>
          <w:rFonts w:ascii="Times New Roman" w:eastAsia="Lucida Sans Unicode" w:hAnsi="Times New Roman"/>
          <w:iCs/>
          <w:lang w:val="en-GB" w:eastAsia="ar-SA"/>
        </w:rPr>
      </w:pPr>
    </w:p>
    <w:p w14:paraId="2B08BFD8" w14:textId="5D4C06BF" w:rsidR="003D7A27" w:rsidRPr="00857E41" w:rsidRDefault="00D06266" w:rsidP="00857E41">
      <w:pPr>
        <w:pStyle w:val="ListParagraph"/>
        <w:numPr>
          <w:ilvl w:val="1"/>
          <w:numId w:val="11"/>
        </w:numPr>
        <w:suppressAutoHyphens/>
        <w:spacing w:after="0" w:line="288" w:lineRule="auto"/>
        <w:ind w:left="567" w:hanging="567"/>
        <w:rPr>
          <w:rFonts w:eastAsia="Lucida Sans Unicode"/>
          <w:iCs/>
          <w:lang w:eastAsia="ar-SA"/>
        </w:rPr>
      </w:pPr>
      <w:r w:rsidRPr="00176E57">
        <w:rPr>
          <w:rFonts w:ascii="Times New Roman" w:eastAsia="Lucida Sans Unicode" w:hAnsi="Times New Roman"/>
          <w:iCs/>
          <w:lang w:val="en-GB" w:eastAsia="ar-SA"/>
        </w:rPr>
        <w:lastRenderedPageBreak/>
        <w:t>Do the state and local self-governments offer minimum standards for work of tripartite bodies, and do they have adequate resources and capacities at their disposal or are even those brought into question (by rationalizing the number of employees in administration</w:t>
      </w:r>
      <w:r w:rsidR="00ED136D" w:rsidRPr="00176E57">
        <w:rPr>
          <w:rFonts w:ascii="Times New Roman" w:eastAsia="Lucida Sans Unicode" w:hAnsi="Times New Roman"/>
          <w:iCs/>
          <w:lang w:val="en-GB" w:eastAsia="ar-SA"/>
        </w:rPr>
        <w:t>)</w:t>
      </w:r>
      <w:r w:rsidR="003D7A27" w:rsidRPr="00176E57">
        <w:rPr>
          <w:rFonts w:ascii="Times New Roman" w:eastAsia="Lucida Sans Unicode" w:hAnsi="Times New Roman"/>
          <w:iCs/>
          <w:lang w:val="en-GB" w:eastAsia="ar-SA"/>
        </w:rPr>
        <w:t>?</w:t>
      </w:r>
    </w:p>
    <w:p w14:paraId="0F538D6E" w14:textId="77777777" w:rsidR="00667192" w:rsidRPr="00176E57" w:rsidRDefault="00667192" w:rsidP="00857E41">
      <w:pPr>
        <w:pStyle w:val="ListParagraph"/>
        <w:suppressAutoHyphens/>
        <w:spacing w:after="0" w:line="288" w:lineRule="auto"/>
        <w:ind w:left="567"/>
        <w:rPr>
          <w:rFonts w:ascii="Times New Roman" w:eastAsia="Lucida Sans Unicode" w:hAnsi="Times New Roman"/>
          <w:iCs/>
          <w:lang w:val="en-GB" w:eastAsia="ar-SA"/>
        </w:rPr>
      </w:pPr>
    </w:p>
    <w:p w14:paraId="2E843470" w14:textId="2E7E83D3" w:rsidR="00447F76" w:rsidRPr="00857E41" w:rsidRDefault="00D06266" w:rsidP="00857E41">
      <w:pPr>
        <w:pStyle w:val="ListParagraph"/>
        <w:numPr>
          <w:ilvl w:val="1"/>
          <w:numId w:val="11"/>
        </w:numPr>
        <w:suppressAutoHyphens/>
        <w:spacing w:after="0" w:line="288" w:lineRule="auto"/>
        <w:ind w:left="567" w:hanging="567"/>
        <w:rPr>
          <w:rFonts w:eastAsia="Lucida Sans Unicode"/>
          <w:iCs/>
          <w:lang w:eastAsia="ar-SA"/>
        </w:rPr>
      </w:pPr>
      <w:r w:rsidRPr="00176E57">
        <w:rPr>
          <w:rFonts w:ascii="Times New Roman" w:eastAsia="Lucida Sans Unicode" w:hAnsi="Times New Roman"/>
          <w:iCs/>
          <w:lang w:val="en-GB" w:eastAsia="ar-SA"/>
        </w:rPr>
        <w:t xml:space="preserve">To what extent and in which areas is it possible to </w:t>
      </w:r>
      <w:r w:rsidR="00B94D29" w:rsidRPr="00176E57">
        <w:rPr>
          <w:rFonts w:ascii="Times New Roman" w:eastAsia="Lucida Sans Unicode" w:hAnsi="Times New Roman"/>
          <w:iCs/>
          <w:lang w:val="en-GB" w:eastAsia="ar-SA"/>
        </w:rPr>
        <w:t>receive</w:t>
      </w:r>
      <w:r w:rsidRPr="00176E57">
        <w:rPr>
          <w:rFonts w:ascii="Times New Roman" w:eastAsia="Lucida Sans Unicode" w:hAnsi="Times New Roman"/>
          <w:iCs/>
          <w:lang w:val="en-GB" w:eastAsia="ar-SA"/>
        </w:rPr>
        <w:t xml:space="preserve"> logistical support from the Chamber of Commerce and Industry, academic community and civil society organi</w:t>
      </w:r>
      <w:r w:rsidR="001B168A" w:rsidRPr="00176E57">
        <w:rPr>
          <w:rFonts w:ascii="Times New Roman" w:eastAsia="Lucida Sans Unicode" w:hAnsi="Times New Roman"/>
          <w:iCs/>
          <w:lang w:val="en-GB" w:eastAsia="ar-SA"/>
        </w:rPr>
        <w:t>s</w:t>
      </w:r>
      <w:r w:rsidRPr="00176E57">
        <w:rPr>
          <w:rFonts w:ascii="Times New Roman" w:eastAsia="Lucida Sans Unicode" w:hAnsi="Times New Roman"/>
          <w:iCs/>
          <w:lang w:val="en-GB" w:eastAsia="ar-SA"/>
        </w:rPr>
        <w:t xml:space="preserve">ations </w:t>
      </w:r>
      <w:r w:rsidR="00ED136D" w:rsidRPr="00176E57">
        <w:rPr>
          <w:rFonts w:ascii="Times New Roman" w:eastAsia="Lucida Sans Unicode" w:hAnsi="Times New Roman"/>
          <w:iCs/>
          <w:lang w:val="en-GB" w:eastAsia="ar-SA"/>
        </w:rPr>
        <w:t>(</w:t>
      </w:r>
      <w:r w:rsidRPr="00176E57">
        <w:rPr>
          <w:rFonts w:ascii="Times New Roman" w:eastAsia="Lucida Sans Unicode" w:hAnsi="Times New Roman"/>
          <w:iCs/>
          <w:lang w:val="en-GB" w:eastAsia="ar-SA"/>
        </w:rPr>
        <w:t>CSO</w:t>
      </w:r>
      <w:r w:rsidR="00ED136D" w:rsidRPr="00176E57">
        <w:rPr>
          <w:rFonts w:ascii="Times New Roman" w:eastAsia="Lucida Sans Unicode" w:hAnsi="Times New Roman"/>
          <w:iCs/>
          <w:lang w:val="en-GB" w:eastAsia="ar-SA"/>
        </w:rPr>
        <w:t>)?</w:t>
      </w:r>
    </w:p>
    <w:p w14:paraId="2E50116A" w14:textId="77777777" w:rsidR="00667192" w:rsidRPr="00176E57" w:rsidRDefault="00667192" w:rsidP="00857E41">
      <w:pPr>
        <w:pStyle w:val="ListParagraph"/>
        <w:suppressAutoHyphens/>
        <w:spacing w:after="0" w:line="288" w:lineRule="auto"/>
        <w:ind w:left="567"/>
        <w:rPr>
          <w:rFonts w:ascii="Times New Roman" w:eastAsia="Lucida Sans Unicode" w:hAnsi="Times New Roman"/>
          <w:iCs/>
          <w:lang w:val="en-GB" w:eastAsia="ar-SA"/>
        </w:rPr>
      </w:pPr>
    </w:p>
    <w:p w14:paraId="57FBA421" w14:textId="379C3809" w:rsidR="00667192" w:rsidRPr="00857E41" w:rsidRDefault="00D06266" w:rsidP="00857E41">
      <w:pPr>
        <w:pStyle w:val="ListParagraph"/>
        <w:numPr>
          <w:ilvl w:val="1"/>
          <w:numId w:val="11"/>
        </w:numPr>
        <w:suppressAutoHyphens/>
        <w:spacing w:after="0" w:line="288" w:lineRule="auto"/>
        <w:ind w:left="567" w:hanging="567"/>
        <w:rPr>
          <w:rFonts w:eastAsia="Lucida Sans Unicode"/>
          <w:iCs/>
          <w:lang w:eastAsia="ar-SA"/>
        </w:rPr>
      </w:pPr>
      <w:r w:rsidRPr="00176E57">
        <w:rPr>
          <w:rFonts w:ascii="Times New Roman" w:eastAsia="Lucida Sans Unicode" w:hAnsi="Times New Roman"/>
          <w:iCs/>
          <w:lang w:val="en-GB" w:eastAsia="ar-SA"/>
        </w:rPr>
        <w:t>Should those who are not in formal and in</w:t>
      </w:r>
      <w:r w:rsidR="009D5E49" w:rsidRPr="00176E57">
        <w:rPr>
          <w:rFonts w:ascii="Times New Roman" w:eastAsia="Lucida Sans Unicode" w:hAnsi="Times New Roman"/>
          <w:iCs/>
          <w:lang w:val="en-GB" w:eastAsia="ar-SA"/>
        </w:rPr>
        <w:t xml:space="preserve">stitutionalized social dialogue, but have significant power, resources and employ a large number of employees, be included in it and how? </w:t>
      </w:r>
      <w:r w:rsidR="00ED136D" w:rsidRPr="00176E57">
        <w:rPr>
          <w:rFonts w:ascii="Times New Roman" w:eastAsia="Lucida Sans Unicode" w:hAnsi="Times New Roman"/>
          <w:iCs/>
          <w:lang w:val="en-GB" w:eastAsia="ar-SA"/>
        </w:rPr>
        <w:t>(</w:t>
      </w:r>
      <w:r w:rsidR="009D5E49" w:rsidRPr="00176E57">
        <w:rPr>
          <w:rFonts w:ascii="Times New Roman" w:eastAsia="Lucida Sans Unicode" w:hAnsi="Times New Roman"/>
          <w:iCs/>
          <w:lang w:val="en-GB" w:eastAsia="ar-SA"/>
        </w:rPr>
        <w:t>Foreign Investors Council</w:t>
      </w:r>
      <w:r w:rsidR="00ED136D" w:rsidRPr="00176E57">
        <w:rPr>
          <w:rFonts w:ascii="Times New Roman" w:eastAsia="Lucida Sans Unicode" w:hAnsi="Times New Roman"/>
          <w:iCs/>
          <w:lang w:val="en-GB" w:eastAsia="ar-SA"/>
        </w:rPr>
        <w:t>,</w:t>
      </w:r>
      <w:r w:rsidR="009D5E49" w:rsidRPr="00176E57">
        <w:rPr>
          <w:rFonts w:ascii="Times New Roman" w:eastAsia="Lucida Sans Unicode" w:hAnsi="Times New Roman"/>
          <w:iCs/>
          <w:lang w:val="en-GB" w:eastAsia="ar-SA"/>
        </w:rPr>
        <w:t xml:space="preserve"> AmCham Serbia</w:t>
      </w:r>
      <w:r w:rsidR="00ED136D" w:rsidRPr="00176E57">
        <w:rPr>
          <w:rFonts w:ascii="Times New Roman" w:eastAsia="Lucida Sans Unicode" w:hAnsi="Times New Roman"/>
          <w:iCs/>
          <w:lang w:val="en-GB" w:eastAsia="ar-SA"/>
        </w:rPr>
        <w:t>.)</w:t>
      </w:r>
    </w:p>
    <w:p w14:paraId="7115C1A7" w14:textId="7F1E7BAB" w:rsidR="003D7A27" w:rsidRPr="00176E57" w:rsidRDefault="003D7A27" w:rsidP="00857E41">
      <w:pPr>
        <w:pStyle w:val="ListParagraph"/>
        <w:suppressAutoHyphens/>
        <w:spacing w:after="0" w:line="288" w:lineRule="auto"/>
        <w:ind w:left="567"/>
        <w:rPr>
          <w:rFonts w:ascii="Times New Roman" w:eastAsia="Lucida Sans Unicode" w:hAnsi="Times New Roman"/>
          <w:iCs/>
          <w:lang w:val="en-GB" w:eastAsia="ar-SA"/>
        </w:rPr>
      </w:pPr>
    </w:p>
    <w:p w14:paraId="32A59A9A" w14:textId="6E4ED68B" w:rsidR="001B168A" w:rsidRPr="00176E57" w:rsidRDefault="009D5E49" w:rsidP="00857E41">
      <w:pPr>
        <w:suppressAutoHyphens/>
        <w:rPr>
          <w:iCs/>
          <w:lang w:eastAsia="ar-SA"/>
        </w:rPr>
      </w:pPr>
      <w:r w:rsidRPr="00176E57">
        <w:rPr>
          <w:rFonts w:eastAsia="Calibri"/>
          <w:iCs/>
          <w:lang w:eastAsia="ar-SA"/>
        </w:rPr>
        <w:t>On the other hand</w:t>
      </w:r>
      <w:r w:rsidR="00667192" w:rsidRPr="00176E57">
        <w:rPr>
          <w:rFonts w:eastAsia="Calibri"/>
          <w:iCs/>
          <w:lang w:eastAsia="ar-SA"/>
        </w:rPr>
        <w:t>,</w:t>
      </w:r>
      <w:r w:rsidR="003D7A27" w:rsidRPr="00176E57">
        <w:rPr>
          <w:rFonts w:eastAsia="Calibri"/>
          <w:iCs/>
          <w:lang w:eastAsia="ar-SA"/>
        </w:rPr>
        <w:t xml:space="preserve"> </w:t>
      </w:r>
      <w:r w:rsidRPr="00176E57">
        <w:rPr>
          <w:rFonts w:eastAsia="Calibri"/>
          <w:iCs/>
          <w:lang w:eastAsia="ar-SA"/>
        </w:rPr>
        <w:t xml:space="preserve">the situation of </w:t>
      </w:r>
      <w:r w:rsidR="001B168A" w:rsidRPr="00176E57">
        <w:rPr>
          <w:rFonts w:eastAsia="Calibri"/>
          <w:iCs/>
          <w:lang w:eastAsia="ar-SA"/>
        </w:rPr>
        <w:t>"</w:t>
      </w:r>
      <w:r w:rsidRPr="00176E57">
        <w:rPr>
          <w:rFonts w:eastAsia="Calibri"/>
          <w:iCs/>
          <w:lang w:eastAsia="ar-SA"/>
        </w:rPr>
        <w:t>organi</w:t>
      </w:r>
      <w:r w:rsidR="001B168A" w:rsidRPr="00176E57">
        <w:rPr>
          <w:rFonts w:eastAsia="Calibri"/>
          <w:iCs/>
          <w:lang w:eastAsia="ar-SA"/>
        </w:rPr>
        <w:t>s</w:t>
      </w:r>
      <w:r w:rsidRPr="00176E57">
        <w:rPr>
          <w:rFonts w:eastAsia="Calibri"/>
          <w:iCs/>
          <w:lang w:eastAsia="ar-SA"/>
        </w:rPr>
        <w:t>ational asymmetry</w:t>
      </w:r>
      <w:r w:rsidR="001B168A" w:rsidRPr="00176E57">
        <w:rPr>
          <w:rFonts w:eastAsia="Calibri"/>
          <w:iCs/>
          <w:lang w:eastAsia="ar-SA"/>
        </w:rPr>
        <w:t>"</w:t>
      </w:r>
      <w:r w:rsidRPr="00176E57">
        <w:rPr>
          <w:rFonts w:eastAsia="Calibri"/>
          <w:iCs/>
          <w:lang w:eastAsia="ar-SA"/>
        </w:rPr>
        <w:t xml:space="preserve"> persists, i.e. the state in which where there are private employers there are no trade unions for the most part, and vice versa, where there are trade unions, there are no (private) employers.</w:t>
      </w:r>
    </w:p>
    <w:p w14:paraId="0C140B3E" w14:textId="77777777" w:rsidR="001B168A" w:rsidRPr="00176E57" w:rsidRDefault="001B168A" w:rsidP="00857E41">
      <w:pPr>
        <w:suppressAutoHyphens/>
        <w:rPr>
          <w:iCs/>
          <w:lang w:eastAsia="ar-SA"/>
        </w:rPr>
      </w:pPr>
    </w:p>
    <w:p w14:paraId="6B464567" w14:textId="61897746" w:rsidR="001B168A" w:rsidRPr="00857E41" w:rsidRDefault="001B168A" w:rsidP="00857E41">
      <w:pPr>
        <w:pStyle w:val="ListParagraph"/>
        <w:numPr>
          <w:ilvl w:val="1"/>
          <w:numId w:val="11"/>
        </w:numPr>
        <w:suppressAutoHyphens/>
        <w:spacing w:after="0" w:line="288" w:lineRule="auto"/>
        <w:ind w:left="567" w:hanging="567"/>
        <w:rPr>
          <w:rFonts w:eastAsia="Lucida Sans Unicode"/>
          <w:iCs/>
          <w:lang w:eastAsia="ar-SA"/>
        </w:rPr>
      </w:pPr>
      <w:r w:rsidRPr="00857E41">
        <w:rPr>
          <w:rFonts w:eastAsia="Lucida Sans Unicode"/>
          <w:iCs/>
          <w:lang w:val="en-GB" w:eastAsia="ar-SA"/>
        </w:rPr>
        <w:t xml:space="preserve">How to reduce the specific and multiple: regulatory, mediatory and </w:t>
      </w:r>
      <w:r w:rsidR="00176E57" w:rsidRPr="00176E57">
        <w:rPr>
          <w:rFonts w:eastAsia="Lucida Sans Unicode"/>
          <w:iCs/>
          <w:lang w:eastAsia="ar-SA"/>
        </w:rPr>
        <w:t>propri</w:t>
      </w:r>
      <w:r w:rsidR="00176E57">
        <w:rPr>
          <w:rFonts w:eastAsia="Lucida Sans Unicode"/>
          <w:iCs/>
          <w:lang w:val="en-GB" w:eastAsia="ar-SA"/>
        </w:rPr>
        <w:t>e</w:t>
      </w:r>
      <w:r w:rsidR="00176E57" w:rsidRPr="00176E57">
        <w:rPr>
          <w:rFonts w:eastAsia="Lucida Sans Unicode"/>
          <w:iCs/>
          <w:lang w:eastAsia="ar-SA"/>
        </w:rPr>
        <w:t>tary</w:t>
      </w:r>
      <w:r w:rsidRPr="00857E41">
        <w:rPr>
          <w:rFonts w:eastAsia="Lucida Sans Unicode"/>
          <w:iCs/>
          <w:lang w:val="en-GB" w:eastAsia="ar-SA"/>
        </w:rPr>
        <w:t xml:space="preserve"> position of the Government and local self-governments? </w:t>
      </w:r>
    </w:p>
    <w:p w14:paraId="2505C8DA" w14:textId="0074CDE1" w:rsidR="00ED136D" w:rsidRPr="00176E57" w:rsidRDefault="00ED136D" w:rsidP="00857E41">
      <w:pPr>
        <w:pStyle w:val="ListParagraph"/>
        <w:suppressAutoHyphens/>
        <w:spacing w:after="0" w:line="288" w:lineRule="auto"/>
        <w:ind w:left="567"/>
        <w:rPr>
          <w:rFonts w:ascii="Times New Roman" w:eastAsia="Lucida Sans Unicode" w:hAnsi="Times New Roman"/>
          <w:iCs/>
          <w:lang w:val="en-GB" w:eastAsia="ar-SA"/>
        </w:rPr>
      </w:pPr>
    </w:p>
    <w:p w14:paraId="5C98BA6E" w14:textId="69FB96FA" w:rsidR="00667192" w:rsidRPr="00176E57" w:rsidRDefault="009D5E49" w:rsidP="00857E41">
      <w:pPr>
        <w:suppressAutoHyphens/>
        <w:rPr>
          <w:rFonts w:eastAsia="Calibri"/>
          <w:iCs/>
          <w:lang w:eastAsia="ar-SA"/>
        </w:rPr>
      </w:pPr>
      <w:r w:rsidRPr="00176E57">
        <w:rPr>
          <w:rFonts w:eastAsia="Calibri"/>
          <w:iCs/>
          <w:lang w:eastAsia="ar-SA"/>
        </w:rPr>
        <w:t xml:space="preserve">Namely, the </w:t>
      </w:r>
      <w:r w:rsidR="00B94D29" w:rsidRPr="00176E57">
        <w:rPr>
          <w:rFonts w:eastAsia="Calibri"/>
          <w:iCs/>
          <w:lang w:eastAsia="ar-SA"/>
        </w:rPr>
        <w:t>Government</w:t>
      </w:r>
      <w:r w:rsidRPr="00176E57">
        <w:rPr>
          <w:rFonts w:eastAsia="Calibri"/>
          <w:iCs/>
          <w:lang w:eastAsia="ar-SA"/>
        </w:rPr>
        <w:t xml:space="preserve"> is a competitor to employers’ associations as a partner in social dialogue, and it has the tendency to </w:t>
      </w:r>
      <w:r w:rsidR="00B94D29" w:rsidRPr="00176E57">
        <w:rPr>
          <w:rFonts w:eastAsia="Calibri"/>
          <w:iCs/>
          <w:lang w:eastAsia="ar-SA"/>
        </w:rPr>
        <w:t>substitute</w:t>
      </w:r>
      <w:r w:rsidRPr="00176E57">
        <w:rPr>
          <w:rFonts w:eastAsia="Calibri"/>
          <w:iCs/>
          <w:lang w:eastAsia="ar-SA"/>
        </w:rPr>
        <w:t xml:space="preserve"> employers</w:t>
      </w:r>
      <w:r w:rsidR="00E31AB6" w:rsidRPr="00176E57">
        <w:rPr>
          <w:rFonts w:eastAsia="Calibri"/>
          <w:iCs/>
          <w:lang w:eastAsia="ar-SA"/>
        </w:rPr>
        <w:t>,</w:t>
      </w:r>
      <w:r w:rsidRPr="00176E57">
        <w:rPr>
          <w:rFonts w:eastAsia="Calibri"/>
          <w:iCs/>
          <w:lang w:eastAsia="ar-SA"/>
        </w:rPr>
        <w:t xml:space="preserve"> which are under its direct management</w:t>
      </w:r>
      <w:r w:rsidR="00E31AB6" w:rsidRPr="00176E57">
        <w:rPr>
          <w:rFonts w:eastAsia="Calibri"/>
          <w:iCs/>
          <w:lang w:eastAsia="ar-SA"/>
        </w:rPr>
        <w:t>,</w:t>
      </w:r>
      <w:r w:rsidRPr="00176E57">
        <w:rPr>
          <w:rFonts w:eastAsia="Calibri"/>
          <w:iCs/>
          <w:lang w:eastAsia="ar-SA"/>
        </w:rPr>
        <w:t xml:space="preserve"> </w:t>
      </w:r>
      <w:r w:rsidR="00E31AB6" w:rsidRPr="00176E57">
        <w:rPr>
          <w:rFonts w:eastAsia="Calibri"/>
          <w:iCs/>
          <w:lang w:eastAsia="ar-SA"/>
        </w:rPr>
        <w:t>in collective bargaining</w:t>
      </w:r>
      <w:r w:rsidR="00ED136D" w:rsidRPr="00176E57">
        <w:rPr>
          <w:rFonts w:eastAsia="Calibri"/>
          <w:iCs/>
          <w:lang w:eastAsia="ar-SA"/>
        </w:rPr>
        <w:t xml:space="preserve">. </w:t>
      </w:r>
      <w:r w:rsidR="00E31AB6" w:rsidRPr="00176E57">
        <w:rPr>
          <w:rFonts w:eastAsia="Calibri"/>
          <w:iCs/>
          <w:lang w:eastAsia="ar-SA"/>
        </w:rPr>
        <w:t>The situation is similar in companies where this “managing” function is performed by the local self-government</w:t>
      </w:r>
      <w:r w:rsidR="00ED136D" w:rsidRPr="00176E57">
        <w:rPr>
          <w:rFonts w:eastAsia="Calibri"/>
          <w:iCs/>
          <w:lang w:eastAsia="ar-SA"/>
        </w:rPr>
        <w:t>.</w:t>
      </w:r>
    </w:p>
    <w:p w14:paraId="479C2591" w14:textId="73DBEBD7" w:rsidR="00ED136D" w:rsidRPr="00176E57" w:rsidRDefault="00ED136D" w:rsidP="00857E41">
      <w:pPr>
        <w:suppressAutoHyphens/>
        <w:rPr>
          <w:rFonts w:eastAsia="Calibri"/>
          <w:iCs/>
          <w:lang w:eastAsia="ar-SA"/>
        </w:rPr>
      </w:pPr>
    </w:p>
    <w:p w14:paraId="7464D591" w14:textId="56F398BB" w:rsidR="0059791E" w:rsidRPr="00176E57" w:rsidRDefault="00E31AB6" w:rsidP="00857E41">
      <w:pPr>
        <w:keepNext/>
        <w:rPr>
          <w:b/>
          <w:iCs/>
        </w:rPr>
      </w:pPr>
      <w:r w:rsidRPr="00176E57">
        <w:rPr>
          <w:b/>
          <w:iCs/>
        </w:rPr>
        <w:t>In Lieu of an Epilogue</w:t>
      </w:r>
      <w:r w:rsidR="0059791E" w:rsidRPr="00176E57">
        <w:rPr>
          <w:b/>
          <w:iCs/>
        </w:rPr>
        <w:t xml:space="preserve">: </w:t>
      </w:r>
      <w:r w:rsidRPr="00176E57">
        <w:rPr>
          <w:b/>
          <w:iCs/>
        </w:rPr>
        <w:t>What kind of Social Dialogue</w:t>
      </w:r>
      <w:r w:rsidR="0059791E" w:rsidRPr="00176E57">
        <w:rPr>
          <w:b/>
          <w:iCs/>
        </w:rPr>
        <w:t>?</w:t>
      </w:r>
    </w:p>
    <w:p w14:paraId="563593F7" w14:textId="77777777" w:rsidR="00667192" w:rsidRPr="00176E57" w:rsidRDefault="00667192" w:rsidP="00857E41">
      <w:pPr>
        <w:keepNext/>
        <w:rPr>
          <w:rFonts w:eastAsia="Calibri"/>
          <w:b/>
          <w:iCs/>
        </w:rPr>
      </w:pPr>
    </w:p>
    <w:p w14:paraId="5B62155C" w14:textId="583D625A" w:rsidR="0059791E" w:rsidRPr="00176E57" w:rsidRDefault="00E31AB6" w:rsidP="00857E41">
      <w:pPr>
        <w:widowControl w:val="0"/>
        <w:autoSpaceDE w:val="0"/>
        <w:autoSpaceDN w:val="0"/>
        <w:adjustRightInd w:val="0"/>
        <w:rPr>
          <w:iCs/>
        </w:rPr>
      </w:pPr>
      <w:r w:rsidRPr="00176E57">
        <w:rPr>
          <w:iCs/>
        </w:rPr>
        <w:t xml:space="preserve">Today in Serbia there is a pressing need to initiate </w:t>
      </w:r>
      <w:r w:rsidR="0059791E" w:rsidRPr="00176E57">
        <w:rPr>
          <w:iCs/>
        </w:rPr>
        <w:t xml:space="preserve">– </w:t>
      </w:r>
      <w:r w:rsidRPr="00176E57">
        <w:rPr>
          <w:iCs/>
        </w:rPr>
        <w:t>not any kind but lasting, institutional and equal social dialogue</w:t>
      </w:r>
      <w:r w:rsidR="0059791E" w:rsidRPr="00176E57">
        <w:rPr>
          <w:iCs/>
        </w:rPr>
        <w:t xml:space="preserve">. </w:t>
      </w:r>
      <w:r w:rsidRPr="00176E57">
        <w:rPr>
          <w:iCs/>
        </w:rPr>
        <w:t>To support this claim, at least nine of its key missing assumptions can be itemized</w:t>
      </w:r>
      <w:r w:rsidR="0059791E" w:rsidRPr="00176E57">
        <w:rPr>
          <w:iCs/>
        </w:rPr>
        <w:t>:</w:t>
      </w:r>
    </w:p>
    <w:p w14:paraId="45F300DE" w14:textId="77777777" w:rsidR="00667192" w:rsidRPr="00176E57" w:rsidRDefault="00667192" w:rsidP="00857E41">
      <w:pPr>
        <w:widowControl w:val="0"/>
        <w:autoSpaceDE w:val="0"/>
        <w:autoSpaceDN w:val="0"/>
        <w:adjustRightInd w:val="0"/>
        <w:rPr>
          <w:iCs/>
          <w:color w:val="000000"/>
        </w:rPr>
      </w:pPr>
    </w:p>
    <w:p w14:paraId="5CDA43A9" w14:textId="5A3720EA" w:rsidR="0059791E" w:rsidRPr="00857E41" w:rsidRDefault="00F231F5" w:rsidP="00857E41">
      <w:pPr>
        <w:pStyle w:val="Heading1"/>
        <w:rPr>
          <w:rFonts w:eastAsia="Calibri"/>
        </w:rPr>
      </w:pPr>
      <w:r w:rsidRPr="00857E41">
        <w:rPr>
          <w:rFonts w:eastAsia="Calibri"/>
        </w:rPr>
        <w:t>Good will on the part of social partners and the state, and a sincere intention to participate in social dialogue</w:t>
      </w:r>
      <w:r w:rsidR="0059791E" w:rsidRPr="00857E41">
        <w:rPr>
          <w:rFonts w:eastAsia="Calibri"/>
        </w:rPr>
        <w:t>.</w:t>
      </w:r>
    </w:p>
    <w:p w14:paraId="3C62910C" w14:textId="0FF688D4" w:rsidR="0059791E" w:rsidRPr="00857E41" w:rsidRDefault="00F231F5" w:rsidP="00857E41">
      <w:pPr>
        <w:pStyle w:val="Heading1"/>
        <w:rPr>
          <w:rFonts w:eastAsia="Calibri"/>
        </w:rPr>
      </w:pPr>
      <w:r w:rsidRPr="00857E41">
        <w:rPr>
          <w:rFonts w:eastAsia="Calibri"/>
        </w:rPr>
        <w:t>An appropriate social environment</w:t>
      </w:r>
      <w:r w:rsidR="0059791E" w:rsidRPr="00857E41">
        <w:rPr>
          <w:rFonts w:eastAsia="Calibri"/>
        </w:rPr>
        <w:t xml:space="preserve"> (</w:t>
      </w:r>
      <w:r w:rsidRPr="00857E41">
        <w:rPr>
          <w:rFonts w:eastAsia="Calibri"/>
        </w:rPr>
        <w:t>market economy</w:t>
      </w:r>
      <w:r w:rsidR="0059791E" w:rsidRPr="00857E41">
        <w:rPr>
          <w:rFonts w:eastAsia="Calibri"/>
        </w:rPr>
        <w:t xml:space="preserve">; </w:t>
      </w:r>
      <w:r w:rsidRPr="00857E41">
        <w:rPr>
          <w:rFonts w:eastAsia="Calibri"/>
        </w:rPr>
        <w:t>active civil society</w:t>
      </w:r>
      <w:r w:rsidR="0059791E" w:rsidRPr="00857E41">
        <w:rPr>
          <w:rFonts w:eastAsia="Calibri"/>
        </w:rPr>
        <w:t xml:space="preserve">; </w:t>
      </w:r>
      <w:r w:rsidRPr="00857E41">
        <w:rPr>
          <w:rFonts w:eastAsia="Calibri"/>
        </w:rPr>
        <w:t>developed political system and stabilized political institutions</w:t>
      </w:r>
      <w:r w:rsidR="0059791E" w:rsidRPr="00857E41">
        <w:rPr>
          <w:rFonts w:eastAsia="Calibri"/>
        </w:rPr>
        <w:t>).</w:t>
      </w:r>
    </w:p>
    <w:p w14:paraId="2C634D5B" w14:textId="7FEBDBFE" w:rsidR="0059791E" w:rsidRPr="00857E41" w:rsidRDefault="00F231F5" w:rsidP="00857E41">
      <w:pPr>
        <w:pStyle w:val="Heading1"/>
        <w:rPr>
          <w:rFonts w:eastAsia="Calibri"/>
        </w:rPr>
      </w:pPr>
      <w:r w:rsidRPr="00857E41">
        <w:rPr>
          <w:rFonts w:eastAsia="Calibri"/>
        </w:rPr>
        <w:t>Developed culture of dialogue, negotiating and conflict management skills</w:t>
      </w:r>
      <w:r w:rsidR="0059791E" w:rsidRPr="00857E41">
        <w:rPr>
          <w:rFonts w:eastAsia="Calibri"/>
        </w:rPr>
        <w:t>.</w:t>
      </w:r>
    </w:p>
    <w:p w14:paraId="789B6749" w14:textId="16639B35" w:rsidR="0059791E" w:rsidRPr="00857E41" w:rsidRDefault="00F231F5" w:rsidP="00857E41">
      <w:pPr>
        <w:pStyle w:val="Heading1"/>
        <w:rPr>
          <w:rFonts w:eastAsia="Calibri"/>
        </w:rPr>
      </w:pPr>
      <w:r w:rsidRPr="00857E41">
        <w:rPr>
          <w:rFonts w:eastAsia="Calibri"/>
        </w:rPr>
        <w:t>Mutual trust among social dialogue participants</w:t>
      </w:r>
      <w:r w:rsidR="0059791E" w:rsidRPr="00857E41">
        <w:rPr>
          <w:rFonts w:eastAsia="Calibri"/>
        </w:rPr>
        <w:t>.</w:t>
      </w:r>
    </w:p>
    <w:p w14:paraId="7CD64371" w14:textId="472241E5" w:rsidR="0059791E" w:rsidRPr="00857E41" w:rsidRDefault="00F231F5" w:rsidP="00857E41">
      <w:pPr>
        <w:pStyle w:val="Heading1"/>
        <w:rPr>
          <w:rFonts w:eastAsia="Calibri"/>
        </w:rPr>
      </w:pPr>
      <w:r w:rsidRPr="00857E41">
        <w:rPr>
          <w:rFonts w:eastAsia="Calibri"/>
        </w:rPr>
        <w:t>Freedom of trade union and employer organi</w:t>
      </w:r>
      <w:r w:rsidR="00176E57">
        <w:t>s</w:t>
      </w:r>
      <w:r w:rsidRPr="00857E41">
        <w:rPr>
          <w:rFonts w:eastAsia="Calibri"/>
        </w:rPr>
        <w:t>ation, association and action, and the obligation on the part of the state to create an environment and legal framework for social dialogue on equal terms</w:t>
      </w:r>
      <w:r w:rsidR="0059791E" w:rsidRPr="00857E41">
        <w:rPr>
          <w:rFonts w:eastAsia="Calibri"/>
        </w:rPr>
        <w:t>.</w:t>
      </w:r>
    </w:p>
    <w:p w14:paraId="42E643DB" w14:textId="0846CD6E" w:rsidR="0059791E" w:rsidRPr="00857E41" w:rsidRDefault="00F231F5" w:rsidP="00857E41">
      <w:pPr>
        <w:pStyle w:val="Heading1"/>
        <w:rPr>
          <w:rFonts w:eastAsia="Calibri"/>
        </w:rPr>
      </w:pPr>
      <w:r w:rsidRPr="00857E41">
        <w:rPr>
          <w:rFonts w:eastAsia="Calibri"/>
        </w:rPr>
        <w:t>Legitimacy of social partners</w:t>
      </w:r>
      <w:r w:rsidR="0059791E" w:rsidRPr="00857E41">
        <w:rPr>
          <w:rFonts w:eastAsia="Calibri"/>
        </w:rPr>
        <w:t xml:space="preserve"> – </w:t>
      </w:r>
      <w:r w:rsidRPr="00857E41">
        <w:rPr>
          <w:rFonts w:eastAsia="Calibri"/>
        </w:rPr>
        <w:t>representativeness and acting in the interest of the membership, democratic procedures and transparency in decision-making</w:t>
      </w:r>
      <w:r w:rsidR="0059791E" w:rsidRPr="00857E41">
        <w:rPr>
          <w:rFonts w:eastAsia="Calibri"/>
        </w:rPr>
        <w:t>.</w:t>
      </w:r>
    </w:p>
    <w:p w14:paraId="16C60180" w14:textId="1F43A345" w:rsidR="0059791E" w:rsidRPr="00857E41" w:rsidRDefault="00F231F5" w:rsidP="00857E41">
      <w:pPr>
        <w:pStyle w:val="Heading1"/>
        <w:rPr>
          <w:rFonts w:eastAsia="Calibri"/>
        </w:rPr>
      </w:pPr>
      <w:r w:rsidRPr="00857E41">
        <w:rPr>
          <w:rFonts w:eastAsia="Calibri"/>
        </w:rPr>
        <w:t>Expert capacities of social partners and access to information</w:t>
      </w:r>
      <w:r w:rsidR="0059791E" w:rsidRPr="00857E41">
        <w:rPr>
          <w:rFonts w:eastAsia="Calibri"/>
        </w:rPr>
        <w:t>.</w:t>
      </w:r>
    </w:p>
    <w:p w14:paraId="45345647" w14:textId="00DB4B49" w:rsidR="0059791E" w:rsidRPr="00857E41" w:rsidRDefault="00F231F5" w:rsidP="00857E41">
      <w:pPr>
        <w:pStyle w:val="Heading1"/>
        <w:rPr>
          <w:rFonts w:eastAsia="Calibri"/>
        </w:rPr>
      </w:pPr>
      <w:r w:rsidRPr="00857E41">
        <w:rPr>
          <w:rFonts w:eastAsia="Calibri"/>
        </w:rPr>
        <w:t>Responsibility of social partners and the Government to carry out what has been agreed</w:t>
      </w:r>
      <w:r w:rsidR="0059791E" w:rsidRPr="00857E41">
        <w:rPr>
          <w:rFonts w:eastAsia="Calibri"/>
        </w:rPr>
        <w:t>.</w:t>
      </w:r>
    </w:p>
    <w:p w14:paraId="03DEC647" w14:textId="7ED567CB" w:rsidR="0059791E" w:rsidRPr="00857E41" w:rsidRDefault="00F231F5" w:rsidP="00857E41">
      <w:pPr>
        <w:pStyle w:val="Heading1"/>
        <w:rPr>
          <w:rFonts w:eastAsia="Calibri"/>
        </w:rPr>
      </w:pPr>
      <w:r w:rsidRPr="00857E41">
        <w:rPr>
          <w:rFonts w:eastAsia="Calibri"/>
        </w:rPr>
        <w:lastRenderedPageBreak/>
        <w:t>Balanced position and bargaining power of social dialogue participants</w:t>
      </w:r>
      <w:r w:rsidRPr="00857E41">
        <w:rPr>
          <w:rFonts w:eastAsia="Calibri"/>
          <w:vertAlign w:val="superscript"/>
        </w:rPr>
        <w:footnoteReference w:id="2"/>
      </w:r>
      <w:r w:rsidR="00E310E5" w:rsidRPr="00857E41">
        <w:rPr>
          <w:rFonts w:eastAsia="Calibri"/>
        </w:rPr>
        <w:t>.</w:t>
      </w:r>
    </w:p>
    <w:p w14:paraId="6C90D808" w14:textId="77777777" w:rsidR="00B94D29" w:rsidRPr="00176E57" w:rsidRDefault="00B94D29" w:rsidP="00857E41">
      <w:pPr>
        <w:widowControl w:val="0"/>
        <w:autoSpaceDE w:val="0"/>
        <w:autoSpaceDN w:val="0"/>
        <w:adjustRightInd w:val="0"/>
        <w:ind w:left="720"/>
        <w:rPr>
          <w:bCs/>
          <w:iCs/>
          <w:color w:val="000000"/>
        </w:rPr>
      </w:pPr>
    </w:p>
    <w:p w14:paraId="0921225B" w14:textId="1EEADEED" w:rsidR="0059791E" w:rsidRPr="00176E57" w:rsidRDefault="007F3932" w:rsidP="00857E41">
      <w:pPr>
        <w:widowControl w:val="0"/>
        <w:autoSpaceDE w:val="0"/>
        <w:autoSpaceDN w:val="0"/>
        <w:adjustRightInd w:val="0"/>
        <w:jc w:val="center"/>
        <w:rPr>
          <w:bCs/>
          <w:iCs/>
        </w:rPr>
      </w:pPr>
      <w:r w:rsidRPr="00176E57">
        <w:rPr>
          <w:bCs/>
          <w:iCs/>
        </w:rPr>
        <w:t>Levels, Management Method and Participants in Social Dialogue</w:t>
      </w:r>
    </w:p>
    <w:p w14:paraId="3376F9BF" w14:textId="77777777" w:rsidR="00667192" w:rsidRPr="00176E57" w:rsidRDefault="00667192" w:rsidP="00857E41">
      <w:pPr>
        <w:widowControl w:val="0"/>
        <w:autoSpaceDE w:val="0"/>
        <w:autoSpaceDN w:val="0"/>
        <w:adjustRightInd w:val="0"/>
        <w:jc w:val="center"/>
        <w:rPr>
          <w:bCs/>
          <w:iCs/>
          <w:color w:val="000000"/>
        </w:rPr>
      </w:pPr>
    </w:p>
    <w:p w14:paraId="572FBEC5" w14:textId="5E6DC64F" w:rsidR="0059791E" w:rsidRPr="00176E57" w:rsidRDefault="007F3932" w:rsidP="00857E41">
      <w:pPr>
        <w:widowControl w:val="0"/>
        <w:autoSpaceDE w:val="0"/>
        <w:autoSpaceDN w:val="0"/>
        <w:adjustRightInd w:val="0"/>
        <w:rPr>
          <w:bCs/>
          <w:iCs/>
        </w:rPr>
      </w:pPr>
      <w:r w:rsidRPr="00176E57">
        <w:rPr>
          <w:iCs/>
        </w:rPr>
        <w:t xml:space="preserve">The framework and practice of social dialogue cannot be limited to the existence of SEC at national level, which is reduced </w:t>
      </w:r>
      <w:r w:rsidR="006D6A15" w:rsidRPr="00176E57">
        <w:rPr>
          <w:iCs/>
        </w:rPr>
        <w:t xml:space="preserve">to consultative role and mainly presentational </w:t>
      </w:r>
      <w:r w:rsidRPr="00176E57">
        <w:rPr>
          <w:iCs/>
        </w:rPr>
        <w:t>status</w:t>
      </w:r>
      <w:r w:rsidR="0059791E" w:rsidRPr="00176E57">
        <w:rPr>
          <w:iCs/>
        </w:rPr>
        <w:t xml:space="preserve">. </w:t>
      </w:r>
      <w:r w:rsidRPr="00176E57">
        <w:rPr>
          <w:iCs/>
        </w:rPr>
        <w:t xml:space="preserve">Social dialogue demands an entire network of bodies at branch level and the level of </w:t>
      </w:r>
      <w:r w:rsidR="006D6A15" w:rsidRPr="00176E57">
        <w:rPr>
          <w:iCs/>
        </w:rPr>
        <w:t>territorial</w:t>
      </w:r>
      <w:r w:rsidRPr="00176E57">
        <w:rPr>
          <w:iCs/>
        </w:rPr>
        <w:t xml:space="preserve"> autonomy and local self-government</w:t>
      </w:r>
      <w:r w:rsidR="0059791E" w:rsidRPr="00176E57">
        <w:rPr>
          <w:bCs/>
          <w:iCs/>
        </w:rPr>
        <w:t xml:space="preserve">, </w:t>
      </w:r>
      <w:r w:rsidRPr="00176E57">
        <w:rPr>
          <w:bCs/>
          <w:iCs/>
        </w:rPr>
        <w:t>in order to be able to speak about an ordered, systematic concept and practice</w:t>
      </w:r>
      <w:r w:rsidR="0059791E" w:rsidRPr="00176E57">
        <w:rPr>
          <w:bCs/>
          <w:iCs/>
        </w:rPr>
        <w:t>.</w:t>
      </w:r>
    </w:p>
    <w:p w14:paraId="345D9DDD" w14:textId="77777777" w:rsidR="00667192" w:rsidRPr="00176E57" w:rsidRDefault="00667192" w:rsidP="00857E41">
      <w:pPr>
        <w:widowControl w:val="0"/>
        <w:autoSpaceDE w:val="0"/>
        <w:autoSpaceDN w:val="0"/>
        <w:adjustRightInd w:val="0"/>
        <w:rPr>
          <w:bCs/>
          <w:iCs/>
          <w:color w:val="000000"/>
        </w:rPr>
      </w:pPr>
    </w:p>
    <w:p w14:paraId="0555EDFC" w14:textId="77777777" w:rsidR="00667192" w:rsidRPr="00176E57" w:rsidRDefault="006D6A15" w:rsidP="00857E41">
      <w:pPr>
        <w:widowControl w:val="0"/>
        <w:autoSpaceDE w:val="0"/>
        <w:autoSpaceDN w:val="0"/>
        <w:adjustRightInd w:val="0"/>
        <w:rPr>
          <w:iCs/>
        </w:rPr>
      </w:pPr>
      <w:r w:rsidRPr="00176E57">
        <w:rPr>
          <w:iCs/>
        </w:rPr>
        <w:t>Vertical and horizontal network of councils and their standing and temporary programme committees and working bodies are, however, but a satisfactory institutional framework and necessary presupposition for quality and effective social dialogue</w:t>
      </w:r>
      <w:r w:rsidR="0059791E" w:rsidRPr="00176E57">
        <w:rPr>
          <w:iCs/>
        </w:rPr>
        <w:t>.</w:t>
      </w:r>
    </w:p>
    <w:p w14:paraId="5DB670DE" w14:textId="5BFBE123" w:rsidR="0059791E" w:rsidRPr="00176E57" w:rsidRDefault="0059791E" w:rsidP="00857E41">
      <w:pPr>
        <w:widowControl w:val="0"/>
        <w:autoSpaceDE w:val="0"/>
        <w:autoSpaceDN w:val="0"/>
        <w:adjustRightInd w:val="0"/>
        <w:rPr>
          <w:iCs/>
          <w:color w:val="000000"/>
        </w:rPr>
      </w:pPr>
    </w:p>
    <w:p w14:paraId="3B14E4AB" w14:textId="56D88637" w:rsidR="0059791E" w:rsidRPr="00176E57" w:rsidRDefault="006D6A15" w:rsidP="00857E41">
      <w:pPr>
        <w:widowControl w:val="0"/>
        <w:autoSpaceDE w:val="0"/>
        <w:autoSpaceDN w:val="0"/>
        <w:adjustRightInd w:val="0"/>
        <w:rPr>
          <w:iCs/>
        </w:rPr>
      </w:pPr>
      <w:r w:rsidRPr="00176E57">
        <w:rPr>
          <w:iCs/>
        </w:rPr>
        <w:t xml:space="preserve">The </w:t>
      </w:r>
      <w:r w:rsidR="009A5253" w:rsidRPr="00176E57">
        <w:rPr>
          <w:iCs/>
        </w:rPr>
        <w:t>councils must –</w:t>
      </w:r>
      <w:r w:rsidRPr="00176E57">
        <w:rPr>
          <w:iCs/>
        </w:rPr>
        <w:t xml:space="preserve"> unless it is the </w:t>
      </w:r>
      <w:r w:rsidR="009A5253" w:rsidRPr="00176E57">
        <w:rPr>
          <w:iCs/>
        </w:rPr>
        <w:t>case of pretend social dialogue –</w:t>
      </w:r>
      <w:r w:rsidRPr="00176E57">
        <w:rPr>
          <w:iCs/>
        </w:rPr>
        <w:t xml:space="preserve"> within their authority, have the power to adopt </w:t>
      </w:r>
      <w:r w:rsidR="009A5253" w:rsidRPr="00176E57">
        <w:rPr>
          <w:iCs/>
        </w:rPr>
        <w:t>conclusions</w:t>
      </w:r>
      <w:r w:rsidRPr="00176E57">
        <w:rPr>
          <w:iCs/>
        </w:rPr>
        <w:t xml:space="preserve"> and recommendations and have initiatives related to </w:t>
      </w:r>
      <w:r w:rsidR="009A5253" w:rsidRPr="00176E57">
        <w:rPr>
          <w:iCs/>
        </w:rPr>
        <w:t xml:space="preserve">regulating </w:t>
      </w:r>
      <w:r w:rsidR="0059791E" w:rsidRPr="00176E57">
        <w:rPr>
          <w:iCs/>
        </w:rPr>
        <w:t>»</w:t>
      </w:r>
      <w:r w:rsidR="009A5253" w:rsidRPr="00176E57">
        <w:rPr>
          <w:iCs/>
        </w:rPr>
        <w:t>pluralist industrial relations</w:t>
      </w:r>
      <w:r w:rsidR="0059791E" w:rsidRPr="00176E57">
        <w:rPr>
          <w:iCs/>
        </w:rPr>
        <w:t xml:space="preserve">«, </w:t>
      </w:r>
      <w:r w:rsidR="009A5253" w:rsidRPr="00176E57">
        <w:rPr>
          <w:iCs/>
        </w:rPr>
        <w:t>as well as the right to influence the whole economic and social policy and development by expressing pertinent opinions and positions</w:t>
      </w:r>
      <w:r w:rsidR="0059791E" w:rsidRPr="00176E57">
        <w:rPr>
          <w:iCs/>
        </w:rPr>
        <w:t>.</w:t>
      </w:r>
    </w:p>
    <w:p w14:paraId="4BA1D195" w14:textId="77777777" w:rsidR="00667192" w:rsidRPr="00176E57" w:rsidRDefault="00667192" w:rsidP="00857E41">
      <w:pPr>
        <w:widowControl w:val="0"/>
        <w:autoSpaceDE w:val="0"/>
        <w:autoSpaceDN w:val="0"/>
        <w:adjustRightInd w:val="0"/>
        <w:rPr>
          <w:iCs/>
          <w:color w:val="000000"/>
        </w:rPr>
      </w:pPr>
    </w:p>
    <w:p w14:paraId="2B953CCE" w14:textId="747D2A5A" w:rsidR="0059791E" w:rsidRPr="00176E57" w:rsidRDefault="009A5253" w:rsidP="00857E41">
      <w:pPr>
        <w:widowControl w:val="0"/>
        <w:autoSpaceDE w:val="0"/>
        <w:autoSpaceDN w:val="0"/>
        <w:adjustRightInd w:val="0"/>
        <w:rPr>
          <w:bCs/>
          <w:iCs/>
        </w:rPr>
      </w:pPr>
      <w:r w:rsidRPr="00176E57">
        <w:rPr>
          <w:bCs/>
          <w:iCs/>
        </w:rPr>
        <w:t>The risk of inadequate</w:t>
      </w:r>
      <w:r w:rsidR="0059791E" w:rsidRPr="00176E57">
        <w:rPr>
          <w:bCs/>
          <w:iCs/>
        </w:rPr>
        <w:t xml:space="preserve"> – </w:t>
      </w:r>
      <w:r w:rsidRPr="00176E57">
        <w:rPr>
          <w:bCs/>
          <w:iCs/>
        </w:rPr>
        <w:t>slow</w:t>
      </w:r>
      <w:r w:rsidR="00DE51F9" w:rsidRPr="00176E57">
        <w:rPr>
          <w:bCs/>
          <w:iCs/>
        </w:rPr>
        <w:t xml:space="preserve">, </w:t>
      </w:r>
      <w:r w:rsidRPr="00176E57">
        <w:rPr>
          <w:bCs/>
          <w:iCs/>
        </w:rPr>
        <w:t>non-operative and inefficient action, and application of tactics of ultimatums and blackmail by certain participants is high</w:t>
      </w:r>
      <w:r w:rsidR="0059791E" w:rsidRPr="00176E57">
        <w:rPr>
          <w:bCs/>
          <w:iCs/>
        </w:rPr>
        <w:t xml:space="preserve">, </w:t>
      </w:r>
      <w:r w:rsidRPr="00176E57">
        <w:rPr>
          <w:bCs/>
          <w:iCs/>
        </w:rPr>
        <w:t>but the commitment to social consensus itself expresses the meaning and essence of social dialogue</w:t>
      </w:r>
      <w:r w:rsidR="0059791E" w:rsidRPr="00176E57">
        <w:rPr>
          <w:bCs/>
          <w:iCs/>
        </w:rPr>
        <w:t>.</w:t>
      </w:r>
    </w:p>
    <w:p w14:paraId="00CEA1D4" w14:textId="77777777" w:rsidR="00667192" w:rsidRPr="00176E57" w:rsidRDefault="00667192" w:rsidP="00857E41">
      <w:pPr>
        <w:widowControl w:val="0"/>
        <w:autoSpaceDE w:val="0"/>
        <w:autoSpaceDN w:val="0"/>
        <w:adjustRightInd w:val="0"/>
        <w:rPr>
          <w:bCs/>
          <w:iCs/>
          <w:color w:val="000000"/>
        </w:rPr>
      </w:pPr>
    </w:p>
    <w:p w14:paraId="14F77C34" w14:textId="68F8E86F" w:rsidR="005504BE" w:rsidRPr="00176E57" w:rsidRDefault="000E512B" w:rsidP="00857E41">
      <w:pPr>
        <w:widowControl w:val="0"/>
        <w:autoSpaceDE w:val="0"/>
        <w:autoSpaceDN w:val="0"/>
        <w:adjustRightInd w:val="0"/>
        <w:rPr>
          <w:iCs/>
          <w:color w:val="000000"/>
        </w:rPr>
      </w:pPr>
      <w:r w:rsidRPr="00176E57">
        <w:rPr>
          <w:iCs/>
        </w:rPr>
        <w:t>A rounded, institutional framework of tripartite dialogue entails systematic prevention and regulation of conflicts, i.e. an existence of a network of councils for peaceful resolution and arbitrage, and the existing Agency for Peaceful Resolution of Labour Disputes, which for the most part answer to social partners</w:t>
      </w:r>
      <w:r w:rsidR="005504BE" w:rsidRPr="00176E57">
        <w:rPr>
          <w:iCs/>
        </w:rPr>
        <w:t>.</w:t>
      </w:r>
    </w:p>
    <w:p w14:paraId="429BB281" w14:textId="77777777" w:rsidR="00B62D4D" w:rsidRPr="00176E57" w:rsidRDefault="00B62D4D" w:rsidP="00857E41">
      <w:pPr>
        <w:widowControl w:val="0"/>
        <w:autoSpaceDE w:val="0"/>
        <w:autoSpaceDN w:val="0"/>
        <w:adjustRightInd w:val="0"/>
        <w:rPr>
          <w:iCs/>
        </w:rPr>
      </w:pPr>
    </w:p>
    <w:p w14:paraId="08D3CA21" w14:textId="599F6B0A" w:rsidR="00E67763" w:rsidRPr="00176E57" w:rsidRDefault="000F242F" w:rsidP="00857E41">
      <w:pPr>
        <w:widowControl w:val="0"/>
        <w:autoSpaceDE w:val="0"/>
        <w:autoSpaceDN w:val="0"/>
        <w:adjustRightInd w:val="0"/>
        <w:rPr>
          <w:iCs/>
        </w:rPr>
      </w:pPr>
      <w:r w:rsidRPr="00176E57">
        <w:rPr>
          <w:iCs/>
        </w:rPr>
        <w:t>A specific form of social dialogue with multiple sides is also represented by broad consultative procedure, such as debates on adopting ERP and ESRP</w:t>
      </w:r>
      <w:r w:rsidR="00C56E15" w:rsidRPr="00176E57">
        <w:rPr>
          <w:iCs/>
        </w:rPr>
        <w:t xml:space="preserve">, </w:t>
      </w:r>
      <w:r w:rsidRPr="00176E57">
        <w:rPr>
          <w:iCs/>
        </w:rPr>
        <w:t>i.e. increasing social cohesion, as well as by inclusion of social partners’ representatives in the work of appropriate bodies in the National Assembly</w:t>
      </w:r>
      <w:r w:rsidR="00C56E15" w:rsidRPr="00176E57">
        <w:rPr>
          <w:iCs/>
        </w:rPr>
        <w:t>.</w:t>
      </w:r>
    </w:p>
    <w:p w14:paraId="30DCCBAA" w14:textId="2FF9D9AB" w:rsidR="00C56E15" w:rsidRPr="00176E57" w:rsidRDefault="00C56E15" w:rsidP="00857E41">
      <w:pPr>
        <w:widowControl w:val="0"/>
        <w:autoSpaceDE w:val="0"/>
        <w:autoSpaceDN w:val="0"/>
        <w:adjustRightInd w:val="0"/>
        <w:rPr>
          <w:iCs/>
        </w:rPr>
      </w:pPr>
    </w:p>
    <w:p w14:paraId="40C63E56" w14:textId="1F204BD1" w:rsidR="00964E10" w:rsidRPr="00176E57" w:rsidRDefault="000F242F" w:rsidP="00857E41">
      <w:pPr>
        <w:autoSpaceDE w:val="0"/>
        <w:autoSpaceDN w:val="0"/>
        <w:adjustRightInd w:val="0"/>
        <w:rPr>
          <w:rFonts w:eastAsia="MyriadPro-Cond"/>
          <w:b/>
          <w:iCs/>
        </w:rPr>
      </w:pPr>
      <w:r w:rsidRPr="00176E57">
        <w:rPr>
          <w:rFonts w:eastAsia="MyriadPro-Cond"/>
          <w:b/>
          <w:iCs/>
        </w:rPr>
        <w:t>Recommendations</w:t>
      </w:r>
      <w:r w:rsidRPr="00857E41">
        <w:rPr>
          <w:rFonts w:eastAsia="MyriadPro-Cond"/>
          <w:iCs/>
          <w:vertAlign w:val="superscript"/>
        </w:rPr>
        <w:footnoteReference w:id="3"/>
      </w:r>
    </w:p>
    <w:p w14:paraId="112CB90A" w14:textId="77777777" w:rsidR="00B62D4D" w:rsidRPr="00176E57" w:rsidRDefault="00B62D4D" w:rsidP="00857E41">
      <w:pPr>
        <w:autoSpaceDE w:val="0"/>
        <w:autoSpaceDN w:val="0"/>
        <w:adjustRightInd w:val="0"/>
        <w:rPr>
          <w:rFonts w:eastAsia="MyriadPro-BoldCond"/>
          <w:iCs/>
        </w:rPr>
      </w:pPr>
    </w:p>
    <w:p w14:paraId="10523A9E" w14:textId="35094A79" w:rsidR="00964E10" w:rsidRPr="00857E41" w:rsidRDefault="000F242F" w:rsidP="00857E41">
      <w:pPr>
        <w:pStyle w:val="Heading1"/>
        <w:numPr>
          <w:ilvl w:val="0"/>
          <w:numId w:val="15"/>
        </w:numPr>
        <w:rPr>
          <w:rFonts w:eastAsia="MyriadPro-Cond"/>
        </w:rPr>
      </w:pPr>
      <w:r w:rsidRPr="00857E41">
        <w:rPr>
          <w:rFonts w:eastAsia="MyriadPro-Cond"/>
        </w:rPr>
        <w:t>Early inclusion of social partners in drafting of laws with line ministries is needed in order to increase the quality of information and enable a discussion of more quality within SEC</w:t>
      </w:r>
      <w:r w:rsidR="00964E10" w:rsidRPr="00857E41">
        <w:rPr>
          <w:rFonts w:eastAsia="MyriadPro-Cond"/>
        </w:rPr>
        <w:t>.</w:t>
      </w:r>
    </w:p>
    <w:p w14:paraId="7CE0CF0B" w14:textId="77777777" w:rsidR="00B62D4D" w:rsidRPr="00176E57" w:rsidRDefault="00B62D4D" w:rsidP="00857E41">
      <w:pPr>
        <w:autoSpaceDE w:val="0"/>
        <w:autoSpaceDN w:val="0"/>
        <w:adjustRightInd w:val="0"/>
        <w:ind w:left="567" w:hanging="567"/>
        <w:rPr>
          <w:rFonts w:eastAsia="MyriadPro-Cond"/>
          <w:iCs/>
        </w:rPr>
      </w:pPr>
    </w:p>
    <w:p w14:paraId="049B7526" w14:textId="5CD66A09" w:rsidR="00964E10" w:rsidRPr="00857E41" w:rsidRDefault="000F242F" w:rsidP="00857E41">
      <w:pPr>
        <w:pStyle w:val="Heading1"/>
        <w:rPr>
          <w:rFonts w:eastAsia="MyriadPro-Cond"/>
        </w:rPr>
      </w:pPr>
      <w:r w:rsidRPr="00857E41">
        <w:rPr>
          <w:rFonts w:eastAsia="MyriadPro-Cond"/>
        </w:rPr>
        <w:t>The minimum quorum of present full members at SEC sessions should be increased, especially for Government representatives</w:t>
      </w:r>
      <w:r w:rsidR="001A5C05" w:rsidRPr="00857E41">
        <w:rPr>
          <w:rFonts w:eastAsia="MyriadPro-Cond"/>
        </w:rPr>
        <w:t>.</w:t>
      </w:r>
      <w:r w:rsidR="00964E10" w:rsidRPr="00857E41">
        <w:rPr>
          <w:rFonts w:eastAsia="MyriadPro-Cond"/>
        </w:rPr>
        <w:t xml:space="preserve"> </w:t>
      </w:r>
      <w:r w:rsidRPr="00857E41">
        <w:rPr>
          <w:rFonts w:eastAsia="MyriadPro-Cond"/>
        </w:rPr>
        <w:t>Otherwise, the legitimacy of the recommendations and opinions may be questioned</w:t>
      </w:r>
      <w:r w:rsidR="00964E10" w:rsidRPr="00857E41">
        <w:rPr>
          <w:rFonts w:eastAsia="MyriadPro-Cond"/>
        </w:rPr>
        <w:t>.</w:t>
      </w:r>
    </w:p>
    <w:p w14:paraId="55E5D6F6" w14:textId="77777777" w:rsidR="00B62D4D" w:rsidRPr="00176E57" w:rsidRDefault="00B62D4D" w:rsidP="00857E41">
      <w:pPr>
        <w:autoSpaceDE w:val="0"/>
        <w:autoSpaceDN w:val="0"/>
        <w:adjustRightInd w:val="0"/>
        <w:ind w:left="567" w:hanging="567"/>
        <w:rPr>
          <w:rFonts w:eastAsia="MyriadPro-Cond"/>
          <w:iCs/>
        </w:rPr>
      </w:pPr>
    </w:p>
    <w:p w14:paraId="5C1CD3D7" w14:textId="528917C8" w:rsidR="00964E10" w:rsidRPr="00857E41" w:rsidRDefault="000F242F" w:rsidP="00857E41">
      <w:pPr>
        <w:pStyle w:val="Heading1"/>
        <w:rPr>
          <w:rFonts w:eastAsia="MyriadPro-Cond"/>
        </w:rPr>
      </w:pPr>
      <w:r w:rsidRPr="00857E41">
        <w:rPr>
          <w:rFonts w:eastAsia="MyriadPro-Cond"/>
        </w:rPr>
        <w:t>The recommendations and opinions of SEC should include the opinions which are not in agreement with the majority position</w:t>
      </w:r>
      <w:r w:rsidR="00964E10" w:rsidRPr="00857E41">
        <w:rPr>
          <w:rFonts w:eastAsia="MyriadPro-Cond"/>
        </w:rPr>
        <w:t xml:space="preserve">. </w:t>
      </w:r>
      <w:r w:rsidRPr="00857E41">
        <w:rPr>
          <w:rFonts w:eastAsia="MyriadPro-Cond"/>
        </w:rPr>
        <w:t>This would allow for the members who voted against or abstained to express their views to the relevant decision-makers</w:t>
      </w:r>
      <w:r w:rsidR="00964E10" w:rsidRPr="00857E41">
        <w:rPr>
          <w:rFonts w:eastAsia="MyriadPro-Cond"/>
        </w:rPr>
        <w:t>.</w:t>
      </w:r>
    </w:p>
    <w:p w14:paraId="1BB32CFC" w14:textId="77777777" w:rsidR="00B62D4D" w:rsidRPr="00176E57" w:rsidRDefault="00B62D4D" w:rsidP="00857E41">
      <w:pPr>
        <w:autoSpaceDE w:val="0"/>
        <w:autoSpaceDN w:val="0"/>
        <w:adjustRightInd w:val="0"/>
        <w:ind w:left="567" w:hanging="567"/>
        <w:rPr>
          <w:rFonts w:eastAsia="MyriadPro-Cond"/>
          <w:iCs/>
        </w:rPr>
      </w:pPr>
    </w:p>
    <w:p w14:paraId="58F7D4D1" w14:textId="197D755A" w:rsidR="00964E10" w:rsidRPr="00857E41" w:rsidRDefault="006F50CB" w:rsidP="00857E41">
      <w:pPr>
        <w:pStyle w:val="Heading1"/>
        <w:rPr>
          <w:rFonts w:eastAsia="MyriadPro-Cond"/>
        </w:rPr>
      </w:pPr>
      <w:r w:rsidRPr="00857E41">
        <w:rPr>
          <w:rFonts w:eastAsia="MyriadPro-Cond"/>
        </w:rPr>
        <w:t>Social dialogue is, first and foremost, a matter of social partners</w:t>
      </w:r>
      <w:r w:rsidR="00B8779E" w:rsidRPr="00857E41">
        <w:rPr>
          <w:rFonts w:eastAsia="Calibri"/>
        </w:rPr>
        <w:t xml:space="preserve">. </w:t>
      </w:r>
      <w:r w:rsidRPr="00857E41">
        <w:rPr>
          <w:rFonts w:eastAsia="Calibri"/>
        </w:rPr>
        <w:t>Yet, others may be included in it in an appropriate way</w:t>
      </w:r>
      <w:r w:rsidR="00B8779E" w:rsidRPr="00857E41">
        <w:rPr>
          <w:rFonts w:eastAsia="Calibri"/>
        </w:rPr>
        <w:t xml:space="preserve"> – </w:t>
      </w:r>
      <w:r w:rsidRPr="00857E41">
        <w:rPr>
          <w:rFonts w:eastAsia="Calibri"/>
        </w:rPr>
        <w:t>through committees and broader social forums, social dialogue could include representatives of academic community, NGOs, expert groups, professional associations, and organi</w:t>
      </w:r>
      <w:r w:rsidR="00176E57">
        <w:t>s</w:t>
      </w:r>
      <w:r w:rsidRPr="00857E41">
        <w:rPr>
          <w:rFonts w:eastAsia="Calibri"/>
        </w:rPr>
        <w:t xml:space="preserve">ations of unemployed, self-employed and consumers </w:t>
      </w:r>
      <w:r w:rsidR="00B8779E" w:rsidRPr="00857E41">
        <w:rPr>
          <w:rFonts w:eastAsia="Calibri"/>
        </w:rPr>
        <w:t>–</w:t>
      </w:r>
      <w:r w:rsidRPr="00857E41">
        <w:rPr>
          <w:rFonts w:eastAsia="Calibri"/>
        </w:rPr>
        <w:t xml:space="preserve"> all who have interest and knowledge to make the transition process more efficient, transparent and as fair as possible</w:t>
      </w:r>
      <w:r w:rsidR="00B8779E" w:rsidRPr="00857E41">
        <w:rPr>
          <w:rFonts w:eastAsia="Calibri"/>
        </w:rPr>
        <w:t>.</w:t>
      </w:r>
      <w:r w:rsidR="005504BE" w:rsidRPr="00857E41">
        <w:rPr>
          <w:rFonts w:eastAsia="Calibri"/>
          <w:color w:val="000000"/>
        </w:rPr>
        <w:t xml:space="preserve"> </w:t>
      </w:r>
      <w:r w:rsidRPr="00857E41">
        <w:rPr>
          <w:rFonts w:eastAsia="Calibri"/>
          <w:color w:val="000000"/>
        </w:rPr>
        <w:t>The representatives of these institutions/organi</w:t>
      </w:r>
      <w:r w:rsidR="00176E57">
        <w:rPr>
          <w:color w:val="000000"/>
        </w:rPr>
        <w:t>s</w:t>
      </w:r>
      <w:r w:rsidRPr="00857E41">
        <w:rPr>
          <w:rFonts w:eastAsia="Calibri"/>
          <w:color w:val="000000"/>
        </w:rPr>
        <w:t>ations could participate without voting rights in the work of specialized standing committees</w:t>
      </w:r>
      <w:r w:rsidR="00964E10" w:rsidRPr="00857E41">
        <w:rPr>
          <w:rFonts w:eastAsia="MyriadPro-Cond"/>
        </w:rPr>
        <w:t>.</w:t>
      </w:r>
    </w:p>
    <w:p w14:paraId="0FD8CBCD" w14:textId="77777777" w:rsidR="00E67763" w:rsidRPr="00176E57" w:rsidRDefault="00E67763" w:rsidP="00857E41">
      <w:pPr>
        <w:widowControl w:val="0"/>
        <w:autoSpaceDE w:val="0"/>
        <w:autoSpaceDN w:val="0"/>
        <w:adjustRightInd w:val="0"/>
        <w:ind w:left="567" w:hanging="567"/>
        <w:rPr>
          <w:bCs/>
          <w:iCs/>
          <w:color w:val="000000"/>
        </w:rPr>
      </w:pPr>
    </w:p>
    <w:p w14:paraId="1A498D93" w14:textId="4816AE70" w:rsidR="00327C76" w:rsidRPr="00857E41" w:rsidRDefault="006F50CB" w:rsidP="00857E41">
      <w:pPr>
        <w:pStyle w:val="Heading1"/>
        <w:rPr>
          <w:rFonts w:eastAsia="MyriadPro-Cond"/>
        </w:rPr>
      </w:pPr>
      <w:r w:rsidRPr="00857E41">
        <w:rPr>
          <w:rFonts w:eastAsia="MyriadPro-Cond"/>
        </w:rPr>
        <w:t>The opinions of SEC should be forwarded to the Government and the line ministry, which should, in turn, have shorter deadlines for giving responses</w:t>
      </w:r>
      <w:r w:rsidR="00327C76" w:rsidRPr="00857E41">
        <w:rPr>
          <w:rFonts w:eastAsia="MyriadPro-Cond"/>
        </w:rPr>
        <w:t>.</w:t>
      </w:r>
    </w:p>
    <w:p w14:paraId="2A424716" w14:textId="77777777" w:rsidR="00B62D4D" w:rsidRPr="00176E57" w:rsidRDefault="00B62D4D" w:rsidP="00857E41">
      <w:pPr>
        <w:autoSpaceDE w:val="0"/>
        <w:autoSpaceDN w:val="0"/>
        <w:adjustRightInd w:val="0"/>
        <w:ind w:left="567" w:hanging="567"/>
        <w:rPr>
          <w:rFonts w:eastAsia="MyriadPro-Cond"/>
          <w:iCs/>
        </w:rPr>
      </w:pPr>
    </w:p>
    <w:p w14:paraId="36AC3D7A" w14:textId="02CE6065" w:rsidR="00964E10" w:rsidRPr="00857E41" w:rsidRDefault="002F3BC8" w:rsidP="00857E41">
      <w:pPr>
        <w:pStyle w:val="Heading1"/>
        <w:rPr>
          <w:rFonts w:eastAsia="MyriadPro-Cond"/>
        </w:rPr>
      </w:pPr>
      <w:r w:rsidRPr="00857E41">
        <w:rPr>
          <w:rFonts w:eastAsia="MyriadPro-Cond"/>
        </w:rPr>
        <w:t>The Government should recognize the Council as a full national tripartite advisory body</w:t>
      </w:r>
      <w:r w:rsidR="00964E10" w:rsidRPr="00857E41">
        <w:rPr>
          <w:rFonts w:eastAsia="MyriadPro-Cond"/>
        </w:rPr>
        <w:t xml:space="preserve">. </w:t>
      </w:r>
      <w:r w:rsidRPr="00857E41">
        <w:rPr>
          <w:rFonts w:eastAsia="MyriadPro-Cond"/>
        </w:rPr>
        <w:t>It is important that the Government acknowledges in full the value of social dialogue in the process of creating laws and policies</w:t>
      </w:r>
      <w:r w:rsidR="00964E10" w:rsidRPr="00857E41">
        <w:rPr>
          <w:rFonts w:eastAsia="MyriadPro-Cond"/>
        </w:rPr>
        <w:t>.</w:t>
      </w:r>
    </w:p>
    <w:p w14:paraId="6B30AAB8" w14:textId="77777777" w:rsidR="00B62D4D" w:rsidRPr="00176E57" w:rsidRDefault="00B62D4D" w:rsidP="00857E41">
      <w:pPr>
        <w:autoSpaceDE w:val="0"/>
        <w:autoSpaceDN w:val="0"/>
        <w:adjustRightInd w:val="0"/>
        <w:ind w:left="567" w:hanging="567"/>
        <w:rPr>
          <w:rFonts w:eastAsia="MyriadPro-Cond"/>
          <w:iCs/>
        </w:rPr>
      </w:pPr>
    </w:p>
    <w:p w14:paraId="0BC47099" w14:textId="46BAE2D9" w:rsidR="005908E4" w:rsidRPr="00857E41" w:rsidRDefault="0078125D" w:rsidP="00857E41">
      <w:pPr>
        <w:pStyle w:val="Heading1"/>
        <w:rPr>
          <w:rFonts w:eastAsia="MyriadPro-Cond"/>
        </w:rPr>
      </w:pPr>
      <w:r w:rsidRPr="00857E41">
        <w:rPr>
          <w:rFonts w:eastAsia="MyriadPro-Cond"/>
        </w:rPr>
        <w:t>Law proposals debated by SEC should be accompanied by recommendations and opinions of SEC when submitted to the Parliament</w:t>
      </w:r>
      <w:r w:rsidR="005908E4" w:rsidRPr="00857E41">
        <w:rPr>
          <w:rFonts w:eastAsia="MyriadPro-Cond"/>
        </w:rPr>
        <w:t xml:space="preserve">. </w:t>
      </w:r>
      <w:r w:rsidRPr="00857E41">
        <w:rPr>
          <w:rFonts w:eastAsia="MyriadPro-Cond"/>
        </w:rPr>
        <w:t>MPs are generally not aware of SEC debates and its recommendations</w:t>
      </w:r>
      <w:r w:rsidR="005908E4" w:rsidRPr="00857E41">
        <w:rPr>
          <w:rFonts w:eastAsia="MyriadPro-Cond"/>
        </w:rPr>
        <w:t>.</w:t>
      </w:r>
      <w:r w:rsidR="00927936" w:rsidRPr="00857E41">
        <w:rPr>
          <w:rFonts w:eastAsia="MyriadPro-Cond"/>
        </w:rPr>
        <w:t xml:space="preserve"> </w:t>
      </w:r>
      <w:r w:rsidRPr="00857E41">
        <w:rPr>
          <w:rFonts w:eastAsia="MyriadPro-Cond"/>
        </w:rPr>
        <w:t>This would enable MPs to be better informed for the discussions in the Parliament and it would increase SEC influence in creating laws and state policies</w:t>
      </w:r>
      <w:r w:rsidR="005908E4" w:rsidRPr="00857E41">
        <w:rPr>
          <w:rFonts w:eastAsia="MyriadPro-Cond"/>
        </w:rPr>
        <w:t>.</w:t>
      </w:r>
    </w:p>
    <w:p w14:paraId="6BA5FB7C" w14:textId="77777777" w:rsidR="00B62D4D" w:rsidRPr="00176E57" w:rsidRDefault="00B62D4D" w:rsidP="00857E41">
      <w:pPr>
        <w:autoSpaceDE w:val="0"/>
        <w:autoSpaceDN w:val="0"/>
        <w:adjustRightInd w:val="0"/>
        <w:ind w:left="567" w:hanging="567"/>
        <w:rPr>
          <w:rFonts w:eastAsia="MyriadPro-Cond"/>
          <w:iCs/>
        </w:rPr>
      </w:pPr>
    </w:p>
    <w:p w14:paraId="08BF4C36" w14:textId="5576184E" w:rsidR="00964E10" w:rsidRPr="00857E41" w:rsidRDefault="00821209" w:rsidP="00857E41">
      <w:pPr>
        <w:pStyle w:val="Heading1"/>
        <w:rPr>
          <w:rFonts w:eastAsia="MyriadPro-Cond"/>
        </w:rPr>
      </w:pPr>
      <w:r w:rsidRPr="00857E41">
        <w:rPr>
          <w:rFonts w:eastAsia="MyriadPro-Cond"/>
        </w:rPr>
        <w:t xml:space="preserve">It is necessary to strengthen collective bargaining as a </w:t>
      </w:r>
      <w:r w:rsidR="00964E10" w:rsidRPr="00857E41">
        <w:rPr>
          <w:rFonts w:eastAsia="MyriadPro-Cond"/>
        </w:rPr>
        <w:t xml:space="preserve">sine qua non </w:t>
      </w:r>
      <w:r w:rsidRPr="00857E41">
        <w:rPr>
          <w:rFonts w:eastAsia="MyriadPro-Cond"/>
        </w:rPr>
        <w:t>condition for effective tripartite social dialogue, especially in</w:t>
      </w:r>
      <w:r w:rsidR="00AF231B" w:rsidRPr="00857E41">
        <w:rPr>
          <w:rFonts w:eastAsia="MyriadPro-Cond"/>
        </w:rPr>
        <w:t xml:space="preserve"> the</w:t>
      </w:r>
      <w:r w:rsidRPr="00857E41">
        <w:rPr>
          <w:rFonts w:eastAsia="MyriadPro-Cond"/>
        </w:rPr>
        <w:t xml:space="preserve"> private sector</w:t>
      </w:r>
      <w:r w:rsidR="00964E10" w:rsidRPr="00857E41">
        <w:rPr>
          <w:rFonts w:eastAsia="MyriadPro-Cond"/>
        </w:rPr>
        <w:t xml:space="preserve">. </w:t>
      </w:r>
      <w:r w:rsidRPr="00857E41">
        <w:rPr>
          <w:rFonts w:eastAsia="MyriadPro-Cond"/>
        </w:rPr>
        <w:t>Therefore, SEC should, at least once a year, discuss the state of collective bargaining, as well as the status and implementation of collective agreements at different levels</w:t>
      </w:r>
      <w:r w:rsidR="00964E10" w:rsidRPr="00857E41">
        <w:rPr>
          <w:rFonts w:eastAsia="MyriadPro-Cond"/>
        </w:rPr>
        <w:t xml:space="preserve">. </w:t>
      </w:r>
      <w:r w:rsidRPr="00857E41">
        <w:rPr>
          <w:rFonts w:eastAsia="MyriadPro-Cond"/>
        </w:rPr>
        <w:t>This recommendation would contribute to development of mutual trust and recognition, as well as to empowering of social partners</w:t>
      </w:r>
      <w:r w:rsidR="00964E10" w:rsidRPr="00857E41">
        <w:rPr>
          <w:rFonts w:eastAsia="MyriadPro-Cond"/>
        </w:rPr>
        <w:t>.</w:t>
      </w:r>
    </w:p>
    <w:p w14:paraId="757D748D" w14:textId="68ED2FC5" w:rsidR="00B62D4D" w:rsidRPr="00176E57" w:rsidRDefault="00B62D4D" w:rsidP="00857E41">
      <w:pPr>
        <w:autoSpaceDE w:val="0"/>
        <w:autoSpaceDN w:val="0"/>
        <w:adjustRightInd w:val="0"/>
        <w:rPr>
          <w:rFonts w:eastAsia="MyriadPro-Cond"/>
          <w:iCs/>
        </w:rPr>
      </w:pPr>
    </w:p>
    <w:p w14:paraId="6E4E7DCB" w14:textId="68FD68B0" w:rsidR="00B62D4D" w:rsidRPr="00176E57" w:rsidRDefault="00B62D4D" w:rsidP="00857E41">
      <w:pPr>
        <w:autoSpaceDE w:val="0"/>
        <w:autoSpaceDN w:val="0"/>
        <w:adjustRightInd w:val="0"/>
        <w:jc w:val="center"/>
        <w:rPr>
          <w:rFonts w:eastAsia="MyriadPro-Cond"/>
          <w:iCs/>
        </w:rPr>
      </w:pPr>
      <w:r w:rsidRPr="00176E57">
        <w:rPr>
          <w:rFonts w:eastAsia="MyriadPro-Cond"/>
          <w:iCs/>
        </w:rPr>
        <w:t>________________</w:t>
      </w:r>
    </w:p>
    <w:sectPr w:rsidR="00B62D4D" w:rsidRPr="00176E57" w:rsidSect="00857E41">
      <w:footerReference w:type="default" r:id="rId12"/>
      <w:headerReference w:type="first" r:id="rId13"/>
      <w:footerReference w:type="first" r:id="rId14"/>
      <w:pgSz w:w="11907" w:h="16840" w:code="9"/>
      <w:pgMar w:top="1417" w:right="1417" w:bottom="1417" w:left="1417" w:header="720"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8B62D" w14:textId="77777777" w:rsidR="00FB563D" w:rsidRDefault="00FB563D" w:rsidP="00ED136D">
      <w:pPr>
        <w:spacing w:line="240" w:lineRule="auto"/>
      </w:pPr>
      <w:r>
        <w:separator/>
      </w:r>
    </w:p>
  </w:endnote>
  <w:endnote w:type="continuationSeparator" w:id="0">
    <w:p w14:paraId="18064DB7" w14:textId="77777777" w:rsidR="00FB563D" w:rsidRDefault="00FB563D" w:rsidP="00ED1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yriadPro-Cond">
    <w:altName w:val="Yu Gothic"/>
    <w:panose1 w:val="00000000000000000000"/>
    <w:charset w:val="80"/>
    <w:family w:val="auto"/>
    <w:notTrueType/>
    <w:pitch w:val="default"/>
    <w:sig w:usb0="00000001" w:usb1="08070000" w:usb2="00000010" w:usb3="00000000" w:csb0="00020000" w:csb1="00000000"/>
  </w:font>
  <w:font w:name="MyriadPro-BoldCon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394B2" w14:textId="1DF094B6" w:rsidR="00021D4F" w:rsidRPr="001B168A" w:rsidRDefault="001B168A" w:rsidP="001B168A">
    <w:pPr>
      <w:pStyle w:val="Footer"/>
    </w:pPr>
    <w:r>
      <w:t xml:space="preserve">EESC-2019-04320-01-00-TCD-TRA (EN) </w:t>
    </w:r>
    <w:r>
      <w:fldChar w:fldCharType="begin"/>
    </w:r>
    <w:r>
      <w:instrText xml:space="preserve"> PAGE  \* Arabic  \* MERGEFORMAT </w:instrText>
    </w:r>
    <w:r>
      <w:fldChar w:fldCharType="separate"/>
    </w:r>
    <w:r w:rsidR="00F57AB2">
      <w:rPr>
        <w:noProof/>
      </w:rPr>
      <w:t>2</w:t>
    </w:r>
    <w:r>
      <w:fldChar w:fldCharType="end"/>
    </w:r>
    <w:r>
      <w:t>/</w:t>
    </w:r>
    <w:r>
      <w:fldChar w:fldCharType="begin"/>
    </w:r>
    <w:r>
      <w:instrText xml:space="preserve"> NUMPAGES </w:instrText>
    </w:r>
    <w:r>
      <w:fldChar w:fldCharType="separate"/>
    </w:r>
    <w:r w:rsidR="00F57AB2">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D6C3" w14:textId="464D3970" w:rsidR="00021D4F" w:rsidRPr="001B168A" w:rsidRDefault="001B168A" w:rsidP="001B168A">
    <w:pPr>
      <w:pStyle w:val="Footer"/>
    </w:pPr>
    <w:r>
      <w:t xml:space="preserve">EESC-2019-04320-01-00-TCD-TRA (EN) </w:t>
    </w:r>
    <w:r>
      <w:fldChar w:fldCharType="begin"/>
    </w:r>
    <w:r>
      <w:instrText xml:space="preserve"> PAGE  \* Arabic  \* MERGEFORMAT </w:instrText>
    </w:r>
    <w:r>
      <w:fldChar w:fldCharType="separate"/>
    </w:r>
    <w:r w:rsidR="00F57AB2">
      <w:rPr>
        <w:noProof/>
      </w:rPr>
      <w:t>1</w:t>
    </w:r>
    <w:r>
      <w:fldChar w:fldCharType="end"/>
    </w:r>
    <w:r>
      <w:t>/</w:t>
    </w:r>
    <w:r>
      <w:fldChar w:fldCharType="begin"/>
    </w:r>
    <w:r>
      <w:instrText xml:space="preserve"> NUMPAGES </w:instrText>
    </w:r>
    <w:r>
      <w:fldChar w:fldCharType="separate"/>
    </w:r>
    <w:r w:rsidR="00F57AB2">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D13FA" w14:textId="77777777" w:rsidR="00FB563D" w:rsidRDefault="00FB563D" w:rsidP="00ED136D">
      <w:pPr>
        <w:spacing w:line="240" w:lineRule="auto"/>
      </w:pPr>
      <w:r>
        <w:separator/>
      </w:r>
    </w:p>
  </w:footnote>
  <w:footnote w:type="continuationSeparator" w:id="0">
    <w:p w14:paraId="03880B44" w14:textId="77777777" w:rsidR="00FB563D" w:rsidRDefault="00FB563D" w:rsidP="00ED136D">
      <w:pPr>
        <w:spacing w:line="240" w:lineRule="auto"/>
      </w:pPr>
      <w:r>
        <w:continuationSeparator/>
      </w:r>
    </w:p>
  </w:footnote>
  <w:footnote w:id="1">
    <w:p w14:paraId="094E8A9D" w14:textId="47833A2F" w:rsidR="00A92A1A" w:rsidRPr="00857E41" w:rsidRDefault="00A92A1A" w:rsidP="00857E41">
      <w:pPr>
        <w:spacing w:line="240" w:lineRule="auto"/>
        <w:ind w:left="567" w:hanging="567"/>
        <w:rPr>
          <w:bCs/>
          <w:iCs/>
          <w:color w:val="000000"/>
          <w:sz w:val="16"/>
          <w:szCs w:val="16"/>
        </w:rPr>
      </w:pPr>
      <w:r w:rsidRPr="00857E41">
        <w:rPr>
          <w:sz w:val="24"/>
          <w:szCs w:val="24"/>
          <w:vertAlign w:val="superscript"/>
        </w:rPr>
        <w:footnoteRef/>
      </w:r>
      <w:r w:rsidRPr="00251AF7">
        <w:t xml:space="preserve"> </w:t>
      </w:r>
      <w:r w:rsidR="00E67763" w:rsidRPr="00251AF7">
        <w:tab/>
      </w:r>
      <w:r w:rsidRPr="00857E41">
        <w:rPr>
          <w:rFonts w:eastAsia="MyriadPro-Cond"/>
          <w:iCs/>
          <w:sz w:val="16"/>
          <w:szCs w:val="16"/>
        </w:rPr>
        <w:t>S</w:t>
      </w:r>
      <w:r w:rsidR="001A4AAB" w:rsidRPr="00857E41">
        <w:rPr>
          <w:rFonts w:eastAsia="MyriadPro-Cond"/>
          <w:iCs/>
          <w:sz w:val="16"/>
          <w:szCs w:val="16"/>
        </w:rPr>
        <w:t>ocial and Economic Council of the Republic of Serbia was originally established based on a tripartite agreement of 2001</w:t>
      </w:r>
      <w:r w:rsidRPr="00857E41">
        <w:rPr>
          <w:rFonts w:eastAsia="MyriadPro-Cond"/>
          <w:iCs/>
          <w:sz w:val="16"/>
          <w:szCs w:val="16"/>
        </w:rPr>
        <w:t>.</w:t>
      </w:r>
      <w:r w:rsidR="00331500" w:rsidRPr="00857E41">
        <w:rPr>
          <w:rFonts w:eastAsia="MyriadPro-Cond"/>
          <w:iCs/>
          <w:sz w:val="16"/>
          <w:szCs w:val="16"/>
        </w:rPr>
        <w:t xml:space="preserve"> </w:t>
      </w:r>
      <w:r w:rsidR="001A4AAB" w:rsidRPr="00857E41">
        <w:rPr>
          <w:rFonts w:eastAsia="MyriadPro-Cond"/>
          <w:iCs/>
          <w:sz w:val="16"/>
          <w:szCs w:val="16"/>
        </w:rPr>
        <w:t xml:space="preserve">The current legal basis for the work of SEC is the Law on Social and Economic Council from </w:t>
      </w:r>
      <w:r w:rsidRPr="00857E41">
        <w:rPr>
          <w:rFonts w:eastAsia="MyriadPro-Cond"/>
          <w:iCs/>
          <w:sz w:val="16"/>
          <w:szCs w:val="16"/>
        </w:rPr>
        <w:t>2004</w:t>
      </w:r>
      <w:r w:rsidR="001A4AAB" w:rsidRPr="00857E41">
        <w:rPr>
          <w:rFonts w:eastAsia="MyriadPro-Cond"/>
          <w:iCs/>
          <w:sz w:val="16"/>
          <w:szCs w:val="16"/>
        </w:rPr>
        <w:t xml:space="preserve"> with amendments from </w:t>
      </w:r>
      <w:r w:rsidRPr="00857E41">
        <w:rPr>
          <w:rFonts w:eastAsia="MyriadPro-Cond"/>
          <w:iCs/>
          <w:sz w:val="16"/>
          <w:szCs w:val="16"/>
        </w:rPr>
        <w:t>2008.</w:t>
      </w:r>
      <w:r w:rsidR="001A4AAB" w:rsidRPr="00857E41">
        <w:rPr>
          <w:rFonts w:eastAsia="MyriadPro-Cond"/>
          <w:iCs/>
          <w:sz w:val="16"/>
          <w:szCs w:val="16"/>
        </w:rPr>
        <w:t xml:space="preserve"> Within SEC,</w:t>
      </w:r>
      <w:r w:rsidR="003C519A" w:rsidRPr="00857E41">
        <w:rPr>
          <w:rFonts w:eastAsia="MyriadPro-Cond"/>
          <w:iCs/>
          <w:sz w:val="16"/>
          <w:szCs w:val="16"/>
        </w:rPr>
        <w:t xml:space="preserve"> there are four specialized standing committees (working groups) for</w:t>
      </w:r>
      <w:r w:rsidR="00E67763" w:rsidRPr="00857E41">
        <w:rPr>
          <w:rFonts w:eastAsia="MyriadPro-Cond"/>
          <w:iCs/>
          <w:sz w:val="16"/>
          <w:szCs w:val="16"/>
        </w:rPr>
        <w:t xml:space="preserve"> </w:t>
      </w:r>
      <w:r w:rsidR="003C519A" w:rsidRPr="00857E41">
        <w:rPr>
          <w:rFonts w:eastAsia="MyriadPro-Cond"/>
          <w:iCs/>
          <w:sz w:val="16"/>
          <w:szCs w:val="16"/>
        </w:rPr>
        <w:t>legislation, collective bargaining and peaceful resolution of labour disputes, economic issues, and occupational health and safety</w:t>
      </w:r>
      <w:r w:rsidRPr="00857E41">
        <w:rPr>
          <w:rFonts w:eastAsia="MyriadPro-Cond"/>
          <w:iCs/>
          <w:sz w:val="16"/>
          <w:szCs w:val="16"/>
        </w:rPr>
        <w:t>.</w:t>
      </w:r>
      <w:r w:rsidR="003C519A" w:rsidRPr="00857E41">
        <w:rPr>
          <w:rFonts w:eastAsia="MyriadPro-Cond"/>
          <w:iCs/>
          <w:sz w:val="16"/>
          <w:szCs w:val="16"/>
        </w:rPr>
        <w:t xml:space="preserve"> Each standing committee has 4 members</w:t>
      </w:r>
      <w:r w:rsidRPr="00857E41">
        <w:rPr>
          <w:rFonts w:eastAsia="MyriadPro-Cond"/>
          <w:iCs/>
          <w:sz w:val="16"/>
          <w:szCs w:val="16"/>
        </w:rPr>
        <w:t xml:space="preserve">, </w:t>
      </w:r>
      <w:r w:rsidR="003C519A" w:rsidRPr="00857E41">
        <w:rPr>
          <w:rFonts w:eastAsia="MyriadPro-Cond"/>
          <w:iCs/>
          <w:sz w:val="16"/>
          <w:szCs w:val="16"/>
        </w:rPr>
        <w:t>one of each representative social partner</w:t>
      </w:r>
      <w:r w:rsidRPr="00857E41">
        <w:rPr>
          <w:rFonts w:eastAsia="MyriadPro-Cond"/>
          <w:iCs/>
          <w:sz w:val="16"/>
          <w:szCs w:val="16"/>
        </w:rPr>
        <w:t>.</w:t>
      </w:r>
    </w:p>
    <w:p w14:paraId="0D1E127D" w14:textId="1E804750" w:rsidR="00A92A1A" w:rsidRPr="00251AF7" w:rsidRDefault="003C519A" w:rsidP="00857E41">
      <w:pPr>
        <w:autoSpaceDE w:val="0"/>
        <w:autoSpaceDN w:val="0"/>
        <w:adjustRightInd w:val="0"/>
        <w:spacing w:line="240" w:lineRule="auto"/>
        <w:ind w:left="567"/>
      </w:pPr>
      <w:r w:rsidRPr="00857E41">
        <w:rPr>
          <w:rFonts w:eastAsia="MyriadPro-Cond"/>
          <w:iCs/>
          <w:sz w:val="16"/>
          <w:szCs w:val="16"/>
        </w:rPr>
        <w:t xml:space="preserve">The agenda of SEC meetings is determined by a tripartite </w:t>
      </w:r>
      <w:r w:rsidR="00176E57">
        <w:rPr>
          <w:rFonts w:eastAsia="MyriadPro-Cond"/>
          <w:iCs/>
          <w:sz w:val="16"/>
          <w:szCs w:val="16"/>
        </w:rPr>
        <w:t>"</w:t>
      </w:r>
      <w:r w:rsidRPr="00857E41">
        <w:rPr>
          <w:rFonts w:eastAsia="MyriadPro-Cond"/>
          <w:iCs/>
          <w:sz w:val="16"/>
          <w:szCs w:val="16"/>
        </w:rPr>
        <w:t>Kolegijum</w:t>
      </w:r>
      <w:r w:rsidR="00176E57">
        <w:rPr>
          <w:rFonts w:eastAsia="MyriadPro-Cond"/>
          <w:iCs/>
          <w:sz w:val="16"/>
          <w:szCs w:val="16"/>
        </w:rPr>
        <w:t>"</w:t>
      </w:r>
      <w:r w:rsidRPr="00857E41">
        <w:rPr>
          <w:rFonts w:eastAsia="MyriadPro-Cond"/>
          <w:iCs/>
          <w:sz w:val="16"/>
          <w:szCs w:val="16"/>
        </w:rPr>
        <w:t xml:space="preserve"> (board) comprised of representatives of the Government, member organizations and SEC Secretary</w:t>
      </w:r>
      <w:r w:rsidR="00A92A1A" w:rsidRPr="00857E41">
        <w:rPr>
          <w:rFonts w:eastAsia="MyriadPro-Cond"/>
          <w:iCs/>
          <w:sz w:val="16"/>
          <w:szCs w:val="16"/>
        </w:rPr>
        <w:t xml:space="preserve">. </w:t>
      </w:r>
      <w:r w:rsidRPr="00857E41">
        <w:rPr>
          <w:rFonts w:eastAsia="MyriadPro-Cond"/>
          <w:iCs/>
          <w:sz w:val="16"/>
          <w:szCs w:val="16"/>
        </w:rPr>
        <w:t>According to law, it should meet once a month</w:t>
      </w:r>
      <w:r w:rsidR="00A92A1A" w:rsidRPr="00857E41">
        <w:rPr>
          <w:rFonts w:eastAsia="MyriadPro-Cond"/>
          <w:iCs/>
          <w:sz w:val="16"/>
          <w:szCs w:val="16"/>
        </w:rPr>
        <w:t>.</w:t>
      </w:r>
    </w:p>
  </w:footnote>
  <w:footnote w:id="2">
    <w:p w14:paraId="410AB6E7" w14:textId="3A3C995C" w:rsidR="00F231F5" w:rsidRPr="00251AF7" w:rsidRDefault="00F231F5" w:rsidP="00857E41">
      <w:pPr>
        <w:pStyle w:val="FootnoteText"/>
        <w:keepNext/>
      </w:pPr>
      <w:r w:rsidRPr="00857E41">
        <w:rPr>
          <w:sz w:val="24"/>
          <w:szCs w:val="24"/>
          <w:vertAlign w:val="superscript"/>
        </w:rPr>
        <w:footnoteRef/>
      </w:r>
      <w:r w:rsidRPr="00251AF7">
        <w:t xml:space="preserve"> </w:t>
      </w:r>
      <w:r w:rsidR="00E67763" w:rsidRPr="00251AF7">
        <w:tab/>
      </w:r>
      <w:r w:rsidR="009A5253" w:rsidRPr="00857E41">
        <w:rPr>
          <w:bCs/>
          <w:iCs/>
          <w:color w:val="000000"/>
          <w:szCs w:val="16"/>
        </w:rPr>
        <w:t>The</w:t>
      </w:r>
      <w:r w:rsidR="00EF2BE6" w:rsidRPr="00857E41">
        <w:rPr>
          <w:bCs/>
          <w:iCs/>
          <w:color w:val="000000"/>
          <w:szCs w:val="16"/>
        </w:rPr>
        <w:t xml:space="preserve"> extent to which these assumptions</w:t>
      </w:r>
      <w:r w:rsidR="009A5253" w:rsidRPr="00857E41">
        <w:rPr>
          <w:bCs/>
          <w:iCs/>
          <w:color w:val="000000"/>
          <w:szCs w:val="16"/>
        </w:rPr>
        <w:t xml:space="preserve"> are absent from practice is exemplified by the situation in the National Geodetic Authority</w:t>
      </w:r>
      <w:r w:rsidRPr="00857E41">
        <w:rPr>
          <w:bCs/>
          <w:iCs/>
          <w:color w:val="000000"/>
          <w:szCs w:val="16"/>
        </w:rPr>
        <w:t xml:space="preserve">, </w:t>
      </w:r>
      <w:r w:rsidR="009A5253" w:rsidRPr="00857E41">
        <w:rPr>
          <w:bCs/>
          <w:iCs/>
          <w:color w:val="000000"/>
          <w:szCs w:val="16"/>
        </w:rPr>
        <w:t xml:space="preserve">an institution under direct </w:t>
      </w:r>
      <w:r w:rsidR="00EF2BE6" w:rsidRPr="00857E41">
        <w:rPr>
          <w:bCs/>
          <w:iCs/>
          <w:color w:val="000000"/>
          <w:szCs w:val="16"/>
        </w:rPr>
        <w:t>management of the executive authorities</w:t>
      </w:r>
      <w:r w:rsidRPr="00857E41">
        <w:rPr>
          <w:bCs/>
          <w:iCs/>
          <w:color w:val="000000"/>
          <w:szCs w:val="16"/>
        </w:rPr>
        <w:t xml:space="preserve">, </w:t>
      </w:r>
      <w:r w:rsidR="00EF2BE6" w:rsidRPr="00857E41">
        <w:rPr>
          <w:bCs/>
          <w:iCs/>
          <w:color w:val="000000"/>
          <w:szCs w:val="16"/>
        </w:rPr>
        <w:t>in which, following strikes and non-compliance with two agreements signed with the representatives of the Government, there were abuses and transfers of trade union representatives</w:t>
      </w:r>
      <w:r w:rsidRPr="00857E41">
        <w:rPr>
          <w:bCs/>
          <w:iCs/>
          <w:color w:val="000000"/>
          <w:szCs w:val="16"/>
        </w:rPr>
        <w:t xml:space="preserve">, </w:t>
      </w:r>
      <w:r w:rsidR="00EF2BE6" w:rsidRPr="00857E41">
        <w:rPr>
          <w:bCs/>
          <w:iCs/>
          <w:color w:val="000000"/>
          <w:szCs w:val="16"/>
        </w:rPr>
        <w:t>police questionings and pressures in the procedure for the review of representativeness</w:t>
      </w:r>
      <w:r w:rsidRPr="00857E41">
        <w:rPr>
          <w:bCs/>
          <w:iCs/>
          <w:color w:val="000000"/>
          <w:szCs w:val="16"/>
        </w:rPr>
        <w:t xml:space="preserve">. </w:t>
      </w:r>
      <w:r w:rsidR="00EF2BE6" w:rsidRPr="00857E41">
        <w:rPr>
          <w:bCs/>
          <w:iCs/>
          <w:color w:val="000000"/>
          <w:szCs w:val="16"/>
        </w:rPr>
        <w:t>At the same time</w:t>
      </w:r>
      <w:r w:rsidRPr="00857E41">
        <w:rPr>
          <w:bCs/>
          <w:iCs/>
          <w:color w:val="000000"/>
          <w:szCs w:val="16"/>
        </w:rPr>
        <w:t xml:space="preserve">, </w:t>
      </w:r>
      <w:r w:rsidR="00EF2BE6" w:rsidRPr="00857E41">
        <w:rPr>
          <w:bCs/>
          <w:iCs/>
          <w:color w:val="000000"/>
          <w:szCs w:val="16"/>
        </w:rPr>
        <w:t>a “desirable, manager’s” trade union was formed predominantly by those who are due to transition from working on a service contract to an employment relationship.</w:t>
      </w:r>
    </w:p>
  </w:footnote>
  <w:footnote w:id="3">
    <w:p w14:paraId="1DF3FBA5" w14:textId="3689DAC9" w:rsidR="000F242F" w:rsidRPr="00251AF7" w:rsidRDefault="000F242F" w:rsidP="00857E41">
      <w:pPr>
        <w:pStyle w:val="FootnoteText"/>
        <w:keepLines w:val="0"/>
      </w:pPr>
      <w:r w:rsidRPr="00857E41">
        <w:rPr>
          <w:sz w:val="24"/>
          <w:szCs w:val="24"/>
          <w:vertAlign w:val="superscript"/>
        </w:rPr>
        <w:footnoteRef/>
      </w:r>
      <w:r w:rsidRPr="00857E41">
        <w:rPr>
          <w:sz w:val="24"/>
          <w:szCs w:val="24"/>
        </w:rPr>
        <w:t xml:space="preserve"> </w:t>
      </w:r>
      <w:r w:rsidR="00E67763" w:rsidRPr="00251AF7">
        <w:rPr>
          <w:sz w:val="24"/>
          <w:szCs w:val="24"/>
        </w:rPr>
        <w:tab/>
      </w:r>
      <w:r w:rsidR="006F50CB" w:rsidRPr="00857E41">
        <w:rPr>
          <w:rFonts w:eastAsia="MyriadPro-Cond"/>
          <w:iCs/>
          <w:szCs w:val="16"/>
        </w:rPr>
        <w:t>Recommendations</w:t>
      </w:r>
      <w:r w:rsidRPr="00857E41">
        <w:rPr>
          <w:rFonts w:eastAsia="MyriadPro-Cond"/>
          <w:iCs/>
          <w:szCs w:val="16"/>
        </w:rPr>
        <w:t xml:space="preserve"> </w:t>
      </w:r>
      <w:r w:rsidR="006F50CB" w:rsidRPr="00857E41">
        <w:rPr>
          <w:rFonts w:eastAsia="MyriadPro-Cond"/>
          <w:iCs/>
          <w:szCs w:val="16"/>
        </w:rPr>
        <w:t>were taken and modified from ESAP Project realized by EU and ILO</w:t>
      </w:r>
      <w:r w:rsidRPr="00857E41">
        <w:rPr>
          <w:rFonts w:eastAsia="MyriadPro-Cond"/>
          <w:iCs/>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A0F65" w14:textId="3645C8A0" w:rsidR="00B62D4D" w:rsidRDefault="00B62D4D">
    <w:pPr>
      <w:pStyle w:val="Header"/>
    </w:pPr>
    <w:r>
      <w:rPr>
        <w:noProof/>
        <w:lang w:eastAsia="en-GB"/>
      </w:rPr>
      <w:drawing>
        <wp:inline distT="0" distB="0" distL="0" distR="0" wp14:anchorId="47192F3A" wp14:editId="729E1984">
          <wp:extent cx="5944235" cy="19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1981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683126E"/>
    <w:multiLevelType w:val="hybridMultilevel"/>
    <w:tmpl w:val="015EEE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405F6"/>
    <w:multiLevelType w:val="hybridMultilevel"/>
    <w:tmpl w:val="83DC3566"/>
    <w:lvl w:ilvl="0" w:tplc="0D0C0B5C">
      <w:start w:val="1"/>
      <w:numFmt w:val="decimal"/>
      <w:lvlText w:val="%1."/>
      <w:lvlJc w:val="left"/>
      <w:pPr>
        <w:ind w:left="2400" w:hanging="360"/>
      </w:pPr>
      <w:rPr>
        <w:rFonts w:ascii="Times New Roman" w:hAnsi="Times New Roman" w:cs="Times New Roman" w:hint="default"/>
        <w:b w:val="0"/>
      </w:rPr>
    </w:lvl>
    <w:lvl w:ilvl="1" w:tplc="241A0019">
      <w:start w:val="1"/>
      <w:numFmt w:val="lowerLetter"/>
      <w:lvlText w:val="%2."/>
      <w:lvlJc w:val="left"/>
      <w:pPr>
        <w:ind w:left="3120" w:hanging="360"/>
      </w:pPr>
    </w:lvl>
    <w:lvl w:ilvl="2" w:tplc="241A001B">
      <w:start w:val="1"/>
      <w:numFmt w:val="lowerRoman"/>
      <w:lvlText w:val="%3."/>
      <w:lvlJc w:val="right"/>
      <w:pPr>
        <w:ind w:left="3840" w:hanging="180"/>
      </w:pPr>
    </w:lvl>
    <w:lvl w:ilvl="3" w:tplc="241A000F">
      <w:start w:val="1"/>
      <w:numFmt w:val="decimal"/>
      <w:lvlText w:val="%4."/>
      <w:lvlJc w:val="left"/>
      <w:pPr>
        <w:ind w:left="4560" w:hanging="360"/>
      </w:pPr>
    </w:lvl>
    <w:lvl w:ilvl="4" w:tplc="241A0019">
      <w:start w:val="1"/>
      <w:numFmt w:val="lowerLetter"/>
      <w:lvlText w:val="%5."/>
      <w:lvlJc w:val="left"/>
      <w:pPr>
        <w:ind w:left="5280" w:hanging="360"/>
      </w:pPr>
    </w:lvl>
    <w:lvl w:ilvl="5" w:tplc="241A001B">
      <w:start w:val="1"/>
      <w:numFmt w:val="lowerRoman"/>
      <w:lvlText w:val="%6."/>
      <w:lvlJc w:val="right"/>
      <w:pPr>
        <w:ind w:left="6000" w:hanging="180"/>
      </w:pPr>
    </w:lvl>
    <w:lvl w:ilvl="6" w:tplc="241A000F">
      <w:start w:val="1"/>
      <w:numFmt w:val="decimal"/>
      <w:lvlText w:val="%7."/>
      <w:lvlJc w:val="left"/>
      <w:pPr>
        <w:ind w:left="6720" w:hanging="360"/>
      </w:pPr>
    </w:lvl>
    <w:lvl w:ilvl="7" w:tplc="241A0019">
      <w:start w:val="1"/>
      <w:numFmt w:val="lowerLetter"/>
      <w:lvlText w:val="%8."/>
      <w:lvlJc w:val="left"/>
      <w:pPr>
        <w:ind w:left="7440" w:hanging="360"/>
      </w:pPr>
    </w:lvl>
    <w:lvl w:ilvl="8" w:tplc="241A001B">
      <w:start w:val="1"/>
      <w:numFmt w:val="lowerRoman"/>
      <w:lvlText w:val="%9."/>
      <w:lvlJc w:val="right"/>
      <w:pPr>
        <w:ind w:left="8160" w:hanging="180"/>
      </w:pPr>
    </w:lvl>
  </w:abstractNum>
  <w:abstractNum w:abstractNumId="3" w15:restartNumberingAfterBreak="0">
    <w:nsid w:val="230358A0"/>
    <w:multiLevelType w:val="hybridMultilevel"/>
    <w:tmpl w:val="9200ABB4"/>
    <w:lvl w:ilvl="0" w:tplc="9C864B16">
      <w:start w:val="1"/>
      <w:numFmt w:val="decimal"/>
      <w:lvlText w:val="(%1)"/>
      <w:lvlJc w:val="left"/>
      <w:pPr>
        <w:ind w:left="2400" w:hanging="360"/>
      </w:pPr>
      <w:rPr>
        <w:rFonts w:ascii="Times New Roman" w:hAnsi="Times New Roman" w:cs="Times New Roman" w:hint="default"/>
      </w:rPr>
    </w:lvl>
    <w:lvl w:ilvl="1" w:tplc="241A0019">
      <w:start w:val="1"/>
      <w:numFmt w:val="lowerLetter"/>
      <w:lvlText w:val="%2."/>
      <w:lvlJc w:val="left"/>
      <w:pPr>
        <w:ind w:left="3120" w:hanging="360"/>
      </w:pPr>
    </w:lvl>
    <w:lvl w:ilvl="2" w:tplc="241A001B">
      <w:start w:val="1"/>
      <w:numFmt w:val="lowerRoman"/>
      <w:lvlText w:val="%3."/>
      <w:lvlJc w:val="right"/>
      <w:pPr>
        <w:ind w:left="3840" w:hanging="180"/>
      </w:pPr>
    </w:lvl>
    <w:lvl w:ilvl="3" w:tplc="241A000F">
      <w:start w:val="1"/>
      <w:numFmt w:val="decimal"/>
      <w:lvlText w:val="%4."/>
      <w:lvlJc w:val="left"/>
      <w:pPr>
        <w:ind w:left="4560" w:hanging="360"/>
      </w:pPr>
    </w:lvl>
    <w:lvl w:ilvl="4" w:tplc="241A0019">
      <w:start w:val="1"/>
      <w:numFmt w:val="lowerLetter"/>
      <w:lvlText w:val="%5."/>
      <w:lvlJc w:val="left"/>
      <w:pPr>
        <w:ind w:left="5280" w:hanging="360"/>
      </w:pPr>
    </w:lvl>
    <w:lvl w:ilvl="5" w:tplc="241A001B">
      <w:start w:val="1"/>
      <w:numFmt w:val="lowerRoman"/>
      <w:lvlText w:val="%6."/>
      <w:lvlJc w:val="right"/>
      <w:pPr>
        <w:ind w:left="6000" w:hanging="180"/>
      </w:pPr>
    </w:lvl>
    <w:lvl w:ilvl="6" w:tplc="241A000F">
      <w:start w:val="1"/>
      <w:numFmt w:val="decimal"/>
      <w:lvlText w:val="%7."/>
      <w:lvlJc w:val="left"/>
      <w:pPr>
        <w:ind w:left="6720" w:hanging="360"/>
      </w:pPr>
    </w:lvl>
    <w:lvl w:ilvl="7" w:tplc="241A0019">
      <w:start w:val="1"/>
      <w:numFmt w:val="lowerLetter"/>
      <w:lvlText w:val="%8."/>
      <w:lvlJc w:val="left"/>
      <w:pPr>
        <w:ind w:left="7440" w:hanging="360"/>
      </w:pPr>
    </w:lvl>
    <w:lvl w:ilvl="8" w:tplc="241A001B">
      <w:start w:val="1"/>
      <w:numFmt w:val="lowerRoman"/>
      <w:lvlText w:val="%9."/>
      <w:lvlJc w:val="right"/>
      <w:pPr>
        <w:ind w:left="8160" w:hanging="180"/>
      </w:pPr>
    </w:lvl>
  </w:abstractNum>
  <w:abstractNum w:abstractNumId="4" w15:restartNumberingAfterBreak="0">
    <w:nsid w:val="26F12FA5"/>
    <w:multiLevelType w:val="hybridMultilevel"/>
    <w:tmpl w:val="FDB012DC"/>
    <w:lvl w:ilvl="0" w:tplc="6EF2A406">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D4C7648"/>
    <w:multiLevelType w:val="hybridMultilevel"/>
    <w:tmpl w:val="004002F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A7300B6"/>
    <w:multiLevelType w:val="hybridMultilevel"/>
    <w:tmpl w:val="A4689590"/>
    <w:lvl w:ilvl="0" w:tplc="08090017">
      <w:start w:val="1"/>
      <w:numFmt w:val="lowerLetter"/>
      <w:lvlText w:val="%1)"/>
      <w:lvlJc w:val="left"/>
      <w:pPr>
        <w:ind w:left="720" w:hanging="360"/>
      </w:pPr>
    </w:lvl>
    <w:lvl w:ilvl="1" w:tplc="6260891E">
      <w:start w:val="1"/>
      <w:numFmt w:val="decimal"/>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9F797E"/>
    <w:multiLevelType w:val="hybridMultilevel"/>
    <w:tmpl w:val="79C6FC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6A5ECB"/>
    <w:multiLevelType w:val="hybridMultilevel"/>
    <w:tmpl w:val="4DC62770"/>
    <w:lvl w:ilvl="0" w:tplc="6EF2A406">
      <w:start w:val="1"/>
      <w:numFmt w:val="decimal"/>
      <w:lvlText w:val="(%1)"/>
      <w:lvlJc w:val="left"/>
      <w:pPr>
        <w:ind w:left="720" w:hanging="360"/>
      </w:pPr>
    </w:lvl>
    <w:lvl w:ilvl="1" w:tplc="578E636A">
      <w:start w:val="1"/>
      <w:numFmt w:val="decimal"/>
      <w:lvlText w:val="(%2)"/>
      <w:lvlJc w:val="left"/>
      <w:pPr>
        <w:ind w:left="1440" w:hanging="360"/>
      </w:pPr>
      <w:rPr>
        <w:rFonts w:ascii="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4774A83"/>
    <w:multiLevelType w:val="hybridMultilevel"/>
    <w:tmpl w:val="784A4C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755E3F"/>
    <w:multiLevelType w:val="hybridMultilevel"/>
    <w:tmpl w:val="BFEC58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858534C"/>
    <w:multiLevelType w:val="hybridMultilevel"/>
    <w:tmpl w:val="BB9856F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C6C46F5"/>
    <w:multiLevelType w:val="hybridMultilevel"/>
    <w:tmpl w:val="BB04F87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9"/>
  </w:num>
  <w:num w:numId="6">
    <w:abstractNumId w:val="7"/>
  </w:num>
  <w:num w:numId="7">
    <w:abstractNumId w:val="12"/>
  </w:num>
  <w:num w:numId="8">
    <w:abstractNumId w:val="3"/>
  </w:num>
  <w:num w:numId="9">
    <w:abstractNumId w:val="2"/>
  </w:num>
  <w:num w:numId="10">
    <w:abstractNumId w:val="4"/>
  </w:num>
  <w:num w:numId="11">
    <w:abstractNumId w:val="8"/>
  </w:num>
  <w:num w:numId="12">
    <w:abstractNumId w:val="0"/>
  </w:num>
  <w:num w:numId="13">
    <w:abstractNumId w:val="11"/>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BA"/>
    <w:rsid w:val="00013941"/>
    <w:rsid w:val="00020C2C"/>
    <w:rsid w:val="00021D4F"/>
    <w:rsid w:val="00046E6A"/>
    <w:rsid w:val="00091F65"/>
    <w:rsid w:val="000D686D"/>
    <w:rsid w:val="000E512B"/>
    <w:rsid w:val="000F242F"/>
    <w:rsid w:val="00176E57"/>
    <w:rsid w:val="001A4AAB"/>
    <w:rsid w:val="001A5C05"/>
    <w:rsid w:val="001A7704"/>
    <w:rsid w:val="001B168A"/>
    <w:rsid w:val="001C003F"/>
    <w:rsid w:val="001F3799"/>
    <w:rsid w:val="001F5F27"/>
    <w:rsid w:val="00213E5D"/>
    <w:rsid w:val="00235BEC"/>
    <w:rsid w:val="00250156"/>
    <w:rsid w:val="00251AF7"/>
    <w:rsid w:val="00266EBC"/>
    <w:rsid w:val="00295FE3"/>
    <w:rsid w:val="002A622F"/>
    <w:rsid w:val="002F3BC8"/>
    <w:rsid w:val="00327C76"/>
    <w:rsid w:val="00331500"/>
    <w:rsid w:val="00341EFF"/>
    <w:rsid w:val="00351B45"/>
    <w:rsid w:val="00362930"/>
    <w:rsid w:val="003B0466"/>
    <w:rsid w:val="003C519A"/>
    <w:rsid w:val="003D5B50"/>
    <w:rsid w:val="003D654F"/>
    <w:rsid w:val="003D7A27"/>
    <w:rsid w:val="003F3A3E"/>
    <w:rsid w:val="003F6602"/>
    <w:rsid w:val="00402E67"/>
    <w:rsid w:val="00441731"/>
    <w:rsid w:val="00446279"/>
    <w:rsid w:val="00447F76"/>
    <w:rsid w:val="00452BF6"/>
    <w:rsid w:val="00452E69"/>
    <w:rsid w:val="00467B10"/>
    <w:rsid w:val="00474DED"/>
    <w:rsid w:val="00493E46"/>
    <w:rsid w:val="00497C01"/>
    <w:rsid w:val="004E118E"/>
    <w:rsid w:val="004F78E0"/>
    <w:rsid w:val="005037BE"/>
    <w:rsid w:val="00535E44"/>
    <w:rsid w:val="005504BE"/>
    <w:rsid w:val="005542B0"/>
    <w:rsid w:val="00576A84"/>
    <w:rsid w:val="0058455E"/>
    <w:rsid w:val="005908E4"/>
    <w:rsid w:val="0059791E"/>
    <w:rsid w:val="005A25EF"/>
    <w:rsid w:val="005E1822"/>
    <w:rsid w:val="00641FB7"/>
    <w:rsid w:val="00667192"/>
    <w:rsid w:val="006A329C"/>
    <w:rsid w:val="006D6A15"/>
    <w:rsid w:val="006F50CB"/>
    <w:rsid w:val="00750D43"/>
    <w:rsid w:val="0078125D"/>
    <w:rsid w:val="00793B02"/>
    <w:rsid w:val="00796AC0"/>
    <w:rsid w:val="007B2E49"/>
    <w:rsid w:val="007B43A6"/>
    <w:rsid w:val="007F3932"/>
    <w:rsid w:val="00805EFA"/>
    <w:rsid w:val="00807EF2"/>
    <w:rsid w:val="00821209"/>
    <w:rsid w:val="00847A5A"/>
    <w:rsid w:val="008515E5"/>
    <w:rsid w:val="00857E41"/>
    <w:rsid w:val="00892997"/>
    <w:rsid w:val="008B0B29"/>
    <w:rsid w:val="008F0A0B"/>
    <w:rsid w:val="00927936"/>
    <w:rsid w:val="00964E10"/>
    <w:rsid w:val="00974CAC"/>
    <w:rsid w:val="00990EA6"/>
    <w:rsid w:val="009A33EE"/>
    <w:rsid w:val="009A5253"/>
    <w:rsid w:val="009B3694"/>
    <w:rsid w:val="009D5E49"/>
    <w:rsid w:val="009D7C97"/>
    <w:rsid w:val="009F05EE"/>
    <w:rsid w:val="00A8014E"/>
    <w:rsid w:val="00A81CB7"/>
    <w:rsid w:val="00A92A1A"/>
    <w:rsid w:val="00AA3A6E"/>
    <w:rsid w:val="00AB4E97"/>
    <w:rsid w:val="00AD6CAF"/>
    <w:rsid w:val="00AE7108"/>
    <w:rsid w:val="00AF231B"/>
    <w:rsid w:val="00B62D4D"/>
    <w:rsid w:val="00B8779E"/>
    <w:rsid w:val="00B94D29"/>
    <w:rsid w:val="00BB5F1B"/>
    <w:rsid w:val="00BD0E34"/>
    <w:rsid w:val="00C12664"/>
    <w:rsid w:val="00C56E15"/>
    <w:rsid w:val="00C56F60"/>
    <w:rsid w:val="00CD11D4"/>
    <w:rsid w:val="00CE2198"/>
    <w:rsid w:val="00CF44A4"/>
    <w:rsid w:val="00D06266"/>
    <w:rsid w:val="00D93BD2"/>
    <w:rsid w:val="00DB1488"/>
    <w:rsid w:val="00DE51F9"/>
    <w:rsid w:val="00DF6ED6"/>
    <w:rsid w:val="00E310E5"/>
    <w:rsid w:val="00E31AB6"/>
    <w:rsid w:val="00E67763"/>
    <w:rsid w:val="00ED136D"/>
    <w:rsid w:val="00EF2BE6"/>
    <w:rsid w:val="00EF78BA"/>
    <w:rsid w:val="00F231F5"/>
    <w:rsid w:val="00F407E3"/>
    <w:rsid w:val="00F517C8"/>
    <w:rsid w:val="00F57AB2"/>
    <w:rsid w:val="00FB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4A17B4"/>
  <w15:docId w15:val="{832C2019-772E-4252-A289-26F62885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AF7"/>
    <w:pPr>
      <w:spacing w:after="0" w:line="288" w:lineRule="auto"/>
      <w:jc w:val="both"/>
    </w:pPr>
    <w:rPr>
      <w:rFonts w:ascii="Times New Roman" w:eastAsia="Times New Roman" w:hAnsi="Times New Roman" w:cs="Times New Roman"/>
      <w:lang w:val="en-GB"/>
    </w:rPr>
  </w:style>
  <w:style w:type="paragraph" w:styleId="Heading1">
    <w:name w:val="heading 1"/>
    <w:basedOn w:val="Normal"/>
    <w:next w:val="Normal"/>
    <w:link w:val="Heading1Char"/>
    <w:qFormat/>
    <w:rsid w:val="00251AF7"/>
    <w:pPr>
      <w:numPr>
        <w:numId w:val="12"/>
      </w:numPr>
      <w:ind w:left="567" w:hanging="567"/>
      <w:outlineLvl w:val="0"/>
    </w:pPr>
    <w:rPr>
      <w:kern w:val="28"/>
    </w:rPr>
  </w:style>
  <w:style w:type="paragraph" w:styleId="Heading2">
    <w:name w:val="heading 2"/>
    <w:basedOn w:val="Normal"/>
    <w:next w:val="Normal"/>
    <w:link w:val="Heading2Char"/>
    <w:qFormat/>
    <w:rsid w:val="00251AF7"/>
    <w:pPr>
      <w:numPr>
        <w:ilvl w:val="1"/>
        <w:numId w:val="12"/>
      </w:numPr>
      <w:ind w:left="567" w:hanging="567"/>
      <w:outlineLvl w:val="1"/>
    </w:pPr>
  </w:style>
  <w:style w:type="paragraph" w:styleId="Heading3">
    <w:name w:val="heading 3"/>
    <w:basedOn w:val="Normal"/>
    <w:next w:val="Normal"/>
    <w:link w:val="Heading3Char"/>
    <w:qFormat/>
    <w:rsid w:val="00251AF7"/>
    <w:pPr>
      <w:numPr>
        <w:ilvl w:val="2"/>
        <w:numId w:val="12"/>
      </w:numPr>
      <w:ind w:left="567" w:hanging="567"/>
      <w:outlineLvl w:val="2"/>
    </w:pPr>
  </w:style>
  <w:style w:type="paragraph" w:styleId="Heading4">
    <w:name w:val="heading 4"/>
    <w:basedOn w:val="Normal"/>
    <w:next w:val="Normal"/>
    <w:link w:val="Heading4Char"/>
    <w:qFormat/>
    <w:rsid w:val="00251AF7"/>
    <w:pPr>
      <w:numPr>
        <w:ilvl w:val="3"/>
        <w:numId w:val="12"/>
      </w:numPr>
      <w:ind w:left="567" w:hanging="567"/>
      <w:outlineLvl w:val="3"/>
    </w:pPr>
  </w:style>
  <w:style w:type="paragraph" w:styleId="Heading5">
    <w:name w:val="heading 5"/>
    <w:basedOn w:val="Normal"/>
    <w:next w:val="Normal"/>
    <w:link w:val="Heading5Char"/>
    <w:qFormat/>
    <w:rsid w:val="00251AF7"/>
    <w:pPr>
      <w:numPr>
        <w:ilvl w:val="4"/>
        <w:numId w:val="12"/>
      </w:numPr>
      <w:ind w:left="567" w:hanging="567"/>
      <w:outlineLvl w:val="4"/>
    </w:pPr>
  </w:style>
  <w:style w:type="paragraph" w:styleId="Heading6">
    <w:name w:val="heading 6"/>
    <w:basedOn w:val="Normal"/>
    <w:next w:val="Normal"/>
    <w:link w:val="Heading6Char"/>
    <w:qFormat/>
    <w:rsid w:val="00251AF7"/>
    <w:pPr>
      <w:numPr>
        <w:ilvl w:val="5"/>
        <w:numId w:val="12"/>
      </w:numPr>
      <w:ind w:left="567" w:hanging="567"/>
      <w:outlineLvl w:val="5"/>
    </w:pPr>
  </w:style>
  <w:style w:type="paragraph" w:styleId="Heading7">
    <w:name w:val="heading 7"/>
    <w:basedOn w:val="Normal"/>
    <w:next w:val="Normal"/>
    <w:link w:val="Heading7Char"/>
    <w:qFormat/>
    <w:rsid w:val="00251AF7"/>
    <w:pPr>
      <w:numPr>
        <w:ilvl w:val="6"/>
        <w:numId w:val="12"/>
      </w:numPr>
      <w:ind w:left="567" w:hanging="567"/>
      <w:outlineLvl w:val="6"/>
    </w:pPr>
  </w:style>
  <w:style w:type="paragraph" w:styleId="Heading8">
    <w:name w:val="heading 8"/>
    <w:basedOn w:val="Normal"/>
    <w:next w:val="Normal"/>
    <w:link w:val="Heading8Char"/>
    <w:qFormat/>
    <w:rsid w:val="00251AF7"/>
    <w:pPr>
      <w:numPr>
        <w:ilvl w:val="7"/>
        <w:numId w:val="12"/>
      </w:numPr>
      <w:ind w:left="567" w:hanging="567"/>
      <w:outlineLvl w:val="7"/>
    </w:pPr>
  </w:style>
  <w:style w:type="paragraph" w:styleId="Heading9">
    <w:name w:val="heading 9"/>
    <w:basedOn w:val="Normal"/>
    <w:next w:val="Normal"/>
    <w:link w:val="Heading9Char"/>
    <w:qFormat/>
    <w:rsid w:val="00251AF7"/>
    <w:pPr>
      <w:numPr>
        <w:ilvl w:val="8"/>
        <w:numId w:val="12"/>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D136D"/>
    <w:rPr>
      <w:color w:val="0000FF"/>
      <w:u w:val="single"/>
    </w:rPr>
  </w:style>
  <w:style w:type="character" w:customStyle="1" w:styleId="FootnoteTextChar">
    <w:name w:val="Footnote Text Char"/>
    <w:aliases w:val="Char Char Char Char1,Char Char Char Char Char1,Char Char Char Char Char Char,Footnote Text Char Char Char,Footnote Text Char Char Char Char Char Char Char,Footnote Text2 Char,Footnote Text Char Char2 Char,single space Char"/>
    <w:link w:val="FootnoteText"/>
    <w:locked/>
    <w:rsid w:val="00ED136D"/>
    <w:rPr>
      <w:rFonts w:ascii="Times New Roman" w:eastAsia="Times New Roman" w:hAnsi="Times New Roman" w:cs="Times New Roman"/>
      <w:sz w:val="16"/>
    </w:rPr>
  </w:style>
  <w:style w:type="paragraph" w:styleId="FootnoteText">
    <w:name w:val="footnote text"/>
    <w:aliases w:val="Char Char Char,Char Char Char Char,Char Char Char Char Char,Footnote Text Char Char,Footnote Text Char Char Char Char Char Char,Footnote Text2,Footnote Text Char Char2,Footnote Text Char Char Char Char1,single space,footnote text,FOOTNOTES"/>
    <w:basedOn w:val="Normal"/>
    <w:link w:val="FootnoteTextChar"/>
    <w:qFormat/>
    <w:rsid w:val="00251AF7"/>
    <w:pPr>
      <w:keepLines/>
      <w:spacing w:after="60" w:line="240" w:lineRule="auto"/>
      <w:ind w:left="567" w:hanging="567"/>
    </w:pPr>
    <w:rPr>
      <w:sz w:val="16"/>
    </w:rPr>
  </w:style>
  <w:style w:type="paragraph" w:styleId="BalloonText">
    <w:name w:val="Balloon Text"/>
    <w:basedOn w:val="Normal"/>
    <w:link w:val="BalloonTextChar"/>
    <w:uiPriority w:val="99"/>
    <w:semiHidden/>
    <w:unhideWhenUsed/>
    <w:rsid w:val="00251AF7"/>
    <w:pPr>
      <w:spacing w:line="240" w:lineRule="auto"/>
    </w:pPr>
    <w:rPr>
      <w:rFonts w:ascii="Segoe UI" w:hAnsi="Segoe UI" w:cs="Segoe UI"/>
      <w:sz w:val="18"/>
      <w:szCs w:val="18"/>
    </w:rPr>
  </w:style>
  <w:style w:type="paragraph" w:styleId="ListParagraph">
    <w:name w:val="List Paragraph"/>
    <w:basedOn w:val="Normal"/>
    <w:uiPriority w:val="34"/>
    <w:qFormat/>
    <w:rsid w:val="00ED136D"/>
    <w:pPr>
      <w:spacing w:after="200" w:line="276" w:lineRule="auto"/>
      <w:ind w:left="720"/>
    </w:pPr>
    <w:rPr>
      <w:rFonts w:ascii="Calibri" w:eastAsia="Calibri" w:hAnsi="Calibri"/>
      <w:lang w:val="sr-Latn-CS"/>
    </w:rPr>
  </w:style>
  <w:style w:type="character" w:customStyle="1" w:styleId="BalloonTextChar">
    <w:name w:val="Balloon Text Char"/>
    <w:basedOn w:val="DefaultParagraphFont"/>
    <w:link w:val="BalloonText"/>
    <w:uiPriority w:val="99"/>
    <w:semiHidden/>
    <w:rsid w:val="00251AF7"/>
    <w:rPr>
      <w:rFonts w:ascii="Segoe UI" w:eastAsia="Times New Roman" w:hAnsi="Segoe UI" w:cs="Segoe UI"/>
      <w:sz w:val="18"/>
      <w:szCs w:val="18"/>
    </w:rPr>
  </w:style>
  <w:style w:type="character" w:styleId="FootnoteReference">
    <w:name w:val="footnote reference"/>
    <w:basedOn w:val="DefaultParagraphFont"/>
    <w:unhideWhenUsed/>
    <w:qFormat/>
    <w:rsid w:val="00251AF7"/>
    <w:rPr>
      <w:sz w:val="24"/>
      <w:vertAlign w:val="superscript"/>
    </w:rPr>
  </w:style>
  <w:style w:type="character" w:styleId="FollowedHyperlink">
    <w:name w:val="FollowedHyperlink"/>
    <w:basedOn w:val="DefaultParagraphFont"/>
    <w:uiPriority w:val="99"/>
    <w:semiHidden/>
    <w:unhideWhenUsed/>
    <w:rsid w:val="00250156"/>
    <w:rPr>
      <w:color w:val="954F72" w:themeColor="followedHyperlink"/>
      <w:u w:val="single"/>
    </w:rPr>
  </w:style>
  <w:style w:type="paragraph" w:styleId="Header">
    <w:name w:val="header"/>
    <w:basedOn w:val="Normal"/>
    <w:link w:val="HeaderChar"/>
    <w:qFormat/>
    <w:rsid w:val="00251AF7"/>
  </w:style>
  <w:style w:type="character" w:customStyle="1" w:styleId="HeaderChar">
    <w:name w:val="Header Char"/>
    <w:basedOn w:val="DefaultParagraphFont"/>
    <w:link w:val="Header"/>
    <w:rsid w:val="00B62D4D"/>
    <w:rPr>
      <w:rFonts w:ascii="Times New Roman" w:eastAsia="Times New Roman" w:hAnsi="Times New Roman" w:cs="Times New Roman"/>
    </w:rPr>
  </w:style>
  <w:style w:type="paragraph" w:styleId="Footer">
    <w:name w:val="footer"/>
    <w:basedOn w:val="Normal"/>
    <w:link w:val="FooterChar"/>
    <w:qFormat/>
    <w:rsid w:val="00251AF7"/>
  </w:style>
  <w:style w:type="character" w:customStyle="1" w:styleId="FooterChar">
    <w:name w:val="Footer Char"/>
    <w:basedOn w:val="DefaultParagraphFont"/>
    <w:link w:val="Footer"/>
    <w:rsid w:val="00B62D4D"/>
    <w:rPr>
      <w:rFonts w:ascii="Times New Roman" w:eastAsia="Times New Roman" w:hAnsi="Times New Roman" w:cs="Times New Roman"/>
      <w:lang w:val="en-GB"/>
    </w:rPr>
  </w:style>
  <w:style w:type="character" w:customStyle="1" w:styleId="Heading1Char">
    <w:name w:val="Heading 1 Char"/>
    <w:basedOn w:val="DefaultParagraphFont"/>
    <w:link w:val="Heading1"/>
    <w:rsid w:val="001F5F27"/>
    <w:rPr>
      <w:rFonts w:ascii="Times New Roman" w:eastAsia="Times New Roman" w:hAnsi="Times New Roman" w:cs="Times New Roman"/>
      <w:kern w:val="28"/>
    </w:rPr>
  </w:style>
  <w:style w:type="character" w:customStyle="1" w:styleId="Heading2Char">
    <w:name w:val="Heading 2 Char"/>
    <w:basedOn w:val="DefaultParagraphFont"/>
    <w:link w:val="Heading2"/>
    <w:rsid w:val="001F5F27"/>
    <w:rPr>
      <w:rFonts w:ascii="Times New Roman" w:eastAsia="Times New Roman" w:hAnsi="Times New Roman" w:cs="Times New Roman"/>
    </w:rPr>
  </w:style>
  <w:style w:type="character" w:customStyle="1" w:styleId="Heading3Char">
    <w:name w:val="Heading 3 Char"/>
    <w:basedOn w:val="DefaultParagraphFont"/>
    <w:link w:val="Heading3"/>
    <w:rsid w:val="001F5F27"/>
    <w:rPr>
      <w:rFonts w:ascii="Times New Roman" w:eastAsia="Times New Roman" w:hAnsi="Times New Roman" w:cs="Times New Roman"/>
    </w:rPr>
  </w:style>
  <w:style w:type="character" w:customStyle="1" w:styleId="Heading4Char">
    <w:name w:val="Heading 4 Char"/>
    <w:basedOn w:val="DefaultParagraphFont"/>
    <w:link w:val="Heading4"/>
    <w:rsid w:val="001F5F27"/>
    <w:rPr>
      <w:rFonts w:ascii="Times New Roman" w:eastAsia="Times New Roman" w:hAnsi="Times New Roman" w:cs="Times New Roman"/>
    </w:rPr>
  </w:style>
  <w:style w:type="character" w:customStyle="1" w:styleId="Heading5Char">
    <w:name w:val="Heading 5 Char"/>
    <w:basedOn w:val="DefaultParagraphFont"/>
    <w:link w:val="Heading5"/>
    <w:rsid w:val="001F5F27"/>
    <w:rPr>
      <w:rFonts w:ascii="Times New Roman" w:eastAsia="Times New Roman" w:hAnsi="Times New Roman" w:cs="Times New Roman"/>
    </w:rPr>
  </w:style>
  <w:style w:type="character" w:customStyle="1" w:styleId="Heading6Char">
    <w:name w:val="Heading 6 Char"/>
    <w:basedOn w:val="DefaultParagraphFont"/>
    <w:link w:val="Heading6"/>
    <w:rsid w:val="001F5F27"/>
    <w:rPr>
      <w:rFonts w:ascii="Times New Roman" w:eastAsia="Times New Roman" w:hAnsi="Times New Roman" w:cs="Times New Roman"/>
    </w:rPr>
  </w:style>
  <w:style w:type="character" w:customStyle="1" w:styleId="Heading7Char">
    <w:name w:val="Heading 7 Char"/>
    <w:basedOn w:val="DefaultParagraphFont"/>
    <w:link w:val="Heading7"/>
    <w:rsid w:val="001F5F27"/>
    <w:rPr>
      <w:rFonts w:ascii="Times New Roman" w:eastAsia="Times New Roman" w:hAnsi="Times New Roman" w:cs="Times New Roman"/>
    </w:rPr>
  </w:style>
  <w:style w:type="character" w:customStyle="1" w:styleId="Heading8Char">
    <w:name w:val="Heading 8 Char"/>
    <w:basedOn w:val="DefaultParagraphFont"/>
    <w:link w:val="Heading8"/>
    <w:rsid w:val="001F5F27"/>
    <w:rPr>
      <w:rFonts w:ascii="Times New Roman" w:eastAsia="Times New Roman" w:hAnsi="Times New Roman" w:cs="Times New Roman"/>
    </w:rPr>
  </w:style>
  <w:style w:type="character" w:customStyle="1" w:styleId="Heading9Char">
    <w:name w:val="Heading 9 Char"/>
    <w:basedOn w:val="DefaultParagraphFont"/>
    <w:link w:val="Heading9"/>
    <w:rsid w:val="001F5F27"/>
    <w:rPr>
      <w:rFonts w:ascii="Times New Roman" w:eastAsia="Times New Roman" w:hAnsi="Times New Roman" w:cs="Times New Roman"/>
    </w:rPr>
  </w:style>
  <w:style w:type="paragraph" w:customStyle="1" w:styleId="quotes">
    <w:name w:val="quotes"/>
    <w:basedOn w:val="Normal"/>
    <w:next w:val="Normal"/>
    <w:rsid w:val="00251AF7"/>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324828">
      <w:bodyDiv w:val="1"/>
      <w:marLeft w:val="0"/>
      <w:marRight w:val="0"/>
      <w:marTop w:val="0"/>
      <w:marBottom w:val="0"/>
      <w:divBdr>
        <w:top w:val="none" w:sz="0" w:space="0" w:color="auto"/>
        <w:left w:val="none" w:sz="0" w:space="0" w:color="auto"/>
        <w:bottom w:val="none" w:sz="0" w:space="0" w:color="auto"/>
        <w:right w:val="none" w:sz="0" w:space="0" w:color="auto"/>
      </w:divBdr>
    </w:div>
    <w:div w:id="189696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social/main.jsp?catId=738&amp;langId=en&amp;pubId=7918&amp;furtherPubs=y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CTJJHAUHWN5E-2028081414-947</_dlc_DocId>
    <_dlc_DocIdUrl xmlns="bfc960a6-20da-4c94-8684-71380fca093b">
      <Url>http://dm2016/eesc/2019/_layouts/15/DocIdRedir.aspx?ID=CTJJHAUHWN5E-2028081414-947</Url>
      <Description>CTJJHAUHWN5E-2028081414-947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2019-10-02T12:00:00+00:00</ProductionDate>
    <FicheYear xmlns="bfc960a6-20da-4c94-8684-71380fca093b">2019</FicheYear>
    <DocumentNumber xmlns="e7079bb7-b7bf-4242-8479-9b6b0b289b96">4320</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2019-10-10T12:00:00+00:00</MeetingDate>
    <TaxCatchAll xmlns="bfc960a6-20da-4c94-8684-71380fca093b">
      <Value>80</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9701</FicheNumber>
    <DocumentPart xmlns="bfc960a6-20da-4c94-8684-71380fca093b">1</DocumentPart>
    <AdoptionDate xmlns="bfc960a6-20da-4c94-8684-71380fca093b" xsi:nil="true"/>
    <RequestingService xmlns="bfc960a6-20da-4c94-8684-71380fca093b">Relations extérieures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CCMS</TermName>
          <TermId xmlns="http://schemas.microsoft.com/office/infopath/2007/PartnerControls">bf7aaf4c-29dd-4754-94a0-e64c523f4795</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e7079bb7-b7bf-4242-8479-9b6b0b289b96" xsi:nil="true"/>
    <DossierName_0 xmlns="http://schemas.microsoft.com/sharepoint/v3/fields">
      <Terms xmlns="http://schemas.microsoft.com/office/infopath/2007/PartnerControls"/>
    </DossierName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AD7F41433A6CF64590E6DEF3B77EF5BC" ma:contentTypeVersion="4" ma:contentTypeDescription="Defines the documents for Document Manager V2" ma:contentTypeScope="" ma:versionID="57767cad13f405e320dfa48c1a1b278a">
  <xsd:schema xmlns:xsd="http://www.w3.org/2001/XMLSchema" xmlns:xs="http://www.w3.org/2001/XMLSchema" xmlns:p="http://schemas.microsoft.com/office/2006/metadata/properties" xmlns:ns2="bfc960a6-20da-4c94-8684-71380fca093b" xmlns:ns3="http://schemas.microsoft.com/sharepoint/v3/fields" xmlns:ns4="e7079bb7-b7bf-4242-8479-9b6b0b289b96" targetNamespace="http://schemas.microsoft.com/office/2006/metadata/properties" ma:root="true" ma:fieldsID="2b990c73e79d9e86df42c8b52008ac21" ns2:_="" ns3:_="" ns4:_="">
    <xsd:import namespace="bfc960a6-20da-4c94-8684-71380fca093b"/>
    <xsd:import namespace="http://schemas.microsoft.com/sharepoint/v3/fields"/>
    <xsd:import namespace="e7079bb7-b7bf-4242-8479-9b6b0b289b9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079bb7-b7bf-4242-8479-9b6b0b289b9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5D68F-CB93-4F51-B35E-DF1C5114ED18}">
  <ds:schemaRefs>
    <ds:schemaRef ds:uri="http://schemas.microsoft.com/sharepoint/v3/contenttype/forms"/>
  </ds:schemaRefs>
</ds:datastoreItem>
</file>

<file path=customXml/itemProps2.xml><?xml version="1.0" encoding="utf-8"?>
<ds:datastoreItem xmlns:ds="http://schemas.openxmlformats.org/officeDocument/2006/customXml" ds:itemID="{9F162F28-1FF2-4B6A-952F-6181E5151153}">
  <ds:schemaRefs>
    <ds:schemaRef ds:uri="http://schemas.openxmlformats.org/package/2006/metadata/core-properties"/>
    <ds:schemaRef ds:uri="http://purl.org/dc/terms/"/>
    <ds:schemaRef ds:uri="bfc960a6-20da-4c94-8684-71380fca093b"/>
    <ds:schemaRef ds:uri="http://schemas.microsoft.com/office/2006/documentManagement/types"/>
    <ds:schemaRef ds:uri="http://purl.org/dc/elements/1.1/"/>
    <ds:schemaRef ds:uri="http://schemas.microsoft.com/office/2006/metadata/properties"/>
    <ds:schemaRef ds:uri="e7079bb7-b7bf-4242-8479-9b6b0b289b96"/>
    <ds:schemaRef ds:uri="http://schemas.microsoft.com/sharepoint/v3/field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8369B33-757E-42B9-A786-C4F2F0F76B76}">
  <ds:schemaRefs>
    <ds:schemaRef ds:uri="http://schemas.microsoft.com/sharepoint/events"/>
  </ds:schemaRefs>
</ds:datastoreItem>
</file>

<file path=customXml/itemProps4.xml><?xml version="1.0" encoding="utf-8"?>
<ds:datastoreItem xmlns:ds="http://schemas.openxmlformats.org/officeDocument/2006/customXml" ds:itemID="{7C119406-9A6E-481A-84CF-E1C2B9DB3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e7079bb7-b7bf-4242-8479-9b6b0b289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2603</Words>
  <Characters>14839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9th Meeting of the EU Serbia JCC - report by Zoran Stojiljković</vt:lpstr>
    </vt:vector>
  </TitlesOfParts>
  <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Meeting of the EU Serbia JCC - report by Zoran Stojiljković</dc:title>
  <dc:subject>Consultative work, various</dc:subject>
  <dc:creator>Snežana Radiša</dc:creator>
  <cp:keywords>EESC-2019-04320-01-00-TCD-TRA-EN</cp:keywords>
  <dc:description>Rapporteur: -  Original language: - EN Date of document: - 02/10/2019 Date of meeting: - 10/10/2019 External documents: -  Administrator responsible: - M. Hoic David</dc:description>
  <cp:lastModifiedBy>Nadja Kacicnik</cp:lastModifiedBy>
  <cp:revision>2</cp:revision>
  <dcterms:created xsi:type="dcterms:W3CDTF">2019-10-17T08:27:00Z</dcterms:created>
  <dcterms:modified xsi:type="dcterms:W3CDTF">2019-10-17T08:27:00Z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02/10/2019</vt:lpwstr>
  </property>
  <property fmtid="{D5CDD505-2E9C-101B-9397-08002B2CF9AE}" pid="4" name="Pref_Time">
    <vt:lpwstr>14:36:42</vt:lpwstr>
  </property>
  <property fmtid="{D5CDD505-2E9C-101B-9397-08002B2CF9AE}" pid="5" name="Pref_User">
    <vt:lpwstr>LAchi</vt:lpwstr>
  </property>
  <property fmtid="{D5CDD505-2E9C-101B-9397-08002B2CF9AE}" pid="6" name="Pref_FileName">
    <vt:lpwstr>EESC-2019-04320-01-00-TCD-ORI.docx</vt:lpwstr>
  </property>
  <property fmtid="{D5CDD505-2E9C-101B-9397-08002B2CF9AE}" pid="7" name="ContentTypeId">
    <vt:lpwstr>0x010100EA97B91038054C99906057A708A1480A00AD7F41433A6CF64590E6DEF3B77EF5BC</vt:lpwstr>
  </property>
  <property fmtid="{D5CDD505-2E9C-101B-9397-08002B2CF9AE}" pid="8" name="_dlc_DocIdItemGuid">
    <vt:lpwstr>8dabaf97-6f58-46fc-8cc8-583920248e2f</vt:lpwstr>
  </property>
  <property fmtid="{D5CDD505-2E9C-101B-9397-08002B2CF9AE}" pid="9" name="AvailableTranslations">
    <vt:lpwstr>4;#EN|f2175f21-25d7-44a3-96da-d6a61b075e1b;#10;#FR|d2afafd3-4c81-4f60-8f52-ee33f2f54ff3</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4320</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1</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8;#TCD|cd9d6eb6-3f4f-424a-b2d1-57c9d450eaaf</vt:lpwstr>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MeetingName_0">
    <vt:lpwstr>CCMS|bf7aaf4c-29dd-4754-94a0-e64c523f4795</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80;#CCMS|bf7aaf4c-29dd-4754-94a0-e64c523f4795</vt:lpwstr>
  </property>
  <property fmtid="{D5CDD505-2E9C-101B-9397-08002B2CF9AE}" pid="27" name="MeetingDate">
    <vt:filetime>2019-10-10T12:00:00Z</vt:filetime>
  </property>
  <property fmtid="{D5CDD505-2E9C-101B-9397-08002B2CF9AE}" pid="28" name="AvailableTranslations_0">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80;#CCMS|bf7aaf4c-29dd-4754-94a0-e64c523f4795;#8;#TCD|cd9d6eb6-3f4f-424a-b2d1-57c9d450eaaf;#7;#Final|ea5e6674-7b27-4bac-b091-73adbb394efe;#5;#Unrestricted|826e22d7-d029-4ec0-a450-0c28ff673572;#4;#EN|f2175f21-25d7-44a3-96da-d6a61b075e1b;#2;#TRA|150d2a88-14</vt:lpwstr>
  </property>
  <property fmtid="{D5CDD505-2E9C-101B-9397-08002B2CF9AE}" pid="32" name="VersionStatus_0">
    <vt:lpwstr>Final|ea5e6674-7b27-4bac-b091-73adbb394efe</vt:lpwstr>
  </property>
  <property fmtid="{D5CDD505-2E9C-101B-9397-08002B2CF9AE}" pid="33" name="VersionStatus">
    <vt:lpwstr>7;#Final|ea5e6674-7b27-4bac-b091-73adbb394efe</vt:lpwstr>
  </property>
  <property fmtid="{D5CDD505-2E9C-101B-9397-08002B2CF9AE}" pid="34" name="DocumentYear">
    <vt:i4>2019</vt:i4>
  </property>
  <property fmtid="{D5CDD505-2E9C-101B-9397-08002B2CF9AE}" pid="35" name="FicheNumber">
    <vt:i4>9701</vt:i4>
  </property>
  <property fmtid="{D5CDD505-2E9C-101B-9397-08002B2CF9AE}" pid="36" name="DocumentLanguage">
    <vt:lpwstr>4;#EN|f2175f21-25d7-44a3-96da-d6a61b075e1b</vt:lpwstr>
  </property>
  <property fmtid="{D5CDD505-2E9C-101B-9397-08002B2CF9AE}" pid="37" name="_docset_NoMedatataSyncRequired">
    <vt:lpwstr>False</vt:lpwstr>
  </property>
</Properties>
</file>