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D4328" w14:textId="77777777" w:rsidR="008405A0" w:rsidRPr="00F93161" w:rsidRDefault="006A08D5" w:rsidP="001F50B6">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13AEF190" wp14:editId="3975D131">
            <wp:extent cx="876300" cy="545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545792"/>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77E72142" wp14:editId="78F3E6B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C894" w14:textId="77777777" w:rsidR="00E96E8F" w:rsidRPr="00260E65" w:rsidRDefault="00E96E8F">
                            <w:pPr>
                              <w:jc w:val="center"/>
                              <w:rPr>
                                <w:rFonts w:ascii="Arial" w:hAnsi="Arial" w:cs="Arial"/>
                                <w:b/>
                                <w:bCs/>
                                <w:sz w:val="48"/>
                              </w:rPr>
                            </w:pPr>
                            <w:r>
                              <w:rPr>
                                <w:rFonts w:ascii="Arial" w:hAnsi="Arial"/>
                                <w:b/>
                                <w:bCs/>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2142"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7BBC894" w14:textId="77777777" w:rsidR="00E96E8F" w:rsidRPr="00260E65" w:rsidRDefault="00E96E8F">
                      <w:pPr>
                        <w:jc w:val="center"/>
                        <w:rPr>
                          <w:rFonts w:ascii="Arial" w:hAnsi="Arial" w:cs="Arial"/>
                          <w:b/>
                          <w:bCs/>
                          <w:sz w:val="48"/>
                        </w:rPr>
                      </w:pPr>
                      <w:r>
                        <w:rPr>
                          <w:rFonts w:ascii="Arial" w:hAnsi="Arial"/>
                          <w:b/>
                          <w:bCs/>
                          <w:sz w:val="48"/>
                        </w:rPr>
                        <w:t>LV</w:t>
                      </w:r>
                    </w:p>
                  </w:txbxContent>
                </v:textbox>
                <w10:wrap anchorx="page" anchory="page"/>
              </v:shape>
            </w:pict>
          </mc:Fallback>
        </mc:AlternateContent>
      </w:r>
    </w:p>
    <w:p w14:paraId="2316044A" w14:textId="77777777" w:rsidR="008405A0" w:rsidRPr="00F93161" w:rsidRDefault="00876D7B" w:rsidP="001F50B6">
      <w:pPr>
        <w:snapToGrid w:val="0"/>
        <w:jc w:val="center"/>
        <w:rPr>
          <w:rFonts w:ascii="Arial" w:eastAsia="MS Mincho" w:hAnsi="Arial" w:cs="Arial"/>
          <w:b/>
          <w:i/>
          <w:sz w:val="20"/>
        </w:rPr>
      </w:pPr>
      <w:r>
        <w:rPr>
          <w:rFonts w:ascii="Arial" w:hAnsi="Arial"/>
          <w:b/>
          <w:i/>
          <w:sz w:val="20"/>
        </w:rPr>
        <w:t>Eiropas Ekonomikas un sociālo lietu komiteja</w:t>
      </w:r>
    </w:p>
    <w:p w14:paraId="1EAF4B8C" w14:textId="77777777" w:rsidR="008405A0" w:rsidRPr="00D85439" w:rsidRDefault="008405A0" w:rsidP="001F50B6">
      <w:pPr>
        <w:snapToGrid w:val="0"/>
        <w:rPr>
          <w:lang w:val="en-GB"/>
        </w:rPr>
      </w:pPr>
    </w:p>
    <w:p w14:paraId="45F20A55" w14:textId="77777777" w:rsidR="008405A0" w:rsidRPr="00D85439" w:rsidRDefault="008405A0" w:rsidP="001F50B6">
      <w:pPr>
        <w:snapToGrid w:val="0"/>
        <w:rPr>
          <w:lang w:val="en-GB"/>
        </w:rPr>
      </w:pPr>
    </w:p>
    <w:p w14:paraId="71833BDD" w14:textId="77777777" w:rsidR="008405A0" w:rsidRPr="00D85439" w:rsidRDefault="00FC0B2C" w:rsidP="001F50B6">
      <w:pPr>
        <w:snapToGrid w:val="0"/>
        <w:jc w:val="right"/>
        <w:rPr>
          <w:rFonts w:eastAsia="MS Mincho"/>
        </w:rPr>
      </w:pPr>
      <w:r>
        <w:t>Briselē, 2019. gada 4. novembrī</w:t>
      </w:r>
    </w:p>
    <w:p w14:paraId="529C7715" w14:textId="77777777" w:rsidR="008405A0" w:rsidRPr="00D85439" w:rsidRDefault="008405A0" w:rsidP="001F50B6">
      <w:pPr>
        <w:snapToGrid w:val="0"/>
        <w:rPr>
          <w:lang w:val="en-GB"/>
        </w:rPr>
      </w:pPr>
    </w:p>
    <w:p w14:paraId="57914CC0" w14:textId="77777777" w:rsidR="008405A0" w:rsidRPr="00D85439" w:rsidRDefault="008405A0" w:rsidP="001F50B6">
      <w:pPr>
        <w:snapToGrid w:val="0"/>
        <w:rPr>
          <w:lang w:val="en-GB"/>
        </w:rPr>
      </w:pPr>
    </w:p>
    <w:p w14:paraId="7C3A3FB5" w14:textId="77777777" w:rsidR="00AF6F3E" w:rsidRPr="00D85439" w:rsidRDefault="00AF6F3E" w:rsidP="001F50B6">
      <w:pPr>
        <w:snapToGrid w:val="0"/>
        <w:rPr>
          <w:lang w:val="en-GB"/>
        </w:rPr>
      </w:pPr>
    </w:p>
    <w:p w14:paraId="61AAFA6A" w14:textId="77777777" w:rsidR="006819C8" w:rsidRPr="00D85439"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8405A0" w:rsidRPr="00D85439" w14:paraId="0BEEB3DC" w14:textId="77777777" w:rsidTr="00A72D7A">
        <w:tc>
          <w:tcPr>
            <w:tcW w:w="9289" w:type="dxa"/>
            <w:tcBorders>
              <w:top w:val="nil"/>
              <w:left w:val="nil"/>
              <w:bottom w:val="double" w:sz="4" w:space="0" w:color="auto"/>
              <w:right w:val="nil"/>
            </w:tcBorders>
          </w:tcPr>
          <w:p w14:paraId="7755917E" w14:textId="77777777" w:rsidR="008405A0" w:rsidRPr="00D85439" w:rsidRDefault="00B83060" w:rsidP="001F50B6">
            <w:pPr>
              <w:snapToGrid w:val="0"/>
              <w:jc w:val="center"/>
              <w:rPr>
                <w:rFonts w:eastAsia="MS Mincho"/>
                <w:b/>
                <w:sz w:val="32"/>
              </w:rPr>
            </w:pPr>
            <w:r>
              <w:rPr>
                <w:b/>
                <w:sz w:val="32"/>
              </w:rPr>
              <w:t>PLENĀRSESIJĀ</w:t>
            </w:r>
            <w:r>
              <w:rPr>
                <w:b/>
                <w:sz w:val="32"/>
              </w:rPr>
              <w:br/>
            </w:r>
            <w:r>
              <w:rPr>
                <w:b/>
                <w:sz w:val="32"/>
              </w:rPr>
              <w:br/>
              <w:t>2019. GADA 30. UN 31. OKTOBRĪ</w:t>
            </w:r>
            <w:r>
              <w:rPr>
                <w:b/>
                <w:sz w:val="32"/>
              </w:rPr>
              <w:br/>
            </w:r>
            <w:r>
              <w:rPr>
                <w:b/>
                <w:sz w:val="32"/>
              </w:rPr>
              <w:br/>
              <w:t>PIEŅEMTO ATZINUMU KOPSAVILKUMS</w:t>
            </w:r>
          </w:p>
          <w:p w14:paraId="28BB7893" w14:textId="77777777" w:rsidR="008405A0" w:rsidRPr="00D85439" w:rsidRDefault="008405A0" w:rsidP="001F50B6">
            <w:pPr>
              <w:rPr>
                <w:lang w:val="en-GB"/>
              </w:rPr>
            </w:pPr>
          </w:p>
          <w:p w14:paraId="3B0D6529" w14:textId="77777777" w:rsidR="008405A0" w:rsidRPr="00D85439" w:rsidRDefault="008405A0" w:rsidP="001F50B6">
            <w:pPr>
              <w:rPr>
                <w:lang w:val="en-GB"/>
              </w:rPr>
            </w:pPr>
          </w:p>
        </w:tc>
      </w:tr>
      <w:tr w:rsidR="008405A0" w:rsidRPr="00D85439" w14:paraId="115E85D9" w14:textId="77777777" w:rsidTr="00A72D7A">
        <w:tc>
          <w:tcPr>
            <w:tcW w:w="9289" w:type="dxa"/>
            <w:tcBorders>
              <w:top w:val="double" w:sz="4" w:space="0" w:color="auto"/>
              <w:left w:val="double" w:sz="4" w:space="0" w:color="auto"/>
              <w:bottom w:val="double" w:sz="4" w:space="0" w:color="auto"/>
              <w:right w:val="double" w:sz="4" w:space="0" w:color="auto"/>
            </w:tcBorders>
          </w:tcPr>
          <w:p w14:paraId="5F76A9DB" w14:textId="77777777" w:rsidR="00FF15DA" w:rsidRPr="00D85439" w:rsidRDefault="00FF15DA" w:rsidP="001F50B6">
            <w:pPr>
              <w:snapToGrid w:val="0"/>
              <w:jc w:val="center"/>
              <w:rPr>
                <w:b/>
                <w:lang w:val="en-GB"/>
              </w:rPr>
            </w:pPr>
          </w:p>
          <w:p w14:paraId="665F1378" w14:textId="77777777" w:rsidR="00FC0B2C" w:rsidRPr="00D85439" w:rsidRDefault="00FC0B2C" w:rsidP="001F50B6">
            <w:pPr>
              <w:snapToGrid w:val="0"/>
              <w:jc w:val="center"/>
              <w:rPr>
                <w:rFonts w:eastAsia="MS Mincho"/>
                <w:b/>
              </w:rPr>
            </w:pPr>
            <w:r>
              <w:rPr>
                <w:b/>
              </w:rPr>
              <w:t>Šis dokuments oficiālajās valodās ir pieejams EESK tīmekļa vietnē:</w:t>
            </w:r>
          </w:p>
          <w:p w14:paraId="687AC56C" w14:textId="77777777" w:rsidR="00FC0B2C" w:rsidRPr="00D85439" w:rsidRDefault="00FC0B2C" w:rsidP="001F50B6">
            <w:pPr>
              <w:snapToGrid w:val="0"/>
              <w:jc w:val="center"/>
              <w:rPr>
                <w:b/>
                <w:lang w:val="en-GB"/>
              </w:rPr>
            </w:pPr>
          </w:p>
          <w:p w14:paraId="48F4B07A" w14:textId="77777777" w:rsidR="00FC0B2C" w:rsidRPr="00D85439" w:rsidRDefault="00A10EB9" w:rsidP="001F50B6">
            <w:pPr>
              <w:jc w:val="center"/>
              <w:rPr>
                <w:rStyle w:val="Hyperlink"/>
                <w:b/>
              </w:rPr>
            </w:pPr>
            <w:hyperlink r:id="rId13" w:history="1">
              <w:r>
                <w:rPr>
                  <w:rStyle w:val="Hyperlink"/>
                </w:rPr>
                <w:t>https://www.eesc.europa.eu/en/our-work/opinions-information-reports/plenary-se</w:t>
              </w:r>
              <w:r>
                <w:rPr>
                  <w:rStyle w:val="Hyperlink"/>
                </w:rPr>
                <w:t>ssion-summaries</w:t>
              </w:r>
            </w:hyperlink>
          </w:p>
          <w:p w14:paraId="6E2315E7" w14:textId="77777777" w:rsidR="00FC0B2C" w:rsidRPr="00D85439" w:rsidRDefault="00FC0B2C" w:rsidP="001F50B6">
            <w:pPr>
              <w:snapToGrid w:val="0"/>
              <w:jc w:val="center"/>
              <w:rPr>
                <w:b/>
                <w:lang w:val="en-GB"/>
              </w:rPr>
            </w:pPr>
          </w:p>
          <w:p w14:paraId="530C3A19" w14:textId="77777777" w:rsidR="00FC0B2C" w:rsidRPr="00D85439" w:rsidRDefault="00FC0B2C" w:rsidP="001F50B6">
            <w:pPr>
              <w:snapToGrid w:val="0"/>
              <w:jc w:val="center"/>
              <w:rPr>
                <w:rFonts w:eastAsia="SimSun"/>
                <w:b/>
                <w:lang w:val="en-GB"/>
              </w:rPr>
            </w:pPr>
          </w:p>
          <w:p w14:paraId="171DC29A" w14:textId="77777777" w:rsidR="00FC0B2C" w:rsidRPr="00D85439" w:rsidRDefault="00FC0B2C" w:rsidP="001F50B6">
            <w:pPr>
              <w:snapToGrid w:val="0"/>
              <w:jc w:val="center"/>
              <w:rPr>
                <w:rFonts w:eastAsia="MS Mincho"/>
                <w:b/>
              </w:rPr>
            </w:pPr>
            <w:r>
              <w:rPr>
                <w:b/>
              </w:rPr>
              <w:t>Ar atzinumiem var iepazīties tiešsaistē, izmantojot EESK meklētājprogrammu:</w:t>
            </w:r>
          </w:p>
          <w:p w14:paraId="6BBF4889" w14:textId="77777777" w:rsidR="00FC0B2C" w:rsidRPr="00D85439" w:rsidRDefault="00FC0B2C" w:rsidP="001F50B6">
            <w:pPr>
              <w:snapToGrid w:val="0"/>
              <w:jc w:val="center"/>
              <w:rPr>
                <w:b/>
                <w:lang w:val="en-GB"/>
              </w:rPr>
            </w:pPr>
          </w:p>
          <w:p w14:paraId="244EB19F" w14:textId="77777777" w:rsidR="00FC0B2C" w:rsidRPr="00D85439" w:rsidRDefault="00A10EB9" w:rsidP="001F50B6">
            <w:pPr>
              <w:jc w:val="center"/>
              <w:rPr>
                <w:rStyle w:val="Hyperlink"/>
                <w:b/>
              </w:rPr>
            </w:pPr>
            <w:hyperlink r:id="rId14" w:history="1">
              <w:r>
                <w:rPr>
                  <w:rStyle w:val="Hyperlink"/>
                </w:rPr>
                <w:t>https://dmsearch.eesc.europa.eu/search/opinion</w:t>
              </w:r>
            </w:hyperlink>
          </w:p>
          <w:p w14:paraId="7A00F25B" w14:textId="77777777" w:rsidR="008405A0" w:rsidRPr="00D85439" w:rsidRDefault="008405A0" w:rsidP="001F50B6">
            <w:pPr>
              <w:snapToGrid w:val="0"/>
              <w:jc w:val="center"/>
              <w:rPr>
                <w:b/>
                <w:bCs/>
                <w:lang w:val="en-GB"/>
              </w:rPr>
            </w:pPr>
          </w:p>
        </w:tc>
      </w:tr>
    </w:tbl>
    <w:p w14:paraId="724181D0" w14:textId="77777777" w:rsidR="008F7791" w:rsidRPr="00D85439" w:rsidRDefault="008F7791" w:rsidP="001F50B6">
      <w:pPr>
        <w:rPr>
          <w:rFonts w:eastAsia="SimSun"/>
          <w:lang w:val="en-GB"/>
        </w:rPr>
      </w:pPr>
    </w:p>
    <w:p w14:paraId="561DFA4D" w14:textId="77777777" w:rsidR="00A9340A" w:rsidRPr="00D85439" w:rsidRDefault="00A9340A" w:rsidP="001F50B6">
      <w:pPr>
        <w:rPr>
          <w:rFonts w:eastAsia="SimSun"/>
          <w:lang w:val="en-GB"/>
        </w:rPr>
        <w:sectPr w:rsidR="00A9340A" w:rsidRPr="00D85439" w:rsidSect="00613C9F">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14:paraId="571851FC" w14:textId="77777777" w:rsidR="008405A0" w:rsidRPr="00D85439" w:rsidRDefault="00876D7B" w:rsidP="001F50B6">
      <w:pPr>
        <w:snapToGrid w:val="0"/>
        <w:rPr>
          <w:b/>
        </w:rPr>
      </w:pPr>
      <w:r>
        <w:rPr>
          <w:b/>
        </w:rPr>
        <w:lastRenderedPageBreak/>
        <w:t>Kopsavilkums:</w:t>
      </w:r>
    </w:p>
    <w:p w14:paraId="5B0E0D9B" w14:textId="77777777" w:rsidR="00D16D76" w:rsidRPr="00D85439" w:rsidRDefault="00D16D76" w:rsidP="001F50B6">
      <w:pPr>
        <w:rPr>
          <w:lang w:val="en-GB"/>
        </w:rPr>
      </w:pPr>
    </w:p>
    <w:p w14:paraId="002C5F8C" w14:textId="71CA23AB" w:rsidR="00215328"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25663322" w:history="1">
        <w:r w:rsidR="00215328" w:rsidRPr="002E59E0">
          <w:rPr>
            <w:rStyle w:val="Hyperlink"/>
            <w:b/>
            <w:noProof/>
          </w:rPr>
          <w:t>1.</w:t>
        </w:r>
        <w:r w:rsidR="00215328">
          <w:rPr>
            <w:rFonts w:asciiTheme="minorHAnsi" w:eastAsiaTheme="minorEastAsia" w:hAnsiTheme="minorHAnsi" w:cstheme="minorBidi"/>
            <w:noProof/>
            <w:lang w:val="en-GB" w:eastAsia="en-GB"/>
          </w:rPr>
          <w:tab/>
        </w:r>
        <w:r w:rsidR="00215328" w:rsidRPr="002E59E0">
          <w:rPr>
            <w:rStyle w:val="Hyperlink"/>
            <w:b/>
            <w:noProof/>
          </w:rPr>
          <w:t>VIENOTAIS TIRGUS, RAŽOŠANA UN PATĒRIŅŠ</w:t>
        </w:r>
        <w:r w:rsidR="00215328">
          <w:rPr>
            <w:noProof/>
            <w:webHidden/>
          </w:rPr>
          <w:tab/>
        </w:r>
        <w:r w:rsidR="00215328">
          <w:rPr>
            <w:noProof/>
            <w:webHidden/>
          </w:rPr>
          <w:fldChar w:fldCharType="begin"/>
        </w:r>
        <w:r w:rsidR="00215328">
          <w:rPr>
            <w:noProof/>
            <w:webHidden/>
          </w:rPr>
          <w:instrText xml:space="preserve"> PAGEREF _Toc25663322 \h </w:instrText>
        </w:r>
        <w:r w:rsidR="00215328">
          <w:rPr>
            <w:noProof/>
            <w:webHidden/>
          </w:rPr>
        </w:r>
        <w:r w:rsidR="00215328">
          <w:rPr>
            <w:noProof/>
            <w:webHidden/>
          </w:rPr>
          <w:fldChar w:fldCharType="separate"/>
        </w:r>
        <w:r w:rsidR="00215328">
          <w:rPr>
            <w:noProof/>
            <w:webHidden/>
          </w:rPr>
          <w:t>3</w:t>
        </w:r>
        <w:r w:rsidR="00215328">
          <w:rPr>
            <w:noProof/>
            <w:webHidden/>
          </w:rPr>
          <w:fldChar w:fldCharType="end"/>
        </w:r>
      </w:hyperlink>
    </w:p>
    <w:p w14:paraId="415A36A8" w14:textId="519003C7" w:rsidR="00215328" w:rsidRDefault="00215328">
      <w:pPr>
        <w:pStyle w:val="TOC1"/>
        <w:rPr>
          <w:rFonts w:asciiTheme="minorHAnsi" w:eastAsiaTheme="minorEastAsia" w:hAnsiTheme="minorHAnsi" w:cstheme="minorBidi"/>
          <w:noProof/>
          <w:lang w:val="en-GB" w:eastAsia="en-GB"/>
        </w:rPr>
      </w:pPr>
      <w:hyperlink w:anchor="_Toc25663323" w:history="1">
        <w:r w:rsidRPr="002E59E0">
          <w:rPr>
            <w:rStyle w:val="Hyperlink"/>
            <w:b/>
            <w:noProof/>
          </w:rPr>
          <w:t>2.</w:t>
        </w:r>
        <w:r>
          <w:rPr>
            <w:rFonts w:asciiTheme="minorHAnsi" w:eastAsiaTheme="minorEastAsia" w:hAnsiTheme="minorHAnsi" w:cstheme="minorBidi"/>
            <w:noProof/>
            <w:lang w:val="en-GB" w:eastAsia="en-GB"/>
          </w:rPr>
          <w:tab/>
        </w:r>
        <w:r w:rsidRPr="002E59E0">
          <w:rPr>
            <w:rStyle w:val="Hyperlink"/>
            <w:b/>
            <w:noProof/>
          </w:rPr>
          <w:t>EKONOMISKĀ UN M</w:t>
        </w:r>
        <w:r w:rsidRPr="002E59E0">
          <w:rPr>
            <w:rStyle w:val="Hyperlink"/>
            <w:b/>
            <w:noProof/>
          </w:rPr>
          <w:t>O</w:t>
        </w:r>
        <w:r w:rsidRPr="002E59E0">
          <w:rPr>
            <w:rStyle w:val="Hyperlink"/>
            <w:b/>
            <w:noProof/>
          </w:rPr>
          <w:t>NETĀRĀ SAVIENĪBA, EKONOMISKĀ UN SOCIĀLĀ KOHĒZIJA</w:t>
        </w:r>
        <w:r>
          <w:rPr>
            <w:noProof/>
            <w:webHidden/>
          </w:rPr>
          <w:tab/>
        </w:r>
        <w:r>
          <w:rPr>
            <w:noProof/>
            <w:webHidden/>
          </w:rPr>
          <w:fldChar w:fldCharType="begin"/>
        </w:r>
        <w:r>
          <w:rPr>
            <w:noProof/>
            <w:webHidden/>
          </w:rPr>
          <w:instrText xml:space="preserve"> PAGEREF _Toc25663323 \h </w:instrText>
        </w:r>
        <w:r>
          <w:rPr>
            <w:noProof/>
            <w:webHidden/>
          </w:rPr>
        </w:r>
        <w:r>
          <w:rPr>
            <w:noProof/>
            <w:webHidden/>
          </w:rPr>
          <w:fldChar w:fldCharType="separate"/>
        </w:r>
        <w:r>
          <w:rPr>
            <w:noProof/>
            <w:webHidden/>
          </w:rPr>
          <w:t>6</w:t>
        </w:r>
        <w:r>
          <w:rPr>
            <w:noProof/>
            <w:webHidden/>
          </w:rPr>
          <w:fldChar w:fldCharType="end"/>
        </w:r>
      </w:hyperlink>
    </w:p>
    <w:p w14:paraId="3CEF98BC" w14:textId="27E05DB2" w:rsidR="00215328" w:rsidRDefault="00215328">
      <w:pPr>
        <w:pStyle w:val="TOC1"/>
        <w:rPr>
          <w:rFonts w:asciiTheme="minorHAnsi" w:eastAsiaTheme="minorEastAsia" w:hAnsiTheme="minorHAnsi" w:cstheme="minorBidi"/>
          <w:noProof/>
          <w:lang w:val="en-GB" w:eastAsia="en-GB"/>
        </w:rPr>
      </w:pPr>
      <w:hyperlink w:anchor="_Toc25663324" w:history="1">
        <w:r w:rsidRPr="002E59E0">
          <w:rPr>
            <w:rStyle w:val="Hyperlink"/>
            <w:b/>
            <w:noProof/>
          </w:rPr>
          <w:t>3.</w:t>
        </w:r>
        <w:r>
          <w:rPr>
            <w:rFonts w:asciiTheme="minorHAnsi" w:eastAsiaTheme="minorEastAsia" w:hAnsiTheme="minorHAnsi" w:cstheme="minorBidi"/>
            <w:noProof/>
            <w:lang w:val="en-GB" w:eastAsia="en-GB"/>
          </w:rPr>
          <w:tab/>
        </w:r>
        <w:r w:rsidRPr="002E59E0">
          <w:rPr>
            <w:rStyle w:val="Hyperlink"/>
            <w:b/>
            <w:noProof/>
          </w:rPr>
          <w:t>NODARBINĀTĪBA, SOCIĀLĀS LIETAS UN PILSONISKUMS</w:t>
        </w:r>
        <w:r>
          <w:rPr>
            <w:noProof/>
            <w:webHidden/>
          </w:rPr>
          <w:tab/>
        </w:r>
        <w:r>
          <w:rPr>
            <w:noProof/>
            <w:webHidden/>
          </w:rPr>
          <w:fldChar w:fldCharType="begin"/>
        </w:r>
        <w:r>
          <w:rPr>
            <w:noProof/>
            <w:webHidden/>
          </w:rPr>
          <w:instrText xml:space="preserve"> PAGEREF _Toc25663324 \h </w:instrText>
        </w:r>
        <w:r>
          <w:rPr>
            <w:noProof/>
            <w:webHidden/>
          </w:rPr>
        </w:r>
        <w:r>
          <w:rPr>
            <w:noProof/>
            <w:webHidden/>
          </w:rPr>
          <w:fldChar w:fldCharType="separate"/>
        </w:r>
        <w:r>
          <w:rPr>
            <w:noProof/>
            <w:webHidden/>
          </w:rPr>
          <w:t>11</w:t>
        </w:r>
        <w:r>
          <w:rPr>
            <w:noProof/>
            <w:webHidden/>
          </w:rPr>
          <w:fldChar w:fldCharType="end"/>
        </w:r>
      </w:hyperlink>
    </w:p>
    <w:p w14:paraId="4EC33405" w14:textId="15EF4D8B" w:rsidR="00215328" w:rsidRDefault="00215328">
      <w:pPr>
        <w:pStyle w:val="TOC1"/>
        <w:rPr>
          <w:rFonts w:asciiTheme="minorHAnsi" w:eastAsiaTheme="minorEastAsia" w:hAnsiTheme="minorHAnsi" w:cstheme="minorBidi"/>
          <w:noProof/>
          <w:lang w:val="en-GB" w:eastAsia="en-GB"/>
        </w:rPr>
      </w:pPr>
      <w:hyperlink w:anchor="_Toc25663325" w:history="1">
        <w:r w:rsidRPr="002E59E0">
          <w:rPr>
            <w:rStyle w:val="Hyperlink"/>
            <w:b/>
            <w:noProof/>
          </w:rPr>
          <w:t>4.</w:t>
        </w:r>
        <w:r>
          <w:rPr>
            <w:rFonts w:asciiTheme="minorHAnsi" w:eastAsiaTheme="minorEastAsia" w:hAnsiTheme="minorHAnsi" w:cstheme="minorBidi"/>
            <w:noProof/>
            <w:lang w:val="en-GB" w:eastAsia="en-GB"/>
          </w:rPr>
          <w:tab/>
        </w:r>
        <w:r w:rsidRPr="002E59E0">
          <w:rPr>
            <w:rStyle w:val="Hyperlink"/>
            <w:b/>
            <w:noProof/>
          </w:rPr>
          <w:t>RŪPNIECĪBAS PĀRMAIŅU KONSULTATĪVĀ KOMISIJA</w:t>
        </w:r>
        <w:r>
          <w:rPr>
            <w:noProof/>
            <w:webHidden/>
          </w:rPr>
          <w:tab/>
        </w:r>
        <w:r>
          <w:rPr>
            <w:noProof/>
            <w:webHidden/>
          </w:rPr>
          <w:fldChar w:fldCharType="begin"/>
        </w:r>
        <w:r>
          <w:rPr>
            <w:noProof/>
            <w:webHidden/>
          </w:rPr>
          <w:instrText xml:space="preserve"> PAGEREF _Toc25663325 \h </w:instrText>
        </w:r>
        <w:r>
          <w:rPr>
            <w:noProof/>
            <w:webHidden/>
          </w:rPr>
        </w:r>
        <w:r>
          <w:rPr>
            <w:noProof/>
            <w:webHidden/>
          </w:rPr>
          <w:fldChar w:fldCharType="separate"/>
        </w:r>
        <w:r>
          <w:rPr>
            <w:noProof/>
            <w:webHidden/>
          </w:rPr>
          <w:t>13</w:t>
        </w:r>
        <w:r>
          <w:rPr>
            <w:noProof/>
            <w:webHidden/>
          </w:rPr>
          <w:fldChar w:fldCharType="end"/>
        </w:r>
      </w:hyperlink>
    </w:p>
    <w:p w14:paraId="31AF87D9" w14:textId="4FBB842E" w:rsidR="00215328" w:rsidRDefault="00215328">
      <w:pPr>
        <w:pStyle w:val="TOC1"/>
        <w:rPr>
          <w:rFonts w:asciiTheme="minorHAnsi" w:eastAsiaTheme="minorEastAsia" w:hAnsiTheme="minorHAnsi" w:cstheme="minorBidi"/>
          <w:noProof/>
          <w:lang w:val="en-GB" w:eastAsia="en-GB"/>
        </w:rPr>
      </w:pPr>
      <w:hyperlink w:anchor="_Toc25663326" w:history="1">
        <w:r w:rsidRPr="002E59E0">
          <w:rPr>
            <w:rStyle w:val="Hyperlink"/>
            <w:b/>
            <w:noProof/>
          </w:rPr>
          <w:t>5.</w:t>
        </w:r>
        <w:r>
          <w:rPr>
            <w:rFonts w:asciiTheme="minorHAnsi" w:eastAsiaTheme="minorEastAsia" w:hAnsiTheme="minorHAnsi" w:cstheme="minorBidi"/>
            <w:noProof/>
            <w:lang w:val="en-GB" w:eastAsia="en-GB"/>
          </w:rPr>
          <w:tab/>
        </w:r>
        <w:r w:rsidRPr="002E59E0">
          <w:rPr>
            <w:rStyle w:val="Hyperlink"/>
            <w:b/>
            <w:noProof/>
          </w:rPr>
          <w:t>LAUKSAIMNIECĪBA, LAUKU ATTĪSTĪBA UN VIDE</w:t>
        </w:r>
        <w:r>
          <w:rPr>
            <w:noProof/>
            <w:webHidden/>
          </w:rPr>
          <w:tab/>
        </w:r>
        <w:r>
          <w:rPr>
            <w:noProof/>
            <w:webHidden/>
          </w:rPr>
          <w:fldChar w:fldCharType="begin"/>
        </w:r>
        <w:r>
          <w:rPr>
            <w:noProof/>
            <w:webHidden/>
          </w:rPr>
          <w:instrText xml:space="preserve"> PAGEREF _Toc25663326 \h </w:instrText>
        </w:r>
        <w:r>
          <w:rPr>
            <w:noProof/>
            <w:webHidden/>
          </w:rPr>
        </w:r>
        <w:r>
          <w:rPr>
            <w:noProof/>
            <w:webHidden/>
          </w:rPr>
          <w:fldChar w:fldCharType="separate"/>
        </w:r>
        <w:r>
          <w:rPr>
            <w:noProof/>
            <w:webHidden/>
          </w:rPr>
          <w:t>14</w:t>
        </w:r>
        <w:r>
          <w:rPr>
            <w:noProof/>
            <w:webHidden/>
          </w:rPr>
          <w:fldChar w:fldCharType="end"/>
        </w:r>
      </w:hyperlink>
    </w:p>
    <w:p w14:paraId="35FB561E" w14:textId="68DFDC03" w:rsidR="00215328" w:rsidRDefault="00215328">
      <w:pPr>
        <w:pStyle w:val="TOC1"/>
        <w:rPr>
          <w:rFonts w:asciiTheme="minorHAnsi" w:eastAsiaTheme="minorEastAsia" w:hAnsiTheme="minorHAnsi" w:cstheme="minorBidi"/>
          <w:noProof/>
          <w:lang w:val="en-GB" w:eastAsia="en-GB"/>
        </w:rPr>
      </w:pPr>
      <w:hyperlink w:anchor="_Toc25663327" w:history="1">
        <w:r w:rsidRPr="002E59E0">
          <w:rPr>
            <w:rStyle w:val="Hyperlink"/>
            <w:b/>
            <w:noProof/>
          </w:rPr>
          <w:t>6.</w:t>
        </w:r>
        <w:r>
          <w:rPr>
            <w:rFonts w:asciiTheme="minorHAnsi" w:eastAsiaTheme="minorEastAsia" w:hAnsiTheme="minorHAnsi" w:cstheme="minorBidi"/>
            <w:noProof/>
            <w:lang w:val="en-GB" w:eastAsia="en-GB"/>
          </w:rPr>
          <w:tab/>
        </w:r>
        <w:r w:rsidRPr="002E59E0">
          <w:rPr>
            <w:rStyle w:val="Hyperlink"/>
            <w:b/>
            <w:noProof/>
          </w:rPr>
          <w:t>TRANSPORTA, ENERĢĒTIKAS, INFRASTRUKTŪRAS UN INFORMĀCIJAS SABIEDRĪBAS SPECIALIZĒTĀ NODAĻA</w:t>
        </w:r>
        <w:r>
          <w:rPr>
            <w:noProof/>
            <w:webHidden/>
          </w:rPr>
          <w:tab/>
        </w:r>
        <w:r>
          <w:rPr>
            <w:noProof/>
            <w:webHidden/>
          </w:rPr>
          <w:fldChar w:fldCharType="begin"/>
        </w:r>
        <w:r>
          <w:rPr>
            <w:noProof/>
            <w:webHidden/>
          </w:rPr>
          <w:instrText xml:space="preserve"> PAGEREF _Toc25663327 \h </w:instrText>
        </w:r>
        <w:r>
          <w:rPr>
            <w:noProof/>
            <w:webHidden/>
          </w:rPr>
        </w:r>
        <w:r>
          <w:rPr>
            <w:noProof/>
            <w:webHidden/>
          </w:rPr>
          <w:fldChar w:fldCharType="separate"/>
        </w:r>
        <w:r>
          <w:rPr>
            <w:noProof/>
            <w:webHidden/>
          </w:rPr>
          <w:t>19</w:t>
        </w:r>
        <w:r>
          <w:rPr>
            <w:noProof/>
            <w:webHidden/>
          </w:rPr>
          <w:fldChar w:fldCharType="end"/>
        </w:r>
      </w:hyperlink>
    </w:p>
    <w:p w14:paraId="06237EEA" w14:textId="42B4B838" w:rsidR="00215328" w:rsidRDefault="00215328">
      <w:pPr>
        <w:pStyle w:val="TOC1"/>
        <w:rPr>
          <w:rFonts w:asciiTheme="minorHAnsi" w:eastAsiaTheme="minorEastAsia" w:hAnsiTheme="minorHAnsi" w:cstheme="minorBidi"/>
          <w:noProof/>
          <w:lang w:val="en-GB" w:eastAsia="en-GB"/>
        </w:rPr>
      </w:pPr>
      <w:hyperlink w:anchor="_Toc25663328" w:history="1">
        <w:r w:rsidRPr="002E59E0">
          <w:rPr>
            <w:rStyle w:val="Hyperlink"/>
            <w:b/>
            <w:noProof/>
          </w:rPr>
          <w:t>7.</w:t>
        </w:r>
        <w:r>
          <w:rPr>
            <w:rFonts w:asciiTheme="minorHAnsi" w:eastAsiaTheme="minorEastAsia" w:hAnsiTheme="minorHAnsi" w:cstheme="minorBidi"/>
            <w:noProof/>
            <w:lang w:val="en-GB" w:eastAsia="en-GB"/>
          </w:rPr>
          <w:tab/>
        </w:r>
        <w:r w:rsidRPr="002E59E0">
          <w:rPr>
            <w:rStyle w:val="Hyperlink"/>
            <w:b/>
            <w:noProof/>
          </w:rPr>
          <w:t>ĀRĒJĀS ATTIECĪ</w:t>
        </w:r>
        <w:r w:rsidRPr="002E59E0">
          <w:rPr>
            <w:rStyle w:val="Hyperlink"/>
            <w:b/>
            <w:noProof/>
          </w:rPr>
          <w:t>B</w:t>
        </w:r>
        <w:r w:rsidRPr="002E59E0">
          <w:rPr>
            <w:rStyle w:val="Hyperlink"/>
            <w:b/>
            <w:noProof/>
          </w:rPr>
          <w:t>AS</w:t>
        </w:r>
        <w:r>
          <w:rPr>
            <w:noProof/>
            <w:webHidden/>
          </w:rPr>
          <w:tab/>
        </w:r>
        <w:r>
          <w:rPr>
            <w:noProof/>
            <w:webHidden/>
          </w:rPr>
          <w:fldChar w:fldCharType="begin"/>
        </w:r>
        <w:r>
          <w:rPr>
            <w:noProof/>
            <w:webHidden/>
          </w:rPr>
          <w:instrText xml:space="preserve"> PAGEREF _Toc25663328 \h </w:instrText>
        </w:r>
        <w:r>
          <w:rPr>
            <w:noProof/>
            <w:webHidden/>
          </w:rPr>
        </w:r>
        <w:r>
          <w:rPr>
            <w:noProof/>
            <w:webHidden/>
          </w:rPr>
          <w:fldChar w:fldCharType="separate"/>
        </w:r>
        <w:r>
          <w:rPr>
            <w:noProof/>
            <w:webHidden/>
          </w:rPr>
          <w:t>20</w:t>
        </w:r>
        <w:r>
          <w:rPr>
            <w:noProof/>
            <w:webHidden/>
          </w:rPr>
          <w:fldChar w:fldCharType="end"/>
        </w:r>
      </w:hyperlink>
    </w:p>
    <w:p w14:paraId="1AC88B76" w14:textId="6B7BD6AE" w:rsidR="00215328" w:rsidRDefault="00215328">
      <w:pPr>
        <w:pStyle w:val="TOC1"/>
        <w:rPr>
          <w:rFonts w:asciiTheme="minorHAnsi" w:eastAsiaTheme="minorEastAsia" w:hAnsiTheme="minorHAnsi" w:cstheme="minorBidi"/>
          <w:noProof/>
          <w:lang w:val="en-GB" w:eastAsia="en-GB"/>
        </w:rPr>
      </w:pPr>
      <w:hyperlink w:anchor="_Toc25663329" w:history="1">
        <w:r w:rsidRPr="002E59E0">
          <w:rPr>
            <w:rStyle w:val="Hyperlink"/>
            <w:b/>
            <w:noProof/>
          </w:rPr>
          <w:t>8.</w:t>
        </w:r>
        <w:r>
          <w:rPr>
            <w:rFonts w:asciiTheme="minorHAnsi" w:eastAsiaTheme="minorEastAsia" w:hAnsiTheme="minorHAnsi" w:cstheme="minorBidi"/>
            <w:noProof/>
            <w:lang w:val="en-GB" w:eastAsia="en-GB"/>
          </w:rPr>
          <w:tab/>
        </w:r>
        <w:r w:rsidRPr="002E59E0">
          <w:rPr>
            <w:rStyle w:val="Hyperlink"/>
            <w:b/>
            <w:noProof/>
          </w:rPr>
          <w:t>APAKŠKOMITEJA</w:t>
        </w:r>
        <w:r>
          <w:rPr>
            <w:noProof/>
            <w:webHidden/>
          </w:rPr>
          <w:tab/>
        </w:r>
        <w:r>
          <w:rPr>
            <w:noProof/>
            <w:webHidden/>
          </w:rPr>
          <w:fldChar w:fldCharType="begin"/>
        </w:r>
        <w:r>
          <w:rPr>
            <w:noProof/>
            <w:webHidden/>
          </w:rPr>
          <w:instrText xml:space="preserve"> PAGEREF _Toc25663329 \h </w:instrText>
        </w:r>
        <w:r>
          <w:rPr>
            <w:noProof/>
            <w:webHidden/>
          </w:rPr>
        </w:r>
        <w:r>
          <w:rPr>
            <w:noProof/>
            <w:webHidden/>
          </w:rPr>
          <w:fldChar w:fldCharType="separate"/>
        </w:r>
        <w:r>
          <w:rPr>
            <w:noProof/>
            <w:webHidden/>
          </w:rPr>
          <w:t>23</w:t>
        </w:r>
        <w:r>
          <w:rPr>
            <w:noProof/>
            <w:webHidden/>
          </w:rPr>
          <w:fldChar w:fldCharType="end"/>
        </w:r>
      </w:hyperlink>
    </w:p>
    <w:p w14:paraId="4ADCD7A9" w14:textId="1648C14D" w:rsidR="008405A0" w:rsidRPr="00D85439" w:rsidRDefault="003353E8" w:rsidP="001F50B6">
      <w:pPr>
        <w:ind w:left="567" w:hanging="567"/>
      </w:pPr>
      <w:r w:rsidRPr="00D85439">
        <w:fldChar w:fldCharType="end"/>
      </w:r>
      <w:r>
        <w:br w:type="page"/>
      </w:r>
    </w:p>
    <w:p w14:paraId="154A5114" w14:textId="77777777" w:rsidR="006D23AB" w:rsidRDefault="006D23AB" w:rsidP="001F50B6">
      <w:r>
        <w:lastRenderedPageBreak/>
        <w:t xml:space="preserve">Plenārsesijā, kas notika 2019. gada 30. un 31. oktobrī, piedalījās Eiropas Komisijas sarunu vadītājs Brexit jautājumā </w:t>
      </w:r>
      <w:r>
        <w:rPr>
          <w:b/>
        </w:rPr>
        <w:t>Michel Barnier</w:t>
      </w:r>
      <w:r>
        <w:t xml:space="preserve">, Eiropas Kultūras fonda direktors </w:t>
      </w:r>
      <w:r>
        <w:rPr>
          <w:b/>
        </w:rPr>
        <w:t>André Wilkens</w:t>
      </w:r>
      <w:r>
        <w:t xml:space="preserve">, izglītības, kultūras, jaunatnes un sporta komisāra Tibor Navracsics īpašais padomnieks </w:t>
      </w:r>
      <w:r>
        <w:rPr>
          <w:b/>
        </w:rPr>
        <w:t>Pier Luigi Sacco</w:t>
      </w:r>
      <w:r>
        <w:t xml:space="preserve">, “Festival of the Regions” mākslinieciskais direktors </w:t>
      </w:r>
      <w:r>
        <w:rPr>
          <w:b/>
        </w:rPr>
        <w:t>Airan Berg</w:t>
      </w:r>
      <w:r>
        <w:t xml:space="preserve">, tāpat arī Briselē esošā Gētes institūta direktore </w:t>
      </w:r>
      <w:r>
        <w:rPr>
          <w:b/>
        </w:rPr>
        <w:t>Elke Kaschl-Mohni</w:t>
      </w:r>
      <w:r>
        <w:t>.</w:t>
      </w:r>
    </w:p>
    <w:p w14:paraId="5F152835" w14:textId="77777777" w:rsidR="006D23AB" w:rsidRDefault="006D23AB" w:rsidP="001F50B6">
      <w:pPr>
        <w:rPr>
          <w:lang w:val="en-GB"/>
        </w:rPr>
      </w:pPr>
    </w:p>
    <w:p w14:paraId="49B45F15" w14:textId="77777777" w:rsidR="00421682" w:rsidRPr="00D85439" w:rsidRDefault="00AD7EE7" w:rsidP="001F50B6">
      <w:r>
        <w:t>Plenārsesijā pieņēma turpmāk minētos atzinumus.</w:t>
      </w:r>
    </w:p>
    <w:p w14:paraId="27B07CB3" w14:textId="77777777" w:rsidR="00A43397" w:rsidRPr="00D85439" w:rsidRDefault="00A43397" w:rsidP="001F50B6">
      <w:pPr>
        <w:rPr>
          <w:lang w:val="en-GB"/>
        </w:rPr>
      </w:pPr>
    </w:p>
    <w:p w14:paraId="38ACB139" w14:textId="77777777" w:rsidR="00C03049" w:rsidRDefault="00C03049" w:rsidP="006D23AB">
      <w:pPr>
        <w:pStyle w:val="Heading1"/>
        <w:numPr>
          <w:ilvl w:val="0"/>
          <w:numId w:val="23"/>
        </w:numPr>
        <w:ind w:left="567" w:hanging="567"/>
        <w:rPr>
          <w:b/>
        </w:rPr>
      </w:pPr>
      <w:bookmarkStart w:id="0" w:name="_Toc25663322"/>
      <w:r>
        <w:rPr>
          <w:b/>
        </w:rPr>
        <w:t>VIENOTAIS TIRGUS, RAŽOŠANA UN PATĒRIŅŠ</w:t>
      </w:r>
      <w:bookmarkEnd w:id="0"/>
    </w:p>
    <w:p w14:paraId="5417BB83" w14:textId="77777777" w:rsidR="00282E34" w:rsidRDefault="00282E34">
      <w:pPr>
        <w:tabs>
          <w:tab w:val="left" w:pos="1701"/>
        </w:tabs>
        <w:rPr>
          <w:i/>
        </w:rPr>
      </w:pPr>
    </w:p>
    <w:p w14:paraId="2D816855" w14:textId="77777777" w:rsidR="00431723" w:rsidRPr="00503E52" w:rsidRDefault="00503E52" w:rsidP="006D23AB">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Blokķēde un vienotais tirgus</w:t>
      </w:r>
    </w:p>
    <w:p w14:paraId="588C5341" w14:textId="77777777" w:rsidR="00431723" w:rsidRPr="006D23AB" w:rsidRDefault="00431723" w:rsidP="00FB7915">
      <w:pPr>
        <w:keepNext/>
        <w:keepLines/>
        <w:tabs>
          <w:tab w:val="center" w:pos="284"/>
        </w:tabs>
        <w:ind w:left="266" w:hanging="266"/>
        <w:rPr>
          <w:b/>
          <w:szCs w:val="20"/>
        </w:rPr>
      </w:pPr>
    </w:p>
    <w:p w14:paraId="1A62BE4E" w14:textId="77777777" w:rsidR="00503E52" w:rsidRPr="00503E52" w:rsidRDefault="00431723" w:rsidP="00FB7915">
      <w:pPr>
        <w:keepNext/>
        <w:keepLines/>
        <w:tabs>
          <w:tab w:val="left" w:pos="1701"/>
        </w:tabs>
      </w:pPr>
      <w:r>
        <w:rPr>
          <w:b/>
        </w:rPr>
        <w:t>Ziņotājs:</w:t>
      </w:r>
      <w:r>
        <w:t xml:space="preserve"> </w:t>
      </w:r>
      <w:r>
        <w:tab/>
        <w:t>Ariane Rodert (grupa “Daudzveidība Eiropā” – SE)</w:t>
      </w:r>
    </w:p>
    <w:p w14:paraId="592B7A12" w14:textId="77777777" w:rsidR="00431723" w:rsidRPr="006D23AB" w:rsidRDefault="00503E52" w:rsidP="00FB7915">
      <w:pPr>
        <w:keepNext/>
        <w:keepLines/>
        <w:tabs>
          <w:tab w:val="left" w:pos="1701"/>
        </w:tabs>
      </w:pPr>
      <w:r>
        <w:rPr>
          <w:b/>
        </w:rPr>
        <w:t>Līdzziņotājs:</w:t>
      </w:r>
      <w:r>
        <w:t xml:space="preserve"> </w:t>
      </w:r>
      <w:r>
        <w:tab/>
        <w:t>Gonçalo Lobo Xavier (Darba devēju grupa – PT)</w:t>
      </w:r>
    </w:p>
    <w:p w14:paraId="73F6E62B" w14:textId="77777777" w:rsidR="00503E52" w:rsidRPr="006D23AB" w:rsidRDefault="00503E52" w:rsidP="00FB7915">
      <w:pPr>
        <w:keepNext/>
        <w:keepLines/>
        <w:tabs>
          <w:tab w:val="left" w:pos="1701"/>
        </w:tabs>
        <w:rPr>
          <w:b/>
        </w:rPr>
      </w:pPr>
    </w:p>
    <w:p w14:paraId="61E8F375" w14:textId="77777777" w:rsidR="00431723" w:rsidRPr="006D23AB" w:rsidRDefault="00431723" w:rsidP="00FB7915">
      <w:pPr>
        <w:keepNext/>
        <w:keepLines/>
        <w:tabs>
          <w:tab w:val="center" w:pos="284"/>
          <w:tab w:val="left" w:pos="1701"/>
        </w:tabs>
        <w:ind w:left="266" w:hanging="266"/>
      </w:pPr>
      <w:r>
        <w:rPr>
          <w:b/>
        </w:rPr>
        <w:t>Atsauce:</w:t>
      </w:r>
      <w:r>
        <w:tab/>
        <w:t>Pašiniciatīvas atzinums</w:t>
      </w:r>
    </w:p>
    <w:p w14:paraId="40D0C8D0" w14:textId="77777777" w:rsidR="00431723" w:rsidRPr="006D23AB" w:rsidRDefault="00503E52" w:rsidP="00FB7915">
      <w:pPr>
        <w:keepNext/>
        <w:keepLines/>
        <w:tabs>
          <w:tab w:val="left" w:pos="1701"/>
        </w:tabs>
        <w:ind w:left="1701"/>
      </w:pPr>
      <w:r>
        <w:t>EESC-2019-02261-00-00-AC</w:t>
      </w:r>
    </w:p>
    <w:p w14:paraId="24B4B053" w14:textId="77777777" w:rsidR="00431723" w:rsidRPr="006D23AB" w:rsidRDefault="00431723" w:rsidP="00FB7915">
      <w:pPr>
        <w:keepNext/>
        <w:keepLines/>
        <w:tabs>
          <w:tab w:val="center" w:pos="284"/>
        </w:tabs>
        <w:ind w:left="266" w:hanging="266"/>
        <w:rPr>
          <w:szCs w:val="20"/>
        </w:rPr>
      </w:pPr>
    </w:p>
    <w:p w14:paraId="42DD350C" w14:textId="77777777" w:rsidR="001D58E3" w:rsidRDefault="00431723" w:rsidP="00FB7915">
      <w:pPr>
        <w:keepNext/>
        <w:keepLines/>
        <w:tabs>
          <w:tab w:val="center" w:pos="284"/>
        </w:tabs>
        <w:ind w:left="266" w:hanging="266"/>
        <w:rPr>
          <w:b/>
        </w:rPr>
      </w:pPr>
      <w:r>
        <w:rPr>
          <w:b/>
        </w:rPr>
        <w:t>Galvenās nostādnes</w:t>
      </w:r>
    </w:p>
    <w:p w14:paraId="3B48DF7B" w14:textId="77777777" w:rsidR="0051246D" w:rsidRDefault="0051246D" w:rsidP="00FB7915">
      <w:pPr>
        <w:keepNext/>
        <w:keepLines/>
        <w:tabs>
          <w:tab w:val="center" w:pos="284"/>
        </w:tabs>
        <w:ind w:left="266" w:hanging="266"/>
      </w:pPr>
    </w:p>
    <w:p w14:paraId="75B24E84" w14:textId="77777777" w:rsidR="0051246D" w:rsidRDefault="0051246D" w:rsidP="0051246D">
      <w:pPr>
        <w:keepNext/>
        <w:keepLines/>
        <w:tabs>
          <w:tab w:val="center" w:pos="284"/>
        </w:tabs>
        <w:ind w:left="266" w:hanging="266"/>
      </w:pPr>
      <w:r>
        <w:t>EESK:</w:t>
      </w:r>
    </w:p>
    <w:p w14:paraId="547B202D" w14:textId="77777777" w:rsidR="003C3707" w:rsidRPr="0051246D" w:rsidRDefault="003C3707" w:rsidP="0051246D">
      <w:pPr>
        <w:keepNext/>
        <w:keepLines/>
        <w:tabs>
          <w:tab w:val="center" w:pos="284"/>
        </w:tabs>
        <w:ind w:left="266" w:hanging="266"/>
        <w:rPr>
          <w:lang w:val="fr-BE"/>
        </w:rPr>
      </w:pPr>
    </w:p>
    <w:p w14:paraId="128E52DD" w14:textId="77777777" w:rsidR="0051246D" w:rsidRDefault="0051246D" w:rsidP="0051246D">
      <w:pPr>
        <w:pStyle w:val="ListParagraph"/>
        <w:keepNext/>
        <w:keepLines/>
        <w:numPr>
          <w:ilvl w:val="0"/>
          <w:numId w:val="34"/>
        </w:numPr>
        <w:tabs>
          <w:tab w:val="center" w:pos="284"/>
        </w:tabs>
      </w:pPr>
      <w:r>
        <w:t>aicina Eiropas Komisiju uzsākt visaptverošu iniciatīvu blokķēdes jomā, kurā tiktu noteikta kopēja ES pieeja un redzējums, priekšplānā izvirzot ilgtspējīgas attīstības mērķus. Tā būtu jāpapildina ar rīcības plānu Eiropai, lai tā kļūtu par blokķēžu atsauces punktu pasaulē;</w:t>
      </w:r>
    </w:p>
    <w:p w14:paraId="790DAD11" w14:textId="77777777" w:rsidR="0051246D" w:rsidRPr="0051246D" w:rsidRDefault="0051246D" w:rsidP="0051246D">
      <w:pPr>
        <w:pStyle w:val="ListParagraph"/>
        <w:keepNext/>
        <w:keepLines/>
        <w:tabs>
          <w:tab w:val="center" w:pos="284"/>
        </w:tabs>
        <w:rPr>
          <w:lang w:val="fr-BE"/>
        </w:rPr>
      </w:pPr>
    </w:p>
    <w:p w14:paraId="1CB55BA4" w14:textId="77777777" w:rsidR="0051246D" w:rsidRDefault="00C561AD" w:rsidP="0051246D">
      <w:pPr>
        <w:pStyle w:val="ListParagraph"/>
        <w:keepNext/>
        <w:keepLines/>
        <w:numPr>
          <w:ilvl w:val="0"/>
          <w:numId w:val="34"/>
        </w:numPr>
        <w:tabs>
          <w:tab w:val="center" w:pos="284"/>
        </w:tabs>
      </w:pPr>
      <w:r>
        <w:t>aicina izveidot ES blokķēžu jomā ieinteresēto personu platformu, kurā piedalītos ES iestāžu, tostarp EESK un RK, nozares, patērētāju, dalībvalstu, akadēmisko aprindu u. c. pārstāvji, lai nodrošinātu kopīgas mācīšanās un spēju veidošanas telpu, tīklu tīklu un paraugprakses apmaiņu;</w:t>
      </w:r>
    </w:p>
    <w:p w14:paraId="74895CCB" w14:textId="77777777" w:rsidR="0051246D" w:rsidRPr="0051246D" w:rsidRDefault="0051246D" w:rsidP="0051246D">
      <w:pPr>
        <w:pStyle w:val="ListParagraph"/>
        <w:keepNext/>
        <w:keepLines/>
        <w:tabs>
          <w:tab w:val="center" w:pos="284"/>
        </w:tabs>
        <w:rPr>
          <w:lang w:val="fr-BE"/>
        </w:rPr>
      </w:pPr>
    </w:p>
    <w:p w14:paraId="54B9DD1E" w14:textId="77777777" w:rsidR="0051246D" w:rsidRPr="0051246D" w:rsidRDefault="0051246D" w:rsidP="0051246D">
      <w:pPr>
        <w:pStyle w:val="ListParagraph"/>
        <w:keepNext/>
        <w:keepLines/>
        <w:numPr>
          <w:ilvl w:val="0"/>
          <w:numId w:val="34"/>
        </w:numPr>
        <w:tabs>
          <w:tab w:val="center" w:pos="284"/>
        </w:tabs>
      </w:pPr>
      <w:r>
        <w:t>var aktīvi iesaistīties šādas platformas mitināšanā, nodrošinot pārredzamību, iekļautību, sadarbību un organizētas pilsoniskās sabiedrības līdzdalību.</w:t>
      </w:r>
    </w:p>
    <w:p w14:paraId="7964AE06" w14:textId="77777777" w:rsidR="0051246D" w:rsidRPr="0051246D" w:rsidRDefault="0051246D" w:rsidP="00FB7915">
      <w:pPr>
        <w:keepNext/>
        <w:keepLines/>
        <w:tabs>
          <w:tab w:val="center" w:pos="284"/>
        </w:tabs>
        <w:ind w:left="266" w:hanging="266"/>
        <w:rPr>
          <w:lang w:val="fr-BE"/>
        </w:rPr>
      </w:pPr>
    </w:p>
    <w:p w14:paraId="26750C20" w14:textId="77777777" w:rsidR="00431723" w:rsidRPr="00B45903" w:rsidRDefault="00431723" w:rsidP="00FB7915">
      <w:pPr>
        <w:tabs>
          <w:tab w:val="left" w:pos="1701"/>
        </w:tabs>
        <w:rPr>
          <w:i/>
        </w:rPr>
      </w:pPr>
      <w:r>
        <w:rPr>
          <w:b/>
          <w:i/>
        </w:rPr>
        <w:t>Kontaktpersona:</w:t>
      </w:r>
      <w:r>
        <w:tab/>
      </w:r>
      <w:r>
        <w:rPr>
          <w:i/>
        </w:rPr>
        <w:t>Alice Tetu</w:t>
      </w:r>
    </w:p>
    <w:p w14:paraId="735EE97C" w14:textId="77777777" w:rsidR="00FB7915" w:rsidRDefault="00FB7915" w:rsidP="00FB7915">
      <w:pPr>
        <w:tabs>
          <w:tab w:val="left" w:pos="1701"/>
        </w:tabs>
        <w:ind w:left="1701"/>
        <w:jc w:val="left"/>
        <w:rPr>
          <w:i/>
        </w:rPr>
      </w:pPr>
      <w:r>
        <w:rPr>
          <w:i/>
        </w:rPr>
        <w:t xml:space="preserve">(Tālr.: 00 32 2 546 82 86, e-pasta adrese: </w:t>
      </w:r>
      <w:hyperlink r:id="rId21" w:history="1">
        <w:r>
          <w:rPr>
            <w:rStyle w:val="Hyperlink"/>
            <w:i/>
          </w:rPr>
          <w:t>Alice.Tetu@eesc.europa.eu</w:t>
        </w:r>
      </w:hyperlink>
      <w:r>
        <w:t>)</w:t>
      </w:r>
    </w:p>
    <w:p w14:paraId="1B302D4A" w14:textId="77777777" w:rsidR="003F4E00" w:rsidRDefault="003F4E00" w:rsidP="00FB7915">
      <w:pPr>
        <w:tabs>
          <w:tab w:val="left" w:pos="1701"/>
        </w:tabs>
        <w:ind w:left="1701"/>
        <w:jc w:val="left"/>
        <w:rPr>
          <w:i/>
          <w:lang w:val="fr-BE"/>
        </w:rPr>
      </w:pPr>
    </w:p>
    <w:p w14:paraId="4FA2AA2A" w14:textId="77777777" w:rsidR="00215328" w:rsidRDefault="00215328">
      <w:pPr>
        <w:spacing w:line="240" w:lineRule="auto"/>
        <w:jc w:val="left"/>
        <w:rPr>
          <w:b/>
          <w:i/>
          <w:sz w:val="28"/>
          <w:szCs w:val="28"/>
        </w:rPr>
      </w:pPr>
      <w:r>
        <w:rPr>
          <w:b/>
          <w:i/>
          <w:sz w:val="28"/>
          <w:szCs w:val="28"/>
        </w:rPr>
        <w:br w:type="page"/>
      </w:r>
    </w:p>
    <w:p w14:paraId="22463172" w14:textId="1E983129" w:rsidR="00503E52" w:rsidRPr="00503E52" w:rsidRDefault="00503E52"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lastRenderedPageBreak/>
        <w:t>Antropocentrisks mākslīgais intelekts</w:t>
      </w:r>
    </w:p>
    <w:p w14:paraId="79E3B9C7" w14:textId="77777777" w:rsidR="00503E52" w:rsidRPr="00B2569F" w:rsidRDefault="00503E52" w:rsidP="00FB7915">
      <w:pPr>
        <w:keepNext/>
        <w:keepLines/>
        <w:tabs>
          <w:tab w:val="center" w:pos="284"/>
        </w:tabs>
        <w:ind w:left="266" w:hanging="266"/>
        <w:rPr>
          <w:b/>
          <w:szCs w:val="20"/>
        </w:rPr>
      </w:pPr>
    </w:p>
    <w:p w14:paraId="305AFF8E" w14:textId="77777777" w:rsidR="00503E52" w:rsidRPr="0035587B" w:rsidRDefault="00503E52" w:rsidP="00FB7915">
      <w:pPr>
        <w:keepNext/>
        <w:keepLines/>
        <w:tabs>
          <w:tab w:val="left" w:pos="1701"/>
        </w:tabs>
      </w:pPr>
      <w:r>
        <w:rPr>
          <w:b/>
        </w:rPr>
        <w:t>Ziņotājs:</w:t>
      </w:r>
      <w:r>
        <w:t xml:space="preserve"> </w:t>
      </w:r>
      <w:r>
        <w:tab/>
        <w:t>Franca Salis-Madinier (Darba ņēmēju grupa – FR)</w:t>
      </w:r>
    </w:p>
    <w:p w14:paraId="2E0AB298" w14:textId="77777777" w:rsidR="00503E52" w:rsidRPr="0035587B" w:rsidRDefault="00503E52" w:rsidP="00FB7915">
      <w:pPr>
        <w:keepNext/>
        <w:keepLines/>
        <w:tabs>
          <w:tab w:val="left" w:pos="1701"/>
        </w:tabs>
        <w:rPr>
          <w:b/>
        </w:rPr>
      </w:pPr>
    </w:p>
    <w:p w14:paraId="6B723A0C" w14:textId="77777777" w:rsidR="00503E52" w:rsidRPr="002E0975" w:rsidRDefault="00503E52" w:rsidP="00FB7915">
      <w:pPr>
        <w:keepNext/>
        <w:keepLines/>
        <w:tabs>
          <w:tab w:val="center" w:pos="284"/>
          <w:tab w:val="left" w:pos="1701"/>
        </w:tabs>
        <w:ind w:left="266" w:hanging="266"/>
      </w:pPr>
      <w:r>
        <w:rPr>
          <w:b/>
        </w:rPr>
        <w:t>Atsauce:</w:t>
      </w:r>
      <w:r>
        <w:tab/>
        <w:t>COM(2019) 168 final</w:t>
      </w:r>
    </w:p>
    <w:p w14:paraId="1829CD7B" w14:textId="77777777" w:rsidR="00503E52" w:rsidRPr="00B2569F" w:rsidRDefault="00503E52" w:rsidP="00FB7915">
      <w:pPr>
        <w:keepNext/>
        <w:keepLines/>
        <w:tabs>
          <w:tab w:val="left" w:pos="1701"/>
        </w:tabs>
        <w:ind w:left="1701"/>
      </w:pPr>
      <w:r>
        <w:t>EESC-2019-01830-00-00-AC</w:t>
      </w:r>
    </w:p>
    <w:p w14:paraId="16BCA98C" w14:textId="77777777" w:rsidR="00503E52" w:rsidRPr="00B2569F" w:rsidRDefault="00503E52" w:rsidP="00FB7915">
      <w:pPr>
        <w:keepNext/>
        <w:keepLines/>
        <w:tabs>
          <w:tab w:val="center" w:pos="284"/>
        </w:tabs>
        <w:ind w:left="266" w:hanging="266"/>
        <w:rPr>
          <w:szCs w:val="20"/>
        </w:rPr>
      </w:pPr>
    </w:p>
    <w:p w14:paraId="5EC12CBC" w14:textId="77777777" w:rsidR="00503E52" w:rsidRPr="0051246D" w:rsidRDefault="00503E52" w:rsidP="0051246D">
      <w:pPr>
        <w:keepNext/>
        <w:keepLines/>
        <w:tabs>
          <w:tab w:val="center" w:pos="284"/>
        </w:tabs>
        <w:ind w:left="266" w:hanging="266"/>
        <w:rPr>
          <w:b/>
        </w:rPr>
      </w:pPr>
      <w:r>
        <w:rPr>
          <w:b/>
        </w:rPr>
        <w:t>Galvenās nostādnes</w:t>
      </w:r>
    </w:p>
    <w:p w14:paraId="33DE1013" w14:textId="77777777" w:rsidR="00503E52" w:rsidRPr="0051246D" w:rsidRDefault="00503E52" w:rsidP="00FB7915">
      <w:pPr>
        <w:rPr>
          <w:highlight w:val="lightGray"/>
          <w:lang w:val="fr-BE"/>
        </w:rPr>
      </w:pPr>
    </w:p>
    <w:p w14:paraId="691B7254" w14:textId="77777777" w:rsidR="0051246D" w:rsidRDefault="0051246D" w:rsidP="0051246D">
      <w:pPr>
        <w:tabs>
          <w:tab w:val="left" w:pos="1701"/>
        </w:tabs>
      </w:pPr>
      <w:r>
        <w:t>EESK:</w:t>
      </w:r>
    </w:p>
    <w:p w14:paraId="5CFE0104" w14:textId="77777777" w:rsidR="003C3707" w:rsidRPr="0051246D" w:rsidRDefault="003C3707" w:rsidP="0051246D">
      <w:pPr>
        <w:tabs>
          <w:tab w:val="left" w:pos="1701"/>
        </w:tabs>
        <w:rPr>
          <w:lang w:val="fr-BE"/>
        </w:rPr>
      </w:pPr>
    </w:p>
    <w:p w14:paraId="1779E400" w14:textId="77777777" w:rsidR="0051246D" w:rsidRDefault="0051246D" w:rsidP="00E52870">
      <w:pPr>
        <w:pStyle w:val="ListParagraph"/>
        <w:numPr>
          <w:ilvl w:val="0"/>
          <w:numId w:val="35"/>
        </w:numPr>
        <w:tabs>
          <w:tab w:val="left" w:pos="1701"/>
        </w:tabs>
        <w:ind w:left="714" w:hanging="357"/>
      </w:pPr>
      <w:r>
        <w:t>atkārtoti norāda uz nepieciešamību mākslīgā intelekta sistēmu ieviešanas posmā konsultēties un informēt darba ņēmējus, jo minētās sistēmas var radīt izmaiņas darba organizēšanā, uzraudzībā un kontrolē;</w:t>
      </w:r>
    </w:p>
    <w:p w14:paraId="3A2C9CE8" w14:textId="77777777" w:rsidR="0051246D" w:rsidRPr="0051246D" w:rsidRDefault="0051246D" w:rsidP="0051246D">
      <w:pPr>
        <w:pStyle w:val="ListParagraph"/>
        <w:tabs>
          <w:tab w:val="left" w:pos="1701"/>
        </w:tabs>
        <w:rPr>
          <w:lang w:val="fr-BE"/>
        </w:rPr>
      </w:pPr>
    </w:p>
    <w:p w14:paraId="5C8C4001" w14:textId="77777777" w:rsidR="0051246D" w:rsidRDefault="0051246D" w:rsidP="0051246D">
      <w:pPr>
        <w:pStyle w:val="ListParagraph"/>
        <w:numPr>
          <w:ilvl w:val="0"/>
          <w:numId w:val="35"/>
        </w:numPr>
        <w:tabs>
          <w:tab w:val="left" w:pos="1701"/>
        </w:tabs>
      </w:pPr>
      <w:r>
        <w:t>aicina izstrādāt stabilu sertifikācijas sistēmu, kas balstīta uz testēšanas procedūrām, kas uzņēmumiem ļauj apliecināt, ka attiecīgās mākslīgā intelekta sistēmas ir uzticamas un drošas;</w:t>
      </w:r>
    </w:p>
    <w:p w14:paraId="0B804A65" w14:textId="77777777" w:rsidR="0051246D" w:rsidRPr="0051246D" w:rsidRDefault="0051246D" w:rsidP="0051246D">
      <w:pPr>
        <w:pStyle w:val="ListParagraph"/>
        <w:tabs>
          <w:tab w:val="left" w:pos="1701"/>
        </w:tabs>
        <w:rPr>
          <w:lang w:val="fr-BE"/>
        </w:rPr>
      </w:pPr>
    </w:p>
    <w:p w14:paraId="53B2CAF9" w14:textId="77777777" w:rsidR="0051246D" w:rsidRDefault="0051246D" w:rsidP="0051246D">
      <w:pPr>
        <w:pStyle w:val="ListParagraph"/>
        <w:numPr>
          <w:ilvl w:val="0"/>
          <w:numId w:val="35"/>
        </w:numPr>
        <w:tabs>
          <w:tab w:val="left" w:pos="1701"/>
        </w:tabs>
      </w:pPr>
      <w:r>
        <w:t>ierosina izstrādāt “ES sertifikātu mākslīgā intelekta jomā uzticamam uzņēmumam”, kas cita starpā būtu balstīts uz vērtēšanas sarakstu, ko sagatavojusi augsta līmeņa ekspertu grupa mākslīgā intelekta jautājumos;</w:t>
      </w:r>
    </w:p>
    <w:p w14:paraId="0D219AD6" w14:textId="77777777" w:rsidR="0051246D" w:rsidRPr="0051246D" w:rsidRDefault="0051246D" w:rsidP="0051246D">
      <w:pPr>
        <w:pStyle w:val="ListParagraph"/>
        <w:tabs>
          <w:tab w:val="left" w:pos="1701"/>
        </w:tabs>
        <w:rPr>
          <w:lang w:val="fr-BE"/>
        </w:rPr>
      </w:pPr>
    </w:p>
    <w:p w14:paraId="5D3DB831" w14:textId="77777777" w:rsidR="0051246D" w:rsidRDefault="0051246D" w:rsidP="0051246D">
      <w:pPr>
        <w:pStyle w:val="ListParagraph"/>
        <w:numPr>
          <w:ilvl w:val="0"/>
          <w:numId w:val="35"/>
        </w:numPr>
        <w:tabs>
          <w:tab w:val="left" w:pos="1701"/>
        </w:tabs>
      </w:pPr>
      <w:r>
        <w:t>iesaka izstrādāt skaidrus noteikumus, ar kuriem pārkāpumu gadījumā atbildība tiktu noteikta tiesību subjektam – fiziskai vai juridiskai personai;</w:t>
      </w:r>
    </w:p>
    <w:p w14:paraId="23D00F56" w14:textId="77777777" w:rsidR="0051246D" w:rsidRPr="0051246D" w:rsidRDefault="0051246D" w:rsidP="0051246D">
      <w:pPr>
        <w:pStyle w:val="ListParagraph"/>
        <w:tabs>
          <w:tab w:val="left" w:pos="1701"/>
        </w:tabs>
        <w:rPr>
          <w:lang w:val="fr-BE"/>
        </w:rPr>
      </w:pPr>
    </w:p>
    <w:p w14:paraId="7FE9206B" w14:textId="77777777" w:rsidR="0051246D" w:rsidRPr="0051246D" w:rsidRDefault="0051246D" w:rsidP="0051246D">
      <w:pPr>
        <w:pStyle w:val="ListParagraph"/>
        <w:numPr>
          <w:ilvl w:val="0"/>
          <w:numId w:val="35"/>
        </w:numPr>
        <w:tabs>
          <w:tab w:val="left" w:pos="1701"/>
        </w:tabs>
      </w:pPr>
      <w:r>
        <w:t>mudina Komisiju arī regulāri pārskatīt Vispārīgo datu aizsardzības regulu un ar to saistītos tiesību aktus, ņemot vēra tehnoloģiju attīstību.</w:t>
      </w:r>
    </w:p>
    <w:p w14:paraId="2D8DA255" w14:textId="77777777" w:rsidR="0051246D" w:rsidRPr="0051246D" w:rsidRDefault="0051246D" w:rsidP="00FB7915">
      <w:pPr>
        <w:tabs>
          <w:tab w:val="left" w:pos="1701"/>
        </w:tabs>
        <w:rPr>
          <w:lang w:val="fr-BE"/>
        </w:rPr>
      </w:pPr>
    </w:p>
    <w:p w14:paraId="2D995B4A" w14:textId="77777777" w:rsidR="00503E52" w:rsidRPr="001D58E3" w:rsidRDefault="00503E52" w:rsidP="00FB7915">
      <w:pPr>
        <w:tabs>
          <w:tab w:val="left" w:pos="1701"/>
        </w:tabs>
        <w:rPr>
          <w:i/>
        </w:rPr>
      </w:pPr>
      <w:r>
        <w:rPr>
          <w:b/>
          <w:i/>
        </w:rPr>
        <w:t>Kontaktpersona:</w:t>
      </w:r>
      <w:r>
        <w:tab/>
      </w:r>
      <w:r>
        <w:rPr>
          <w:i/>
        </w:rPr>
        <w:t>Alice Tetu</w:t>
      </w:r>
    </w:p>
    <w:p w14:paraId="6F4FF980" w14:textId="77777777" w:rsidR="00FB7915" w:rsidRPr="001D58E3" w:rsidRDefault="00FB7915" w:rsidP="00FB7915">
      <w:pPr>
        <w:tabs>
          <w:tab w:val="left" w:pos="1701"/>
        </w:tabs>
        <w:ind w:left="1701"/>
        <w:jc w:val="left"/>
        <w:rPr>
          <w:i/>
        </w:rPr>
      </w:pPr>
      <w:r>
        <w:rPr>
          <w:i/>
        </w:rPr>
        <w:t xml:space="preserve">(Tālr.: 00 32 2 546 82 86, e-pasta adrese: </w:t>
      </w:r>
      <w:hyperlink r:id="rId22" w:history="1">
        <w:r>
          <w:rPr>
            <w:rStyle w:val="Hyperlink"/>
            <w:i/>
          </w:rPr>
          <w:t>Alice.Tetu@eesc.europa.eu</w:t>
        </w:r>
      </w:hyperlink>
      <w:r>
        <w:t>)</w:t>
      </w:r>
    </w:p>
    <w:p w14:paraId="6A23989C" w14:textId="77777777" w:rsidR="00503E52" w:rsidRDefault="00503E52" w:rsidP="00503E52">
      <w:pPr>
        <w:tabs>
          <w:tab w:val="left" w:pos="1701"/>
        </w:tabs>
        <w:jc w:val="left"/>
        <w:rPr>
          <w:i/>
          <w:lang w:val="fr-BE"/>
        </w:rPr>
      </w:pPr>
    </w:p>
    <w:p w14:paraId="72A29546" w14:textId="77777777" w:rsidR="00503E52" w:rsidRPr="00503E52" w:rsidRDefault="0035587B" w:rsidP="00B622FD">
      <w:pPr>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 xml:space="preserve">Stratēģiskā programma 2021.-2027. gadam / </w:t>
      </w:r>
      <w:r>
        <w:rPr>
          <w:b/>
          <w:i/>
          <w:iCs/>
          <w:sz w:val="28"/>
          <w:szCs w:val="28"/>
        </w:rPr>
        <w:t>EIT</w:t>
      </w:r>
    </w:p>
    <w:p w14:paraId="6245A141" w14:textId="77777777" w:rsidR="00503E52" w:rsidRPr="003F4E00" w:rsidRDefault="00503E52" w:rsidP="00B622FD">
      <w:pPr>
        <w:tabs>
          <w:tab w:val="left" w:pos="1701"/>
        </w:tabs>
        <w:rPr>
          <w:b/>
        </w:rPr>
      </w:pPr>
    </w:p>
    <w:p w14:paraId="24481A26" w14:textId="77777777" w:rsidR="00503E52" w:rsidRPr="00951108" w:rsidRDefault="00503E52" w:rsidP="00B622FD">
      <w:pPr>
        <w:tabs>
          <w:tab w:val="left" w:pos="1701"/>
        </w:tabs>
      </w:pPr>
      <w:r>
        <w:rPr>
          <w:b/>
        </w:rPr>
        <w:t>Galvenais ziņotājs:</w:t>
      </w:r>
      <w:r>
        <w:t xml:space="preserve"> </w:t>
      </w:r>
      <w:r>
        <w:tab/>
        <w:t>Antonello Pezzini (Darba devēju grupa – IT)</w:t>
      </w:r>
    </w:p>
    <w:p w14:paraId="7D1FEDFB" w14:textId="77777777" w:rsidR="00503E52" w:rsidRPr="00951108" w:rsidRDefault="00503E52" w:rsidP="00B622FD">
      <w:pPr>
        <w:tabs>
          <w:tab w:val="left" w:pos="1701"/>
        </w:tabs>
        <w:rPr>
          <w:b/>
        </w:rPr>
      </w:pPr>
    </w:p>
    <w:p w14:paraId="4CF9AFA4" w14:textId="77777777" w:rsidR="009B081B" w:rsidRPr="00951108" w:rsidRDefault="00503E52" w:rsidP="00B622FD">
      <w:pPr>
        <w:tabs>
          <w:tab w:val="center" w:pos="284"/>
          <w:tab w:val="left" w:pos="1701"/>
        </w:tabs>
        <w:ind w:left="266" w:hanging="266"/>
      </w:pPr>
      <w:r>
        <w:rPr>
          <w:b/>
        </w:rPr>
        <w:t>Atsauce:</w:t>
      </w:r>
      <w:r>
        <w:tab/>
        <w:t>COM(2019) 330 final – 2019/0152 COD</w:t>
      </w:r>
    </w:p>
    <w:p w14:paraId="21D4115A" w14:textId="77777777" w:rsidR="00503E52" w:rsidRPr="00503E52" w:rsidRDefault="009B081B" w:rsidP="00B622FD">
      <w:pPr>
        <w:tabs>
          <w:tab w:val="left" w:pos="1701"/>
        </w:tabs>
        <w:ind w:left="1701"/>
      </w:pPr>
      <w:r>
        <w:t>COM(2019) 331 final – 2019/0151 COD</w:t>
      </w:r>
    </w:p>
    <w:p w14:paraId="5FAA7D50" w14:textId="77777777" w:rsidR="00503E52" w:rsidRPr="00951108" w:rsidRDefault="00503E52" w:rsidP="00B622FD">
      <w:pPr>
        <w:tabs>
          <w:tab w:val="left" w:pos="1701"/>
        </w:tabs>
        <w:ind w:left="1701"/>
      </w:pPr>
      <w:r>
        <w:t>EESC-2019-04496-00-00-AC</w:t>
      </w:r>
    </w:p>
    <w:p w14:paraId="2A965B2D" w14:textId="77777777" w:rsidR="00503E52" w:rsidRPr="00951108" w:rsidRDefault="00503E52" w:rsidP="00B622FD">
      <w:pPr>
        <w:tabs>
          <w:tab w:val="center" w:pos="284"/>
        </w:tabs>
        <w:ind w:left="266" w:hanging="266"/>
        <w:rPr>
          <w:szCs w:val="20"/>
          <w:lang w:val="fr-BE"/>
        </w:rPr>
      </w:pPr>
    </w:p>
    <w:p w14:paraId="6534A383" w14:textId="77777777" w:rsidR="00503E52" w:rsidRPr="00503E52" w:rsidRDefault="00503E52" w:rsidP="00B622FD">
      <w:pPr>
        <w:keepNext/>
        <w:keepLines/>
        <w:tabs>
          <w:tab w:val="center" w:pos="284"/>
        </w:tabs>
        <w:ind w:left="266" w:hanging="266"/>
        <w:rPr>
          <w:b/>
        </w:rPr>
      </w:pPr>
      <w:r>
        <w:rPr>
          <w:b/>
        </w:rPr>
        <w:t>Galvenās nostādnes</w:t>
      </w:r>
    </w:p>
    <w:p w14:paraId="2F71D473" w14:textId="77777777" w:rsidR="00951108" w:rsidRDefault="00951108" w:rsidP="00B622FD">
      <w:pPr>
        <w:keepNext/>
        <w:keepLines/>
        <w:rPr>
          <w:lang w:val="fr-BE"/>
        </w:rPr>
      </w:pPr>
    </w:p>
    <w:p w14:paraId="3CEFFCEB" w14:textId="77777777" w:rsidR="00951108" w:rsidRPr="00951108" w:rsidRDefault="00951108" w:rsidP="00B622FD">
      <w:pPr>
        <w:keepNext/>
        <w:keepLines/>
      </w:pPr>
      <w:r>
        <w:t>EESK pilnībā atbalsta sinerģiju starp Eiropas Inovāciju un tehnoloģiju institūtu un programmu “Apvārsnis Eiropa”, kurā izklāstīta vienkāršota sistēma pētniecības un inovācijas jomā.</w:t>
      </w:r>
    </w:p>
    <w:p w14:paraId="5DC6A59A" w14:textId="77777777" w:rsidR="00951108" w:rsidRPr="00951108" w:rsidRDefault="00951108" w:rsidP="00951108">
      <w:pPr>
        <w:rPr>
          <w:lang w:val="fr-BE"/>
        </w:rPr>
      </w:pPr>
    </w:p>
    <w:p w14:paraId="28CBE3CE" w14:textId="77777777" w:rsidR="00951108" w:rsidRDefault="00951108" w:rsidP="00951108">
      <w:r>
        <w:t>EESK uzskata, ka Eiropas Inovāciju un tehnoloģiju institūtam vajadzētu</w:t>
      </w:r>
    </w:p>
    <w:p w14:paraId="30EF2E07" w14:textId="77777777" w:rsidR="00951108" w:rsidRPr="00951108" w:rsidRDefault="00951108" w:rsidP="00951108">
      <w:pPr>
        <w:rPr>
          <w:lang w:val="fr-BE"/>
        </w:rPr>
      </w:pPr>
    </w:p>
    <w:p w14:paraId="62C5945D" w14:textId="77777777" w:rsidR="00951108" w:rsidRDefault="00951108" w:rsidP="00951108">
      <w:pPr>
        <w:pStyle w:val="ListParagraph"/>
        <w:numPr>
          <w:ilvl w:val="0"/>
          <w:numId w:val="36"/>
        </w:numPr>
      </w:pPr>
      <w:r>
        <w:lastRenderedPageBreak/>
        <w:t>kļūt par vienu no nozīmīgākajiem mērķorientētas inovācijas virzītājiem, kas spētu risināt sabiedrības problēmas;</w:t>
      </w:r>
    </w:p>
    <w:p w14:paraId="50D99B1C" w14:textId="77777777" w:rsidR="00951108" w:rsidRPr="00951108" w:rsidRDefault="00951108" w:rsidP="00951108">
      <w:pPr>
        <w:pStyle w:val="ListParagraph"/>
        <w:rPr>
          <w:lang w:val="fr-BE"/>
        </w:rPr>
      </w:pPr>
    </w:p>
    <w:p w14:paraId="47206D85" w14:textId="77777777" w:rsidR="00951108" w:rsidRDefault="00951108" w:rsidP="00951108">
      <w:pPr>
        <w:pStyle w:val="ListParagraph"/>
        <w:numPr>
          <w:ilvl w:val="0"/>
          <w:numId w:val="36"/>
        </w:numPr>
      </w:pPr>
      <w:r>
        <w:t>pildīt nozīmīgāku funkciju Eiropas valstu un reģionālajā inovācijas vidē;</w:t>
      </w:r>
    </w:p>
    <w:p w14:paraId="421653D2" w14:textId="77777777" w:rsidR="00951108" w:rsidRPr="00951108" w:rsidRDefault="00951108" w:rsidP="00951108">
      <w:pPr>
        <w:pStyle w:val="ListParagraph"/>
        <w:rPr>
          <w:lang w:val="fr-BE"/>
        </w:rPr>
      </w:pPr>
    </w:p>
    <w:p w14:paraId="6D9A6438" w14:textId="77777777" w:rsidR="00951108" w:rsidRDefault="00951108" w:rsidP="00951108">
      <w:pPr>
        <w:pStyle w:val="ListParagraph"/>
        <w:numPr>
          <w:ilvl w:val="0"/>
          <w:numId w:val="36"/>
        </w:numPr>
      </w:pPr>
      <w:r>
        <w:t>izcelt savu unikālo pievienoto vērtību, jo tas ir Eiropas līderis izglītībā ar augsti specializētām prasmēm uzņēmējdarbības izglītībā, kas atklāj jaunas mācīšanas un mācību apguves metodes un eksperimentē ar tām;</w:t>
      </w:r>
    </w:p>
    <w:p w14:paraId="5703BCBE" w14:textId="77777777" w:rsidR="00951108" w:rsidRPr="00951108" w:rsidRDefault="00951108" w:rsidP="00951108">
      <w:pPr>
        <w:pStyle w:val="ListParagraph"/>
        <w:rPr>
          <w:lang w:val="fr-BE"/>
        </w:rPr>
      </w:pPr>
    </w:p>
    <w:p w14:paraId="456C9D5D" w14:textId="77777777" w:rsidR="00951108" w:rsidRDefault="00951108" w:rsidP="00951108">
      <w:pPr>
        <w:pStyle w:val="ListParagraph"/>
        <w:numPr>
          <w:ilvl w:val="0"/>
          <w:numId w:val="36"/>
        </w:numPr>
      </w:pPr>
      <w:r>
        <w:t>izpētīt kopā ar zināšanu un inovāciju kopienu jaunas metodes, kā izmantot un veicināt “tuvuma efektu”, jo īpaši iesaistot teritoriālos centrus, kuri reģionālajiem un vietējiem dalībniekiem kalpotu par piekļuves punktu globālās inovācijas platformām;</w:t>
      </w:r>
    </w:p>
    <w:p w14:paraId="72DDD88A" w14:textId="77777777" w:rsidR="00951108" w:rsidRPr="00951108" w:rsidRDefault="00951108" w:rsidP="00951108">
      <w:pPr>
        <w:pStyle w:val="ListParagraph"/>
        <w:rPr>
          <w:lang w:val="fr-BE"/>
        </w:rPr>
      </w:pPr>
    </w:p>
    <w:p w14:paraId="43C92B95" w14:textId="77777777" w:rsidR="00951108" w:rsidRDefault="00951108" w:rsidP="00951108">
      <w:pPr>
        <w:pStyle w:val="ListParagraph"/>
        <w:numPr>
          <w:ilvl w:val="0"/>
          <w:numId w:val="36"/>
        </w:numPr>
      </w:pPr>
      <w:r>
        <w:t>izstrādāt (kopā ar zināšanu un inovāciju kopienu) savas uzņēmējdarbības un attīstības finansēšanas stratēģijas, lai atbalstītu inovatīvu uzņēmumu konsolidāciju;</w:t>
      </w:r>
    </w:p>
    <w:p w14:paraId="1799B9F0" w14:textId="77777777" w:rsidR="00951108" w:rsidRPr="00951108" w:rsidRDefault="00951108" w:rsidP="00951108">
      <w:pPr>
        <w:pStyle w:val="ListParagraph"/>
        <w:rPr>
          <w:lang w:val="fr-BE"/>
        </w:rPr>
      </w:pPr>
    </w:p>
    <w:p w14:paraId="7F7EF89C" w14:textId="77777777" w:rsidR="00951108" w:rsidRPr="00951108" w:rsidRDefault="00951108" w:rsidP="00951108">
      <w:pPr>
        <w:pStyle w:val="ListParagraph"/>
        <w:numPr>
          <w:ilvl w:val="0"/>
          <w:numId w:val="36"/>
        </w:numPr>
      </w:pPr>
      <w:r>
        <w:t>rūpēties, lai Zināšanu un inovāciju kopienas izvietojumā vairāk tiktu ievērots ģeopolitiskais līdzsvars un labāk aptverta ES teritorija.</w:t>
      </w:r>
    </w:p>
    <w:p w14:paraId="4514835D" w14:textId="77777777" w:rsidR="00951108" w:rsidRPr="00951108" w:rsidRDefault="00951108" w:rsidP="00951108">
      <w:pPr>
        <w:rPr>
          <w:lang w:val="fr-BE"/>
        </w:rPr>
      </w:pPr>
    </w:p>
    <w:p w14:paraId="3F006904" w14:textId="77777777" w:rsidR="00503E52" w:rsidRDefault="00951108" w:rsidP="00951108">
      <w:pPr>
        <w:rPr>
          <w:highlight w:val="lightGray"/>
        </w:rPr>
      </w:pPr>
      <w:r>
        <w:t>Attiecībā uz ierosināto lēmumu par stratēģisko inovāciju programmu 2021.–2027. gadam EESK uzskata, ka procesā būtu jāievēro visaptveroša pieeja un tam jāaptver visu veidu partnerības, lai nodrošinātu pilnīgu pārskatu par to, kas tiek darīts, izmantojot partnerības, un lai sasniegtu politikas mērķus.</w:t>
      </w:r>
    </w:p>
    <w:p w14:paraId="0DC99D51" w14:textId="77777777" w:rsidR="0051246D" w:rsidRPr="008D5C22" w:rsidRDefault="0051246D" w:rsidP="00503E52">
      <w:pPr>
        <w:rPr>
          <w:highlight w:val="lightGray"/>
          <w:lang w:val="fr-BE"/>
        </w:rPr>
      </w:pPr>
    </w:p>
    <w:p w14:paraId="0AA4DE42" w14:textId="77777777" w:rsidR="00503E52" w:rsidRPr="001D58E3" w:rsidRDefault="00503E52" w:rsidP="00503E52">
      <w:pPr>
        <w:tabs>
          <w:tab w:val="left" w:pos="1701"/>
        </w:tabs>
        <w:rPr>
          <w:i/>
        </w:rPr>
      </w:pPr>
      <w:r>
        <w:rPr>
          <w:b/>
          <w:i/>
        </w:rPr>
        <w:t>Kontaktpersona:</w:t>
      </w:r>
      <w:r>
        <w:tab/>
        <w:t>Luis Lobo</w:t>
      </w:r>
    </w:p>
    <w:p w14:paraId="71EF356F" w14:textId="77777777" w:rsidR="00503E52" w:rsidRPr="001D58E3" w:rsidRDefault="00503E52" w:rsidP="00503E52">
      <w:pPr>
        <w:tabs>
          <w:tab w:val="left" w:pos="1701"/>
        </w:tabs>
        <w:ind w:left="1701"/>
        <w:jc w:val="left"/>
        <w:rPr>
          <w:i/>
        </w:rPr>
      </w:pPr>
      <w:r>
        <w:rPr>
          <w:i/>
        </w:rPr>
        <w:t>(Tālr.: 00 32 2 546 97 17, e-pasta adrese:</w:t>
      </w:r>
      <w:r>
        <w:t xml:space="preserve"> </w:t>
      </w:r>
      <w:hyperlink r:id="rId23" w:history="1">
        <w:r>
          <w:rPr>
            <w:rStyle w:val="Hyperlink"/>
            <w:i/>
          </w:rPr>
          <w:t>Luis.Lobo@eesc.europa.eu</w:t>
        </w:r>
      </w:hyperlink>
      <w:r>
        <w:rPr>
          <w:i/>
        </w:rPr>
        <w:t xml:space="preserve"> )</w:t>
      </w:r>
    </w:p>
    <w:p w14:paraId="00E1CAA8" w14:textId="77777777" w:rsidR="00503E52" w:rsidRDefault="00503E52" w:rsidP="00503E52">
      <w:pPr>
        <w:tabs>
          <w:tab w:val="left" w:pos="1701"/>
        </w:tabs>
        <w:jc w:val="left"/>
        <w:rPr>
          <w:i/>
          <w:lang w:val="fr-BE"/>
        </w:rPr>
      </w:pPr>
    </w:p>
    <w:p w14:paraId="71282EB9" w14:textId="77777777" w:rsidR="00080B66" w:rsidRPr="008D5C22" w:rsidRDefault="00080B66">
      <w:pPr>
        <w:spacing w:line="240" w:lineRule="auto"/>
        <w:jc w:val="left"/>
        <w:rPr>
          <w:caps/>
          <w:kern w:val="28"/>
        </w:rPr>
      </w:pPr>
      <w:bookmarkStart w:id="1" w:name="_Toc2173204"/>
      <w:r>
        <w:br w:type="page"/>
      </w:r>
    </w:p>
    <w:p w14:paraId="2D95690B" w14:textId="77777777" w:rsidR="0099712D" w:rsidRPr="003F4E00" w:rsidRDefault="00AA527B" w:rsidP="003F4E00">
      <w:pPr>
        <w:pStyle w:val="Heading1"/>
        <w:keepNext/>
        <w:keepLines/>
        <w:numPr>
          <w:ilvl w:val="0"/>
          <w:numId w:val="23"/>
        </w:numPr>
        <w:tabs>
          <w:tab w:val="left" w:pos="567"/>
        </w:tabs>
        <w:ind w:left="567" w:hanging="567"/>
        <w:rPr>
          <w:b/>
        </w:rPr>
      </w:pPr>
      <w:bookmarkStart w:id="2" w:name="_Toc25663323"/>
      <w:r>
        <w:rPr>
          <w:b/>
        </w:rPr>
        <w:lastRenderedPageBreak/>
        <w:t>EKONOMISKĀ UN MONETĀRĀ SAVIENĪBA, EKONOMISKĀ UN SOCIĀLĀ KOHĒZIJA</w:t>
      </w:r>
      <w:bookmarkEnd w:id="1"/>
      <w:bookmarkEnd w:id="2"/>
    </w:p>
    <w:p w14:paraId="57EB9759" w14:textId="77777777" w:rsidR="0099712D" w:rsidRDefault="0099712D" w:rsidP="0099712D">
      <w:pPr>
        <w:keepNext/>
        <w:keepLines/>
        <w:jc w:val="left"/>
        <w:rPr>
          <w:b/>
          <w:u w:val="single"/>
          <w:lang w:val="en-GB"/>
        </w:rPr>
      </w:pPr>
    </w:p>
    <w:p w14:paraId="041A0EB2" w14:textId="77777777" w:rsidR="0099712D" w:rsidRPr="003F4E00" w:rsidRDefault="00021286"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Atbrīvojums no PVN un akcīzes nodokļa aizsardzības pasākumu jomā</w:t>
      </w:r>
    </w:p>
    <w:p w14:paraId="76B28293" w14:textId="77777777" w:rsidR="0099712D" w:rsidRPr="005C58CA" w:rsidRDefault="0099712D" w:rsidP="00771F1C">
      <w:pPr>
        <w:widowControl w:val="0"/>
        <w:rPr>
          <w:bCs/>
          <w:lang w:val="en-GB"/>
        </w:rPr>
      </w:pPr>
    </w:p>
    <w:p w14:paraId="39483F48" w14:textId="22F2251A" w:rsidR="00A000B4" w:rsidRPr="0035587B" w:rsidRDefault="00A000B4" w:rsidP="00771F1C">
      <w:pPr>
        <w:tabs>
          <w:tab w:val="center" w:pos="284"/>
        </w:tabs>
        <w:ind w:left="266" w:hanging="266"/>
      </w:pPr>
      <w:r>
        <w:rPr>
          <w:b/>
          <w:szCs w:val="20"/>
        </w:rPr>
        <w:t>Ziņotājs:</w:t>
      </w:r>
      <w:r w:rsidR="00215328">
        <w:rPr>
          <w:b/>
          <w:szCs w:val="20"/>
        </w:rPr>
        <w:tab/>
      </w:r>
      <w:r>
        <w:t>Benjamin Rizzo (grupa “Daudzveidība Eiropā” – MT)</w:t>
      </w:r>
    </w:p>
    <w:p w14:paraId="23B08CFE" w14:textId="77777777" w:rsidR="0099712D" w:rsidRPr="0035587B" w:rsidRDefault="0099712D" w:rsidP="00771F1C">
      <w:pPr>
        <w:rPr>
          <w:lang w:val="it-IT"/>
        </w:rPr>
      </w:pPr>
    </w:p>
    <w:p w14:paraId="471DABF6" w14:textId="00B61D76" w:rsidR="0099712D" w:rsidRPr="00021286" w:rsidRDefault="0099712D" w:rsidP="007C3B01">
      <w:pPr>
        <w:ind w:left="1701" w:hanging="1560"/>
      </w:pPr>
      <w:r>
        <w:rPr>
          <w:b/>
        </w:rPr>
        <w:t>Atsauce:</w:t>
      </w:r>
      <w:r w:rsidR="00A10EB9">
        <w:t xml:space="preserve"> </w:t>
      </w:r>
      <w:r>
        <w:tab/>
        <w:t>COM(2019) 192 final – 2019/0096 CNS</w:t>
      </w:r>
    </w:p>
    <w:p w14:paraId="585AE557" w14:textId="77777777" w:rsidR="0099712D" w:rsidRPr="00021286" w:rsidRDefault="00021286" w:rsidP="00771F1C">
      <w:pPr>
        <w:tabs>
          <w:tab w:val="left" w:pos="1701"/>
        </w:tabs>
        <w:ind w:left="1701"/>
      </w:pPr>
      <w:r>
        <w:t>EESC-2019-02530-00-00-AC</w:t>
      </w:r>
    </w:p>
    <w:p w14:paraId="321D26CE" w14:textId="77777777" w:rsidR="0099712D" w:rsidRPr="008D5C22" w:rsidRDefault="0099712D" w:rsidP="00771F1C">
      <w:pPr>
        <w:tabs>
          <w:tab w:val="num" w:pos="550"/>
        </w:tabs>
        <w:rPr>
          <w:highlight w:val="green"/>
          <w:lang w:val="pt-PT"/>
        </w:rPr>
      </w:pPr>
    </w:p>
    <w:p w14:paraId="23666B67" w14:textId="77777777" w:rsidR="0099712D" w:rsidRDefault="0099712D" w:rsidP="00771F1C">
      <w:pPr>
        <w:jc w:val="left"/>
        <w:rPr>
          <w:b/>
        </w:rPr>
      </w:pPr>
      <w:r>
        <w:rPr>
          <w:b/>
        </w:rPr>
        <w:t>Galvenās nostādnes</w:t>
      </w:r>
    </w:p>
    <w:p w14:paraId="2B331B99" w14:textId="77777777" w:rsidR="0099712D" w:rsidRDefault="0099712D" w:rsidP="00771F1C">
      <w:pPr>
        <w:jc w:val="left"/>
        <w:rPr>
          <w:b/>
          <w:lang w:val="en-GB"/>
        </w:rPr>
      </w:pPr>
    </w:p>
    <w:p w14:paraId="62B67381" w14:textId="77777777" w:rsidR="00E94FDF" w:rsidRDefault="00E94FDF" w:rsidP="00E94FDF">
      <w:r>
        <w:t>EESK:</w:t>
      </w:r>
    </w:p>
    <w:p w14:paraId="0C79FB2D" w14:textId="77777777" w:rsidR="00E94FDF" w:rsidRDefault="00E94FDF" w:rsidP="00E94FDF"/>
    <w:p w14:paraId="3EA5A29F" w14:textId="77777777" w:rsidR="00E94FDF" w:rsidRDefault="00E94FDF" w:rsidP="00E94FDF">
      <w:pPr>
        <w:pStyle w:val="ListParagraph"/>
        <w:numPr>
          <w:ilvl w:val="0"/>
          <w:numId w:val="31"/>
        </w:numPr>
      </w:pPr>
      <w:r>
        <w:t>izprot Komisijas mērķi nodrošināt, ka PVN jomā attieksme pret dalībvalstu bruņotajiem spēkiem, kas sadarbojas Savienības satvarā, ir tāda pati kā pret Eiropas Savienībā izvietotajiem NATO bruņotajiem spēkiem, kuriem jau piemēro atbrīvojumu no PVN;</w:t>
      </w:r>
    </w:p>
    <w:p w14:paraId="735C8D38" w14:textId="77777777" w:rsidR="00E94FDF" w:rsidRDefault="00E94FDF" w:rsidP="00E94FDF">
      <w:pPr>
        <w:ind w:left="709" w:hanging="425"/>
      </w:pPr>
    </w:p>
    <w:p w14:paraId="40A286EB" w14:textId="77777777" w:rsidR="00E94FDF" w:rsidRDefault="00E94FDF" w:rsidP="00E94FDF">
      <w:pPr>
        <w:pStyle w:val="ListParagraph"/>
        <w:numPr>
          <w:ilvl w:val="0"/>
          <w:numId w:val="31"/>
        </w:numPr>
      </w:pPr>
      <w:r>
        <w:t>atzīmē, ka divi Komisijas priekšlikumā minētie nosacījumi atbrīvojumam no PVN ir, pirmkārt, tas, ka bruņotie spēki ir izvietoti ārpus savas dalībvalsts, un, otrkārt, tas, ka tie piedalās Eiropas aizsardzības pasākumos;</w:t>
      </w:r>
    </w:p>
    <w:p w14:paraId="361EBCAA" w14:textId="77777777" w:rsidR="00E94FDF" w:rsidRDefault="00E94FDF" w:rsidP="00E94FDF">
      <w:pPr>
        <w:ind w:left="709" w:hanging="425"/>
      </w:pPr>
    </w:p>
    <w:p w14:paraId="543890AF" w14:textId="77777777" w:rsidR="00E94FDF" w:rsidRDefault="00E94FDF" w:rsidP="00E94FDF">
      <w:pPr>
        <w:pStyle w:val="ListParagraph"/>
        <w:numPr>
          <w:ilvl w:val="0"/>
          <w:numId w:val="31"/>
        </w:numPr>
      </w:pPr>
      <w:r>
        <w:t>piekrīt, ka jaunais izņēmums netiek attiecināts uz dažām jomām. It īpaši runa ir par tādām jomām kā drošības nolūki, humanitārie un glābšanas uzdevumi un gadījumi, kad tiek izmantota solidaritātes klauzula. Tāpēc atbrīvojumi no PVN attiecas kopumā tikai uz “militārām operācijām” šaurā izpratnē;</w:t>
      </w:r>
    </w:p>
    <w:p w14:paraId="19137BFE" w14:textId="77777777" w:rsidR="00E94FDF" w:rsidRDefault="00E94FDF" w:rsidP="00E94FDF">
      <w:pPr>
        <w:ind w:left="709" w:hanging="425"/>
      </w:pPr>
    </w:p>
    <w:p w14:paraId="1B8880C3" w14:textId="77777777" w:rsidR="00E94FDF" w:rsidRDefault="00E94FDF" w:rsidP="00E94FDF">
      <w:pPr>
        <w:pStyle w:val="ListParagraph"/>
        <w:numPr>
          <w:ilvl w:val="0"/>
          <w:numId w:val="31"/>
        </w:numPr>
      </w:pPr>
      <w:r>
        <w:t>ierosina, ka valstu nodokļu iestādēm būtu jāizmanto viena sistēma jauno atbrīvojumu piemērošanai;</w:t>
      </w:r>
    </w:p>
    <w:p w14:paraId="5EC0893D" w14:textId="77777777" w:rsidR="00E94FDF" w:rsidRDefault="00E94FDF" w:rsidP="00E94FDF">
      <w:pPr>
        <w:ind w:left="709" w:hanging="425"/>
      </w:pPr>
    </w:p>
    <w:p w14:paraId="1B5DBF2E" w14:textId="77777777" w:rsidR="0099712D" w:rsidRDefault="00E94FDF" w:rsidP="00E94FDF">
      <w:pPr>
        <w:pStyle w:val="ListParagraph"/>
        <w:numPr>
          <w:ilvl w:val="0"/>
          <w:numId w:val="31"/>
        </w:numPr>
      </w:pPr>
      <w:r>
        <w:t>iesaka Komisijai iesaistīt savu PVN kontroles grupu un izveidot īpašu sistēmu, kurā no PVN atbrīvotie rēķini, ko piegādātāji izdevuši bruņotajiem spēkiem, būs jāreģistrē, lai varētu izmantot Komisijas priekšlikumā paredzēto atbrīvojumu.</w:t>
      </w:r>
    </w:p>
    <w:p w14:paraId="767C0F44" w14:textId="77777777" w:rsidR="00080B66" w:rsidRPr="000F3316" w:rsidRDefault="00080B66" w:rsidP="00771F1C"/>
    <w:p w14:paraId="10628F74" w14:textId="77777777" w:rsidR="0099712D" w:rsidRPr="00554D34" w:rsidRDefault="0099712D" w:rsidP="00771F1C">
      <w:pPr>
        <w:tabs>
          <w:tab w:val="left" w:pos="1701"/>
        </w:tabs>
        <w:rPr>
          <w:i/>
        </w:rPr>
      </w:pPr>
      <w:r>
        <w:rPr>
          <w:b/>
          <w:i/>
        </w:rPr>
        <w:t>Kontaktpersona:</w:t>
      </w:r>
      <w:r>
        <w:rPr>
          <w:i/>
        </w:rPr>
        <w:tab/>
        <w:t>Jüri Soosaar</w:t>
      </w:r>
    </w:p>
    <w:p w14:paraId="30261069" w14:textId="2E6E9C8E" w:rsidR="00021286" w:rsidRPr="0035587B" w:rsidRDefault="0099712D" w:rsidP="00771F1C">
      <w:pPr>
        <w:tabs>
          <w:tab w:val="left" w:pos="1701"/>
        </w:tabs>
        <w:ind w:left="1701"/>
        <w:jc w:val="left"/>
        <w:rPr>
          <w:i/>
        </w:rPr>
      </w:pPr>
      <w:r>
        <w:rPr>
          <w:i/>
        </w:rPr>
        <w:t>(Tālr.: 00 32 2 546 96 28, e-pasta adrese:</w:t>
      </w:r>
      <w:r w:rsidR="00A10EB9">
        <w:rPr>
          <w:i/>
        </w:rPr>
        <w:t xml:space="preserve"> </w:t>
      </w:r>
      <w:hyperlink r:id="rId24" w:history="1">
        <w:r>
          <w:rPr>
            <w:rStyle w:val="Hyperlink"/>
            <w:i/>
          </w:rPr>
          <w:t>Juri.Soosaar@eesc.europa.eu</w:t>
        </w:r>
      </w:hyperlink>
      <w:r>
        <w:t>)</w:t>
      </w:r>
    </w:p>
    <w:p w14:paraId="3F50599F" w14:textId="77777777" w:rsidR="00021286" w:rsidRDefault="00021286" w:rsidP="00771F1C">
      <w:pPr>
        <w:jc w:val="left"/>
        <w:rPr>
          <w:i/>
        </w:rPr>
      </w:pPr>
    </w:p>
    <w:p w14:paraId="088AFB90" w14:textId="77777777" w:rsidR="00021286" w:rsidRPr="003F4E00" w:rsidRDefault="00021286" w:rsidP="00E94FDF">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lastRenderedPageBreak/>
        <w:t>Eurozonas ekonomikas politika (2019)</w:t>
      </w:r>
    </w:p>
    <w:p w14:paraId="56E16BC6" w14:textId="77777777" w:rsidR="00021286" w:rsidRPr="005C58CA" w:rsidRDefault="00021286" w:rsidP="00E94FDF">
      <w:pPr>
        <w:keepNext/>
        <w:keepLines/>
        <w:widowControl w:val="0"/>
        <w:rPr>
          <w:bCs/>
          <w:lang w:val="en-GB"/>
        </w:rPr>
      </w:pPr>
    </w:p>
    <w:p w14:paraId="20F06811" w14:textId="773C7EB9" w:rsidR="00021286" w:rsidRPr="00021286" w:rsidRDefault="00021286" w:rsidP="00E94FDF">
      <w:pPr>
        <w:keepNext/>
        <w:keepLines/>
        <w:tabs>
          <w:tab w:val="center" w:pos="284"/>
        </w:tabs>
        <w:ind w:left="266" w:hanging="266"/>
      </w:pPr>
      <w:r>
        <w:rPr>
          <w:b/>
          <w:szCs w:val="20"/>
        </w:rPr>
        <w:t>Ziņotājs:</w:t>
      </w:r>
      <w:r w:rsidR="00215328">
        <w:rPr>
          <w:b/>
          <w:szCs w:val="20"/>
        </w:rPr>
        <w:tab/>
      </w:r>
      <w:r>
        <w:t>Petr Zahradník (Darba devēju grupa – CZ)</w:t>
      </w:r>
    </w:p>
    <w:p w14:paraId="41D5258C" w14:textId="77777777" w:rsidR="00021286" w:rsidRPr="008D5C22" w:rsidRDefault="00021286" w:rsidP="00E94FDF">
      <w:pPr>
        <w:keepNext/>
        <w:keepLines/>
        <w:rPr>
          <w:lang w:val="en-GB"/>
        </w:rPr>
      </w:pPr>
    </w:p>
    <w:p w14:paraId="290E4FBE" w14:textId="6283FBDF" w:rsidR="00021286" w:rsidRPr="0035587B" w:rsidRDefault="00021286" w:rsidP="007C3B01">
      <w:pPr>
        <w:keepNext/>
        <w:keepLines/>
        <w:ind w:left="1701" w:hanging="1560"/>
      </w:pPr>
      <w:r>
        <w:rPr>
          <w:b/>
        </w:rPr>
        <w:t>Atsauce:</w:t>
      </w:r>
      <w:r>
        <w:tab/>
        <w:t>COM(2018) 759 final</w:t>
      </w:r>
    </w:p>
    <w:p w14:paraId="2515E45F" w14:textId="34903313" w:rsidR="00021286" w:rsidRPr="0035587B" w:rsidRDefault="00021286" w:rsidP="007C3B01">
      <w:pPr>
        <w:keepNext/>
        <w:keepLines/>
        <w:tabs>
          <w:tab w:val="left" w:pos="1701"/>
        </w:tabs>
        <w:ind w:left="1701"/>
      </w:pPr>
      <w:r>
        <w:t>EESC-2019-02839-00-01-AC</w:t>
      </w:r>
    </w:p>
    <w:p w14:paraId="53E6DAC4" w14:textId="77777777" w:rsidR="00021286" w:rsidRPr="0035587B" w:rsidRDefault="00021286" w:rsidP="00E94FDF">
      <w:pPr>
        <w:keepNext/>
        <w:keepLines/>
        <w:tabs>
          <w:tab w:val="num" w:pos="550"/>
        </w:tabs>
        <w:rPr>
          <w:highlight w:val="green"/>
        </w:rPr>
      </w:pPr>
    </w:p>
    <w:p w14:paraId="5A636B44" w14:textId="77777777" w:rsidR="00021286" w:rsidRDefault="00021286" w:rsidP="00AE43C6">
      <w:pPr>
        <w:keepNext/>
        <w:keepLines/>
        <w:jc w:val="left"/>
        <w:rPr>
          <w:b/>
        </w:rPr>
      </w:pPr>
      <w:r>
        <w:rPr>
          <w:b/>
        </w:rPr>
        <w:t>Galvenās nostādnes</w:t>
      </w:r>
    </w:p>
    <w:p w14:paraId="3316F648" w14:textId="77777777" w:rsidR="00021286" w:rsidRDefault="00021286" w:rsidP="00AE43C6">
      <w:pPr>
        <w:keepNext/>
        <w:keepLines/>
        <w:jc w:val="left"/>
        <w:rPr>
          <w:b/>
          <w:lang w:val="en-GB"/>
        </w:rPr>
      </w:pPr>
    </w:p>
    <w:p w14:paraId="12F2F530" w14:textId="77777777" w:rsidR="00E94FDF" w:rsidRDefault="00E94FDF" w:rsidP="00AE43C6">
      <w:pPr>
        <w:keepNext/>
        <w:keepLines/>
      </w:pPr>
      <w:r>
        <w:t>EESK:</w:t>
      </w:r>
    </w:p>
    <w:p w14:paraId="0DB4DB6D" w14:textId="77777777" w:rsidR="00E94FDF" w:rsidRDefault="00E94FDF" w:rsidP="00AE43C6">
      <w:pPr>
        <w:keepNext/>
        <w:keepLines/>
      </w:pPr>
    </w:p>
    <w:p w14:paraId="6E52A5C8" w14:textId="77777777" w:rsidR="00E94FDF" w:rsidRDefault="00E94FDF" w:rsidP="00AE43C6">
      <w:pPr>
        <w:pStyle w:val="ListParagraph"/>
        <w:keepNext/>
        <w:keepLines/>
        <w:numPr>
          <w:ilvl w:val="0"/>
          <w:numId w:val="32"/>
        </w:numPr>
      </w:pPr>
      <w:r>
        <w:t>ņem vērā ES un eurozonas ekonomikas pozitīvās attīstības tendences pēdējos gados un konstatē, ka pašlaik ekonomika salīdzinoši vairāk nekā parasti ir pakļauta ārējo risku ietekmei;</w:t>
      </w:r>
    </w:p>
    <w:p w14:paraId="73AEEAE8" w14:textId="77777777" w:rsidR="00E94FDF" w:rsidRDefault="00E94FDF" w:rsidP="00AE43C6">
      <w:pPr>
        <w:keepNext/>
        <w:keepLines/>
      </w:pPr>
    </w:p>
    <w:p w14:paraId="1876ACDC" w14:textId="77777777" w:rsidR="00E94FDF" w:rsidRDefault="00E94FDF" w:rsidP="00AE43C6">
      <w:pPr>
        <w:pStyle w:val="ListParagraph"/>
        <w:keepNext/>
        <w:keepLines/>
        <w:numPr>
          <w:ilvl w:val="0"/>
          <w:numId w:val="32"/>
        </w:numPr>
      </w:pPr>
      <w:r>
        <w:t>uzskata, ka ir svarīgi, lai fiskālā politika papildinātu Eiropas Centrālās bankas ekspansīvo monetāro politiku, šajā nolūkā eurozonā izmantojot pozitīvu fiskālo nostāju un vienlaikus ievērojot fiskālo disciplīnu;</w:t>
      </w:r>
    </w:p>
    <w:p w14:paraId="1BD24107" w14:textId="77777777" w:rsidR="00E94FDF" w:rsidRDefault="00E94FDF" w:rsidP="00E94FDF"/>
    <w:p w14:paraId="6C15597F" w14:textId="77777777" w:rsidR="00E94FDF" w:rsidRDefault="00E94FDF" w:rsidP="00E94FDF">
      <w:pPr>
        <w:pStyle w:val="ListParagraph"/>
        <w:numPr>
          <w:ilvl w:val="0"/>
          <w:numId w:val="32"/>
        </w:numPr>
      </w:pPr>
      <w:r>
        <w:t>ņem vērā investīciju pašreizējo pieaugumu ES un eurozonā, taču uzskata, ka ir nepieciešami lielāki resursi gan privātā, gan publiskā sektora ieguldījumiem, jo īpaši ņemot vērā, ka šādi ieguldījumi Ķīnā vai ASV ir lielāki;</w:t>
      </w:r>
    </w:p>
    <w:p w14:paraId="0A174092" w14:textId="77777777" w:rsidR="00E94FDF" w:rsidRDefault="00E94FDF" w:rsidP="00E94FDF"/>
    <w:p w14:paraId="3914D604" w14:textId="77777777" w:rsidR="00E94FDF" w:rsidRDefault="00E94FDF" w:rsidP="00E94FDF">
      <w:pPr>
        <w:pStyle w:val="ListParagraph"/>
        <w:numPr>
          <w:ilvl w:val="0"/>
          <w:numId w:val="32"/>
        </w:numPr>
      </w:pPr>
      <w:r>
        <w:t>atzinīgi vērtē priekšlikumu par budžeta instrumentu konverģences un konkurētspējas nodrošināšanai, kā arī tā ciešo saikni ar reformu atbalsta programmu;</w:t>
      </w:r>
    </w:p>
    <w:p w14:paraId="6F631B09" w14:textId="77777777" w:rsidR="00E94FDF" w:rsidRDefault="00E94FDF" w:rsidP="00E94FDF"/>
    <w:p w14:paraId="48112254" w14:textId="77777777" w:rsidR="00E94FDF" w:rsidRDefault="00E94FDF" w:rsidP="00E94FDF">
      <w:pPr>
        <w:pStyle w:val="ListParagraph"/>
        <w:numPr>
          <w:ilvl w:val="0"/>
          <w:numId w:val="32"/>
        </w:numPr>
      </w:pPr>
      <w:r>
        <w:t>vēlas, lai budžeta instruments konverģences un konkurētspējas nodrošināšanai un reformu atbalsta programma sniedz spēcīgu atbalstu reformām un ieguldījumiem gan eurozonā, gan valstīs, kas ir ārpus tās;</w:t>
      </w:r>
    </w:p>
    <w:p w14:paraId="545EC64F" w14:textId="77777777" w:rsidR="00E94FDF" w:rsidRDefault="00E94FDF" w:rsidP="00E94FDF"/>
    <w:p w14:paraId="52EA9DB7" w14:textId="77777777" w:rsidR="00E94FDF" w:rsidRDefault="00E94FDF" w:rsidP="00E94FDF">
      <w:pPr>
        <w:pStyle w:val="ListParagraph"/>
        <w:numPr>
          <w:ilvl w:val="0"/>
          <w:numId w:val="32"/>
        </w:numPr>
      </w:pPr>
      <w:r>
        <w:t>tomēr uzskata, ka priekšlikumi par daudzgadu finanšu shēmu 2021.–2027. gadam varētu būt nepietiekami, lai veiksmīgi īstenotu šīs programmas, un atkārtoti pauž aicinājumu palielināt šā mērķa īstenošanai paredzētos resursus;</w:t>
      </w:r>
    </w:p>
    <w:p w14:paraId="0DB1473B" w14:textId="77777777" w:rsidR="00E94FDF" w:rsidRDefault="00E94FDF" w:rsidP="00E94FDF"/>
    <w:p w14:paraId="65065C6D" w14:textId="77777777" w:rsidR="00E94FDF" w:rsidRDefault="00E94FDF" w:rsidP="00E94FDF">
      <w:pPr>
        <w:pStyle w:val="ListParagraph"/>
        <w:numPr>
          <w:ilvl w:val="0"/>
          <w:numId w:val="32"/>
        </w:numPr>
      </w:pPr>
      <w:r>
        <w:t>atbalsta un atzinīgi vērtē investīciju, strukturālo reformu un fiskālās atbildības līdzsvarotību un savstarpēju atbilstību;</w:t>
      </w:r>
    </w:p>
    <w:p w14:paraId="4014B211" w14:textId="77777777" w:rsidR="00E94FDF" w:rsidRDefault="00E94FDF" w:rsidP="00E94FDF"/>
    <w:p w14:paraId="7500024D" w14:textId="77777777" w:rsidR="00E94FDF" w:rsidRDefault="00E94FDF" w:rsidP="00E94FDF">
      <w:pPr>
        <w:pStyle w:val="ListParagraph"/>
        <w:numPr>
          <w:ilvl w:val="0"/>
          <w:numId w:val="32"/>
        </w:numPr>
      </w:pPr>
      <w:r>
        <w:t>uzsver, ka ļoti svarīga nozīme ir privātajām investīcijām, un pauž bažas, ka kavējas banku savienības un kapitāla tirgu savienības īstenošana, jo tās var ar efektīvākas un elastīgākas kapitāla plūsmas palīdzību veicināt ieguldījumu izaugsmes ritmu;</w:t>
      </w:r>
    </w:p>
    <w:p w14:paraId="1C6532CB" w14:textId="77777777" w:rsidR="00E94FDF" w:rsidRDefault="00E94FDF" w:rsidP="00E94FDF"/>
    <w:p w14:paraId="715A6218" w14:textId="77777777" w:rsidR="00E94FDF" w:rsidRDefault="00E94FDF" w:rsidP="00E94FDF">
      <w:pPr>
        <w:pStyle w:val="ListParagraph"/>
        <w:numPr>
          <w:ilvl w:val="0"/>
          <w:numId w:val="32"/>
        </w:numPr>
      </w:pPr>
      <w:r>
        <w:t>uzskata, ka Eiropas ekonomikas prioritātes pašlaik būtu vairāk jāsaista ar iekšējā pieprasījuma atbalstīšanu un ka ārējais saldo, ko rada preču un pakalpojumu tirdzniecība un kurš Savienības mērogā ir ļoti pozitīvs, būtu labāk jāsadala starp lielāku skaitu dalībvalstu;</w:t>
      </w:r>
    </w:p>
    <w:p w14:paraId="33723672" w14:textId="77777777" w:rsidR="00E94FDF" w:rsidRDefault="00E94FDF" w:rsidP="00E94FDF"/>
    <w:p w14:paraId="3F9F737A" w14:textId="77777777" w:rsidR="00021286" w:rsidRDefault="00E94FDF" w:rsidP="00B622FD">
      <w:pPr>
        <w:pStyle w:val="ListParagraph"/>
        <w:keepNext/>
        <w:keepLines/>
        <w:numPr>
          <w:ilvl w:val="0"/>
          <w:numId w:val="32"/>
        </w:numPr>
      </w:pPr>
      <w:r>
        <w:lastRenderedPageBreak/>
        <w:t>stingri atbalsta turpmākos pasākumus, kuru mērķis ir uzlabot vienotā iekšējā tirgus funkcionalitāti un viendabīgumu, taču vienlaikus ar raizēm norāda uz problēmu, ko rada darbaspēka trūkums un piedāvāto un pieprasīto prasmju neatbilstība.</w:t>
      </w:r>
    </w:p>
    <w:p w14:paraId="631DF4C5" w14:textId="77777777" w:rsidR="00021286" w:rsidRPr="000F3316" w:rsidRDefault="00021286" w:rsidP="00B622FD">
      <w:pPr>
        <w:keepNext/>
        <w:keepLines/>
      </w:pPr>
    </w:p>
    <w:p w14:paraId="0F442786" w14:textId="77777777" w:rsidR="00021286" w:rsidRPr="00554D34" w:rsidRDefault="00021286" w:rsidP="00B622FD">
      <w:pPr>
        <w:keepNext/>
        <w:keepLines/>
        <w:tabs>
          <w:tab w:val="left" w:pos="1701"/>
        </w:tabs>
        <w:rPr>
          <w:i/>
        </w:rPr>
      </w:pPr>
      <w:r>
        <w:rPr>
          <w:b/>
          <w:i/>
        </w:rPr>
        <w:t>Kontaktpersona:</w:t>
      </w:r>
      <w:r>
        <w:rPr>
          <w:i/>
        </w:rPr>
        <w:tab/>
        <w:t>Alexander Alexandrov</w:t>
      </w:r>
    </w:p>
    <w:p w14:paraId="44AD001E" w14:textId="77777777" w:rsidR="00E45A5E" w:rsidRPr="00A65736" w:rsidRDefault="00021286" w:rsidP="00B622FD">
      <w:pPr>
        <w:keepNext/>
        <w:keepLines/>
        <w:tabs>
          <w:tab w:val="left" w:pos="1701"/>
        </w:tabs>
        <w:ind w:left="1701"/>
        <w:jc w:val="left"/>
        <w:rPr>
          <w:i/>
        </w:rPr>
      </w:pPr>
      <w:r>
        <w:rPr>
          <w:i/>
        </w:rPr>
        <w:t>(Tālr.: 00 32 2 546 98 05, e-pasta adrese:</w:t>
      </w:r>
      <w:r>
        <w:t xml:space="preserve"> </w:t>
      </w:r>
      <w:hyperlink r:id="rId25" w:history="1">
        <w:r>
          <w:rPr>
            <w:rStyle w:val="Hyperlink"/>
            <w:i/>
          </w:rPr>
          <w:t>Alexander.Alexandrov@eesc.europa.eu</w:t>
        </w:r>
      </w:hyperlink>
      <w:r>
        <w:rPr>
          <w:i/>
        </w:rPr>
        <w:t>)</w:t>
      </w:r>
    </w:p>
    <w:p w14:paraId="3BEA60D5" w14:textId="77777777" w:rsidR="00E45A5E" w:rsidRDefault="00E45A5E" w:rsidP="00771F1C">
      <w:pPr>
        <w:jc w:val="left"/>
        <w:rPr>
          <w:i/>
        </w:rPr>
      </w:pPr>
    </w:p>
    <w:p w14:paraId="29918E5E" w14:textId="77777777" w:rsidR="00021286" w:rsidRPr="003F4E00" w:rsidRDefault="00021286" w:rsidP="00AE43C6">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2019. gada izaugsmes pētījums:</w:t>
      </w:r>
    </w:p>
    <w:p w14:paraId="500F6E76" w14:textId="77777777" w:rsidR="00021286" w:rsidRPr="005C58CA" w:rsidRDefault="00021286" w:rsidP="00AE43C6">
      <w:pPr>
        <w:keepNext/>
        <w:keepLines/>
        <w:widowControl w:val="0"/>
        <w:rPr>
          <w:bCs/>
          <w:lang w:val="en-GB"/>
        </w:rPr>
      </w:pPr>
    </w:p>
    <w:p w14:paraId="7B0D7530" w14:textId="51135762" w:rsidR="00021286" w:rsidRPr="0035587B" w:rsidRDefault="00021286" w:rsidP="00AE43C6">
      <w:pPr>
        <w:keepNext/>
        <w:keepLines/>
        <w:tabs>
          <w:tab w:val="center" w:pos="284"/>
        </w:tabs>
        <w:ind w:left="266" w:hanging="266"/>
      </w:pPr>
      <w:r>
        <w:rPr>
          <w:b/>
          <w:szCs w:val="20"/>
        </w:rPr>
        <w:t>Ziņotāja:</w:t>
      </w:r>
      <w:r w:rsidR="00215328">
        <w:rPr>
          <w:b/>
          <w:szCs w:val="20"/>
        </w:rPr>
        <w:tab/>
      </w:r>
      <w:r>
        <w:t>Anne Demelenne (Darba ņēmēju grupa – BE)</w:t>
      </w:r>
    </w:p>
    <w:p w14:paraId="4E55A7D9" w14:textId="77777777" w:rsidR="00021286" w:rsidRPr="0035587B" w:rsidRDefault="00021286" w:rsidP="00AE43C6">
      <w:pPr>
        <w:keepNext/>
        <w:keepLines/>
      </w:pPr>
    </w:p>
    <w:p w14:paraId="471521F3" w14:textId="3EEAB075" w:rsidR="00021286" w:rsidRPr="0035587B" w:rsidRDefault="00021286" w:rsidP="007C3B01">
      <w:pPr>
        <w:keepNext/>
        <w:keepLines/>
        <w:ind w:left="1701" w:hanging="1701"/>
      </w:pPr>
      <w:r>
        <w:rPr>
          <w:b/>
        </w:rPr>
        <w:t>Atsauce:</w:t>
      </w:r>
      <w:r>
        <w:tab/>
        <w:t>COM(2019) 770 final</w:t>
      </w:r>
    </w:p>
    <w:p w14:paraId="10C43342" w14:textId="1B043643" w:rsidR="00021286" w:rsidRPr="00021286" w:rsidRDefault="00021286" w:rsidP="00AE43C6">
      <w:pPr>
        <w:keepNext/>
        <w:keepLines/>
        <w:tabs>
          <w:tab w:val="left" w:pos="1701"/>
        </w:tabs>
        <w:ind w:left="1701"/>
      </w:pPr>
      <w:r>
        <w:t>EESC-2019-02909-00-01-AC</w:t>
      </w:r>
    </w:p>
    <w:p w14:paraId="51EF257F" w14:textId="77777777" w:rsidR="00021286" w:rsidRPr="008D5C22" w:rsidRDefault="00021286" w:rsidP="00771F1C">
      <w:pPr>
        <w:tabs>
          <w:tab w:val="num" w:pos="550"/>
        </w:tabs>
        <w:rPr>
          <w:highlight w:val="green"/>
        </w:rPr>
      </w:pPr>
    </w:p>
    <w:p w14:paraId="5E7E4DA8" w14:textId="77777777" w:rsidR="00021286" w:rsidRDefault="00021286" w:rsidP="00771F1C">
      <w:pPr>
        <w:jc w:val="left"/>
        <w:rPr>
          <w:b/>
        </w:rPr>
      </w:pPr>
      <w:r>
        <w:rPr>
          <w:b/>
        </w:rPr>
        <w:t>Galvenās nostādnes</w:t>
      </w:r>
    </w:p>
    <w:p w14:paraId="2E75FBAD" w14:textId="77777777" w:rsidR="00021286" w:rsidRPr="008D5C22" w:rsidRDefault="00021286" w:rsidP="00771F1C">
      <w:pPr>
        <w:jc w:val="left"/>
        <w:rPr>
          <w:lang w:val="en-GB"/>
        </w:rPr>
      </w:pPr>
    </w:p>
    <w:p w14:paraId="7F44E6EC" w14:textId="77777777" w:rsidR="00E94FDF" w:rsidRPr="00E94FDF" w:rsidRDefault="00E94FDF" w:rsidP="00E94FDF">
      <w:r>
        <w:t>EESK:</w:t>
      </w:r>
    </w:p>
    <w:p w14:paraId="115BEC17" w14:textId="77777777" w:rsidR="00E94FDF" w:rsidRPr="00E94FDF" w:rsidRDefault="00E94FDF" w:rsidP="00E94FDF">
      <w:pPr>
        <w:rPr>
          <w:lang w:val="fr-BE"/>
        </w:rPr>
      </w:pPr>
    </w:p>
    <w:p w14:paraId="0E7CE7AE" w14:textId="77777777" w:rsidR="00E94FDF" w:rsidRPr="0051246D" w:rsidRDefault="00E94FDF" w:rsidP="00E94FDF">
      <w:pPr>
        <w:pStyle w:val="ListParagraph"/>
        <w:numPr>
          <w:ilvl w:val="0"/>
          <w:numId w:val="33"/>
        </w:numPr>
      </w:pPr>
      <w:r>
        <w:t>uzskata, ka, lai uzlabotu Eiropas uzņēmumu konkurētspēju, joprojām ir vajadzīgi publiskie un privātie ieguldījumi, kā arī izdevumi apmācības un izglītības jomā (sākot no bērnu agrīnās izglītības). Konkrētām valstīm adresētajos ieteikumos (KVAI) šogad uzmanības centrā ir ieguldījumi. Īpaša uzmanība jāpievērš produktīviem ieguldījumiem, kā arī ieguldījumiem sociālajā infrastruktūrā, lai ilgtspējīgu izaugsmi izvirzītu par prioritāti, un sociālo tiesību pīlāra īstenošanas pasākumiem;</w:t>
      </w:r>
    </w:p>
    <w:p w14:paraId="68D0AFF6" w14:textId="77777777" w:rsidR="00E94FDF" w:rsidRPr="0051246D" w:rsidRDefault="00E94FDF" w:rsidP="00E94FDF"/>
    <w:p w14:paraId="28FB6196" w14:textId="77777777" w:rsidR="00E94FDF" w:rsidRPr="0051246D" w:rsidRDefault="00E94FDF" w:rsidP="00E94FDF">
      <w:pPr>
        <w:pStyle w:val="ListParagraph"/>
        <w:numPr>
          <w:ilvl w:val="0"/>
          <w:numId w:val="33"/>
        </w:numPr>
      </w:pPr>
      <w:r>
        <w:t>uzskata, ka dalībvalstīm aktīvāk jāīsteno strukturālās reformas. Runājot par valstīm ar tekošā konta pārpalikumu, Eiropas Savienības un eurozonas ekonomiskās un politiskās stabilitātes interesēs ir jāpanāk, ka dalībvalstis stingrāk ievēro makroekonomikas nelīdzsvarotības novēršanas procedūru;</w:t>
      </w:r>
    </w:p>
    <w:p w14:paraId="4EDB7C93" w14:textId="77777777" w:rsidR="00E94FDF" w:rsidRPr="0051246D" w:rsidRDefault="00E94FDF" w:rsidP="00E94FDF"/>
    <w:p w14:paraId="5546FF5F" w14:textId="77777777" w:rsidR="00E94FDF" w:rsidRPr="0051246D" w:rsidRDefault="00E94FDF" w:rsidP="00E94FDF">
      <w:pPr>
        <w:pStyle w:val="ListParagraph"/>
        <w:numPr>
          <w:ilvl w:val="0"/>
          <w:numId w:val="33"/>
        </w:numPr>
      </w:pPr>
      <w:r>
        <w:t>norāda, ka pašreizējās ļoti zemās procentu likmes ir devušas iespēju atbrīvot līdzekļus valstu budžetos. Dalībvalstīm šie līdzekļi būtu jāizmanto, lai palielinātu savus materiālos, digitālos un vides ieguldījumus, kā arī izdevumus apmācības, prasmju un kvalifikācijas pilnveidošanas jom.</w:t>
      </w:r>
    </w:p>
    <w:p w14:paraId="1FBFD5E7" w14:textId="77777777" w:rsidR="00E94FDF" w:rsidRPr="0051246D" w:rsidRDefault="00E94FDF" w:rsidP="00E94FDF"/>
    <w:p w14:paraId="1D7DB219" w14:textId="77777777" w:rsidR="00E94FDF" w:rsidRPr="0051246D" w:rsidRDefault="00E94FDF" w:rsidP="00E94FDF">
      <w:pPr>
        <w:pStyle w:val="ListParagraph"/>
        <w:numPr>
          <w:ilvl w:val="0"/>
          <w:numId w:val="33"/>
        </w:numPr>
      </w:pPr>
      <w:r>
        <w:t>atzinīgi vērtē nozīmīgo lomu, kas piešķirta Eiropas sociālo tiesību pīlāram un pārskatam par rādītājiem sociālajā jomā. Komiteja mudina Komisiju šādu pieeju izmantot un attīstīt nākamajos Eiropas pusgada ciklos.</w:t>
      </w:r>
    </w:p>
    <w:p w14:paraId="7A261EE1" w14:textId="77777777" w:rsidR="00E94FDF" w:rsidRPr="0051246D" w:rsidRDefault="00E94FDF" w:rsidP="00E94FDF">
      <w:pPr>
        <w:pStyle w:val="ListParagraph"/>
      </w:pPr>
    </w:p>
    <w:p w14:paraId="237B879D" w14:textId="77777777" w:rsidR="00E94FDF" w:rsidRPr="0051246D" w:rsidRDefault="00E94FDF" w:rsidP="007902D6">
      <w:pPr>
        <w:pStyle w:val="ListParagraph"/>
        <w:numPr>
          <w:ilvl w:val="0"/>
          <w:numId w:val="33"/>
        </w:numPr>
      </w:pPr>
      <w:r>
        <w:t>uzskata, ka pēdējā gada laikā par svarīgu jautājumu ir kļuvušas klimata pārmaiņas, un Eiropas pusgadā tās būtu vairāk jāņem vērā. Ieteikumos nākamā gada ciklam būtu jāiekļauj vairāk konkrētām valstīm adresēti ieteikumi cīņai pret eksistenciālu apdraudējumu, ko rada klimata pārmaiņas;</w:t>
      </w:r>
    </w:p>
    <w:p w14:paraId="550E5ED6" w14:textId="77777777" w:rsidR="00E94FDF" w:rsidRPr="0051246D" w:rsidRDefault="00E94FDF" w:rsidP="00E94FDF">
      <w:pPr>
        <w:pStyle w:val="ListParagraph"/>
      </w:pPr>
    </w:p>
    <w:p w14:paraId="2359188D" w14:textId="77777777" w:rsidR="00E94FDF" w:rsidRPr="0051246D" w:rsidRDefault="00E94FDF" w:rsidP="00E94FDF">
      <w:pPr>
        <w:pStyle w:val="ListParagraph"/>
        <w:numPr>
          <w:ilvl w:val="0"/>
          <w:numId w:val="33"/>
        </w:numPr>
      </w:pPr>
      <w:r>
        <w:lastRenderedPageBreak/>
        <w:t>uzskata, ka ar nodokļiem ir jāveicina produktīvi ieguldījumi un izdevumi reālajā ekonomikā. Nodokļu ieņēmumi būtu jāpārorientē no avotiem, kas saistīti ar darbu un ilgtspējīgu patēriņu, uz citiem avotiem;</w:t>
      </w:r>
    </w:p>
    <w:p w14:paraId="2C0FA6C6" w14:textId="77777777" w:rsidR="00E94FDF" w:rsidRPr="0051246D" w:rsidRDefault="00E94FDF" w:rsidP="00E94FDF">
      <w:pPr>
        <w:pStyle w:val="ListParagraph"/>
      </w:pPr>
    </w:p>
    <w:p w14:paraId="6F7DD3B1" w14:textId="77777777" w:rsidR="00E94FDF" w:rsidRPr="0051246D" w:rsidRDefault="00E94FDF" w:rsidP="00E94FDF">
      <w:pPr>
        <w:pStyle w:val="ListParagraph"/>
        <w:numPr>
          <w:ilvl w:val="0"/>
          <w:numId w:val="33"/>
        </w:numPr>
      </w:pPr>
      <w:r>
        <w:t>atzīst, ka atsevišķu Eiropas ekonomikas sektoru finansializācija ir radījusi pārmērīgu slogu uzņēmumiem un to darbiniekiem un aicina Komisiju izpētīt iespēju izmantot Eiropas pusgadu, lai veicinātu kopējās vērtības radīšanu ieinteresētajām personām, nevis tikai akcionāriem;</w:t>
      </w:r>
    </w:p>
    <w:p w14:paraId="492F1E5E" w14:textId="77777777" w:rsidR="00E94FDF" w:rsidRPr="0051246D" w:rsidRDefault="00E94FDF" w:rsidP="00E94FDF">
      <w:pPr>
        <w:pStyle w:val="ListParagraph"/>
      </w:pPr>
    </w:p>
    <w:p w14:paraId="2FACD9BC" w14:textId="77777777" w:rsidR="00021286" w:rsidRPr="0051246D" w:rsidRDefault="00E94FDF" w:rsidP="00E94FDF">
      <w:pPr>
        <w:pStyle w:val="ListParagraph"/>
        <w:numPr>
          <w:ilvl w:val="0"/>
          <w:numId w:val="33"/>
        </w:numPr>
      </w:pPr>
      <w:r>
        <w:t>atbalsta obligāto standartu ieviešanu attiecībā uz valstu valdību apspriešanos ar valstu sociālajiem partneriem dažādos Eiropas pusgada posmos.</w:t>
      </w:r>
    </w:p>
    <w:p w14:paraId="1529D61E" w14:textId="77777777" w:rsidR="00021286" w:rsidRPr="0051246D" w:rsidRDefault="00021286" w:rsidP="00771F1C"/>
    <w:p w14:paraId="0108080E" w14:textId="77777777" w:rsidR="00021286" w:rsidRPr="0035587B" w:rsidRDefault="00021286" w:rsidP="00771F1C">
      <w:pPr>
        <w:tabs>
          <w:tab w:val="left" w:pos="1701"/>
        </w:tabs>
        <w:rPr>
          <w:i/>
        </w:rPr>
      </w:pPr>
      <w:r>
        <w:rPr>
          <w:b/>
          <w:i/>
        </w:rPr>
        <w:t>Kontaktpersona:</w:t>
      </w:r>
      <w:r>
        <w:rPr>
          <w:i/>
        </w:rPr>
        <w:tab/>
        <w:t>Susanne Johansson</w:t>
      </w:r>
    </w:p>
    <w:p w14:paraId="2C29BBAE" w14:textId="77777777" w:rsidR="00A65736" w:rsidRPr="00A65736" w:rsidRDefault="00A65736" w:rsidP="00771F1C">
      <w:pPr>
        <w:tabs>
          <w:tab w:val="left" w:pos="1701"/>
        </w:tabs>
        <w:ind w:left="1701"/>
        <w:jc w:val="left"/>
        <w:rPr>
          <w:i/>
        </w:rPr>
      </w:pPr>
      <w:r>
        <w:rPr>
          <w:i/>
        </w:rPr>
        <w:t xml:space="preserve">(Tālr.: 00 32 2 546 84 77, e-pasta adrese: </w:t>
      </w:r>
      <w:hyperlink r:id="rId26" w:history="1">
        <w:r>
          <w:rPr>
            <w:rStyle w:val="Hyperlink"/>
            <w:i/>
          </w:rPr>
          <w:t>Susanne.Johansson@eesc.europa.eu</w:t>
        </w:r>
      </w:hyperlink>
      <w:r>
        <w:rPr>
          <w:i/>
        </w:rPr>
        <w:t>)</w:t>
      </w:r>
    </w:p>
    <w:p w14:paraId="5811DDB3" w14:textId="25AC1D3B" w:rsidR="00021286" w:rsidRDefault="00021286" w:rsidP="00771F1C">
      <w:pPr>
        <w:jc w:val="left"/>
        <w:rPr>
          <w:u w:val="single"/>
          <w:lang w:val="fr-BE"/>
        </w:rPr>
      </w:pPr>
    </w:p>
    <w:p w14:paraId="56EA30AE" w14:textId="77777777" w:rsidR="00215328" w:rsidRPr="0035587B" w:rsidRDefault="00215328" w:rsidP="00771F1C">
      <w:pPr>
        <w:jc w:val="left"/>
        <w:rPr>
          <w:u w:val="single"/>
          <w:lang w:val="fr-BE"/>
        </w:rPr>
      </w:pPr>
    </w:p>
    <w:p w14:paraId="4072F90D" w14:textId="77777777" w:rsidR="00021286" w:rsidRPr="003F4E00" w:rsidRDefault="00021286"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Ar Eiropas pusgadu saistītie valstu apmeklējumi 2018.–2019. gadā</w:t>
      </w:r>
    </w:p>
    <w:p w14:paraId="15C941CA" w14:textId="77777777" w:rsidR="00021286" w:rsidRPr="005C58CA" w:rsidRDefault="00021286" w:rsidP="00021286">
      <w:pPr>
        <w:widowControl w:val="0"/>
        <w:spacing w:line="240" w:lineRule="auto"/>
        <w:rPr>
          <w:bCs/>
          <w:highlight w:val="green"/>
          <w:lang w:val="en-GB"/>
        </w:rPr>
      </w:pPr>
    </w:p>
    <w:p w14:paraId="64EDA298" w14:textId="39F89940" w:rsidR="00021286" w:rsidRPr="000F3316" w:rsidRDefault="00021286" w:rsidP="00021286">
      <w:pPr>
        <w:tabs>
          <w:tab w:val="center" w:pos="284"/>
        </w:tabs>
        <w:ind w:left="266" w:hanging="266"/>
      </w:pPr>
      <w:r>
        <w:rPr>
          <w:b/>
          <w:szCs w:val="20"/>
        </w:rPr>
        <w:t>Ziņotājs:</w:t>
      </w:r>
      <w:r w:rsidR="00215328">
        <w:rPr>
          <w:b/>
          <w:szCs w:val="20"/>
        </w:rPr>
        <w:tab/>
      </w:r>
      <w:r>
        <w:t>Reine-Claude Mader (grupa “Daudzveidība Eiropā” – FR)</w:t>
      </w:r>
    </w:p>
    <w:p w14:paraId="0B83949D" w14:textId="77777777" w:rsidR="00021286" w:rsidRPr="000F3316" w:rsidRDefault="00021286" w:rsidP="00021286">
      <w:pPr>
        <w:rPr>
          <w:b/>
          <w:lang w:val="fr-BE"/>
        </w:rPr>
      </w:pPr>
    </w:p>
    <w:p w14:paraId="51E8F405" w14:textId="109D8263" w:rsidR="00021286" w:rsidRPr="0035587B" w:rsidRDefault="00021286" w:rsidP="007C3B01">
      <w:pPr>
        <w:keepNext/>
        <w:keepLines/>
        <w:ind w:left="1701" w:hanging="1701"/>
      </w:pPr>
      <w:r>
        <w:rPr>
          <w:b/>
        </w:rPr>
        <w:t>Atsauce:</w:t>
      </w:r>
      <w:r w:rsidR="00A10EB9">
        <w:t xml:space="preserve"> </w:t>
      </w:r>
      <w:r>
        <w:tab/>
        <w:t>Informatīvs ziņojums</w:t>
      </w:r>
    </w:p>
    <w:p w14:paraId="70E64B5D" w14:textId="0BA255B6" w:rsidR="00021286" w:rsidRPr="0035587B" w:rsidRDefault="00021286" w:rsidP="00021286">
      <w:pPr>
        <w:tabs>
          <w:tab w:val="left" w:pos="1701"/>
        </w:tabs>
        <w:ind w:left="1701"/>
      </w:pPr>
      <w:r>
        <w:t>EESC-2019-03722-00-02-RI</w:t>
      </w:r>
    </w:p>
    <w:p w14:paraId="4DE63009" w14:textId="77777777" w:rsidR="00021286" w:rsidRPr="0035587B" w:rsidRDefault="00021286" w:rsidP="00021286">
      <w:pPr>
        <w:tabs>
          <w:tab w:val="num" w:pos="550"/>
        </w:tabs>
        <w:rPr>
          <w:highlight w:val="green"/>
        </w:rPr>
      </w:pPr>
    </w:p>
    <w:p w14:paraId="12CDAFD9" w14:textId="77777777" w:rsidR="00021286" w:rsidRDefault="00021286" w:rsidP="00021286">
      <w:pPr>
        <w:jc w:val="left"/>
        <w:rPr>
          <w:b/>
        </w:rPr>
      </w:pPr>
      <w:r>
        <w:rPr>
          <w:b/>
        </w:rPr>
        <w:t>Galvenās nostādnes</w:t>
      </w:r>
    </w:p>
    <w:p w14:paraId="77DFE4DB" w14:textId="77777777" w:rsidR="00021286" w:rsidRPr="008D5C22" w:rsidRDefault="00021286" w:rsidP="00021286">
      <w:pPr>
        <w:jc w:val="left"/>
        <w:rPr>
          <w:lang w:val="en-GB"/>
        </w:rPr>
      </w:pPr>
    </w:p>
    <w:p w14:paraId="635B9B45" w14:textId="77777777" w:rsidR="00FD46AC" w:rsidRDefault="00FD46AC" w:rsidP="00FD46AC">
      <w:r>
        <w:t>EESK 2018. gadā nolēma informēt pilsonisko sabiedrību par Eiropas pusgadu un stiprināt tās līdzdalību minētajā procesā, kā arī apspriesties ar pilsonisko sabiedrību par ieteikumiem, ko Eiropas Komisija publicē katra gada maijā-jūnijā.</w:t>
      </w:r>
    </w:p>
    <w:p w14:paraId="4C608DB1" w14:textId="77777777" w:rsidR="00FD46AC" w:rsidRDefault="00FD46AC" w:rsidP="00FD46AC"/>
    <w:p w14:paraId="2F28A129" w14:textId="77777777" w:rsidR="00FD46AC" w:rsidRDefault="00FD46AC" w:rsidP="00FD46AC">
      <w:r>
        <w:t>Uzņemoties iniciatīvu ar Komitejas locekļu tīkla palīdzību rīkot konsultācijas apaļā galda sanāksmju veidā vairākās valstīs, EESK ir nodrošinājusi jaunu perspektīvu Eiropas pusgadam.</w:t>
      </w:r>
    </w:p>
    <w:p w14:paraId="44BB5DEA" w14:textId="77777777" w:rsidR="00FD46AC" w:rsidRDefault="00FD46AC" w:rsidP="00FD46AC"/>
    <w:p w14:paraId="630EA070" w14:textId="77777777" w:rsidR="00021286" w:rsidRDefault="00FD46AC" w:rsidP="00FD46AC">
      <w:r>
        <w:t>EESK izvirzīja trīskāršu mērķi: sniegt pilsoniskās sabiedrības ieguldījumu Eiropas pusgada īstenošanā, palielināt pilsoniskās sabiedrības informētību par šo procesu un sniegt ieguldījumu informēšanā par konkrētām valstīm adresētajiem ieteikumiem, kurus noteica Padome, lai būtu iespējama to pārraudzība. 2018. un 2019. gadā tika organizēti 12 šādi apmeklējumi.</w:t>
      </w:r>
    </w:p>
    <w:p w14:paraId="432DDF00" w14:textId="77777777" w:rsidR="00021286" w:rsidRDefault="00021286" w:rsidP="00021286"/>
    <w:p w14:paraId="51D0D592" w14:textId="77777777" w:rsidR="00FD46AC" w:rsidRDefault="00FD46AC" w:rsidP="00FD46AC">
      <w:r>
        <w:t>Uzklausīšanas bija konstruktīvas un lietderīgas, jo deva EESK iespēju veidot tiešu saikni ar visām apmeklēto valstu pilsoniskās sabiedrības grupām. Tajās noskaidrojās, ka pilsoniskās sabiedrības organizācijas ļoti vēlas saņemt informāciju par šo jautājumu.</w:t>
      </w:r>
    </w:p>
    <w:p w14:paraId="539E2252" w14:textId="77777777" w:rsidR="00FD46AC" w:rsidRDefault="00FD46AC" w:rsidP="00FD46AC"/>
    <w:p w14:paraId="74978D49" w14:textId="42226535" w:rsidR="00FD46AC" w:rsidRDefault="00FD46AC" w:rsidP="00FD46AC">
      <w:r>
        <w:t>Ņemot vērā pozitīvo attieksmi pret iniciatīvu un dalībnieku pausto interesi, jo īpaši nevalstisko organizāciju interesi, kuras atrodas tālu no lēmumu pieņemšanas centriem, EESK iesaka turpināt šo dialogu, lai palielinātu informētību par Eiropas pusgada procesu un sasniegtu plašāku auditoriju.</w:t>
      </w:r>
      <w:r w:rsidR="00A10EB9">
        <w:t xml:space="preserve"> </w:t>
      </w:r>
      <w:r>
        <w:t>Tāpēc apmeklējumi turpināsies arī 2020. gadā.</w:t>
      </w:r>
    </w:p>
    <w:p w14:paraId="75142021" w14:textId="77777777" w:rsidR="00FD46AC" w:rsidRDefault="00FD46AC" w:rsidP="00FD46AC"/>
    <w:p w14:paraId="20218083" w14:textId="4B90C751" w:rsidR="00FD46AC" w:rsidRDefault="00FD46AC" w:rsidP="00FD46AC">
      <w:r>
        <w:lastRenderedPageBreak/>
        <w:t>Lai turpinātu dialogu, EESK arī ierosina sadarbībā ar dalībvalstīm katru gadu organizēt Eiropas pusgada dienu.</w:t>
      </w:r>
    </w:p>
    <w:p w14:paraId="0C3B3FBA" w14:textId="77777777" w:rsidR="00215328" w:rsidRDefault="00215328" w:rsidP="00FD46AC"/>
    <w:p w14:paraId="37C6C405" w14:textId="77777777" w:rsidR="00FD46AC" w:rsidRDefault="00FD46AC" w:rsidP="00FD46AC">
      <w:r>
        <w:t>EESK arī iesaka katrā valstī un Eiropas Savienības līmenī organizēt ikgadējas un ilgtermiņa konsultācijas ar pilsonisko sabiedrību, kuras notiktu Komitejas vadībā, lai tā varētu īstenot savu pilsoniskās sabiedrības pārstāves lomu.</w:t>
      </w:r>
    </w:p>
    <w:p w14:paraId="5F5AD898" w14:textId="77777777" w:rsidR="00FD46AC" w:rsidRDefault="00FD46AC" w:rsidP="00FD46AC"/>
    <w:p w14:paraId="3B3424D2" w14:textId="77777777" w:rsidR="00021286" w:rsidRPr="00554D34" w:rsidRDefault="00021286" w:rsidP="00021286">
      <w:pPr>
        <w:tabs>
          <w:tab w:val="left" w:pos="1701"/>
        </w:tabs>
        <w:rPr>
          <w:i/>
        </w:rPr>
      </w:pPr>
      <w:r>
        <w:rPr>
          <w:b/>
          <w:i/>
        </w:rPr>
        <w:t>Kontaktpersona:</w:t>
      </w:r>
      <w:r>
        <w:rPr>
          <w:i/>
        </w:rPr>
        <w:tab/>
        <w:t>Jakob Andersen</w:t>
      </w:r>
    </w:p>
    <w:p w14:paraId="5A7571D1" w14:textId="5021AC67" w:rsidR="00E45A5E" w:rsidRDefault="00021286" w:rsidP="00A65736">
      <w:pPr>
        <w:tabs>
          <w:tab w:val="left" w:pos="1701"/>
        </w:tabs>
        <w:ind w:left="1701"/>
        <w:jc w:val="left"/>
        <w:rPr>
          <w:i/>
        </w:rPr>
      </w:pPr>
      <w:r>
        <w:rPr>
          <w:i/>
        </w:rPr>
        <w:t xml:space="preserve">(Tālr.: 00 32 2 546 92 58, e-pasta adrese: </w:t>
      </w:r>
      <w:hyperlink r:id="rId27" w:history="1">
        <w:r>
          <w:rPr>
            <w:rStyle w:val="Hyperlink"/>
            <w:i/>
          </w:rPr>
          <w:t>Jakob.Andersen@eesc.europa.eu</w:t>
        </w:r>
      </w:hyperlink>
      <w:r>
        <w:rPr>
          <w:i/>
        </w:rPr>
        <w:t>)</w:t>
      </w:r>
    </w:p>
    <w:p w14:paraId="669C3D7C" w14:textId="77777777" w:rsidR="00021286" w:rsidRPr="00021286" w:rsidRDefault="00021286" w:rsidP="00021286">
      <w:pPr>
        <w:spacing w:line="240" w:lineRule="auto"/>
        <w:jc w:val="left"/>
        <w:rPr>
          <w:b/>
          <w:u w:val="single"/>
        </w:rPr>
      </w:pPr>
      <w:r>
        <w:br w:type="page"/>
      </w:r>
    </w:p>
    <w:p w14:paraId="12EFA0BB" w14:textId="77777777" w:rsidR="002D0B1A" w:rsidRPr="003F4E00" w:rsidRDefault="002D0B1A" w:rsidP="003F4E00">
      <w:pPr>
        <w:pStyle w:val="Heading1"/>
        <w:keepNext/>
        <w:keepLines/>
        <w:numPr>
          <w:ilvl w:val="0"/>
          <w:numId w:val="23"/>
        </w:numPr>
        <w:tabs>
          <w:tab w:val="left" w:pos="567"/>
        </w:tabs>
        <w:ind w:left="567" w:hanging="567"/>
        <w:rPr>
          <w:b/>
        </w:rPr>
      </w:pPr>
      <w:bookmarkStart w:id="3" w:name="_Toc25663324"/>
      <w:r>
        <w:rPr>
          <w:b/>
        </w:rPr>
        <w:lastRenderedPageBreak/>
        <w:t>NODARBINĀTĪBA, SOCIĀLĀS LIETAS UN PILSONISKUMS</w:t>
      </w:r>
      <w:bookmarkEnd w:id="3"/>
    </w:p>
    <w:p w14:paraId="0DF5E1E1" w14:textId="77777777" w:rsidR="002D0B1A" w:rsidRDefault="002D0B1A" w:rsidP="002D0B1A">
      <w:pPr>
        <w:keepNext/>
        <w:keepLines/>
        <w:rPr>
          <w:lang w:val="en-GB"/>
        </w:rPr>
      </w:pPr>
    </w:p>
    <w:p w14:paraId="2CE73434" w14:textId="77777777" w:rsidR="002D0B1A" w:rsidRPr="003F4E00" w:rsidRDefault="0025260B"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Ieguldītājiem paredzētas sistēmas pilsonības un uzturēšanās atļaujas iegūšanai Eiropas Savienībā</w:t>
      </w:r>
    </w:p>
    <w:p w14:paraId="3CCA82F6" w14:textId="77777777" w:rsidR="002D0B1A" w:rsidRPr="001D58E3" w:rsidRDefault="002D0B1A" w:rsidP="00AB39F6"/>
    <w:p w14:paraId="400EE990" w14:textId="29B8F00E" w:rsidR="002D0B1A" w:rsidRPr="0025260B" w:rsidRDefault="002D0B1A" w:rsidP="00AB39F6">
      <w:pPr>
        <w:tabs>
          <w:tab w:val="left" w:pos="1701"/>
        </w:tabs>
        <w:overflowPunct w:val="0"/>
        <w:autoSpaceDE w:val="0"/>
        <w:autoSpaceDN w:val="0"/>
        <w:adjustRightInd w:val="0"/>
        <w:textAlignment w:val="baseline"/>
        <w:rPr>
          <w:szCs w:val="20"/>
        </w:rPr>
      </w:pPr>
      <w:r>
        <w:rPr>
          <w:b/>
          <w:szCs w:val="20"/>
        </w:rPr>
        <w:t>Ziņotājs:</w:t>
      </w:r>
      <w:r w:rsidR="00215328">
        <w:rPr>
          <w:b/>
          <w:szCs w:val="20"/>
        </w:rPr>
        <w:tab/>
      </w:r>
      <w:r>
        <w:t>Jean-Marc Roirant (grupa “Daudzveidība Eiropā” –</w:t>
      </w:r>
      <w:r w:rsidR="00A10EB9">
        <w:t xml:space="preserve"> </w:t>
      </w:r>
      <w:r>
        <w:t>FR)</w:t>
      </w:r>
    </w:p>
    <w:p w14:paraId="17231D1F" w14:textId="77777777" w:rsidR="002D0B1A" w:rsidRPr="008D5C22" w:rsidRDefault="002D0B1A" w:rsidP="00AB39F6">
      <w:pPr>
        <w:ind w:left="-5"/>
        <w:jc w:val="left"/>
        <w:rPr>
          <w:szCs w:val="20"/>
          <w:lang w:val="fr-BE"/>
        </w:rPr>
      </w:pPr>
    </w:p>
    <w:p w14:paraId="3920DFA4" w14:textId="5AD43F9C" w:rsidR="002D0B1A" w:rsidRDefault="002D0B1A" w:rsidP="00AE43C6">
      <w:pPr>
        <w:widowControl w:val="0"/>
        <w:tabs>
          <w:tab w:val="left" w:pos="1701"/>
        </w:tabs>
        <w:ind w:left="-5"/>
        <w:jc w:val="left"/>
      </w:pPr>
      <w:r>
        <w:rPr>
          <w:b/>
          <w:szCs w:val="20"/>
        </w:rPr>
        <w:t>Atsauce:</w:t>
      </w:r>
      <w:r w:rsidR="00215328">
        <w:rPr>
          <w:b/>
          <w:szCs w:val="20"/>
        </w:rPr>
        <w:tab/>
      </w:r>
      <w:r>
        <w:t>COM(2019) 12 final</w:t>
      </w:r>
    </w:p>
    <w:p w14:paraId="3D3064F4" w14:textId="77777777" w:rsidR="002D0B1A" w:rsidRPr="00427F2D" w:rsidRDefault="002D0B1A" w:rsidP="00AE43C6">
      <w:pPr>
        <w:widowControl w:val="0"/>
        <w:tabs>
          <w:tab w:val="left" w:pos="1701"/>
        </w:tabs>
        <w:ind w:left="1701"/>
        <w:jc w:val="left"/>
      </w:pPr>
      <w:r>
        <w:t>EESC-2019-01674-00-00-AC</w:t>
      </w:r>
    </w:p>
    <w:p w14:paraId="049DBE55" w14:textId="77777777" w:rsidR="002D0B1A" w:rsidRPr="008D5C22" w:rsidRDefault="002D0B1A" w:rsidP="00AE43C6">
      <w:pPr>
        <w:widowControl w:val="0"/>
        <w:jc w:val="left"/>
        <w:rPr>
          <w:b/>
        </w:rPr>
      </w:pPr>
    </w:p>
    <w:p w14:paraId="329B869D" w14:textId="77777777" w:rsidR="002817B5" w:rsidRDefault="002817B5" w:rsidP="00AE43C6">
      <w:pPr>
        <w:keepNext/>
        <w:keepLines/>
        <w:tabs>
          <w:tab w:val="center" w:pos="284"/>
        </w:tabs>
        <w:ind w:left="266" w:hanging="266"/>
        <w:rPr>
          <w:b/>
        </w:rPr>
      </w:pPr>
      <w:r>
        <w:rPr>
          <w:b/>
        </w:rPr>
        <w:t>Galvenās nostādnes</w:t>
      </w:r>
    </w:p>
    <w:p w14:paraId="138816AB" w14:textId="77777777" w:rsidR="003D760E" w:rsidRPr="00B2569F" w:rsidRDefault="003D760E" w:rsidP="00AE43C6">
      <w:pPr>
        <w:keepNext/>
        <w:keepLines/>
        <w:tabs>
          <w:tab w:val="center" w:pos="284"/>
        </w:tabs>
        <w:ind w:left="266" w:hanging="266"/>
        <w:rPr>
          <w:b/>
        </w:rPr>
      </w:pPr>
    </w:p>
    <w:p w14:paraId="66DA6B98" w14:textId="77777777" w:rsidR="003246EF" w:rsidRDefault="003246EF" w:rsidP="00AE43C6">
      <w:pPr>
        <w:keepNext/>
        <w:keepLines/>
      </w:pPr>
      <w:r>
        <w:t>EESK:</w:t>
      </w:r>
    </w:p>
    <w:p w14:paraId="645E9F60" w14:textId="77777777" w:rsidR="003246EF" w:rsidRPr="003246EF" w:rsidRDefault="003246EF" w:rsidP="00AE43C6">
      <w:pPr>
        <w:keepNext/>
        <w:keepLines/>
        <w:ind w:left="-5"/>
        <w:jc w:val="left"/>
        <w:rPr>
          <w:szCs w:val="20"/>
          <w:lang w:val="fr-BE"/>
        </w:rPr>
      </w:pPr>
    </w:p>
    <w:p w14:paraId="1D151B11" w14:textId="77777777" w:rsidR="003246EF" w:rsidRDefault="003246EF" w:rsidP="00AE43C6">
      <w:pPr>
        <w:pStyle w:val="ListParagraph"/>
        <w:keepNext/>
        <w:keepLines/>
        <w:numPr>
          <w:ilvl w:val="0"/>
          <w:numId w:val="24"/>
        </w:numPr>
        <w:tabs>
          <w:tab w:val="center" w:pos="709"/>
        </w:tabs>
        <w:ind w:left="714" w:hanging="357"/>
      </w:pPr>
      <w:r>
        <w:t>atgādina Eiropas Parlamenta aicinājumu pakāpeniski izbeigt visas ieguldītāju shēmas un mudina dalībvalstis ievērot šo ieteikumu vai arī sniegt pamatotus argumentus un pierādījumus tam, lai to nedarītu;</w:t>
      </w:r>
    </w:p>
    <w:p w14:paraId="4DBC11F3" w14:textId="77777777" w:rsidR="003246EF" w:rsidRPr="00AE1A46" w:rsidRDefault="003246EF" w:rsidP="00AE1A46">
      <w:pPr>
        <w:ind w:left="714" w:hanging="357"/>
        <w:jc w:val="left"/>
        <w:rPr>
          <w:szCs w:val="20"/>
        </w:rPr>
      </w:pPr>
    </w:p>
    <w:p w14:paraId="430968A6" w14:textId="77777777" w:rsidR="003246EF" w:rsidRDefault="003246EF" w:rsidP="00AE1A46">
      <w:pPr>
        <w:pStyle w:val="ListParagraph"/>
        <w:numPr>
          <w:ilvl w:val="0"/>
          <w:numId w:val="24"/>
        </w:numPr>
        <w:tabs>
          <w:tab w:val="center" w:pos="709"/>
        </w:tabs>
        <w:ind w:left="714" w:hanging="357"/>
      </w:pPr>
      <w:r>
        <w:t>atzinīgi vērtē to, ka Eiropas Komisija ir izveidojusi dalībvalstu ekspertu grupu, kura pievērsīsies riskiem, kas saistīti ar ieguldītājiem paredzētajām sistēmām pilsonības un uzturēšanās atļaujas iegūšanai, un atbalsta grupas pilnvaras;</w:t>
      </w:r>
    </w:p>
    <w:p w14:paraId="5B008C2F" w14:textId="77777777" w:rsidR="003246EF" w:rsidRPr="00AE1A46" w:rsidRDefault="003246EF" w:rsidP="00AE1A46">
      <w:pPr>
        <w:ind w:left="714" w:hanging="357"/>
        <w:jc w:val="left"/>
        <w:rPr>
          <w:szCs w:val="20"/>
        </w:rPr>
      </w:pPr>
    </w:p>
    <w:p w14:paraId="3F0EC5C9" w14:textId="77777777" w:rsidR="003246EF" w:rsidRDefault="003246EF" w:rsidP="00AE1A46">
      <w:pPr>
        <w:pStyle w:val="ListParagraph"/>
        <w:numPr>
          <w:ilvl w:val="0"/>
          <w:numId w:val="24"/>
        </w:numPr>
        <w:tabs>
          <w:tab w:val="center" w:pos="709"/>
        </w:tabs>
        <w:ind w:left="714" w:hanging="357"/>
      </w:pPr>
      <w:r>
        <w:t>iesaka pieprasīt dalībvalstīm piemērot pienācīgas pārbaudes procesu, nenosakot konkrētus ilguma ierobežojumus un to pielāgojot pieteikumu iesniedzēju augstajam riska profilam;</w:t>
      </w:r>
    </w:p>
    <w:p w14:paraId="34C67A46" w14:textId="77777777" w:rsidR="003246EF" w:rsidRPr="00AE1A46" w:rsidRDefault="003246EF" w:rsidP="00AE1A46">
      <w:pPr>
        <w:ind w:left="714" w:hanging="357"/>
        <w:jc w:val="left"/>
        <w:rPr>
          <w:szCs w:val="20"/>
        </w:rPr>
      </w:pPr>
    </w:p>
    <w:p w14:paraId="3D4DA97E" w14:textId="77777777" w:rsidR="003246EF" w:rsidRDefault="003246EF" w:rsidP="00AE1A46">
      <w:pPr>
        <w:pStyle w:val="ListParagraph"/>
        <w:numPr>
          <w:ilvl w:val="0"/>
          <w:numId w:val="24"/>
        </w:numPr>
        <w:tabs>
          <w:tab w:val="center" w:pos="709"/>
        </w:tabs>
        <w:ind w:left="714" w:hanging="357"/>
      </w:pPr>
      <w:r>
        <w:t>iesaka Komisijai izveidot koordinācijas mehānismu, kas ļautu dalībvalstīm apmainīties ar informāciju par veiksmīgiem un noraidītiem pieteikumiem pilsonības un uzturēšanās atļaujas saņemšanai;</w:t>
      </w:r>
    </w:p>
    <w:p w14:paraId="676C2D59" w14:textId="77777777" w:rsidR="003246EF" w:rsidRPr="00AE1A46" w:rsidRDefault="003246EF" w:rsidP="00AE1A46">
      <w:pPr>
        <w:ind w:left="714" w:hanging="357"/>
        <w:jc w:val="left"/>
        <w:rPr>
          <w:szCs w:val="20"/>
        </w:rPr>
      </w:pPr>
    </w:p>
    <w:p w14:paraId="3C14A2B9" w14:textId="77777777" w:rsidR="003246EF" w:rsidRDefault="003246EF" w:rsidP="00AE1A46">
      <w:pPr>
        <w:pStyle w:val="ListParagraph"/>
        <w:numPr>
          <w:ilvl w:val="0"/>
          <w:numId w:val="24"/>
        </w:numPr>
        <w:tabs>
          <w:tab w:val="center" w:pos="709"/>
        </w:tabs>
        <w:ind w:left="714" w:hanging="357"/>
      </w:pPr>
      <w:r>
        <w:t>iesaka uz visiem aģentiem un starpniekiem, kas sniedz pakalpojumus pieteikumu iesniedzējiem, attiecināt regulējumu par nelikumīgi iegūtu līdzekļu legalizācijas novēršanu, kas izklāstīts Piektajā direktīvā par nelikumīgi iegūtu līdzekļu legalizācijas novēršanu;</w:t>
      </w:r>
    </w:p>
    <w:p w14:paraId="7EB3628D" w14:textId="77777777" w:rsidR="003246EF" w:rsidRPr="00AE1A46" w:rsidRDefault="003246EF" w:rsidP="00AE1A46">
      <w:pPr>
        <w:ind w:left="714" w:hanging="357"/>
        <w:jc w:val="left"/>
        <w:rPr>
          <w:szCs w:val="20"/>
        </w:rPr>
      </w:pPr>
    </w:p>
    <w:p w14:paraId="42D8C923" w14:textId="77777777" w:rsidR="003246EF" w:rsidRDefault="003246EF" w:rsidP="00AE1A46">
      <w:pPr>
        <w:pStyle w:val="ListParagraph"/>
        <w:numPr>
          <w:ilvl w:val="0"/>
          <w:numId w:val="24"/>
        </w:numPr>
        <w:tabs>
          <w:tab w:val="center" w:pos="709"/>
        </w:tabs>
        <w:ind w:left="714" w:hanging="357"/>
      </w:pPr>
      <w:r>
        <w:t>iesaka Eiropas Savienībai rosināt to, ka visiem aģentiem, kas sniedz pakalpojumus pieteikumu iesniedzējiem, jābūt akreditētiem un jāievēro rīcības kodekss;</w:t>
      </w:r>
    </w:p>
    <w:p w14:paraId="11A91EC2" w14:textId="77777777" w:rsidR="003246EF" w:rsidRPr="00AE1A46" w:rsidRDefault="003246EF" w:rsidP="00AE1A46">
      <w:pPr>
        <w:ind w:left="714" w:hanging="357"/>
        <w:jc w:val="left"/>
        <w:rPr>
          <w:szCs w:val="20"/>
        </w:rPr>
      </w:pPr>
    </w:p>
    <w:p w14:paraId="200DA031" w14:textId="77777777" w:rsidR="00AE1A46" w:rsidRDefault="003246EF" w:rsidP="00AE1A46">
      <w:pPr>
        <w:pStyle w:val="ListParagraph"/>
        <w:numPr>
          <w:ilvl w:val="0"/>
          <w:numId w:val="24"/>
        </w:numPr>
        <w:tabs>
          <w:tab w:val="center" w:pos="709"/>
        </w:tabs>
        <w:ind w:left="714" w:hanging="357"/>
      </w:pPr>
      <w:r>
        <w:t>atzīst, ka publiskā sektora iestādēm var būt vajadzība nolīgt speciālistu aģentūras nepieciešamo pārbaužu veikšanai, bet uzsver, ka galvenā atbildība par pieteikumu iesniedzēju pieņemšanu vai noraidīšanu tomēr būtu jāuzņemas pašām iestādēm. Tām ir arī jāuztur pasākumu kopums interešu konfliktu un kukuļošanas risku novēršanai;</w:t>
      </w:r>
    </w:p>
    <w:p w14:paraId="45C7359E" w14:textId="77777777" w:rsidR="00AE1A46" w:rsidRPr="00AE1A46" w:rsidRDefault="00AE1A46" w:rsidP="00AE1A46">
      <w:pPr>
        <w:ind w:left="714" w:hanging="357"/>
        <w:jc w:val="left"/>
        <w:rPr>
          <w:szCs w:val="20"/>
        </w:rPr>
      </w:pPr>
    </w:p>
    <w:p w14:paraId="0660C29F" w14:textId="77777777" w:rsidR="003246EF" w:rsidRDefault="003246EF" w:rsidP="00AE1A46">
      <w:pPr>
        <w:pStyle w:val="ListParagraph"/>
        <w:numPr>
          <w:ilvl w:val="0"/>
          <w:numId w:val="24"/>
        </w:numPr>
        <w:tabs>
          <w:tab w:val="center" w:pos="709"/>
        </w:tabs>
        <w:ind w:left="714" w:hanging="357"/>
      </w:pPr>
      <w:r>
        <w:t>ir pārliecināta, ka dalībvalstīm būtu jānodrošina, ka programmas darbojas atbilstoši stingriem pārvaldības un uzraudzības mehānismiem un ir pakļautas publiskai kontrolei.</w:t>
      </w:r>
    </w:p>
    <w:p w14:paraId="49170788" w14:textId="77777777" w:rsidR="003246EF" w:rsidRPr="00AE1A46" w:rsidRDefault="003246EF" w:rsidP="003246EF">
      <w:pPr>
        <w:ind w:left="-5"/>
        <w:jc w:val="left"/>
        <w:rPr>
          <w:szCs w:val="20"/>
        </w:rPr>
      </w:pPr>
    </w:p>
    <w:p w14:paraId="1388C7F9" w14:textId="77777777" w:rsidR="002D0B1A" w:rsidRPr="003246EF" w:rsidRDefault="002D0B1A" w:rsidP="00AB39F6">
      <w:pPr>
        <w:tabs>
          <w:tab w:val="left" w:pos="1701"/>
        </w:tabs>
        <w:overflowPunct w:val="0"/>
        <w:autoSpaceDE w:val="0"/>
        <w:autoSpaceDN w:val="0"/>
        <w:adjustRightInd w:val="0"/>
        <w:textAlignment w:val="baseline"/>
        <w:rPr>
          <w:i/>
          <w:szCs w:val="20"/>
        </w:rPr>
      </w:pPr>
      <w:r>
        <w:rPr>
          <w:b/>
          <w:i/>
          <w:szCs w:val="20"/>
        </w:rPr>
        <w:t>Kontaktpersona:</w:t>
      </w:r>
      <w:r>
        <w:rPr>
          <w:i/>
          <w:szCs w:val="20"/>
        </w:rPr>
        <w:t xml:space="preserve"> </w:t>
      </w:r>
      <w:r>
        <w:rPr>
          <w:i/>
          <w:szCs w:val="20"/>
        </w:rPr>
        <w:tab/>
        <w:t>Annemarie Wiersma</w:t>
      </w:r>
    </w:p>
    <w:p w14:paraId="016C4D97" w14:textId="77777777" w:rsidR="002D0B1A" w:rsidRPr="003246EF" w:rsidRDefault="002D0B1A" w:rsidP="00AB39F6">
      <w:pPr>
        <w:tabs>
          <w:tab w:val="left" w:pos="1701"/>
        </w:tabs>
        <w:ind w:left="1701"/>
        <w:jc w:val="left"/>
        <w:rPr>
          <w:i/>
          <w:szCs w:val="20"/>
        </w:rPr>
      </w:pPr>
      <w:r>
        <w:rPr>
          <w:i/>
          <w:szCs w:val="20"/>
        </w:rPr>
        <w:t xml:space="preserve">(Tālr.: 00 32 2 546 93 76, e-pasta adrese: </w:t>
      </w:r>
      <w:hyperlink r:id="rId28" w:history="1">
        <w:r>
          <w:rPr>
            <w:rStyle w:val="Hyperlink"/>
            <w:i/>
            <w:szCs w:val="20"/>
          </w:rPr>
          <w:t>AnneMarie.Wiersma@eesc.europa.eu</w:t>
        </w:r>
      </w:hyperlink>
      <w:r>
        <w:t>)</w:t>
      </w:r>
    </w:p>
    <w:p w14:paraId="3882877F" w14:textId="77777777" w:rsidR="00E45A5E" w:rsidRPr="003F4E00" w:rsidRDefault="00E45A5E"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bookmarkStart w:id="4" w:name="_Toc15398233"/>
      <w:r>
        <w:rPr>
          <w:b/>
          <w:i/>
          <w:sz w:val="28"/>
          <w:szCs w:val="28"/>
        </w:rPr>
        <w:lastRenderedPageBreak/>
        <w:t>Ciešāka sadarbība starp valstu nodarbinātības dienestiem (VND)</w:t>
      </w:r>
    </w:p>
    <w:p w14:paraId="0294E620" w14:textId="77777777" w:rsidR="00E45A5E" w:rsidRPr="0035587B" w:rsidRDefault="00E45A5E" w:rsidP="00902EEB">
      <w:pPr>
        <w:tabs>
          <w:tab w:val="left" w:pos="1701"/>
        </w:tabs>
        <w:overflowPunct w:val="0"/>
        <w:autoSpaceDE w:val="0"/>
        <w:autoSpaceDN w:val="0"/>
        <w:adjustRightInd w:val="0"/>
        <w:textAlignment w:val="baseline"/>
        <w:rPr>
          <w:szCs w:val="20"/>
        </w:rPr>
      </w:pPr>
    </w:p>
    <w:p w14:paraId="254D004A" w14:textId="280FE910" w:rsidR="001E7515" w:rsidRDefault="00E45A5E" w:rsidP="00AB39F6">
      <w:pPr>
        <w:tabs>
          <w:tab w:val="left" w:pos="1701"/>
        </w:tabs>
        <w:ind w:left="-5"/>
        <w:jc w:val="left"/>
        <w:rPr>
          <w:b/>
          <w:szCs w:val="20"/>
        </w:rPr>
      </w:pPr>
      <w:r>
        <w:rPr>
          <w:b/>
          <w:szCs w:val="20"/>
        </w:rPr>
        <w:t>Atsauce:</w:t>
      </w:r>
      <w:r w:rsidR="00215328">
        <w:rPr>
          <w:b/>
          <w:szCs w:val="20"/>
        </w:rPr>
        <w:tab/>
      </w:r>
      <w:r>
        <w:t>C kategorijas atzinums</w:t>
      </w:r>
    </w:p>
    <w:p w14:paraId="1610E63D" w14:textId="77777777" w:rsidR="00E45A5E" w:rsidRDefault="00E45A5E" w:rsidP="00902EEB">
      <w:pPr>
        <w:tabs>
          <w:tab w:val="left" w:pos="1701"/>
        </w:tabs>
        <w:ind w:left="1701"/>
        <w:jc w:val="left"/>
      </w:pPr>
      <w:r>
        <w:t>COM(2019) 620 final – 2019/0188 COD</w:t>
      </w:r>
    </w:p>
    <w:p w14:paraId="215D63FD" w14:textId="77777777" w:rsidR="00E45A5E" w:rsidRPr="00427F2D" w:rsidRDefault="00E45A5E" w:rsidP="00AB39F6">
      <w:pPr>
        <w:tabs>
          <w:tab w:val="left" w:pos="1701"/>
        </w:tabs>
        <w:ind w:left="1701"/>
        <w:jc w:val="left"/>
      </w:pPr>
      <w:r>
        <w:t>EESC-2019-04339-00-01-AC</w:t>
      </w:r>
    </w:p>
    <w:p w14:paraId="16D1B2BC" w14:textId="77777777" w:rsidR="00E45A5E" w:rsidRDefault="00E45A5E" w:rsidP="00AB39F6">
      <w:pPr>
        <w:jc w:val="left"/>
      </w:pPr>
    </w:p>
    <w:p w14:paraId="05C29743" w14:textId="77777777" w:rsidR="00E45A5E" w:rsidRPr="00B2569F" w:rsidRDefault="00E45A5E" w:rsidP="00AB39F6">
      <w:pPr>
        <w:keepNext/>
        <w:keepLines/>
        <w:tabs>
          <w:tab w:val="center" w:pos="284"/>
        </w:tabs>
        <w:ind w:left="266" w:hanging="266"/>
        <w:rPr>
          <w:b/>
        </w:rPr>
      </w:pPr>
      <w:r>
        <w:rPr>
          <w:b/>
        </w:rPr>
        <w:t>Galvenās nostādnes</w:t>
      </w:r>
    </w:p>
    <w:p w14:paraId="1531AB53" w14:textId="77777777" w:rsidR="00AC75D5" w:rsidRDefault="00AC75D5" w:rsidP="00AB39F6"/>
    <w:p w14:paraId="2D865BA8" w14:textId="77777777" w:rsidR="00E45A5E" w:rsidRDefault="00AC75D5" w:rsidP="00AB39F6">
      <w:r>
        <w:t>Tā kā Komisijas priekšlikuma saturs ir pilnībā pieņemams un Komiteja par šo tematu jau ir paudusi viedokli savā iepriekšējā atzinumā EESC-2019-01656-00-00-AC, Komiteja nolēma sniegt pozitīvu atzinumu par ierosināto dokumentu un atsaukties uz viedokli, ko tā paudusi minētajā atzinumā.</w:t>
      </w:r>
    </w:p>
    <w:p w14:paraId="167700F8" w14:textId="77777777" w:rsidR="00E45A5E" w:rsidRPr="000F3316" w:rsidRDefault="00E45A5E" w:rsidP="00AB39F6"/>
    <w:p w14:paraId="6E6CE1C3" w14:textId="77777777" w:rsidR="00E45A5E" w:rsidRPr="000F3316" w:rsidRDefault="00E45A5E" w:rsidP="00AB39F6">
      <w:pPr>
        <w:tabs>
          <w:tab w:val="left" w:pos="1701"/>
        </w:tabs>
        <w:overflowPunct w:val="0"/>
        <w:autoSpaceDE w:val="0"/>
        <w:autoSpaceDN w:val="0"/>
        <w:adjustRightInd w:val="0"/>
        <w:textAlignment w:val="baseline"/>
        <w:rPr>
          <w:i/>
          <w:szCs w:val="20"/>
        </w:rPr>
      </w:pPr>
      <w:r>
        <w:rPr>
          <w:b/>
          <w:i/>
          <w:szCs w:val="20"/>
        </w:rPr>
        <w:t>Kontaktpersona:</w:t>
      </w:r>
      <w:r>
        <w:rPr>
          <w:i/>
          <w:szCs w:val="20"/>
        </w:rPr>
        <w:t xml:space="preserve"> </w:t>
      </w:r>
      <w:r>
        <w:rPr>
          <w:i/>
          <w:szCs w:val="20"/>
        </w:rPr>
        <w:tab/>
        <w:t>Triin Aasmaa</w:t>
      </w:r>
    </w:p>
    <w:p w14:paraId="621DF478" w14:textId="77777777" w:rsidR="00E45A5E" w:rsidRPr="001D58E3" w:rsidRDefault="00E45A5E" w:rsidP="00AB39F6">
      <w:pPr>
        <w:tabs>
          <w:tab w:val="left" w:pos="1701"/>
        </w:tabs>
        <w:ind w:left="1701"/>
        <w:jc w:val="left"/>
        <w:rPr>
          <w:i/>
          <w:szCs w:val="20"/>
        </w:rPr>
      </w:pPr>
      <w:r>
        <w:rPr>
          <w:i/>
          <w:szCs w:val="20"/>
        </w:rPr>
        <w:t>(Tālr.: 00 32 2 546 95 24, e-pasta adrese:</w:t>
      </w:r>
      <w:r>
        <w:t xml:space="preserve"> </w:t>
      </w:r>
      <w:hyperlink r:id="rId29" w:history="1">
        <w:r>
          <w:rPr>
            <w:rStyle w:val="Hyperlink"/>
            <w:i/>
            <w:szCs w:val="20"/>
          </w:rPr>
          <w:t>Triin.Aasmaa@eesc.europa.eu</w:t>
        </w:r>
      </w:hyperlink>
      <w:r>
        <w:rPr>
          <w:i/>
          <w:szCs w:val="20"/>
        </w:rPr>
        <w:t>)</w:t>
      </w:r>
    </w:p>
    <w:p w14:paraId="32387889" w14:textId="77777777" w:rsidR="00E45A5E" w:rsidRPr="008D5C22" w:rsidRDefault="00E45A5E" w:rsidP="00E45A5E">
      <w:pPr>
        <w:spacing w:line="240" w:lineRule="auto"/>
        <w:jc w:val="left"/>
        <w:rPr>
          <w:kern w:val="28"/>
          <w:lang w:val="en-GB"/>
        </w:rPr>
      </w:pPr>
    </w:p>
    <w:p w14:paraId="3B74EA8C" w14:textId="77777777" w:rsidR="00E45A5E" w:rsidRPr="008D5C22" w:rsidRDefault="00E45A5E">
      <w:pPr>
        <w:spacing w:line="240" w:lineRule="auto"/>
        <w:jc w:val="left"/>
        <w:rPr>
          <w:kern w:val="28"/>
        </w:rPr>
      </w:pPr>
      <w:r>
        <w:br w:type="page"/>
      </w:r>
    </w:p>
    <w:p w14:paraId="0F56E157" w14:textId="77777777" w:rsidR="0099712D" w:rsidRPr="00AA527B" w:rsidRDefault="0099712D" w:rsidP="003F4E00">
      <w:pPr>
        <w:pStyle w:val="Heading1"/>
        <w:numPr>
          <w:ilvl w:val="0"/>
          <w:numId w:val="23"/>
        </w:numPr>
        <w:ind w:left="567" w:hanging="567"/>
        <w:rPr>
          <w:b/>
        </w:rPr>
      </w:pPr>
      <w:bookmarkStart w:id="5" w:name="_Toc25663325"/>
      <w:r>
        <w:rPr>
          <w:b/>
        </w:rPr>
        <w:lastRenderedPageBreak/>
        <w:t>RŪPNIECĪBAS PĀRMAIŅU KONSULTATĪVĀ KOMISIJA</w:t>
      </w:r>
      <w:bookmarkEnd w:id="4"/>
      <w:bookmarkEnd w:id="5"/>
    </w:p>
    <w:p w14:paraId="130F9057" w14:textId="77777777" w:rsidR="0099712D" w:rsidRPr="008D5C22" w:rsidRDefault="0099712D" w:rsidP="0099712D">
      <w:pPr>
        <w:keepNext/>
        <w:keepLines/>
        <w:jc w:val="left"/>
        <w:rPr>
          <w:u w:val="single"/>
          <w:lang w:val="en-GB"/>
        </w:rPr>
      </w:pPr>
    </w:p>
    <w:p w14:paraId="572102E4" w14:textId="77777777" w:rsidR="00067E1E" w:rsidRPr="00067E1E" w:rsidRDefault="00067E1E"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Nodrošināt iekļaujošu pāreju uz digitalizētu dzelzceļa nozari</w:t>
      </w:r>
    </w:p>
    <w:p w14:paraId="2878C1E4" w14:textId="77777777" w:rsidR="00067E1E" w:rsidRPr="008D5C22" w:rsidRDefault="00067E1E" w:rsidP="008D5C22">
      <w:pPr>
        <w:ind w:left="369"/>
      </w:pPr>
    </w:p>
    <w:p w14:paraId="3BB3123C" w14:textId="5B6F0A50" w:rsidR="00067E1E" w:rsidRPr="00B24A6E" w:rsidRDefault="00067E1E" w:rsidP="008D5C22">
      <w:pPr>
        <w:ind w:left="-39"/>
        <w:rPr>
          <w:szCs w:val="20"/>
        </w:rPr>
      </w:pPr>
      <w:r>
        <w:rPr>
          <w:b/>
        </w:rPr>
        <w:t>Ziņotājs:</w:t>
      </w:r>
      <w:r w:rsidR="00215328">
        <w:rPr>
          <w:b/>
        </w:rPr>
        <w:tab/>
      </w:r>
      <w:r>
        <w:t>Alberto Mazzola (Darba devēju grupa – IT)</w:t>
      </w:r>
    </w:p>
    <w:p w14:paraId="5FCF496F" w14:textId="77777777" w:rsidR="00067E1E" w:rsidRDefault="00067E1E" w:rsidP="008D5C22">
      <w:pPr>
        <w:ind w:left="-39"/>
      </w:pPr>
      <w:r>
        <w:rPr>
          <w:b/>
          <w:bCs/>
        </w:rPr>
        <w:t>Līdzziņotājs:</w:t>
      </w:r>
      <w:r>
        <w:t xml:space="preserve"> </w:t>
      </w:r>
      <w:r>
        <w:tab/>
        <w:t>Guy Greivelding (Cat.2 – LU)</w:t>
      </w:r>
    </w:p>
    <w:p w14:paraId="2E4105A9" w14:textId="77777777" w:rsidR="00067E1E" w:rsidRDefault="00067E1E" w:rsidP="008D5C22">
      <w:pPr>
        <w:ind w:left="-39"/>
        <w:rPr>
          <w:b/>
          <w:bCs/>
        </w:rPr>
      </w:pPr>
    </w:p>
    <w:p w14:paraId="0F82F22C" w14:textId="1374684B" w:rsidR="001E7515" w:rsidRDefault="00067E1E" w:rsidP="007C3B01">
      <w:pPr>
        <w:keepNext/>
        <w:keepLines/>
        <w:ind w:left="1701" w:hanging="1701"/>
        <w:rPr>
          <w:b/>
        </w:rPr>
      </w:pPr>
      <w:r>
        <w:rPr>
          <w:b/>
        </w:rPr>
        <w:t>Atsauce:</w:t>
      </w:r>
      <w:r w:rsidR="00215328">
        <w:rPr>
          <w:b/>
        </w:rPr>
        <w:tab/>
      </w:r>
      <w:r>
        <w:t>Pašiniciatīvas atzinums</w:t>
      </w:r>
    </w:p>
    <w:p w14:paraId="2D914A4B" w14:textId="77777777" w:rsidR="00067E1E" w:rsidRDefault="00067E1E" w:rsidP="00902EEB">
      <w:pPr>
        <w:ind w:left="1701"/>
      </w:pPr>
      <w:r>
        <w:t>EESC-2019-01835-00-01-AC</w:t>
      </w:r>
    </w:p>
    <w:p w14:paraId="39DBDD96" w14:textId="77777777" w:rsidR="00067E1E" w:rsidRDefault="00067E1E" w:rsidP="008D5C22">
      <w:pPr>
        <w:ind w:left="-39"/>
        <w:rPr>
          <w:b/>
        </w:rPr>
      </w:pPr>
    </w:p>
    <w:p w14:paraId="42D0A220" w14:textId="77777777" w:rsidR="00067E1E" w:rsidRDefault="009F7EDF" w:rsidP="008D5C22">
      <w:pPr>
        <w:ind w:left="-39"/>
        <w:rPr>
          <w:b/>
        </w:rPr>
      </w:pPr>
      <w:r>
        <w:rPr>
          <w:b/>
        </w:rPr>
        <w:t>Galvenās nostādnes</w:t>
      </w:r>
    </w:p>
    <w:p w14:paraId="58E88F46" w14:textId="77777777" w:rsidR="00067E1E" w:rsidRDefault="00067E1E" w:rsidP="008D5C22">
      <w:pPr>
        <w:ind w:left="-39"/>
        <w:rPr>
          <w:b/>
        </w:rPr>
      </w:pPr>
    </w:p>
    <w:p w14:paraId="6CCD4E9D" w14:textId="77777777" w:rsidR="00067E1E" w:rsidRPr="00CF512E" w:rsidRDefault="00067E1E" w:rsidP="008D5C22">
      <w:pPr>
        <w:pStyle w:val="Heading2"/>
      </w:pPr>
      <w:r>
        <w:t>Digitalizācija sekmē centienus paaugstināt dzelzceļa pārvadājumu efektivitāti un nodrošināt ērtākus pasažieru un kravu pārvadājumus, bet tā arī rada kiberdrošības risku dzelzceļa sistēmās. Tādēļ EESK iesaka Eiropas Savienības Tīklu un informācijas drošības aģentūrai un Eiropas Savienības Dzelzceļu aģentūrai ciešāk sadarboties.</w:t>
      </w:r>
    </w:p>
    <w:p w14:paraId="1B4DC33D" w14:textId="77777777" w:rsidR="00067E1E" w:rsidRDefault="00067E1E" w:rsidP="008D5C22">
      <w:pPr>
        <w:rPr>
          <w:szCs w:val="20"/>
        </w:rPr>
      </w:pPr>
    </w:p>
    <w:p w14:paraId="1147CBB6" w14:textId="77777777" w:rsidR="00067E1E" w:rsidRDefault="00067E1E" w:rsidP="008D5C22">
      <w:pPr>
        <w:pStyle w:val="Heading2"/>
      </w:pPr>
      <w:r>
        <w:t>EESK uzskata, ka Eiropas Dzelzceļa satiksmes vadības sistēmas, proti, ES dzelzceļa digitalizācijas stratēģijas galvenā elementa, ieviešana ir strauji jāpaātrina. Vajadzīgie ieguldījumi, kas pārsniedz 100 miljardus euro, ir jānodrošina ar mērķtiecīgu Komisijas iniciatīvu, stingrām ES budžeta saistībām, konkrētu atbalstu no dalībvalstu puses un ievērojamu privāto kapitālu (</w:t>
      </w:r>
      <w:r>
        <w:rPr>
          <w:i/>
        </w:rPr>
        <w:t>InvestEU</w:t>
      </w:r>
      <w:r>
        <w:t>).</w:t>
      </w:r>
    </w:p>
    <w:p w14:paraId="0A5EC2B6" w14:textId="77777777" w:rsidR="00067E1E" w:rsidRDefault="00067E1E" w:rsidP="008D5C22"/>
    <w:p w14:paraId="70607F6E" w14:textId="77777777" w:rsidR="00067E1E" w:rsidRPr="00CF512E" w:rsidRDefault="00067E1E" w:rsidP="008D5C22">
      <w:pPr>
        <w:pStyle w:val="Heading2"/>
      </w:pPr>
      <w:r>
        <w:t>EESK aicina gādāt par to, ka dzelzceļa transportu piesaista citiem sabiedriskā transporta veidiem, lai radītu visaptverošu un savstarpēji izmantojamu mobilitātes kā pakalpojuma (</w:t>
      </w:r>
      <w:r>
        <w:rPr>
          <w:i/>
          <w:iCs/>
        </w:rPr>
        <w:t>Mobility-as-a-Service</w:t>
      </w:r>
      <w:r>
        <w:t>) satvaru, kas nodrošinātu, ka mobilitāte un sabiedriskais transports kā vispārējas nozīmes pakalpojums ir visiem iedzīvotājiem pieejams par pieņemamām cenām; EESK rosina izveidot atvērtu un vienkārši savienojamu IT sistēmu dažādu transporta veidu biļešu izplatīšanai Eiropā. Dzelzceļš varētu būt pamats, kas Eiropas digitālās identitātes kontekstā ļautu attīstīt mobilitātes aspektu.</w:t>
      </w:r>
    </w:p>
    <w:p w14:paraId="41058B75" w14:textId="77777777" w:rsidR="00067E1E" w:rsidRDefault="00067E1E" w:rsidP="008D5C22">
      <w:pPr>
        <w:rPr>
          <w:color w:val="000000"/>
        </w:rPr>
      </w:pPr>
    </w:p>
    <w:p w14:paraId="0CC3E1F2" w14:textId="77777777" w:rsidR="00067E1E" w:rsidRDefault="00067E1E" w:rsidP="008D5C22">
      <w:pPr>
        <w:pStyle w:val="Heading2"/>
      </w:pPr>
      <w:r>
        <w:t>EESK aicina Eiropas Transporta darbinieku federāciju, Eiropas Dzelzceļa un infrastruktūras uzņēmumu kopienu un Eiropas Dzelzceļa infrastruktūras pārvaldītāju apvienību izveidot Eiropas Savienības sociālā dialoga ietvaros proaktīvu un pārredzamu dialogu, piemēram, “digitāla ceļveža” veidā, un nākt klajā ar kopīgām iniciatīvām, kuru mērķis būtu apzināt un prognozēt automatizācijas un digitalizācijas ietekmi un saglabāt augstu nodarbinātības līmeni un sociālās garantijas sociāli taisnīgas pārejas nodrošināšanai.</w:t>
      </w:r>
    </w:p>
    <w:p w14:paraId="51BFBD9B" w14:textId="77777777" w:rsidR="00067E1E" w:rsidRDefault="00067E1E" w:rsidP="008D5C22">
      <w:pPr>
        <w:ind w:left="567"/>
      </w:pPr>
    </w:p>
    <w:p w14:paraId="43D9C218" w14:textId="77777777" w:rsidR="00067E1E" w:rsidRPr="00BA4B13" w:rsidRDefault="00067E1E" w:rsidP="008D5C22">
      <w:pPr>
        <w:ind w:left="-39"/>
      </w:pPr>
      <w:r>
        <w:t>EESK aicina izveidot ES dzelzceļa regulatoru, kas atbalstītu ES dzelzceļa vienotā tirgus attīstību un nodarbotos arī ar digitālo aspektu izskatīšanu.</w:t>
      </w:r>
    </w:p>
    <w:p w14:paraId="13F7E3F2" w14:textId="77777777" w:rsidR="00067E1E" w:rsidRPr="00BA4B13" w:rsidRDefault="00067E1E" w:rsidP="008D5C22">
      <w:pPr>
        <w:ind w:left="-39"/>
      </w:pPr>
    </w:p>
    <w:p w14:paraId="27F06A7F" w14:textId="77777777" w:rsidR="0099712D" w:rsidRPr="00067E1E" w:rsidRDefault="0099712D" w:rsidP="008D5C22">
      <w:pPr>
        <w:tabs>
          <w:tab w:val="left" w:pos="1701"/>
        </w:tabs>
        <w:rPr>
          <w:i/>
        </w:rPr>
      </w:pPr>
      <w:r>
        <w:rPr>
          <w:b/>
          <w:i/>
        </w:rPr>
        <w:t>Kontaktpersona:</w:t>
      </w:r>
      <w:r>
        <w:rPr>
          <w:i/>
        </w:rPr>
        <w:tab/>
        <w:t>Adam Plezer</w:t>
      </w:r>
    </w:p>
    <w:p w14:paraId="4D324AB9" w14:textId="77777777" w:rsidR="00067E1E" w:rsidRPr="0035587B" w:rsidRDefault="0099712D" w:rsidP="008D5C22">
      <w:pPr>
        <w:keepNext/>
        <w:keepLines/>
        <w:tabs>
          <w:tab w:val="left" w:pos="1701"/>
        </w:tabs>
        <w:ind w:left="1701"/>
        <w:rPr>
          <w:i/>
          <w:iCs/>
        </w:rPr>
      </w:pPr>
      <w:r>
        <w:rPr>
          <w:i/>
          <w:iCs/>
        </w:rPr>
        <w:t>(Tālr.: 00 32 2 546 86 28, e-pasta adrese</w:t>
      </w:r>
      <w:r>
        <w:t>:</w:t>
      </w:r>
      <w:r>
        <w:rPr>
          <w:i/>
          <w:iCs/>
        </w:rPr>
        <w:t xml:space="preserve"> </w:t>
      </w:r>
      <w:hyperlink r:id="rId30" w:history="1">
        <w:r>
          <w:rPr>
            <w:rStyle w:val="Hyperlink"/>
            <w:i/>
            <w:iCs/>
          </w:rPr>
          <w:t>Adam.Plezer@eesc.europa.eu</w:t>
        </w:r>
      </w:hyperlink>
      <w:r>
        <w:t>)</w:t>
      </w:r>
    </w:p>
    <w:p w14:paraId="1D698B14" w14:textId="77777777" w:rsidR="00067E1E" w:rsidRPr="00BA4B13" w:rsidRDefault="00067E1E" w:rsidP="008D5C22">
      <w:pPr>
        <w:jc w:val="left"/>
        <w:rPr>
          <w:lang w:val="pt-PT"/>
        </w:rPr>
      </w:pPr>
    </w:p>
    <w:p w14:paraId="75093902" w14:textId="77777777" w:rsidR="00E45A5E" w:rsidRPr="0035587B" w:rsidRDefault="00E45A5E">
      <w:pPr>
        <w:spacing w:line="240" w:lineRule="auto"/>
        <w:jc w:val="left"/>
        <w:rPr>
          <w:kern w:val="28"/>
        </w:rPr>
      </w:pPr>
      <w:r>
        <w:br w:type="page"/>
      </w:r>
    </w:p>
    <w:p w14:paraId="7DDCEB26" w14:textId="77777777" w:rsidR="00B41FBD" w:rsidRPr="00AA527B" w:rsidRDefault="00B41FBD" w:rsidP="003246EF">
      <w:pPr>
        <w:pStyle w:val="Heading1"/>
        <w:numPr>
          <w:ilvl w:val="0"/>
          <w:numId w:val="23"/>
        </w:numPr>
        <w:ind w:left="567" w:hanging="567"/>
        <w:rPr>
          <w:b/>
        </w:rPr>
      </w:pPr>
      <w:bookmarkStart w:id="6" w:name="_Toc25663326"/>
      <w:r>
        <w:rPr>
          <w:b/>
        </w:rPr>
        <w:lastRenderedPageBreak/>
        <w:t>LAUKSAIMNIECĪBA, LAUKU ATTĪSTĪBA UN VIDE</w:t>
      </w:r>
      <w:bookmarkEnd w:id="6"/>
    </w:p>
    <w:p w14:paraId="1F360086" w14:textId="77777777" w:rsidR="00B41FBD" w:rsidRDefault="00B41FBD" w:rsidP="004B2E56">
      <w:pPr>
        <w:keepNext/>
        <w:keepLines/>
        <w:jc w:val="left"/>
        <w:rPr>
          <w:iCs/>
          <w:lang w:val="en-GB"/>
        </w:rPr>
      </w:pPr>
    </w:p>
    <w:p w14:paraId="75BEE7EC" w14:textId="77777777" w:rsidR="00B41FBD" w:rsidRPr="002A5422" w:rsidRDefault="00EA4509" w:rsidP="003F4E00">
      <w:pPr>
        <w:keepNext/>
        <w:keepLines/>
        <w:widowControl w:val="0"/>
        <w:numPr>
          <w:ilvl w:val="0"/>
          <w:numId w:val="2"/>
        </w:numPr>
        <w:overflowPunct w:val="0"/>
        <w:autoSpaceDE w:val="0"/>
        <w:autoSpaceDN w:val="0"/>
        <w:adjustRightInd w:val="0"/>
        <w:spacing w:line="240" w:lineRule="auto"/>
        <w:ind w:left="567" w:hanging="567"/>
        <w:textAlignment w:val="baseline"/>
        <w:rPr>
          <w:b/>
          <w:bCs/>
          <w:i/>
          <w:iCs/>
          <w:sz w:val="28"/>
          <w:szCs w:val="28"/>
        </w:rPr>
      </w:pPr>
      <w:r>
        <w:rPr>
          <w:b/>
          <w:i/>
          <w:sz w:val="28"/>
          <w:szCs w:val="28"/>
        </w:rPr>
        <w:t>Konstruktīvāka pilsoniskās sabiedrības loma vides tiesību īstenošanā</w:t>
      </w:r>
    </w:p>
    <w:p w14:paraId="37D4415F" w14:textId="77777777" w:rsidR="00B41FBD" w:rsidRPr="003C75A0" w:rsidRDefault="00B41FBD" w:rsidP="004B2E56">
      <w:pPr>
        <w:pStyle w:val="ListParagraph"/>
        <w:ind w:left="567"/>
        <w:rPr>
          <w:bCs/>
          <w:i/>
          <w:iCs/>
          <w:lang w:val="en-GB"/>
        </w:rPr>
      </w:pPr>
    </w:p>
    <w:p w14:paraId="64DC9E12" w14:textId="77777777" w:rsidR="00B41FBD" w:rsidRDefault="00B41FBD" w:rsidP="004B2E56">
      <w:r>
        <w:rPr>
          <w:b/>
        </w:rPr>
        <w:t>Ziņotājs:</w:t>
      </w:r>
      <w:r>
        <w:tab/>
        <w:t>Arnaud Schwartz (grupa “Daudzveidība Eiropā” – FR)</w:t>
      </w:r>
    </w:p>
    <w:p w14:paraId="7EA8FA18" w14:textId="77777777" w:rsidR="00E42454" w:rsidRPr="00E42454" w:rsidRDefault="00E42454" w:rsidP="004B2E56">
      <w:r>
        <w:rPr>
          <w:b/>
        </w:rPr>
        <w:t>Līdzziņotājs:</w:t>
      </w:r>
      <w:r>
        <w:tab/>
        <w:t>István Komoróczki (Darba devēju grupa – HU)</w:t>
      </w:r>
    </w:p>
    <w:p w14:paraId="338F5797" w14:textId="77777777" w:rsidR="00B41FBD" w:rsidRPr="001625AD" w:rsidRDefault="00B41FBD" w:rsidP="004B2E56">
      <w:pPr>
        <w:rPr>
          <w:lang w:val="en-GB"/>
        </w:rPr>
      </w:pPr>
    </w:p>
    <w:p w14:paraId="1D2012DA" w14:textId="46CE9C8E" w:rsidR="00B41FBD" w:rsidRDefault="007C3B01" w:rsidP="007C3B01">
      <w:pPr>
        <w:keepNext/>
        <w:keepLines/>
        <w:ind w:left="1701" w:hanging="1701"/>
        <w:rPr>
          <w:bCs/>
        </w:rPr>
      </w:pPr>
      <w:r>
        <w:rPr>
          <w:b/>
          <w:bCs/>
        </w:rPr>
        <w:t>Atsauce:</w:t>
      </w:r>
      <w:r w:rsidR="00215328">
        <w:rPr>
          <w:b/>
          <w:bCs/>
        </w:rPr>
        <w:tab/>
      </w:r>
      <w:r>
        <w:t>Izpētes atzinums</w:t>
      </w:r>
    </w:p>
    <w:p w14:paraId="727FE43F" w14:textId="77777777" w:rsidR="00B41FBD" w:rsidRDefault="00E42454" w:rsidP="004B2E56">
      <w:pPr>
        <w:ind w:left="1701"/>
      </w:pPr>
      <w:r>
        <w:t>EESC-2019-00097-00-00-AC</w:t>
      </w:r>
    </w:p>
    <w:p w14:paraId="2F6447CA" w14:textId="77777777" w:rsidR="002817B5" w:rsidRDefault="002817B5" w:rsidP="004B2E56">
      <w:pPr>
        <w:jc w:val="left"/>
      </w:pPr>
    </w:p>
    <w:p w14:paraId="3522D073" w14:textId="77777777" w:rsidR="002817B5" w:rsidRPr="00B2569F" w:rsidRDefault="002817B5" w:rsidP="004B2E56">
      <w:pPr>
        <w:keepNext/>
        <w:keepLines/>
        <w:tabs>
          <w:tab w:val="center" w:pos="284"/>
        </w:tabs>
        <w:ind w:left="266" w:hanging="266"/>
        <w:rPr>
          <w:b/>
        </w:rPr>
      </w:pPr>
      <w:r>
        <w:rPr>
          <w:b/>
        </w:rPr>
        <w:t>Galvenās nostādnes</w:t>
      </w:r>
    </w:p>
    <w:p w14:paraId="13A38ADF" w14:textId="77777777" w:rsidR="00CD785A" w:rsidRPr="00B7095B" w:rsidRDefault="00CD785A" w:rsidP="00CD785A">
      <w:pPr>
        <w:spacing w:line="240" w:lineRule="auto"/>
        <w:rPr>
          <w:b/>
          <w:u w:val="single"/>
        </w:rPr>
      </w:pPr>
    </w:p>
    <w:p w14:paraId="04133E3E" w14:textId="77777777" w:rsidR="00CD785A" w:rsidRDefault="00CD785A" w:rsidP="00CD785A">
      <w:pPr>
        <w:pStyle w:val="Heading2"/>
        <w:overflowPunct w:val="0"/>
        <w:autoSpaceDE w:val="0"/>
        <w:autoSpaceDN w:val="0"/>
        <w:adjustRightInd w:val="0"/>
        <w:textAlignment w:val="baseline"/>
      </w:pPr>
      <w:r>
        <w:t>EESK uzsver, ka vides tiesību akti nav pienācīgi īstenoti, jo visos institucionālajos līmeņos trūkst politiskās gribas.</w:t>
      </w:r>
    </w:p>
    <w:p w14:paraId="714790F6" w14:textId="77777777" w:rsidR="00CD785A" w:rsidRDefault="00CD785A" w:rsidP="00CD785A">
      <w:pPr>
        <w:pStyle w:val="Heading2"/>
        <w:overflowPunct w:val="0"/>
        <w:autoSpaceDE w:val="0"/>
        <w:autoSpaceDN w:val="0"/>
        <w:adjustRightInd w:val="0"/>
        <w:textAlignment w:val="baseline"/>
      </w:pPr>
    </w:p>
    <w:p w14:paraId="61910F4C" w14:textId="77777777" w:rsidR="00CD785A" w:rsidRDefault="00CD785A" w:rsidP="00CD785A">
      <w:pPr>
        <w:pStyle w:val="Heading2"/>
        <w:overflowPunct w:val="0"/>
        <w:autoSpaceDE w:val="0"/>
        <w:autoSpaceDN w:val="0"/>
        <w:adjustRightInd w:val="0"/>
        <w:textAlignment w:val="baseline"/>
      </w:pPr>
      <w:r>
        <w:t>Tāpēc EESK aicina Eiropas Komisiju izstrādāt labāku atbilstības nodrošināšanas sistēmu ES līmenī. Šajā nolūkā būtu vajadzīga pārredzamāka un noteiktāka sūdzību un pārkāpumu izskatīšana, kā arī lielāki cilvēku un finanšu resursi (piemēram, daudzgadu finanšu shēmas ietvaros). Mērķis ir paskaidrot, kas ir ES vides tiesību akti, pārbaudīt, vai tie tiek pienācīgi īstenoti, tos novērtēt un vajadzības gadījumā palīdzēt tiesām izmantot savas pilnvaras.</w:t>
      </w:r>
    </w:p>
    <w:p w14:paraId="1504C009" w14:textId="77777777" w:rsidR="00CD785A" w:rsidRDefault="00CD785A" w:rsidP="00CD785A">
      <w:pPr>
        <w:pStyle w:val="Heading2"/>
        <w:overflowPunct w:val="0"/>
        <w:autoSpaceDE w:val="0"/>
        <w:autoSpaceDN w:val="0"/>
        <w:adjustRightInd w:val="0"/>
        <w:textAlignment w:val="baseline"/>
      </w:pPr>
    </w:p>
    <w:p w14:paraId="7247E28C" w14:textId="77777777" w:rsidR="00CD785A" w:rsidRDefault="00CD785A" w:rsidP="00CD785A">
      <w:pPr>
        <w:pStyle w:val="Heading2"/>
        <w:overflowPunct w:val="0"/>
        <w:autoSpaceDE w:val="0"/>
        <w:autoSpaceDN w:val="0"/>
        <w:adjustRightInd w:val="0"/>
        <w:textAlignment w:val="baseline"/>
      </w:pPr>
      <w:r>
        <w:t>EESK atbalsta vides politikas īstenošanas pārskata (</w:t>
      </w:r>
      <w:r>
        <w:rPr>
          <w:i/>
        </w:rPr>
        <w:t>Environmental Implementation Review</w:t>
      </w:r>
      <w:r>
        <w:t>) procesu, kas ir būtiski svarīgs, lai sniegtu plašu informāciju vides jomā tādos jautājumos kā ilgtspēja, klimata pārmaiņas un dzīves kvalitāte Eiropā. Taču EESK gaida, ka EK un dalībvalstis izpildīs savas saistības, integrējot vides politikas īstenošanas pārskatos un valstu pārskatos pilsoniskās sabiedrības organizāciju uzskatus.</w:t>
      </w:r>
    </w:p>
    <w:p w14:paraId="4ACB076D" w14:textId="77777777" w:rsidR="00CD785A" w:rsidRDefault="00CD785A" w:rsidP="00CD785A">
      <w:pPr>
        <w:pStyle w:val="Heading2"/>
        <w:overflowPunct w:val="0"/>
        <w:autoSpaceDE w:val="0"/>
        <w:autoSpaceDN w:val="0"/>
        <w:adjustRightInd w:val="0"/>
        <w:textAlignment w:val="baseline"/>
      </w:pPr>
    </w:p>
    <w:p w14:paraId="69E8B018" w14:textId="77777777" w:rsidR="00CD785A" w:rsidRDefault="00CD785A" w:rsidP="00CD785A">
      <w:pPr>
        <w:pStyle w:val="Heading2"/>
        <w:overflowPunct w:val="0"/>
        <w:autoSpaceDE w:val="0"/>
        <w:autoSpaceDN w:val="0"/>
        <w:adjustRightInd w:val="0"/>
        <w:textAlignment w:val="baseline"/>
      </w:pPr>
      <w:r>
        <w:t>Pilsoniskās sabiedrības organizācijas un mazie un vidējie uzņēmumi, kas darbojas vides jomā, būtu vairāk jāiesaista informācijas sniegšanā darba ņēmējiem un izglītības un apmācības veidošanā vides jomā, lai nodrošinātu, ka plašai sabiedrībai ir pamatizpratne par šiem jautājumiem.</w:t>
      </w:r>
    </w:p>
    <w:p w14:paraId="1EB87E35" w14:textId="77777777" w:rsidR="00CD785A" w:rsidRDefault="00CD785A" w:rsidP="00CD785A">
      <w:pPr>
        <w:pStyle w:val="Heading2"/>
        <w:overflowPunct w:val="0"/>
        <w:autoSpaceDE w:val="0"/>
        <w:autoSpaceDN w:val="0"/>
        <w:adjustRightInd w:val="0"/>
        <w:textAlignment w:val="baseline"/>
      </w:pPr>
    </w:p>
    <w:p w14:paraId="26CE89E7" w14:textId="77777777" w:rsidR="00CD785A" w:rsidRDefault="00CD785A" w:rsidP="00CD785A">
      <w:pPr>
        <w:pStyle w:val="Heading2"/>
        <w:overflowPunct w:val="0"/>
        <w:autoSpaceDE w:val="0"/>
        <w:autoSpaceDN w:val="0"/>
        <w:adjustRightInd w:val="0"/>
        <w:textAlignment w:val="baseline"/>
      </w:pPr>
      <w:r>
        <w:t>Lai samazinātu mūsu ekoloģiskās pēdas nospiedumu un stiprinātu ilgtspējīgu attīstību, EESK mudina dalībvalstis pilnībā īstenot zaļā publiskā iepirkuma stratēģijas regulārā un tiešā EK uzraudzībā. Komisijai būtu jārīkojas plašāk un jānosaka pienākums zaļā publiskā iepirkuma sagatavošanā un iesniegto piedāvājumu izskatīšanā konsultēties ar pilsoniskajām sabiedrības organizācijām. Eiropas Komisijai būtu arī jāierosina iespēja izmantot ES fondus zaļā publiskā iepirkuma labvēlīgās ietekmes stiprināšanai.</w:t>
      </w:r>
    </w:p>
    <w:p w14:paraId="5C8D23CE" w14:textId="77777777" w:rsidR="00CD785A" w:rsidRDefault="00CD785A" w:rsidP="00CD785A">
      <w:pPr>
        <w:pStyle w:val="Heading2"/>
        <w:overflowPunct w:val="0"/>
        <w:autoSpaceDE w:val="0"/>
        <w:autoSpaceDN w:val="0"/>
        <w:adjustRightInd w:val="0"/>
        <w:textAlignment w:val="baseline"/>
      </w:pPr>
    </w:p>
    <w:p w14:paraId="2DA37B37" w14:textId="77777777" w:rsidR="00CD785A" w:rsidRDefault="00CD785A" w:rsidP="00CD785A">
      <w:pPr>
        <w:pStyle w:val="Heading2"/>
        <w:overflowPunct w:val="0"/>
        <w:autoSpaceDE w:val="0"/>
        <w:autoSpaceDN w:val="0"/>
        <w:adjustRightInd w:val="0"/>
        <w:textAlignment w:val="baseline"/>
      </w:pPr>
      <w:r>
        <w:t>Eiropas Savienībai ir jāpalīdz izstrādāt vietējos attīstības modeļus un veicināt visaptverošu vides aizsardzību savā teritorijā. Šo iemeslu dēļ ir vajadzīga pamanāmāka ES darbība vietējā līmenī, lai nodrošinātu, ka ES fondi tiek tērēti lietderīgi un ka attiecīgās publiskā un privātā sektora ieinteresētās personas tiek iesaistītas pienācīgā vides tiesību īstenošanā un pārvaldībā.</w:t>
      </w:r>
    </w:p>
    <w:p w14:paraId="73BABD9A" w14:textId="77777777" w:rsidR="00CD785A" w:rsidRDefault="00CD785A" w:rsidP="00CD785A">
      <w:pPr>
        <w:pStyle w:val="Heading2"/>
        <w:overflowPunct w:val="0"/>
        <w:autoSpaceDE w:val="0"/>
        <w:autoSpaceDN w:val="0"/>
        <w:adjustRightInd w:val="0"/>
        <w:textAlignment w:val="baseline"/>
      </w:pPr>
    </w:p>
    <w:p w14:paraId="5E08A7DE" w14:textId="77777777" w:rsidR="00AF5293" w:rsidRPr="00D05D7F" w:rsidRDefault="00CD785A" w:rsidP="00CD785A">
      <w:pPr>
        <w:pStyle w:val="Heading2"/>
        <w:overflowPunct w:val="0"/>
        <w:autoSpaceDE w:val="0"/>
        <w:autoSpaceDN w:val="0"/>
        <w:adjustRightInd w:val="0"/>
        <w:textAlignment w:val="baseline"/>
      </w:pPr>
      <w:r>
        <w:t>Dalībvalstīm un Eiropas Komisijai būtu jāsniedz plašāks politiskais, finansiālais un profesionālais atbalsts maziem un vidējiem uzņēmumiem un pilsoniskās sabiedrības organizācijām, lai pēc 2020. gada tās koncentrētos uz vides aizsardzību.</w:t>
      </w:r>
    </w:p>
    <w:p w14:paraId="259584A2" w14:textId="46FAC4C4" w:rsidR="00E45A5E" w:rsidRPr="0035587B" w:rsidRDefault="00E45A5E" w:rsidP="004B2E56">
      <w:pPr>
        <w:keepNext/>
        <w:keepLines/>
        <w:tabs>
          <w:tab w:val="left" w:pos="1701"/>
        </w:tabs>
        <w:rPr>
          <w:i/>
          <w:iCs/>
        </w:rPr>
      </w:pPr>
      <w:r>
        <w:rPr>
          <w:b/>
          <w:bCs/>
          <w:i/>
          <w:iCs/>
        </w:rPr>
        <w:lastRenderedPageBreak/>
        <w:t>Kontaktpersona:</w:t>
      </w:r>
      <w:r w:rsidR="00215328">
        <w:rPr>
          <w:b/>
          <w:bCs/>
          <w:i/>
          <w:iCs/>
        </w:rPr>
        <w:tab/>
      </w:r>
      <w:r>
        <w:rPr>
          <w:i/>
        </w:rPr>
        <w:t>Conrad Ganslandt</w:t>
      </w:r>
    </w:p>
    <w:p w14:paraId="740E0DA5" w14:textId="423ACED9" w:rsidR="00E45A5E" w:rsidRPr="0051246D" w:rsidRDefault="00E45A5E" w:rsidP="004B2E56">
      <w:pPr>
        <w:keepNext/>
        <w:keepLines/>
        <w:tabs>
          <w:tab w:val="left" w:pos="1701"/>
        </w:tabs>
        <w:ind w:left="1701"/>
        <w:rPr>
          <w:b/>
          <w:iCs/>
          <w:highlight w:val="yellow"/>
          <w:u w:val="single"/>
        </w:rPr>
      </w:pPr>
      <w:r>
        <w:rPr>
          <w:i/>
          <w:iCs/>
        </w:rPr>
        <w:t>(Tālr.: 00 32 2 546 82 75, e-pasta adrese:</w:t>
      </w:r>
      <w:r w:rsidR="00A10EB9">
        <w:rPr>
          <w:i/>
          <w:iCs/>
          <w:color w:val="0000FF"/>
        </w:rPr>
        <w:t xml:space="preserve"> </w:t>
      </w:r>
      <w:hyperlink r:id="rId31" w:history="1">
        <w:r>
          <w:rPr>
            <w:rStyle w:val="Hyperlink"/>
            <w:i/>
          </w:rPr>
          <w:t>Conrad.Ganslandt@eesc.europa.eu</w:t>
        </w:r>
      </w:hyperlink>
      <w:r>
        <w:t>)</w:t>
      </w:r>
    </w:p>
    <w:p w14:paraId="5A2E6821" w14:textId="61C6D320" w:rsidR="00E45A5E" w:rsidRDefault="00E45A5E" w:rsidP="004B2E56">
      <w:pPr>
        <w:keepNext/>
        <w:keepLines/>
        <w:jc w:val="left"/>
        <w:rPr>
          <w:iCs/>
        </w:rPr>
      </w:pPr>
    </w:p>
    <w:p w14:paraId="239E5263" w14:textId="77777777" w:rsidR="00215328" w:rsidRPr="0051246D" w:rsidRDefault="00215328" w:rsidP="004B2E56">
      <w:pPr>
        <w:keepNext/>
        <w:keepLines/>
        <w:jc w:val="left"/>
        <w:rPr>
          <w:iCs/>
        </w:rPr>
      </w:pPr>
    </w:p>
    <w:p w14:paraId="415D9720" w14:textId="77777777" w:rsidR="00E45A5E" w:rsidRPr="003F4E00" w:rsidRDefault="00445847" w:rsidP="003F4E00">
      <w:pPr>
        <w:pStyle w:val="ListParagraph"/>
        <w:numPr>
          <w:ilvl w:val="0"/>
          <w:numId w:val="3"/>
        </w:numPr>
        <w:ind w:left="567" w:hanging="567"/>
        <w:rPr>
          <w:b/>
          <w:i/>
          <w:sz w:val="28"/>
          <w:szCs w:val="28"/>
        </w:rPr>
      </w:pPr>
      <w:r>
        <w:rPr>
          <w:b/>
          <w:i/>
          <w:sz w:val="28"/>
          <w:szCs w:val="28"/>
        </w:rPr>
        <w:t>EK progresa ziņojums par ES mežsaimniecības stratēģiju</w:t>
      </w:r>
    </w:p>
    <w:p w14:paraId="3E7B77FF" w14:textId="77777777" w:rsidR="00E45A5E" w:rsidRPr="003C75A0" w:rsidRDefault="00E45A5E" w:rsidP="004B2E56">
      <w:pPr>
        <w:pStyle w:val="ListParagraph"/>
        <w:ind w:left="567"/>
        <w:rPr>
          <w:bCs/>
          <w:i/>
          <w:iCs/>
          <w:lang w:val="en-GB"/>
        </w:rPr>
      </w:pPr>
    </w:p>
    <w:p w14:paraId="21B75585" w14:textId="77777777" w:rsidR="00E45A5E" w:rsidRDefault="00E45A5E" w:rsidP="004B2E56">
      <w:r>
        <w:rPr>
          <w:b/>
        </w:rPr>
        <w:t>Ziņotājs:</w:t>
      </w:r>
      <w:r>
        <w:tab/>
        <w:t>Andreas Thurner (grupa “Daudzveidība Eiropā” – AT)</w:t>
      </w:r>
    </w:p>
    <w:p w14:paraId="115887AA" w14:textId="77777777" w:rsidR="00E45A5E" w:rsidRPr="00E42454" w:rsidRDefault="00E45A5E" w:rsidP="004B2E56">
      <w:r>
        <w:rPr>
          <w:b/>
        </w:rPr>
        <w:t>Līdzziņotājs:</w:t>
      </w:r>
      <w:r>
        <w:tab/>
        <w:t>Antonello Pezzini (Darba devēju grupa – IT)</w:t>
      </w:r>
    </w:p>
    <w:p w14:paraId="0C594F04" w14:textId="77777777" w:rsidR="00E45A5E" w:rsidRPr="001625AD" w:rsidRDefault="00E45A5E" w:rsidP="004B2E56">
      <w:pPr>
        <w:rPr>
          <w:lang w:val="en-GB"/>
        </w:rPr>
      </w:pPr>
    </w:p>
    <w:p w14:paraId="59390027" w14:textId="0DB99149" w:rsidR="00E45A5E" w:rsidRDefault="007C3B01" w:rsidP="007C3B01">
      <w:pPr>
        <w:keepNext/>
        <w:keepLines/>
        <w:ind w:left="1701" w:hanging="1701"/>
        <w:rPr>
          <w:bCs/>
        </w:rPr>
      </w:pPr>
      <w:r>
        <w:rPr>
          <w:b/>
          <w:bCs/>
        </w:rPr>
        <w:t>Atsauce:</w:t>
      </w:r>
      <w:r w:rsidR="00215328">
        <w:rPr>
          <w:b/>
          <w:bCs/>
        </w:rPr>
        <w:tab/>
      </w:r>
      <w:r>
        <w:t>COM(2019) 811 final</w:t>
      </w:r>
    </w:p>
    <w:p w14:paraId="7AC7BEBE" w14:textId="77777777" w:rsidR="00E45A5E" w:rsidRDefault="00E45A5E" w:rsidP="004B2E56">
      <w:pPr>
        <w:ind w:left="1701"/>
      </w:pPr>
      <w:r>
        <w:t>EESC-2019-00969-00-00-AC</w:t>
      </w:r>
    </w:p>
    <w:p w14:paraId="5BED7269" w14:textId="77777777" w:rsidR="00E45A5E" w:rsidRDefault="00E45A5E" w:rsidP="004B2E56">
      <w:pPr>
        <w:jc w:val="left"/>
      </w:pPr>
    </w:p>
    <w:p w14:paraId="3F4B1BDB" w14:textId="77777777" w:rsidR="00E45A5E" w:rsidRPr="00B2569F" w:rsidRDefault="00E45A5E" w:rsidP="004B2E56">
      <w:pPr>
        <w:keepNext/>
        <w:keepLines/>
        <w:tabs>
          <w:tab w:val="center" w:pos="284"/>
        </w:tabs>
        <w:ind w:left="266" w:hanging="266"/>
        <w:rPr>
          <w:b/>
        </w:rPr>
      </w:pPr>
      <w:r>
        <w:rPr>
          <w:b/>
        </w:rPr>
        <w:t>Galvenās nostādnes</w:t>
      </w:r>
    </w:p>
    <w:p w14:paraId="3F78881C" w14:textId="77777777" w:rsidR="0005133F" w:rsidRDefault="0005133F" w:rsidP="0005133F">
      <w:pPr>
        <w:pStyle w:val="Heading2"/>
        <w:overflowPunct w:val="0"/>
        <w:autoSpaceDE w:val="0"/>
        <w:autoSpaceDN w:val="0"/>
        <w:adjustRightInd w:val="0"/>
        <w:textAlignment w:val="baseline"/>
      </w:pPr>
    </w:p>
    <w:p w14:paraId="0E0A7510" w14:textId="77777777" w:rsidR="0005133F" w:rsidRDefault="0005133F" w:rsidP="0005133F">
      <w:pPr>
        <w:pStyle w:val="Heading2"/>
        <w:overflowPunct w:val="0"/>
        <w:autoSpaceDE w:val="0"/>
        <w:autoSpaceDN w:val="0"/>
        <w:adjustRightInd w:val="0"/>
        <w:textAlignment w:val="baseline"/>
      </w:pPr>
      <w:r>
        <w:t>EESK:</w:t>
      </w:r>
    </w:p>
    <w:p w14:paraId="4239A6F4" w14:textId="77777777" w:rsidR="0005133F" w:rsidRDefault="0005133F" w:rsidP="0005133F">
      <w:pPr>
        <w:pStyle w:val="Heading2"/>
        <w:overflowPunct w:val="0"/>
        <w:autoSpaceDE w:val="0"/>
        <w:autoSpaceDN w:val="0"/>
        <w:adjustRightInd w:val="0"/>
        <w:textAlignment w:val="baseline"/>
      </w:pPr>
    </w:p>
    <w:p w14:paraId="38C6A4B3" w14:textId="77777777" w:rsidR="0005133F" w:rsidRDefault="0005133F" w:rsidP="0005133F">
      <w:pPr>
        <w:pStyle w:val="Heading2"/>
        <w:numPr>
          <w:ilvl w:val="0"/>
          <w:numId w:val="26"/>
        </w:numPr>
        <w:overflowPunct w:val="0"/>
        <w:autoSpaceDE w:val="0"/>
        <w:autoSpaceDN w:val="0"/>
        <w:adjustRightInd w:val="0"/>
        <w:textAlignment w:val="baseline"/>
      </w:pPr>
      <w:r>
        <w:t>aicina pieņemt atjauninātu ES meža stratēģiju laikposmam pēc 2020. gada, ko varēti reāli īstenot līdz 2050. gadam, lai nodrošinātu, ka vispāratzītas politiskās saistības, piemēram, ANO Stratēģiskais plāns attiecībā uz mežiem, ANO ilgtspējīgas attīstības mērķi un Parīzes nolīgums, tiek īstenotas saskaņoti. Visās nozarēs būtu jāatzīst mežu, mežsaimniecības un uz koksnes resursiem balstītas rūpniecības nozīme šo mērķu sasniegšanā un attiecīgi jāoptimizē starpnozaru sadarbība;</w:t>
      </w:r>
    </w:p>
    <w:p w14:paraId="37A93A80" w14:textId="77777777" w:rsidR="0005133F" w:rsidRPr="0005133F" w:rsidRDefault="0005133F" w:rsidP="0005133F"/>
    <w:p w14:paraId="7236014F" w14:textId="77777777" w:rsidR="0005133F" w:rsidRDefault="0005133F" w:rsidP="0005133F">
      <w:pPr>
        <w:pStyle w:val="Heading2"/>
        <w:numPr>
          <w:ilvl w:val="0"/>
          <w:numId w:val="26"/>
        </w:numPr>
        <w:overflowPunct w:val="0"/>
        <w:autoSpaceDE w:val="0"/>
        <w:autoSpaceDN w:val="0"/>
        <w:adjustRightInd w:val="0"/>
        <w:textAlignment w:val="baseline"/>
      </w:pPr>
      <w:r>
        <w:t>uzsver mežu daudzfunkcionālās nozīmes svarīgumu un norāda, ka klimata pārmaiņas apdraud ekosistēmu pakalpojumus. Ir nepieciešams stabils finanšu instrumentu kopums, lai nodrošinātu pastāvīgus ieguldījumus mūsdienīgās tehnoloģijās, kā arī klimata un vides aizsardzības pasākumos nolūkā stiprināt mežu daudzfunkcionalitāti. Attiecībā uz privātiem mežiem ir būtiski nodrošināt īpašuma tiesību ievērošanu un ar mežiem saistīto lēmumu pieņemšanu sadarbībā ar meža īpašniekiem;</w:t>
      </w:r>
    </w:p>
    <w:p w14:paraId="1CDD387A" w14:textId="77777777" w:rsidR="0005133F" w:rsidRPr="0005133F" w:rsidRDefault="0005133F" w:rsidP="0005133F"/>
    <w:p w14:paraId="6DCC4EB3" w14:textId="77777777" w:rsidR="0005133F" w:rsidRDefault="0005133F" w:rsidP="0005133F">
      <w:pPr>
        <w:pStyle w:val="Heading2"/>
        <w:numPr>
          <w:ilvl w:val="0"/>
          <w:numId w:val="26"/>
        </w:numPr>
        <w:overflowPunct w:val="0"/>
        <w:autoSpaceDE w:val="0"/>
        <w:autoSpaceDN w:val="0"/>
        <w:adjustRightInd w:val="0"/>
        <w:textAlignment w:val="baseline"/>
      </w:pPr>
      <w:r>
        <w:t>iesaka apzināt pašreizējo stāvokli darbaspēka jomā un prognozēt darba tirgus vajadzības uz koksnes resursiem balstītajā rūpniecībā Eiropā. Pienācīgas kvalitātes darbvietas un darba apstākļi ir priekšnoteikums, lai jauniešus piesaistītu uz koksnes resursiem balstītai rūpniecībai;</w:t>
      </w:r>
    </w:p>
    <w:p w14:paraId="51F41393" w14:textId="77777777" w:rsidR="0005133F" w:rsidRPr="0005133F" w:rsidRDefault="0005133F" w:rsidP="0005133F"/>
    <w:p w14:paraId="1B9FD3A2" w14:textId="77777777" w:rsidR="00E45A5E" w:rsidRPr="00D05D7F" w:rsidRDefault="0005133F" w:rsidP="0005133F">
      <w:pPr>
        <w:pStyle w:val="Heading2"/>
        <w:numPr>
          <w:ilvl w:val="0"/>
          <w:numId w:val="26"/>
        </w:numPr>
        <w:overflowPunct w:val="0"/>
        <w:autoSpaceDE w:val="0"/>
        <w:autoSpaceDN w:val="0"/>
        <w:adjustRightInd w:val="0"/>
        <w:textAlignment w:val="baseline"/>
      </w:pPr>
      <w:r>
        <w:t>uzsver, ka ir svarīgi samazināt globālo atmežošanu, stiprinot ilgtspējīgu meža apsaimniekošanu, piemēram, kuras pamatā ir Eiropas līmeņa nolīgums, mobilizējot Eiropā saražoto biomasu un atbalstot pāreju uz ilgtspējīgākiem patēriņa modeļiem.</w:t>
      </w:r>
    </w:p>
    <w:p w14:paraId="5D86B089" w14:textId="77777777" w:rsidR="00E45A5E" w:rsidRPr="003C75A0" w:rsidRDefault="00E45A5E" w:rsidP="004B2E56">
      <w:pPr>
        <w:keepNext/>
        <w:keepLines/>
        <w:tabs>
          <w:tab w:val="left" w:pos="1701"/>
        </w:tabs>
        <w:rPr>
          <w:bCs/>
          <w:i/>
          <w:iCs/>
          <w:lang w:val="en-GB"/>
        </w:rPr>
      </w:pPr>
    </w:p>
    <w:p w14:paraId="132F6AF0" w14:textId="65744BC3" w:rsidR="00E45A5E" w:rsidRPr="0035587B" w:rsidRDefault="00E45A5E" w:rsidP="00D94B63">
      <w:pPr>
        <w:tabs>
          <w:tab w:val="left" w:pos="1701"/>
        </w:tabs>
        <w:rPr>
          <w:i/>
          <w:iCs/>
        </w:rPr>
      </w:pPr>
      <w:r>
        <w:rPr>
          <w:b/>
          <w:bCs/>
          <w:i/>
          <w:iCs/>
        </w:rPr>
        <w:t>Kontaktpersona:</w:t>
      </w:r>
      <w:r w:rsidR="00215328">
        <w:rPr>
          <w:b/>
          <w:bCs/>
          <w:i/>
          <w:iCs/>
        </w:rPr>
        <w:tab/>
      </w:r>
      <w:r>
        <w:rPr>
          <w:i/>
        </w:rPr>
        <w:t>Conrad Ganslandt</w:t>
      </w:r>
    </w:p>
    <w:p w14:paraId="1D2633A2" w14:textId="645F635A" w:rsidR="00432D94" w:rsidRPr="0035587B" w:rsidRDefault="00432D94" w:rsidP="00D94B63">
      <w:pPr>
        <w:tabs>
          <w:tab w:val="left" w:pos="1701"/>
        </w:tabs>
        <w:ind w:left="1701"/>
        <w:rPr>
          <w:b/>
          <w:iCs/>
          <w:highlight w:val="yellow"/>
          <w:u w:val="single"/>
        </w:rPr>
      </w:pPr>
      <w:r>
        <w:rPr>
          <w:i/>
          <w:iCs/>
        </w:rPr>
        <w:t>(Tālr.: 00 32 2 546 82 75, e-pasta adrese:</w:t>
      </w:r>
      <w:r w:rsidR="00A10EB9">
        <w:rPr>
          <w:i/>
          <w:iCs/>
          <w:color w:val="0000FF"/>
        </w:rPr>
        <w:t xml:space="preserve"> </w:t>
      </w:r>
      <w:hyperlink r:id="rId32" w:history="1">
        <w:r>
          <w:rPr>
            <w:rStyle w:val="Hyperlink"/>
            <w:i/>
          </w:rPr>
          <w:t>Conrad.Ganslandt@eesc.europa.eu</w:t>
        </w:r>
      </w:hyperlink>
      <w:r>
        <w:t>)</w:t>
      </w:r>
    </w:p>
    <w:p w14:paraId="5D979B67" w14:textId="77777777" w:rsidR="00E45A5E" w:rsidRDefault="00E45A5E" w:rsidP="00D94B63">
      <w:pPr>
        <w:jc w:val="left"/>
        <w:rPr>
          <w:iCs/>
          <w:lang w:val="en-GB"/>
        </w:rPr>
      </w:pPr>
    </w:p>
    <w:p w14:paraId="1C31982F" w14:textId="77777777" w:rsidR="00E45A5E" w:rsidRPr="003F4E00" w:rsidRDefault="000776E3" w:rsidP="00D94B63">
      <w:pPr>
        <w:pStyle w:val="ListParagraph"/>
        <w:keepNext/>
        <w:keepLines/>
        <w:numPr>
          <w:ilvl w:val="0"/>
          <w:numId w:val="3"/>
        </w:numPr>
        <w:ind w:left="567" w:hanging="567"/>
        <w:rPr>
          <w:b/>
          <w:i/>
          <w:sz w:val="28"/>
          <w:szCs w:val="28"/>
        </w:rPr>
      </w:pPr>
      <w:r>
        <w:rPr>
          <w:b/>
          <w:i/>
          <w:sz w:val="28"/>
          <w:szCs w:val="28"/>
        </w:rPr>
        <w:lastRenderedPageBreak/>
        <w:t>KLP ietekmes uz paaudžu maiņu novērtējums</w:t>
      </w:r>
    </w:p>
    <w:p w14:paraId="35A80DC7" w14:textId="77777777" w:rsidR="000776E3" w:rsidRPr="003C75A0" w:rsidRDefault="000776E3" w:rsidP="00D94B63">
      <w:pPr>
        <w:keepNext/>
        <w:keepLines/>
        <w:rPr>
          <w:lang w:val="en-GB"/>
        </w:rPr>
      </w:pPr>
    </w:p>
    <w:p w14:paraId="0B2568CF" w14:textId="77777777" w:rsidR="00E45A5E" w:rsidRDefault="00E45A5E" w:rsidP="00D94B63">
      <w:pPr>
        <w:keepNext/>
        <w:keepLines/>
      </w:pPr>
      <w:r>
        <w:rPr>
          <w:b/>
        </w:rPr>
        <w:t>Ziņotājs:</w:t>
      </w:r>
      <w:r>
        <w:tab/>
        <w:t>Piroska Kállay (Darba ņēmēju grupa – HU)</w:t>
      </w:r>
    </w:p>
    <w:p w14:paraId="353274B0" w14:textId="77777777" w:rsidR="00E45A5E" w:rsidRPr="00E42454" w:rsidRDefault="00E45A5E" w:rsidP="00D94B63">
      <w:pPr>
        <w:keepNext/>
        <w:keepLines/>
      </w:pPr>
      <w:r>
        <w:rPr>
          <w:b/>
        </w:rPr>
        <w:t>Līdzziņotājs:</w:t>
      </w:r>
      <w:r>
        <w:tab/>
        <w:t>John Bryan (grupa “Daudzveidība Eiropā” – IE)</w:t>
      </w:r>
    </w:p>
    <w:p w14:paraId="6BB35336" w14:textId="77777777" w:rsidR="00E45A5E" w:rsidRPr="001625AD" w:rsidRDefault="00E45A5E" w:rsidP="00D94B63">
      <w:pPr>
        <w:keepNext/>
        <w:keepLines/>
        <w:rPr>
          <w:lang w:val="en-GB"/>
        </w:rPr>
      </w:pPr>
    </w:p>
    <w:p w14:paraId="598C1F33" w14:textId="1BE9EFEC" w:rsidR="00E45A5E" w:rsidRDefault="007C3B01" w:rsidP="007C3B01">
      <w:pPr>
        <w:keepNext/>
        <w:keepLines/>
        <w:ind w:left="1701" w:hanging="1701"/>
        <w:rPr>
          <w:bCs/>
        </w:rPr>
      </w:pPr>
      <w:r>
        <w:rPr>
          <w:b/>
          <w:bCs/>
        </w:rPr>
        <w:t>Atsauce:</w:t>
      </w:r>
      <w:r w:rsidR="00215328">
        <w:rPr>
          <w:b/>
          <w:bCs/>
        </w:rPr>
        <w:tab/>
      </w:r>
      <w:r>
        <w:t>Informatīvs ziņojums</w:t>
      </w:r>
    </w:p>
    <w:p w14:paraId="6F95C69C" w14:textId="77777777" w:rsidR="00E45A5E" w:rsidRDefault="00E45A5E" w:rsidP="00D94B63">
      <w:pPr>
        <w:keepNext/>
        <w:keepLines/>
        <w:ind w:left="1701"/>
      </w:pPr>
      <w:r>
        <w:t>EESC-2019-02014-00-00-RI</w:t>
      </w:r>
    </w:p>
    <w:p w14:paraId="5FF13BC4" w14:textId="07F5AE41" w:rsidR="00E45A5E" w:rsidRDefault="00E45A5E" w:rsidP="004B2E56">
      <w:pPr>
        <w:jc w:val="left"/>
      </w:pPr>
    </w:p>
    <w:p w14:paraId="448EBA06" w14:textId="77777777" w:rsidR="00E45A5E" w:rsidRPr="00B2569F" w:rsidRDefault="00E45A5E" w:rsidP="004B2E56">
      <w:pPr>
        <w:keepNext/>
        <w:keepLines/>
        <w:tabs>
          <w:tab w:val="center" w:pos="284"/>
        </w:tabs>
        <w:ind w:left="266" w:hanging="266"/>
        <w:rPr>
          <w:b/>
        </w:rPr>
      </w:pPr>
      <w:r>
        <w:rPr>
          <w:b/>
        </w:rPr>
        <w:t>Galvenās nostādnes</w:t>
      </w:r>
    </w:p>
    <w:p w14:paraId="328360A2" w14:textId="77777777" w:rsidR="0005133F" w:rsidRDefault="0005133F" w:rsidP="004B2E56">
      <w:pPr>
        <w:pStyle w:val="Heading2"/>
        <w:overflowPunct w:val="0"/>
        <w:autoSpaceDE w:val="0"/>
        <w:autoSpaceDN w:val="0"/>
        <w:adjustRightInd w:val="0"/>
        <w:textAlignment w:val="baseline"/>
      </w:pPr>
    </w:p>
    <w:p w14:paraId="751EE244" w14:textId="77777777" w:rsidR="0005133F" w:rsidRDefault="0005133F" w:rsidP="0005133F">
      <w:pPr>
        <w:keepNext/>
        <w:keepLines/>
        <w:tabs>
          <w:tab w:val="left" w:pos="1701"/>
        </w:tabs>
      </w:pPr>
      <w:r>
        <w:t>Visās dalībvalstīs tika minēts, ka lauku saimniecību ienākumi būtiski kavē jaunu lauksaimnieku piesaistīšanu šai nozarei. Arvien tika norādīts uz tādu jautājumu kā lauku saimniecību zemais ienākumu līmenis un atšķirības starp ienākumiem lauksaimniecībā un ienākumiem citās sabiedrības jomās vienos un tajos pašos galvenokārt lauku reģionos.</w:t>
      </w:r>
    </w:p>
    <w:p w14:paraId="3CDB4C7B" w14:textId="77777777" w:rsidR="0005133F" w:rsidRDefault="0005133F" w:rsidP="0005133F">
      <w:pPr>
        <w:keepNext/>
        <w:keepLines/>
        <w:tabs>
          <w:tab w:val="left" w:pos="1701"/>
        </w:tabs>
      </w:pPr>
    </w:p>
    <w:p w14:paraId="4411D53D" w14:textId="77777777" w:rsidR="0005133F" w:rsidRDefault="0005133F" w:rsidP="0005133F">
      <w:pPr>
        <w:keepNext/>
        <w:keepLines/>
        <w:tabs>
          <w:tab w:val="left" w:pos="1701"/>
        </w:tabs>
      </w:pPr>
      <w:r>
        <w:t>Atzīstot, ka Eiropas Savienībā ir jāsaglabā visaugstākie ražošanas standarti, jaunie lauksaimnieki uzskata, ka tādu lauksaimniecības produktu, kuriem tiek piemēroti zemāki standarti nekā Eiropas Savienībā, imports ierobežo viņu iespējas saņemt no tirgus taisnīgas cenas un peļņu.</w:t>
      </w:r>
    </w:p>
    <w:p w14:paraId="7B2E54BB" w14:textId="77777777" w:rsidR="0005133F" w:rsidRDefault="0005133F" w:rsidP="0005133F">
      <w:pPr>
        <w:keepNext/>
        <w:keepLines/>
        <w:tabs>
          <w:tab w:val="left" w:pos="1701"/>
        </w:tabs>
      </w:pPr>
    </w:p>
    <w:p w14:paraId="3B758664" w14:textId="77777777" w:rsidR="00E45A5E" w:rsidRDefault="0005133F" w:rsidP="0005133F">
      <w:pPr>
        <w:keepNext/>
        <w:keepLines/>
        <w:tabs>
          <w:tab w:val="left" w:pos="1701"/>
        </w:tabs>
      </w:pPr>
      <w:r>
        <w:t>Lielais vairums aptaujāto ieinteresēto personu norāda, ka ar tiešajiem maksājumiem gados jaunajiem lauksaimniekiem nodrošinātais ienākumu papildinājums ir noteicošais faktors lauksaimnieka profesijas izvēlē. Patiešām valda cieša pārliecība par to, ka vairums gados jauno lauksaimnieku bez šī papildu pabalsta nebūtu spējuši uzsākt lauksaimniecisko darbību.</w:t>
      </w:r>
    </w:p>
    <w:p w14:paraId="26B178EE" w14:textId="77777777" w:rsidR="0005133F" w:rsidRPr="003C75A0" w:rsidRDefault="0005133F" w:rsidP="0005133F">
      <w:pPr>
        <w:keepNext/>
        <w:keepLines/>
        <w:tabs>
          <w:tab w:val="left" w:pos="1701"/>
        </w:tabs>
        <w:rPr>
          <w:bCs/>
          <w:i/>
          <w:iCs/>
          <w:lang w:val="en-GB"/>
        </w:rPr>
      </w:pPr>
    </w:p>
    <w:p w14:paraId="01790AB2" w14:textId="07BB0A29" w:rsidR="00E45A5E" w:rsidRPr="000F3316" w:rsidRDefault="00E45A5E" w:rsidP="004B2E56">
      <w:pPr>
        <w:keepNext/>
        <w:keepLines/>
        <w:tabs>
          <w:tab w:val="left" w:pos="1701"/>
        </w:tabs>
        <w:rPr>
          <w:i/>
          <w:iCs/>
        </w:rPr>
      </w:pPr>
      <w:r>
        <w:rPr>
          <w:b/>
          <w:bCs/>
          <w:i/>
          <w:iCs/>
        </w:rPr>
        <w:t>Kontaktpersona:</w:t>
      </w:r>
      <w:r w:rsidR="00215328">
        <w:rPr>
          <w:b/>
          <w:bCs/>
          <w:i/>
          <w:iCs/>
        </w:rPr>
        <w:tab/>
      </w:r>
      <w:r>
        <w:rPr>
          <w:i/>
        </w:rPr>
        <w:t>Arturo Iniguez</w:t>
      </w:r>
    </w:p>
    <w:p w14:paraId="1B9C060A" w14:textId="6B980C35" w:rsidR="00E45A5E" w:rsidRPr="007C3B01" w:rsidRDefault="00E45A5E" w:rsidP="004B2E56">
      <w:pPr>
        <w:keepNext/>
        <w:keepLines/>
        <w:tabs>
          <w:tab w:val="left" w:pos="1701"/>
        </w:tabs>
        <w:ind w:left="1701"/>
        <w:rPr>
          <w:i/>
          <w:highlight w:val="yellow"/>
        </w:rPr>
      </w:pPr>
      <w:r>
        <w:rPr>
          <w:i/>
        </w:rPr>
        <w:t xml:space="preserve">(Tālr.: 00 32 2 546 87, e-pasta adrese: </w:t>
      </w:r>
      <w:hyperlink r:id="rId33" w:history="1">
        <w:r>
          <w:rPr>
            <w:rStyle w:val="Hyperlink"/>
            <w:i/>
          </w:rPr>
          <w:t>Arturo.Iniguez@eesc.europa.eu</w:t>
        </w:r>
      </w:hyperlink>
      <w:r>
        <w:t>)</w:t>
      </w:r>
    </w:p>
    <w:p w14:paraId="4BA06A07" w14:textId="77777777" w:rsidR="00E45A5E" w:rsidRDefault="00E45A5E" w:rsidP="004B2E56">
      <w:pPr>
        <w:keepNext/>
        <w:keepLines/>
        <w:jc w:val="left"/>
        <w:rPr>
          <w:iCs/>
          <w:lang w:val="en-GB"/>
        </w:rPr>
      </w:pPr>
    </w:p>
    <w:p w14:paraId="64105CF4" w14:textId="77777777" w:rsidR="00E45A5E" w:rsidRPr="002A5422" w:rsidRDefault="004B2E56" w:rsidP="00512B63">
      <w:pPr>
        <w:pStyle w:val="ListParagraph"/>
        <w:keepNext/>
        <w:keepLines/>
        <w:numPr>
          <w:ilvl w:val="0"/>
          <w:numId w:val="3"/>
        </w:numPr>
        <w:ind w:left="567" w:hanging="567"/>
        <w:rPr>
          <w:b/>
          <w:bCs/>
          <w:i/>
          <w:iCs/>
          <w:sz w:val="28"/>
          <w:szCs w:val="28"/>
        </w:rPr>
      </w:pPr>
      <w:r>
        <w:rPr>
          <w:b/>
          <w:i/>
          <w:sz w:val="28"/>
          <w:szCs w:val="28"/>
        </w:rPr>
        <w:t>Zilā bioekonomika</w:t>
      </w:r>
    </w:p>
    <w:p w14:paraId="62CAED08" w14:textId="77777777" w:rsidR="00E45A5E" w:rsidRPr="00C736A2" w:rsidRDefault="00E45A5E" w:rsidP="00512B63">
      <w:pPr>
        <w:pStyle w:val="ListParagraph"/>
        <w:keepNext/>
        <w:keepLines/>
        <w:ind w:left="567"/>
        <w:rPr>
          <w:bCs/>
          <w:iCs/>
          <w:lang w:val="en-GB"/>
        </w:rPr>
      </w:pPr>
    </w:p>
    <w:p w14:paraId="1DF4376E" w14:textId="77777777" w:rsidR="00E45A5E" w:rsidRPr="0035587B" w:rsidRDefault="00E45A5E" w:rsidP="00512B63">
      <w:pPr>
        <w:keepNext/>
        <w:keepLines/>
      </w:pPr>
      <w:r>
        <w:rPr>
          <w:b/>
        </w:rPr>
        <w:t>Ziņotājs:</w:t>
      </w:r>
      <w:r>
        <w:tab/>
        <w:t>Simo Tiainen (grupa “Daudzveidība Eiropā” – FI)</w:t>
      </w:r>
    </w:p>
    <w:p w14:paraId="3CFF438A" w14:textId="77777777" w:rsidR="00E45A5E" w:rsidRPr="00E42454" w:rsidRDefault="00E45A5E" w:rsidP="00512B63">
      <w:pPr>
        <w:keepNext/>
        <w:keepLines/>
      </w:pPr>
      <w:r>
        <w:rPr>
          <w:b/>
        </w:rPr>
        <w:t>Līdzziņotājs:</w:t>
      </w:r>
      <w:r>
        <w:tab/>
        <w:t>Henri Malosse (Darba devēju grupa – FR)</w:t>
      </w:r>
    </w:p>
    <w:p w14:paraId="27CED109" w14:textId="77777777" w:rsidR="00E45A5E" w:rsidRPr="001625AD" w:rsidRDefault="00E45A5E" w:rsidP="00512B63">
      <w:pPr>
        <w:keepNext/>
        <w:keepLines/>
        <w:rPr>
          <w:lang w:val="en-GB"/>
        </w:rPr>
      </w:pPr>
    </w:p>
    <w:p w14:paraId="4436202F" w14:textId="45458CAB" w:rsidR="00E45A5E" w:rsidRDefault="007C3B01" w:rsidP="007C3B01">
      <w:pPr>
        <w:keepNext/>
        <w:keepLines/>
        <w:ind w:left="1701" w:hanging="1701"/>
        <w:rPr>
          <w:bCs/>
        </w:rPr>
      </w:pPr>
      <w:r>
        <w:rPr>
          <w:b/>
          <w:bCs/>
        </w:rPr>
        <w:t>Atsauce:</w:t>
      </w:r>
      <w:r w:rsidR="00215328">
        <w:rPr>
          <w:b/>
          <w:bCs/>
        </w:rPr>
        <w:tab/>
      </w:r>
      <w:r>
        <w:t>Izpētes atzinums</w:t>
      </w:r>
    </w:p>
    <w:p w14:paraId="6B7D83B6" w14:textId="77777777" w:rsidR="00E45A5E" w:rsidRDefault="00E45A5E" w:rsidP="00500017">
      <w:pPr>
        <w:ind w:left="1701"/>
      </w:pPr>
      <w:r>
        <w:t>EESC-2019-01573-00-00-AC</w:t>
      </w:r>
    </w:p>
    <w:p w14:paraId="4932D8C0" w14:textId="77777777" w:rsidR="00E45A5E" w:rsidRDefault="00E45A5E" w:rsidP="00500017">
      <w:pPr>
        <w:jc w:val="left"/>
      </w:pPr>
    </w:p>
    <w:p w14:paraId="3EB20C80" w14:textId="77777777" w:rsidR="00E45A5E" w:rsidRPr="00B2569F" w:rsidRDefault="00E45A5E" w:rsidP="00500017">
      <w:pPr>
        <w:keepNext/>
        <w:keepLines/>
        <w:tabs>
          <w:tab w:val="center" w:pos="284"/>
        </w:tabs>
        <w:ind w:left="266" w:hanging="266"/>
        <w:rPr>
          <w:b/>
        </w:rPr>
      </w:pPr>
      <w:r>
        <w:rPr>
          <w:b/>
        </w:rPr>
        <w:t>Galvenās nostādnes</w:t>
      </w:r>
    </w:p>
    <w:p w14:paraId="4F9660AB" w14:textId="77777777" w:rsidR="0005133F" w:rsidRPr="0051246D" w:rsidRDefault="0005133F" w:rsidP="00500017">
      <w:pPr>
        <w:pStyle w:val="Heading2"/>
        <w:overflowPunct w:val="0"/>
        <w:autoSpaceDE w:val="0"/>
        <w:autoSpaceDN w:val="0"/>
        <w:adjustRightInd w:val="0"/>
        <w:textAlignment w:val="baseline"/>
      </w:pPr>
    </w:p>
    <w:p w14:paraId="5707559D" w14:textId="6DBEED23" w:rsidR="0005133F" w:rsidRPr="0051246D" w:rsidRDefault="0005133F" w:rsidP="0005133F">
      <w:r>
        <w:t>Zilā bioekonomika ir saimnieciska darbība un vērtības radīšana, kuras pamatā ir ūdeņu atjaunojamo resursu un ar tiem saistīto ekspertzināšanu ilgtspējīga un pārdomāta izmantošana. Saistībā ar ūdeni, ūdeņu resursiem un zilo bioekonomiku Eiropā ir uzkrātas plašas zināšanas, zinātība un cilvēku veidotas tradīcijas. Taču uzņēmējdarbība, kas saistīta ar zilās bioekonomikas potenciāla un sniegto iespēju izmantošanu, Eiropā joprojām ir diezgan pieticīga.</w:t>
      </w:r>
    </w:p>
    <w:p w14:paraId="4F6C4B8A" w14:textId="77777777" w:rsidR="0005133F" w:rsidRPr="0051246D" w:rsidRDefault="0005133F" w:rsidP="0005133F"/>
    <w:p w14:paraId="089ACF5E" w14:textId="77777777" w:rsidR="0005133F" w:rsidRPr="0051246D" w:rsidRDefault="0005133F" w:rsidP="00CF56FB">
      <w:pPr>
        <w:keepNext/>
        <w:keepLines/>
      </w:pPr>
      <w:r>
        <w:lastRenderedPageBreak/>
        <w:t>Ir jāsaglabā un jāatjauno labs okeānu, jūru, ezeru un upju stāvoklis un to bioloģiskā daudzveidība. Lai to paveiktu, darbs jāpastiprina visām ieinteresētajām personām, tostarp ES, valstu un reģionālajām iestādēm, universitātēm un pētniecības centriem, visiem iesaistītajiem speciālistiem (piemēram, zvejniecības un tūrisma nozares pārstāvjiem), kā arī pilsoniskās sabiedrības organizācijām.</w:t>
      </w:r>
    </w:p>
    <w:p w14:paraId="361201A5" w14:textId="77777777" w:rsidR="0005133F" w:rsidRPr="0051246D" w:rsidRDefault="0005133F" w:rsidP="0005133F"/>
    <w:p w14:paraId="6BD5EF21" w14:textId="77777777" w:rsidR="0005133F" w:rsidRPr="0051246D" w:rsidRDefault="0005133F" w:rsidP="0005133F">
      <w:r>
        <w:t>Ir jāveic lielāki ieguldījumi ūdens vides un sanitārijas iekārtu apsaimniekošanā, lai visiem nodrošinātu piekļuvi tīram ūdenim un atbilstīgai sanitārijai, kā arī lai nodrošinātu to ilgtspējīgu izmantošanu.</w:t>
      </w:r>
    </w:p>
    <w:p w14:paraId="0943BD2D" w14:textId="77777777" w:rsidR="0005133F" w:rsidRPr="0051246D" w:rsidRDefault="0005133F" w:rsidP="0005133F"/>
    <w:p w14:paraId="06BD2850" w14:textId="77777777" w:rsidR="0005133F" w:rsidRPr="0051246D" w:rsidRDefault="0005133F" w:rsidP="0005133F">
      <w:r>
        <w:t>EESK aicina Eiropas Savienību un citus zilās bioekonomikas dalībniekus steidzami veikt klimata pārmaiņu un to seku apkarošanas pasākumus. Zvejniecībai, akvakultūrai un aļģu audzēšanai ir izšķiroša nozīme, lai palielinātu ūdens cilmes pārtikas produktu ilgtspējīgu ražošanu Eiropas Savienībā. Lai veidotu klimatnoturīgas ūdens cilmes pārtikas produktu sistēmas un tās veiksmīgi ieviestu, vispirms ir jāturpina pētījumi un inovācija.</w:t>
      </w:r>
    </w:p>
    <w:p w14:paraId="21C04B0C" w14:textId="77777777" w:rsidR="0005133F" w:rsidRPr="0051246D" w:rsidRDefault="0005133F" w:rsidP="0005133F"/>
    <w:p w14:paraId="690BD7DC" w14:textId="77777777" w:rsidR="0005133F" w:rsidRPr="0051246D" w:rsidRDefault="0005133F" w:rsidP="0005133F">
      <w:r>
        <w:t>Universitātēm, pētniecības centriem, nevalstiskām organizācijām un zvejniecības nozarei kopīgi no zivju blakusproduktiem un atkritumiem jāizstrādā jauni produkti ar pievienoto vērtību. Ir vajadzīgi jauni finansēšanas instrumenti, ar kuriem atbalstīt tehnoloģisku inovāciju un pakalpojumus. Bioloģiskās daudzveidības atjaunošana jūrās, ezeros un upēs pavērs jaunas iespējas uzņēmējdarbībai, galvenokārt arī ģimenes un mazajiem uzņēmumiem vietējos tirgos.</w:t>
      </w:r>
    </w:p>
    <w:p w14:paraId="0664FE39" w14:textId="77777777" w:rsidR="0005133F" w:rsidRPr="0051246D" w:rsidRDefault="0005133F" w:rsidP="0005133F"/>
    <w:p w14:paraId="6B798860" w14:textId="77777777" w:rsidR="0005133F" w:rsidRPr="0051246D" w:rsidRDefault="0005133F" w:rsidP="0005133F">
      <w:r>
        <w:t>Eiropas Savienība tiek aicināta veicināt izpratnes palielināšanu, izglītību un apmācību, kas ietver pētniecību un piekrastes un iekšzemes ūdeņu tuvumā dzīvojošu kopienu zinātības izmantošanu un nodošanu, veicinot pārvaldību ar cieņu pret vidi, un Eiropas mācību tīklu veidošanu šajā jomā. Lauksaimniecības jomā ES būtu jārisina arī ūdens trūkuma jautājums.</w:t>
      </w:r>
    </w:p>
    <w:p w14:paraId="3071C981" w14:textId="77777777" w:rsidR="0005133F" w:rsidRPr="0051246D" w:rsidRDefault="0005133F" w:rsidP="0005133F"/>
    <w:p w14:paraId="184C32CE" w14:textId="77777777" w:rsidR="0005133F" w:rsidRPr="0051246D" w:rsidRDefault="0005133F" w:rsidP="0005133F">
      <w:r>
        <w:t xml:space="preserve">EESK iesaka zilo bioekonomiku noteikt par vienu no vadošām jomām ES politikā un tās politikā sadarbībai ar kaimiņvalstīm, kā arī ANO ilgtspējīgas attīstības mērķu un Parīzes nolīguma </w:t>
      </w:r>
      <w:r>
        <w:rPr>
          <w:i/>
        </w:rPr>
        <w:t>COP 21</w:t>
      </w:r>
      <w:r>
        <w:t xml:space="preserve"> mērķu ietvaros. Šajā saistībā EESK ierosina, lai ES Padome un Eiropas Parlaments aicina Komisiju dažādos ES jūras un akvakultūras apgabalos uzsākt vairākas izmēģinājuma darbības. Ar mērķi organizēt prakses apmaiņu un nodrošināt veiksmīgo pilotprojektu izvēršanu plašākā mērogā, būtu jāizveido pārvaldības komiteja. </w:t>
      </w:r>
    </w:p>
    <w:p w14:paraId="3E45D39D" w14:textId="77777777" w:rsidR="00E45A5E" w:rsidRPr="0051246D" w:rsidRDefault="00E45A5E" w:rsidP="00500017">
      <w:pPr>
        <w:keepNext/>
        <w:keepLines/>
        <w:tabs>
          <w:tab w:val="left" w:pos="1701"/>
        </w:tabs>
        <w:rPr>
          <w:bCs/>
          <w:iCs/>
        </w:rPr>
      </w:pPr>
    </w:p>
    <w:p w14:paraId="17D41284" w14:textId="6095C0BB" w:rsidR="00E45A5E" w:rsidRPr="0035587B" w:rsidRDefault="00E45A5E" w:rsidP="00500017">
      <w:pPr>
        <w:keepNext/>
        <w:keepLines/>
        <w:tabs>
          <w:tab w:val="left" w:pos="1701"/>
        </w:tabs>
        <w:rPr>
          <w:i/>
          <w:iCs/>
        </w:rPr>
      </w:pPr>
      <w:r>
        <w:rPr>
          <w:b/>
          <w:bCs/>
          <w:i/>
          <w:iCs/>
        </w:rPr>
        <w:t>Kontaktpersona:</w:t>
      </w:r>
      <w:r w:rsidR="00215328">
        <w:rPr>
          <w:b/>
          <w:bCs/>
          <w:i/>
          <w:iCs/>
        </w:rPr>
        <w:tab/>
      </w:r>
      <w:r>
        <w:rPr>
          <w:i/>
        </w:rPr>
        <w:t>Maarit Laurila</w:t>
      </w:r>
    </w:p>
    <w:p w14:paraId="3DD71BAF" w14:textId="77777777" w:rsidR="00E45A5E" w:rsidRPr="0035587B" w:rsidRDefault="00C736A2" w:rsidP="00500017">
      <w:pPr>
        <w:keepNext/>
        <w:keepLines/>
        <w:tabs>
          <w:tab w:val="left" w:pos="1701"/>
        </w:tabs>
        <w:ind w:left="1701"/>
        <w:rPr>
          <w:b/>
          <w:iCs/>
          <w:highlight w:val="yellow"/>
          <w:u w:val="single"/>
        </w:rPr>
      </w:pPr>
      <w:r>
        <w:rPr>
          <w:i/>
          <w:iCs/>
        </w:rPr>
        <w:t xml:space="preserve">(Tālr.: 00 32 2 546 97 39, e-pasta adrese: </w:t>
      </w:r>
      <w:hyperlink r:id="rId34" w:history="1">
        <w:r>
          <w:rPr>
            <w:rStyle w:val="Hyperlink"/>
            <w:i/>
            <w:iCs/>
          </w:rPr>
          <w:t>Maarit.Laurila@eesc.europa.eu</w:t>
        </w:r>
      </w:hyperlink>
      <w:r>
        <w:rPr>
          <w:i/>
          <w:iCs/>
        </w:rPr>
        <w:t>)</w:t>
      </w:r>
    </w:p>
    <w:p w14:paraId="004DD83A" w14:textId="77777777" w:rsidR="00E45A5E" w:rsidRPr="0035587B" w:rsidRDefault="00E45A5E" w:rsidP="00500017">
      <w:pPr>
        <w:keepNext/>
        <w:keepLines/>
        <w:jc w:val="left"/>
        <w:rPr>
          <w:iCs/>
          <w:lang w:val="fr-BE"/>
        </w:rPr>
      </w:pPr>
    </w:p>
    <w:p w14:paraId="4BA5FDB4" w14:textId="77777777" w:rsidR="00215328" w:rsidRDefault="00215328">
      <w:pPr>
        <w:spacing w:line="240" w:lineRule="auto"/>
        <w:jc w:val="left"/>
        <w:rPr>
          <w:b/>
          <w:i/>
          <w:sz w:val="28"/>
          <w:szCs w:val="28"/>
        </w:rPr>
      </w:pPr>
      <w:r>
        <w:rPr>
          <w:b/>
          <w:i/>
          <w:sz w:val="28"/>
          <w:szCs w:val="28"/>
        </w:rPr>
        <w:br w:type="page"/>
      </w:r>
    </w:p>
    <w:p w14:paraId="456CDFC5" w14:textId="76483855" w:rsidR="00E45A5E" w:rsidRPr="003F4E00" w:rsidRDefault="0005133F" w:rsidP="0005133F">
      <w:pPr>
        <w:pStyle w:val="ListParagraph"/>
        <w:numPr>
          <w:ilvl w:val="0"/>
          <w:numId w:val="3"/>
        </w:numPr>
        <w:rPr>
          <w:b/>
          <w:i/>
          <w:sz w:val="28"/>
          <w:szCs w:val="28"/>
        </w:rPr>
      </w:pPr>
      <w:r>
        <w:rPr>
          <w:b/>
          <w:i/>
          <w:sz w:val="28"/>
          <w:szCs w:val="28"/>
        </w:rPr>
        <w:lastRenderedPageBreak/>
        <w:t>Īstenot rīcības plānu pārejai uz aprites ekonomiku</w:t>
      </w:r>
    </w:p>
    <w:p w14:paraId="7CD152F8" w14:textId="77777777" w:rsidR="00E45A5E" w:rsidRPr="00C736A2" w:rsidRDefault="00E45A5E" w:rsidP="00500017">
      <w:pPr>
        <w:pStyle w:val="ListParagraph"/>
        <w:ind w:left="567"/>
        <w:rPr>
          <w:bCs/>
          <w:iCs/>
          <w:lang w:val="en-GB"/>
        </w:rPr>
      </w:pPr>
    </w:p>
    <w:p w14:paraId="0568EA7C" w14:textId="77777777" w:rsidR="00E45A5E" w:rsidRPr="0035587B" w:rsidRDefault="00E45A5E" w:rsidP="00500017">
      <w:r>
        <w:rPr>
          <w:b/>
        </w:rPr>
        <w:t>Ziņotājs:</w:t>
      </w:r>
      <w:r>
        <w:tab/>
        <w:t>Peter Schmidt (Darba ņēmēju grupa – DE)</w:t>
      </w:r>
    </w:p>
    <w:p w14:paraId="24F84A3A" w14:textId="77777777" w:rsidR="00E45A5E" w:rsidRPr="0035587B" w:rsidRDefault="00E45A5E" w:rsidP="00500017">
      <w:pPr>
        <w:rPr>
          <w:lang w:val="nl-NL"/>
        </w:rPr>
      </w:pPr>
    </w:p>
    <w:p w14:paraId="644448DE" w14:textId="5AF57944" w:rsidR="00E45A5E" w:rsidRDefault="007C3B01" w:rsidP="007C3B01">
      <w:pPr>
        <w:keepNext/>
        <w:keepLines/>
        <w:ind w:left="1701" w:hanging="1701"/>
        <w:rPr>
          <w:bCs/>
        </w:rPr>
      </w:pPr>
      <w:r>
        <w:rPr>
          <w:b/>
          <w:bCs/>
        </w:rPr>
        <w:t>Atsauce:</w:t>
      </w:r>
      <w:r w:rsidR="00215328">
        <w:rPr>
          <w:b/>
          <w:bCs/>
        </w:rPr>
        <w:tab/>
      </w:r>
      <w:r>
        <w:t>COM(2019) 190 final</w:t>
      </w:r>
    </w:p>
    <w:p w14:paraId="2AAC5686" w14:textId="77777777" w:rsidR="00E45A5E" w:rsidRDefault="00C736A2" w:rsidP="00500017">
      <w:pPr>
        <w:ind w:left="1701"/>
      </w:pPr>
      <w:r>
        <w:t>EESC-2019-02306-00-00-AC</w:t>
      </w:r>
    </w:p>
    <w:p w14:paraId="30801F68" w14:textId="77777777" w:rsidR="00E45A5E" w:rsidRDefault="00E45A5E" w:rsidP="00500017">
      <w:pPr>
        <w:jc w:val="left"/>
      </w:pPr>
    </w:p>
    <w:p w14:paraId="3E41B29F" w14:textId="77777777" w:rsidR="00E45A5E" w:rsidRPr="00B2569F" w:rsidRDefault="00E45A5E" w:rsidP="00500017">
      <w:pPr>
        <w:keepNext/>
        <w:keepLines/>
        <w:tabs>
          <w:tab w:val="center" w:pos="284"/>
        </w:tabs>
        <w:ind w:left="266" w:hanging="266"/>
        <w:rPr>
          <w:b/>
        </w:rPr>
      </w:pPr>
      <w:r>
        <w:rPr>
          <w:b/>
        </w:rPr>
        <w:t>Galvenās nostādnes</w:t>
      </w:r>
    </w:p>
    <w:p w14:paraId="796E4F6E" w14:textId="77777777" w:rsidR="00CF56FB" w:rsidRDefault="00CF56FB" w:rsidP="0005133F">
      <w:pPr>
        <w:pStyle w:val="Heading2"/>
        <w:overflowPunct w:val="0"/>
        <w:autoSpaceDE w:val="0"/>
        <w:autoSpaceDN w:val="0"/>
        <w:adjustRightInd w:val="0"/>
        <w:textAlignment w:val="baseline"/>
      </w:pPr>
    </w:p>
    <w:p w14:paraId="17EA2EB7" w14:textId="77777777" w:rsidR="0005133F" w:rsidRDefault="0005133F" w:rsidP="0005133F">
      <w:pPr>
        <w:pStyle w:val="Heading2"/>
        <w:overflowPunct w:val="0"/>
        <w:autoSpaceDE w:val="0"/>
        <w:autoSpaceDN w:val="0"/>
        <w:adjustRightInd w:val="0"/>
        <w:textAlignment w:val="baseline"/>
      </w:pPr>
      <w:r>
        <w:t>EESK atzinīgi vērtē Komisijas ziņojumu par aprites ekonomikas rīcības plāna īstenošanu un jo īpaši apstākli, ka tajā ir atzīts, ka pārejā uz aprites ekonomiku būtiska nozīme būs ieinteresēto personu iesaistei. Komiteja atbalsta arī plānus uzsākt Eiropas “zaļo kursu” un ierosināt jaunu aprites ekonomikas rīcības plānu, kas būtu vērsts uz konkrētām nozarēm, piemēram, tekstilrūpniecību un būvniecību, saskaņā ar Komisijas jaunās priekšsēdētājas Urzulas fon der Leienas izvirzītajām politikas pamatnostādnēm.</w:t>
      </w:r>
    </w:p>
    <w:p w14:paraId="0E0EF0C9" w14:textId="77777777" w:rsidR="0005133F" w:rsidRDefault="0005133F" w:rsidP="0005133F">
      <w:pPr>
        <w:pStyle w:val="Heading2"/>
        <w:overflowPunct w:val="0"/>
        <w:autoSpaceDE w:val="0"/>
        <w:autoSpaceDN w:val="0"/>
        <w:adjustRightInd w:val="0"/>
        <w:textAlignment w:val="baseline"/>
      </w:pPr>
    </w:p>
    <w:p w14:paraId="6E37FB60" w14:textId="77777777" w:rsidR="0005133F" w:rsidRDefault="0005133F" w:rsidP="0005133F">
      <w:pPr>
        <w:pStyle w:val="Heading2"/>
        <w:overflowPunct w:val="0"/>
        <w:autoSpaceDE w:val="0"/>
        <w:autoSpaceDN w:val="0"/>
        <w:adjustRightInd w:val="0"/>
        <w:textAlignment w:val="baseline"/>
      </w:pPr>
      <w:r>
        <w:t>Eiropas aprites ekonomikas jautājumos ieinteresēto personu platforma ir izveidota, lai apvienotu aprites ekonomikas kopienu Eiropā. Kā kopīga Komitejas un Eiropas Komisijas iniciatīva platforma tika izveidota 2017. gadā saskaņā ar ieteikumiem, kas iekļauti EESK atzinumā par aprites ekonomikas tiesību aktu kopumu. Iestāžu partnerība ir bijusi platformas panākumu galvenā iezīme, un ir svarīgi, ka šī partnerība turpinās un pastiprinās saistībā ar visiem jaunajiem rīcības plāniem pārejai uz aprites ekonomiku, lai nodrošinātu, ka pilsoniskās sabiedrības dalībnieki ir pārejas centrā. EESK ir stingri pārliecināta, ka platforma ir nozīmīgs forums, kas nodrošina ieinteresēto personu līdzdalību — nākotnē tā būtu jāturpina un jāstiprina.</w:t>
      </w:r>
    </w:p>
    <w:p w14:paraId="74B38017" w14:textId="77777777" w:rsidR="0005133F" w:rsidRDefault="0005133F" w:rsidP="0005133F">
      <w:pPr>
        <w:pStyle w:val="Heading2"/>
        <w:overflowPunct w:val="0"/>
        <w:autoSpaceDE w:val="0"/>
        <w:autoSpaceDN w:val="0"/>
        <w:adjustRightInd w:val="0"/>
        <w:textAlignment w:val="baseline"/>
      </w:pPr>
    </w:p>
    <w:p w14:paraId="2545FA0D" w14:textId="77777777" w:rsidR="0005133F" w:rsidRDefault="0005133F" w:rsidP="0005133F">
      <w:pPr>
        <w:pStyle w:val="Heading2"/>
        <w:overflowPunct w:val="0"/>
        <w:autoSpaceDE w:val="0"/>
        <w:autoSpaceDN w:val="0"/>
        <w:adjustRightInd w:val="0"/>
        <w:textAlignment w:val="baseline"/>
      </w:pPr>
      <w:r>
        <w:t>Lai atspoguļotu aprites ekonomikas pieaugošo nozīmi un daudzdimensionālo raksturu, nākamajā pilnvaru periodā koordinācijas grupā, kura atbalsta šo platformu, būtu jāiesaista arī citas nozīmīgas ieinteresētās personas (piemēram, jauniešu un finanšu sektora pārstāvji); šīs grupas dalībniekiem jāsniedz ieguldījums tādu nākotnes scenāriju izstrādē, kas stiprina saikni starp nozarēm, jātiekas biežāk un jākļūst par platformas “vēstniekiem” arī forumos ārpus aprites ekonomikas kopienas.</w:t>
      </w:r>
    </w:p>
    <w:p w14:paraId="08969CC4" w14:textId="77777777" w:rsidR="0005133F" w:rsidRDefault="0005133F" w:rsidP="0005133F">
      <w:pPr>
        <w:pStyle w:val="Heading2"/>
        <w:overflowPunct w:val="0"/>
        <w:autoSpaceDE w:val="0"/>
        <w:autoSpaceDN w:val="0"/>
        <w:adjustRightInd w:val="0"/>
        <w:textAlignment w:val="baseline"/>
      </w:pPr>
    </w:p>
    <w:p w14:paraId="1508CF17" w14:textId="77777777" w:rsidR="0005133F" w:rsidRDefault="0005133F" w:rsidP="0005133F">
      <w:pPr>
        <w:pStyle w:val="Heading2"/>
        <w:overflowPunct w:val="0"/>
        <w:autoSpaceDE w:val="0"/>
        <w:autoSpaceDN w:val="0"/>
        <w:adjustRightInd w:val="0"/>
        <w:textAlignment w:val="baseline"/>
      </w:pPr>
      <w:r>
        <w:t>EESK uzsver: lai pāreja uz aprites ekonomiku būtu iekļaujoša, tā tagad jāvirza valsts, reģionālajā un vietējā līmenī. Ir svarīgi darbības pielāgot vietējiem jautājumiem un tajās izmantot vietējās stiprās puses. Decentralizēta pieeja var būt īpaši svarīga, lai izpētītu aprites ekonomikas nozīmi iedzīvotāju labas dzīves veicināšanā. EESK iesaka izveidot darba grupu iedzīvotāju jautājumos, kas palīdzētu novērtēt iedzīvotāju attieksmi pret aprites risinājumiem, kā arī motivāciju un šķēršļus iesaistīties tajos.</w:t>
      </w:r>
    </w:p>
    <w:p w14:paraId="0DFD6E90" w14:textId="77777777" w:rsidR="0005133F" w:rsidRDefault="0005133F" w:rsidP="0005133F">
      <w:pPr>
        <w:pStyle w:val="Heading2"/>
        <w:overflowPunct w:val="0"/>
        <w:autoSpaceDE w:val="0"/>
        <w:autoSpaceDN w:val="0"/>
        <w:adjustRightInd w:val="0"/>
        <w:textAlignment w:val="baseline"/>
      </w:pPr>
    </w:p>
    <w:p w14:paraId="4E874F8C" w14:textId="77777777" w:rsidR="00E45A5E" w:rsidRPr="00D05D7F" w:rsidRDefault="0005133F" w:rsidP="0005133F">
      <w:pPr>
        <w:pStyle w:val="Heading2"/>
        <w:overflowPunct w:val="0"/>
        <w:autoSpaceDE w:val="0"/>
        <w:autoSpaceDN w:val="0"/>
        <w:adjustRightInd w:val="0"/>
        <w:textAlignment w:val="baseline"/>
      </w:pPr>
      <w:r>
        <w:t>Lai sekmīgi pārietu uz aprites ekonomiku, būtiski faktori ir arī patērētāju izpratne un līdzdalība. Aprites ekonomikas marķējuma ieviešana varētu paātrināt pāreju un palīdzēt patērētājiem izdarīt ilgtspējīgu izvēli, bet vienlaikus būtu jāīsteno Eiropas mēroga komunikācijas kampaņa. Arī spēju veidošana ir svarīgs pīlārs, lai atbalstītu ieinteresēto personu izpratni par ES pāreju uz aprites ekonomiku un tās kļūtu par šīs pārejas dalībniekiem.</w:t>
      </w:r>
    </w:p>
    <w:p w14:paraId="38038168" w14:textId="77777777" w:rsidR="00E45A5E" w:rsidRPr="00C736A2" w:rsidRDefault="00E45A5E" w:rsidP="00CF56FB">
      <w:pPr>
        <w:tabs>
          <w:tab w:val="left" w:pos="1701"/>
        </w:tabs>
        <w:rPr>
          <w:bCs/>
          <w:i/>
          <w:iCs/>
          <w:lang w:val="en-GB"/>
        </w:rPr>
      </w:pPr>
    </w:p>
    <w:p w14:paraId="79883A8F" w14:textId="6AFFE7AA" w:rsidR="00E45A5E" w:rsidRPr="0051246D" w:rsidRDefault="00E45A5E" w:rsidP="00CF56FB">
      <w:pPr>
        <w:tabs>
          <w:tab w:val="left" w:pos="1701"/>
        </w:tabs>
        <w:rPr>
          <w:i/>
          <w:iCs/>
        </w:rPr>
      </w:pPr>
      <w:r>
        <w:rPr>
          <w:b/>
          <w:bCs/>
          <w:i/>
          <w:iCs/>
        </w:rPr>
        <w:t>Kontaktpersona:</w:t>
      </w:r>
      <w:r w:rsidR="00215328">
        <w:rPr>
          <w:b/>
          <w:bCs/>
          <w:i/>
          <w:iCs/>
        </w:rPr>
        <w:tab/>
      </w:r>
      <w:r>
        <w:rPr>
          <w:i/>
        </w:rPr>
        <w:t>Monica Guarinoni</w:t>
      </w:r>
    </w:p>
    <w:p w14:paraId="57C16923" w14:textId="2E13559A" w:rsidR="00B24A6E" w:rsidRPr="0035587B" w:rsidRDefault="00E45A5E" w:rsidP="00215328">
      <w:pPr>
        <w:tabs>
          <w:tab w:val="left" w:pos="1701"/>
        </w:tabs>
        <w:ind w:left="1701"/>
        <w:rPr>
          <w:kern w:val="28"/>
        </w:rPr>
      </w:pPr>
      <w:r>
        <w:rPr>
          <w:i/>
          <w:iCs/>
        </w:rPr>
        <w:t>(Tālr.: 00 32 2 546 81 27, e-pasta adrese:</w:t>
      </w:r>
      <w:r>
        <w:t xml:space="preserve"> </w:t>
      </w:r>
      <w:hyperlink r:id="rId35" w:history="1">
        <w:r>
          <w:rPr>
            <w:rStyle w:val="Hyperlink"/>
            <w:i/>
            <w:iCs/>
          </w:rPr>
          <w:t>Monica.Guarinoni@eesc.europa.eu</w:t>
        </w:r>
      </w:hyperlink>
      <w:r>
        <w:rPr>
          <w:i/>
          <w:iCs/>
        </w:rPr>
        <w:t>)</w:t>
      </w:r>
      <w:bookmarkStart w:id="7" w:name="_Toc8218613"/>
      <w:r w:rsidR="00B24A6E">
        <w:br w:type="page"/>
      </w:r>
    </w:p>
    <w:p w14:paraId="31EB51C9" w14:textId="58B27D29" w:rsidR="001E5FEE" w:rsidRPr="00AA527B" w:rsidRDefault="00215328" w:rsidP="003F4E00">
      <w:pPr>
        <w:pStyle w:val="Heading1"/>
        <w:numPr>
          <w:ilvl w:val="0"/>
          <w:numId w:val="23"/>
        </w:numPr>
        <w:ind w:left="567" w:hanging="567"/>
        <w:rPr>
          <w:b/>
        </w:rPr>
      </w:pPr>
      <w:bookmarkStart w:id="8" w:name="_Toc25663327"/>
      <w:r>
        <w:rPr>
          <w:b/>
        </w:rPr>
        <w:lastRenderedPageBreak/>
        <w:t>TRANSPORTA, ENERĢĒTIKAS, INFRASTRUKTŪRAS UN INFORMĀCIJAS SABIEDRĪBAS SPECIALIZĒTĀ NODAĻA</w:t>
      </w:r>
      <w:bookmarkEnd w:id="7"/>
      <w:bookmarkEnd w:id="8"/>
    </w:p>
    <w:p w14:paraId="2BAD5F57" w14:textId="77777777" w:rsidR="001E5FEE" w:rsidRDefault="001E5FEE" w:rsidP="005D56C1">
      <w:pPr>
        <w:keepNext/>
        <w:keepLines/>
        <w:rPr>
          <w:lang w:val="en-GB"/>
        </w:rPr>
      </w:pPr>
    </w:p>
    <w:p w14:paraId="352F65D9" w14:textId="77777777" w:rsidR="001E5FEE" w:rsidRPr="003F4E00" w:rsidRDefault="00CD0AEF" w:rsidP="003F4E00">
      <w:pPr>
        <w:widowControl w:val="0"/>
        <w:numPr>
          <w:ilvl w:val="0"/>
          <w:numId w:val="2"/>
        </w:numPr>
        <w:overflowPunct w:val="0"/>
        <w:autoSpaceDE w:val="0"/>
        <w:autoSpaceDN w:val="0"/>
        <w:adjustRightInd w:val="0"/>
        <w:ind w:left="567" w:hanging="567"/>
        <w:textAlignment w:val="baseline"/>
        <w:rPr>
          <w:b/>
          <w:i/>
          <w:sz w:val="28"/>
          <w:szCs w:val="28"/>
        </w:rPr>
      </w:pPr>
      <w:r>
        <w:rPr>
          <w:b/>
          <w:i/>
          <w:sz w:val="28"/>
          <w:szCs w:val="28"/>
        </w:rPr>
        <w:t>Integrētie nacionālie enerģētikas un klimata plāni</w:t>
      </w:r>
    </w:p>
    <w:p w14:paraId="7662F61E" w14:textId="77777777" w:rsidR="001E5FEE" w:rsidRPr="005C58CA" w:rsidRDefault="001E5FEE" w:rsidP="003C75A0">
      <w:pPr>
        <w:widowControl w:val="0"/>
        <w:rPr>
          <w:bCs/>
          <w:lang w:val="en-GB"/>
        </w:rPr>
      </w:pPr>
    </w:p>
    <w:p w14:paraId="4D88D741" w14:textId="49CAD993" w:rsidR="00CA3114" w:rsidRPr="0035587B" w:rsidRDefault="00CA3114" w:rsidP="003C75A0">
      <w:pPr>
        <w:tabs>
          <w:tab w:val="left" w:pos="1701"/>
        </w:tabs>
      </w:pPr>
      <w:r>
        <w:rPr>
          <w:b/>
        </w:rPr>
        <w:t>Ziņotājs:</w:t>
      </w:r>
      <w:r w:rsidR="00215328">
        <w:rPr>
          <w:b/>
        </w:rPr>
        <w:tab/>
      </w:r>
      <w:r>
        <w:t>Tommaso Di Fazio (grupa “Daudzveidība Eiropā” – IT)</w:t>
      </w:r>
    </w:p>
    <w:p w14:paraId="15B6CA48" w14:textId="77777777" w:rsidR="00CA3114" w:rsidRPr="0035587B" w:rsidRDefault="00CA3114" w:rsidP="003C75A0">
      <w:pPr>
        <w:rPr>
          <w:lang w:val="it-IT"/>
        </w:rPr>
      </w:pPr>
    </w:p>
    <w:p w14:paraId="207AF4B0" w14:textId="2D2FDD13" w:rsidR="00CA3114" w:rsidRDefault="00CA3114" w:rsidP="007C3B01">
      <w:pPr>
        <w:keepNext/>
        <w:keepLines/>
        <w:ind w:left="1701" w:hanging="1701"/>
      </w:pPr>
      <w:r>
        <w:rPr>
          <w:b/>
        </w:rPr>
        <w:t>Atsauce:</w:t>
      </w:r>
      <w:r>
        <w:t xml:space="preserve"> </w:t>
      </w:r>
      <w:r>
        <w:tab/>
        <w:t>COM(2019) 285 final</w:t>
      </w:r>
    </w:p>
    <w:p w14:paraId="2809D72F" w14:textId="509C3AE2" w:rsidR="00CA3114" w:rsidRPr="005C58CA" w:rsidRDefault="00E718EF" w:rsidP="003C75A0">
      <w:pPr>
        <w:tabs>
          <w:tab w:val="left" w:pos="1701"/>
        </w:tabs>
        <w:ind w:left="1701"/>
      </w:pPr>
      <w:r>
        <w:t>EESC-2019-03626-00-01-AC</w:t>
      </w:r>
    </w:p>
    <w:p w14:paraId="1C90F859" w14:textId="77777777" w:rsidR="00CA3114" w:rsidRPr="003C75A0" w:rsidRDefault="00CA3114" w:rsidP="003C75A0">
      <w:pPr>
        <w:tabs>
          <w:tab w:val="num" w:pos="550"/>
        </w:tabs>
        <w:rPr>
          <w:highlight w:val="green"/>
          <w:lang w:val="en-GB"/>
        </w:rPr>
      </w:pPr>
    </w:p>
    <w:p w14:paraId="009432BF" w14:textId="77777777" w:rsidR="00A7752A" w:rsidRDefault="00CA3114" w:rsidP="00A7752A">
      <w:pPr>
        <w:rPr>
          <w:b/>
        </w:rPr>
      </w:pPr>
      <w:r>
        <w:rPr>
          <w:b/>
        </w:rPr>
        <w:t>Galvenās nostādnes</w:t>
      </w:r>
    </w:p>
    <w:p w14:paraId="506B76A5" w14:textId="77777777" w:rsidR="00A7752A" w:rsidRPr="003F10F3" w:rsidRDefault="00A7752A" w:rsidP="00A7752A">
      <w:pPr>
        <w:rPr>
          <w:lang w:val="en-GB"/>
        </w:rPr>
      </w:pPr>
    </w:p>
    <w:p w14:paraId="45B366B1" w14:textId="77777777" w:rsidR="0074594B" w:rsidRPr="003F10F3" w:rsidRDefault="003F10F3" w:rsidP="003F10F3">
      <w:r>
        <w:t>EESK atzinīgi vērtē Eiropas Komisijas iniciatīvu sākt dalībvalstu iesniegto nacionālo enerģētikas un klimata plānu projektu novērtēšanu, tādējādi turpinot darbu pie jaunā pārvaldības modeļa, kuru Padome un Parlaments ieviesa 2018. gada decembrī un kura uzdevums ir nodrošināt ar pāreju uz tīru enerģiju un klimata aizsardzību, izmantojot daudzlīmeņu interaktīvu dialogu, kurā ir pilnībā iesaistīta pilsoniskā sabiedrība un publiskā un privātā sektora dalībnieki vietējā un reģionālajā līmenī. Eiropas Savienība ar konkrētiem nacionālajiem enerģētikas un klimata plāniem ir pirmā lielā pasaules ekonomika, kas pieņem juridiski saistošu sistēmu, lai izpildītu 2015. gada saistības, kuras izriet no </w:t>
      </w:r>
      <w:r>
        <w:rPr>
          <w:i/>
        </w:rPr>
        <w:t>COP 21</w:t>
      </w:r>
      <w:r>
        <w:t xml:space="preserve"> Parīzes nolīguma un ANO programmas 2030. gadam.</w:t>
      </w:r>
    </w:p>
    <w:p w14:paraId="0E7775F0" w14:textId="77777777" w:rsidR="0074594B" w:rsidRDefault="0074594B" w:rsidP="003C75A0"/>
    <w:p w14:paraId="17F41F4E" w14:textId="77777777" w:rsidR="00993678" w:rsidRPr="000F3316" w:rsidRDefault="00993678" w:rsidP="003C75A0">
      <w:pPr>
        <w:keepNext/>
        <w:keepLines/>
        <w:tabs>
          <w:tab w:val="left" w:pos="1701"/>
        </w:tabs>
        <w:rPr>
          <w:i/>
        </w:rPr>
      </w:pPr>
      <w:r>
        <w:rPr>
          <w:b/>
          <w:i/>
        </w:rPr>
        <w:t>Kontaktpersona:</w:t>
      </w:r>
      <w:r>
        <w:rPr>
          <w:i/>
        </w:rPr>
        <w:tab/>
        <w:t>Alessandro Rizzi</w:t>
      </w:r>
    </w:p>
    <w:p w14:paraId="0B619FC6" w14:textId="77777777" w:rsidR="00993678" w:rsidRPr="0035587B" w:rsidRDefault="00993678" w:rsidP="003C75A0">
      <w:pPr>
        <w:keepNext/>
        <w:keepLines/>
        <w:tabs>
          <w:tab w:val="left" w:pos="1701"/>
        </w:tabs>
        <w:ind w:left="1701"/>
      </w:pPr>
      <w:r>
        <w:rPr>
          <w:i/>
        </w:rPr>
        <w:t xml:space="preserve">(Tālr.: 00 32 2 546 86 79, e-pasta adrese: </w:t>
      </w:r>
      <w:hyperlink r:id="rId36" w:history="1">
        <w:r>
          <w:rPr>
            <w:rStyle w:val="Hyperlink"/>
            <w:i/>
          </w:rPr>
          <w:t>Alessandro.Rizzi@eesc.europa.eu</w:t>
        </w:r>
      </w:hyperlink>
      <w:r>
        <w:t>)</w:t>
      </w:r>
    </w:p>
    <w:p w14:paraId="3B3B1764" w14:textId="77777777" w:rsidR="007B28CF" w:rsidRPr="0035587B" w:rsidRDefault="007B28CF" w:rsidP="005D56C1">
      <w:pPr>
        <w:jc w:val="left"/>
        <w:rPr>
          <w:lang w:val="fr-BE"/>
        </w:rPr>
      </w:pPr>
    </w:p>
    <w:p w14:paraId="64FD3476" w14:textId="77777777" w:rsidR="001E5FEE" w:rsidRPr="0035587B" w:rsidRDefault="00BF4D84" w:rsidP="00B24A6E">
      <w:pPr>
        <w:spacing w:line="240" w:lineRule="auto"/>
        <w:jc w:val="left"/>
        <w:rPr>
          <w:b/>
          <w:u w:val="single"/>
        </w:rPr>
      </w:pPr>
      <w:r>
        <w:br w:type="page"/>
      </w:r>
    </w:p>
    <w:p w14:paraId="60D28A9A" w14:textId="77777777" w:rsidR="00EC6A6B" w:rsidRPr="00AA527B" w:rsidRDefault="008D4440" w:rsidP="003F4E00">
      <w:pPr>
        <w:pStyle w:val="Heading1"/>
        <w:numPr>
          <w:ilvl w:val="0"/>
          <w:numId w:val="23"/>
        </w:numPr>
        <w:ind w:left="567" w:hanging="567"/>
        <w:rPr>
          <w:b/>
        </w:rPr>
      </w:pPr>
      <w:bookmarkStart w:id="9" w:name="_Toc25663328"/>
      <w:r>
        <w:rPr>
          <w:b/>
        </w:rPr>
        <w:lastRenderedPageBreak/>
        <w:t>ĀRĒJĀS ATTIECĪBAS</w:t>
      </w:r>
      <w:bookmarkEnd w:id="9"/>
    </w:p>
    <w:p w14:paraId="081C19D4" w14:textId="77777777" w:rsidR="008D4440" w:rsidRPr="000F3316" w:rsidRDefault="008D4440" w:rsidP="008D4440">
      <w:pPr>
        <w:rPr>
          <w:lang w:val="fr-BE"/>
        </w:rPr>
      </w:pPr>
    </w:p>
    <w:p w14:paraId="3917925D" w14:textId="77777777" w:rsidR="008D4440" w:rsidRPr="003F4E00" w:rsidRDefault="00CD0AEF" w:rsidP="003F4E00">
      <w:pPr>
        <w:widowControl w:val="0"/>
        <w:numPr>
          <w:ilvl w:val="0"/>
          <w:numId w:val="2"/>
        </w:numPr>
        <w:overflowPunct w:val="0"/>
        <w:autoSpaceDE w:val="0"/>
        <w:autoSpaceDN w:val="0"/>
        <w:adjustRightInd w:val="0"/>
        <w:ind w:left="567" w:hanging="567"/>
        <w:textAlignment w:val="baseline"/>
        <w:rPr>
          <w:b/>
          <w:i/>
          <w:sz w:val="28"/>
          <w:szCs w:val="28"/>
        </w:rPr>
      </w:pPr>
      <w:r>
        <w:rPr>
          <w:b/>
          <w:i/>
          <w:sz w:val="28"/>
          <w:szCs w:val="28"/>
        </w:rPr>
        <w:t>ES tirdzniecības un ieguldījumu politikas loma ES ekonomikas rezultātu uzlabošanā</w:t>
      </w:r>
    </w:p>
    <w:p w14:paraId="5856C40A" w14:textId="77777777" w:rsidR="008D4440" w:rsidRPr="005C58CA" w:rsidRDefault="008D4440" w:rsidP="003C75A0">
      <w:pPr>
        <w:keepNext/>
        <w:keepLines/>
        <w:widowControl w:val="0"/>
        <w:rPr>
          <w:bCs/>
          <w:lang w:val="en-GB"/>
        </w:rPr>
      </w:pPr>
    </w:p>
    <w:p w14:paraId="13AB8DB3" w14:textId="720AD49D" w:rsidR="007D71F1" w:rsidRDefault="008D4440" w:rsidP="00035D23">
      <w:pPr>
        <w:keepNext/>
        <w:keepLines/>
        <w:tabs>
          <w:tab w:val="left" w:pos="1701"/>
        </w:tabs>
      </w:pPr>
      <w:r>
        <w:rPr>
          <w:b/>
        </w:rPr>
        <w:t>Ziņotāji:</w:t>
      </w:r>
      <w:r w:rsidR="00215328">
        <w:rPr>
          <w:b/>
        </w:rPr>
        <w:tab/>
      </w:r>
      <w:r>
        <w:t>Jonathan Peel (Darba devēju grupa – UK)</w:t>
      </w:r>
    </w:p>
    <w:p w14:paraId="3767CC3E" w14:textId="66F9DFDA" w:rsidR="008D4440" w:rsidRPr="00FB0FA0" w:rsidRDefault="00CD0AEF" w:rsidP="007C3B01">
      <w:pPr>
        <w:keepNext/>
        <w:keepLines/>
        <w:ind w:left="1701"/>
      </w:pPr>
      <w:r>
        <w:t>Tanja Buzek (Darba ņēmēju grupa – DE)</w:t>
      </w:r>
    </w:p>
    <w:p w14:paraId="2413338D" w14:textId="77777777" w:rsidR="008D4440" w:rsidRPr="003C75A0" w:rsidRDefault="008D4440" w:rsidP="003C75A0">
      <w:pPr>
        <w:keepNext/>
        <w:keepLines/>
        <w:rPr>
          <w:lang w:val="en-GB"/>
        </w:rPr>
      </w:pPr>
    </w:p>
    <w:p w14:paraId="0FAD7793" w14:textId="024C92C3" w:rsidR="008D4440" w:rsidRDefault="008D4440" w:rsidP="007C3B01">
      <w:pPr>
        <w:keepNext/>
        <w:keepLines/>
        <w:ind w:left="1701" w:hanging="1701"/>
      </w:pPr>
      <w:r>
        <w:rPr>
          <w:b/>
        </w:rPr>
        <w:t>Atsauce:</w:t>
      </w:r>
      <w:r w:rsidR="00A10EB9">
        <w:t xml:space="preserve"> </w:t>
      </w:r>
      <w:r>
        <w:tab/>
        <w:t>Pašiniciatīvas atzinums</w:t>
      </w:r>
    </w:p>
    <w:p w14:paraId="0CD10398" w14:textId="77777777" w:rsidR="008D4440" w:rsidRPr="005C58CA" w:rsidRDefault="008D4440" w:rsidP="003C75A0">
      <w:pPr>
        <w:keepNext/>
        <w:keepLines/>
        <w:tabs>
          <w:tab w:val="left" w:pos="1701"/>
        </w:tabs>
        <w:ind w:left="1701"/>
      </w:pPr>
      <w:r>
        <w:t>EESC-2019-02162-00-00-AC</w:t>
      </w:r>
    </w:p>
    <w:p w14:paraId="498392BE" w14:textId="77777777" w:rsidR="008D4440" w:rsidRPr="003C75A0" w:rsidRDefault="008D4440" w:rsidP="003C75A0">
      <w:pPr>
        <w:keepNext/>
        <w:keepLines/>
        <w:tabs>
          <w:tab w:val="num" w:pos="550"/>
        </w:tabs>
        <w:rPr>
          <w:highlight w:val="green"/>
          <w:lang w:val="en-GB"/>
        </w:rPr>
      </w:pPr>
    </w:p>
    <w:p w14:paraId="57A16986" w14:textId="77777777" w:rsidR="008D4440" w:rsidRDefault="008D4440" w:rsidP="003C75A0">
      <w:pPr>
        <w:keepNext/>
        <w:keepLines/>
        <w:tabs>
          <w:tab w:val="left" w:pos="1701"/>
        </w:tabs>
        <w:rPr>
          <w:b/>
        </w:rPr>
      </w:pPr>
      <w:r>
        <w:rPr>
          <w:b/>
        </w:rPr>
        <w:t>Galvenās nostādnes</w:t>
      </w:r>
    </w:p>
    <w:p w14:paraId="665A2619" w14:textId="77777777" w:rsidR="00AD0A70" w:rsidRDefault="00AD0A70" w:rsidP="003C75A0">
      <w:pPr>
        <w:keepNext/>
        <w:keepLines/>
        <w:tabs>
          <w:tab w:val="left" w:pos="1701"/>
        </w:tabs>
        <w:rPr>
          <w:b/>
          <w:lang w:val="en-GB"/>
        </w:rPr>
      </w:pPr>
    </w:p>
    <w:p w14:paraId="2B7486EB" w14:textId="77777777" w:rsidR="00C2459D" w:rsidRPr="00C2459D" w:rsidRDefault="00C2459D" w:rsidP="00AD0A70">
      <w:pPr>
        <w:tabs>
          <w:tab w:val="left" w:pos="1701"/>
        </w:tabs>
        <w:rPr>
          <w:color w:val="000000"/>
        </w:rPr>
      </w:pPr>
      <w:r>
        <w:rPr>
          <w:color w:val="000000"/>
        </w:rPr>
        <w:t>Eiropas Ekonomikas un sociālo lietu komiteja atgādina jaunajai Eiropas Komisijai un jaunajam Eiropas Parlamentam ieteikumus, ko tā sniegusi nesen sagatavotajos galvenajos atzinumos par ES tirdzniecības un ieguldījumu politiku. Mēs mudinām tos iekļaut visās jaunajās</w:t>
      </w:r>
      <w:bookmarkStart w:id="10" w:name="_GoBack"/>
      <w:bookmarkEnd w:id="10"/>
      <w:r>
        <w:rPr>
          <w:color w:val="000000"/>
        </w:rPr>
        <w:t xml:space="preserve"> tirdzniecības stratēģijās.</w:t>
      </w:r>
    </w:p>
    <w:p w14:paraId="3068A62F" w14:textId="77777777" w:rsidR="00C2459D" w:rsidRPr="00C2459D" w:rsidRDefault="00C2459D" w:rsidP="00AD0A70">
      <w:pPr>
        <w:tabs>
          <w:tab w:val="left" w:pos="1701"/>
        </w:tabs>
        <w:rPr>
          <w:color w:val="000000"/>
          <w:lang w:val="en-GB"/>
        </w:rPr>
      </w:pPr>
    </w:p>
    <w:p w14:paraId="39BC377C" w14:textId="77777777" w:rsidR="00C2459D" w:rsidRPr="00C2459D" w:rsidRDefault="00C2459D" w:rsidP="00AD0A70">
      <w:pPr>
        <w:tabs>
          <w:tab w:val="left" w:pos="1701"/>
        </w:tabs>
        <w:rPr>
          <w:color w:val="000000"/>
        </w:rPr>
      </w:pPr>
      <w:r>
        <w:rPr>
          <w:color w:val="000000"/>
        </w:rPr>
        <w:t>ES tirdzniecības un ieguldījumu politika tiek analizēta un politiski uzraudzīta aktīvāk nekā jebkad agrāk. Lai varētu turpināt sarunas par izdevīgiem un dinamiskiem tirdzniecības nolīgumiem visā pasaulē, ES ir jāpanāk pietiekams iekšējs konsenss. Šajā nolūkā tai ir jāveicina progresīvas tirdzniecības programmas veidošana, kuras pamatā būtu vides un sociālo pamattiesību, kā arī patērētāju standartu un tiesību aizsardzība.</w:t>
      </w:r>
    </w:p>
    <w:p w14:paraId="04A964CB" w14:textId="77777777" w:rsidR="00C2459D" w:rsidRPr="00C2459D" w:rsidRDefault="00C2459D" w:rsidP="00AD0A70">
      <w:pPr>
        <w:tabs>
          <w:tab w:val="left" w:pos="1701"/>
        </w:tabs>
        <w:rPr>
          <w:color w:val="000000"/>
          <w:lang w:val="en-GB"/>
        </w:rPr>
      </w:pPr>
    </w:p>
    <w:p w14:paraId="718C83EE" w14:textId="77777777" w:rsidR="00C2459D" w:rsidRPr="00C2459D" w:rsidRDefault="00C2459D" w:rsidP="00AD0A70">
      <w:pPr>
        <w:tabs>
          <w:tab w:val="left" w:pos="1701"/>
        </w:tabs>
        <w:rPr>
          <w:color w:val="000000"/>
        </w:rPr>
      </w:pPr>
      <w:r>
        <w:rPr>
          <w:color w:val="000000"/>
        </w:rPr>
        <w:t>EESK pirmām kārtām uzskata, ka ir ārkārtīgi svarīgi, lai ES nodrošinātu raitu un pareizu iekšējā tirgus un eurozonas darbību. Šim mērķim ir jāietver ļoti plašs atsevišķu politikas jomu spektrs — no transporta un enerģētikas līdz pakalpojumu iekļaušanas uzlabošanai — un jānodrošina juridiski stabils un sociāli aizsargāts satvars digitalizācijas un mākslīgā intelekta attīstībai. Tam jāietver taisnīgs ES regulējums un politika, kas veicinātu tādus apstākļus, kuri palīdzētu uzņēmumiem uzņemties vadību to jauno tehnoloģiju izstrādē un piemērošanā, kas uztur konkurētspēju, vienlaikus taisnīgā pārejas procesā nodrošinot izaugsmi un pienācīgas kvalitātes darbvietas.</w:t>
      </w:r>
    </w:p>
    <w:p w14:paraId="36AE268A" w14:textId="77777777" w:rsidR="00C2459D" w:rsidRPr="00C2459D" w:rsidRDefault="00C2459D" w:rsidP="00AD0A70">
      <w:pPr>
        <w:tabs>
          <w:tab w:val="left" w:pos="1701"/>
        </w:tabs>
        <w:rPr>
          <w:color w:val="000000"/>
          <w:lang w:val="en-GB"/>
        </w:rPr>
      </w:pPr>
    </w:p>
    <w:p w14:paraId="52095752" w14:textId="77777777" w:rsidR="00C2459D" w:rsidRPr="00C2459D" w:rsidRDefault="00C2459D" w:rsidP="00AD0A70">
      <w:pPr>
        <w:tabs>
          <w:tab w:val="left" w:pos="1701"/>
        </w:tabs>
        <w:rPr>
          <w:color w:val="000000"/>
        </w:rPr>
      </w:pPr>
      <w:r>
        <w:rPr>
          <w:color w:val="000000"/>
        </w:rPr>
        <w:t>EESK aicina jauno Komisiju visiem spēkiem rūpēties par to, lai programma “Apvārsnis Eiropa” kļūtu par efektīvu, noturīgu un spēcīgu turpinājumu programmai “Apvārsnis 2020”.</w:t>
      </w:r>
    </w:p>
    <w:p w14:paraId="4B67C0CD" w14:textId="77777777" w:rsidR="00C2459D" w:rsidRPr="00C2459D" w:rsidRDefault="00C2459D" w:rsidP="00AD0A70">
      <w:pPr>
        <w:tabs>
          <w:tab w:val="left" w:pos="1701"/>
        </w:tabs>
        <w:rPr>
          <w:color w:val="000000"/>
          <w:lang w:val="en-GB"/>
        </w:rPr>
      </w:pPr>
    </w:p>
    <w:p w14:paraId="665C5468" w14:textId="77777777" w:rsidR="00C2459D" w:rsidRPr="00C2459D" w:rsidRDefault="00C2459D" w:rsidP="00AD0A70">
      <w:pPr>
        <w:tabs>
          <w:tab w:val="left" w:pos="1701"/>
        </w:tabs>
        <w:rPr>
          <w:color w:val="000000"/>
        </w:rPr>
      </w:pPr>
      <w:r>
        <w:rPr>
          <w:color w:val="000000"/>
        </w:rPr>
        <w:t>Ārkārtīgi liela nozīme ir arī cilvēku prasmju veicināšanai un attīstībai. EESK uzskata, ka uzmanības centrā ir jābūt nevis uz bezcerīgiem centieniem cilvēkus pārvērst par uzlabotiem datoriem, bet gan uzsvars jāliek palīdzību individuālo prasmju ātrai pielāgošanai ar mūžizglītības palīdzību, un jāpalielina uzsvars uz daudzvalodību un veikli maināmām apmācības programmām, un .</w:t>
      </w:r>
    </w:p>
    <w:p w14:paraId="7F1F151C" w14:textId="77777777" w:rsidR="00C2459D" w:rsidRPr="00C2459D" w:rsidRDefault="00C2459D" w:rsidP="00AD0A70">
      <w:pPr>
        <w:tabs>
          <w:tab w:val="left" w:pos="1701"/>
        </w:tabs>
        <w:rPr>
          <w:color w:val="000000"/>
          <w:lang w:val="en-GB"/>
        </w:rPr>
      </w:pPr>
    </w:p>
    <w:p w14:paraId="6679D29F" w14:textId="77777777" w:rsidR="00C2459D" w:rsidRPr="00C2459D" w:rsidRDefault="00C2459D" w:rsidP="00AD0A70">
      <w:pPr>
        <w:tabs>
          <w:tab w:val="left" w:pos="1701"/>
        </w:tabs>
        <w:rPr>
          <w:color w:val="000000"/>
        </w:rPr>
      </w:pPr>
      <w:r>
        <w:rPr>
          <w:color w:val="000000"/>
        </w:rPr>
        <w:t>Mazo un vidējo uzņēmumu vajadzības un potenciāls ir jāiekļauj visās politikas jomās ar mērķi šiem uzņēmumiem nodrošināt piekļuvi finansējumam un citiem resursiem, kā arī veicināt to spēju attīstīties.</w:t>
      </w:r>
    </w:p>
    <w:p w14:paraId="6A921CEA" w14:textId="77777777" w:rsidR="00C2459D" w:rsidRPr="00C2459D" w:rsidRDefault="00C2459D" w:rsidP="00AD0A70">
      <w:pPr>
        <w:tabs>
          <w:tab w:val="left" w:pos="1701"/>
        </w:tabs>
        <w:rPr>
          <w:color w:val="000000"/>
          <w:lang w:val="en-GB"/>
        </w:rPr>
      </w:pPr>
    </w:p>
    <w:p w14:paraId="026C2038" w14:textId="77777777" w:rsidR="00C2459D" w:rsidRPr="00C2459D" w:rsidRDefault="00C2459D" w:rsidP="007D71F1">
      <w:pPr>
        <w:keepNext/>
        <w:keepLines/>
        <w:tabs>
          <w:tab w:val="left" w:pos="1701"/>
        </w:tabs>
        <w:rPr>
          <w:color w:val="000000"/>
        </w:rPr>
      </w:pPr>
      <w:r>
        <w:rPr>
          <w:color w:val="000000"/>
        </w:rPr>
        <w:lastRenderedPageBreak/>
        <w:t>Pievēršoties pašreizējai tirdzniecības darbībai, EESK atbalsta Pasaules Tirdzniecības organizāciju un atkārtoti pauž aicinājumu Eiropas Savienībai uzņemties pasaules līmeņa vadību un popularizēt progresīvas, taisnīgas un ilgtspējīgas tirdzniecības politikas noteikumus. Tai ir jāturpina cieša sadarbība ar pārējiem, lai reformētu Pasaules Tirdzniecības organizāciju un jo īpaši — lai ieviestu noteikumus, ar kuriem varētu panākt, lai valstis ievērotu un īstenotu ilgtspējīgas attīstības mērķus. Šajā saistībā Eiropas Savienībai un dalībvalstīm ar dažādu Pasaules Tirdzniecības organizāciju komiteju struktūru palīdzību, īpaši to, kuru pārziņā ir tādas jaunas jomas kā tirdzniecība un pienācīgas kvalitātes nodarbinātība, būtu jāizmanto savi ietekmes līdzekļi un jāpauž atbalsts.</w:t>
      </w:r>
    </w:p>
    <w:p w14:paraId="091CA458" w14:textId="77777777" w:rsidR="00C2459D" w:rsidRPr="00C2459D" w:rsidRDefault="00C2459D" w:rsidP="00AD0A70">
      <w:pPr>
        <w:tabs>
          <w:tab w:val="left" w:pos="1701"/>
        </w:tabs>
        <w:rPr>
          <w:color w:val="000000"/>
          <w:lang w:val="en-GB"/>
        </w:rPr>
      </w:pPr>
    </w:p>
    <w:p w14:paraId="2AD96697" w14:textId="77777777" w:rsidR="00C2459D" w:rsidRPr="00C2459D" w:rsidRDefault="00C2459D" w:rsidP="00AD0A70">
      <w:pPr>
        <w:tabs>
          <w:tab w:val="left" w:pos="1701"/>
        </w:tabs>
        <w:rPr>
          <w:color w:val="000000"/>
        </w:rPr>
      </w:pPr>
      <w:r>
        <w:rPr>
          <w:color w:val="000000"/>
        </w:rPr>
        <w:t>EESK skatījumā ES tirdzniecības un ieguldījumu politikai ir noteikti jāvēršas pret visām būtiskajām tirgus atvēršanas sekām un pēc iespējas jāmazina negatīvā ietekme, īpaši sociālās un pārejas izmaksas. Eiropas Globalizācijas pielāgošanās fondam jebkuras daudzgadu finanšu shēmas ietvaros ir jānodrošina finansējums, kas būtu pietiekams, lai novērstu tirdzniecības negatīvo ietekmi, un visi ierobežojošie tā piemērošanas nosacījumi un kritēriji ir jāpārskata.</w:t>
      </w:r>
    </w:p>
    <w:p w14:paraId="7141762D" w14:textId="77777777" w:rsidR="00C2459D" w:rsidRPr="00C2459D" w:rsidRDefault="00C2459D" w:rsidP="00AD0A70">
      <w:pPr>
        <w:tabs>
          <w:tab w:val="left" w:pos="1701"/>
        </w:tabs>
        <w:rPr>
          <w:color w:val="000000"/>
          <w:lang w:val="en-GB"/>
        </w:rPr>
      </w:pPr>
    </w:p>
    <w:p w14:paraId="775F8A4D" w14:textId="77777777" w:rsidR="00C2459D" w:rsidRPr="00C2459D" w:rsidRDefault="00C2459D" w:rsidP="00AD0A70">
      <w:pPr>
        <w:tabs>
          <w:tab w:val="left" w:pos="1701"/>
        </w:tabs>
        <w:rPr>
          <w:color w:val="000000"/>
        </w:rPr>
      </w:pPr>
      <w:r>
        <w:rPr>
          <w:color w:val="000000"/>
        </w:rPr>
        <w:t>EESK atkārtoti uzsver, ka tirdzniecības nolīgumos nekas nedrīkst ierobežot valdību publiskās politikas regulēšanas brīvību pēc saviem ieskatiem.</w:t>
      </w:r>
    </w:p>
    <w:p w14:paraId="2749AE6D" w14:textId="77777777" w:rsidR="00C2459D" w:rsidRPr="00C2459D" w:rsidRDefault="00C2459D" w:rsidP="00AD0A70">
      <w:pPr>
        <w:tabs>
          <w:tab w:val="left" w:pos="1701"/>
        </w:tabs>
        <w:rPr>
          <w:color w:val="000000"/>
          <w:lang w:val="en-GB"/>
        </w:rPr>
      </w:pPr>
    </w:p>
    <w:p w14:paraId="50B54837" w14:textId="77777777" w:rsidR="00C2459D" w:rsidRPr="00C2459D" w:rsidRDefault="002B5D3F" w:rsidP="00AD0A70">
      <w:pPr>
        <w:tabs>
          <w:tab w:val="left" w:pos="1701"/>
        </w:tabs>
        <w:rPr>
          <w:color w:val="000000"/>
        </w:rPr>
      </w:pPr>
      <w:r>
        <w:rPr>
          <w:color w:val="000000"/>
        </w:rPr>
        <w:t>EESK atkārtoti pauž pārliecību, ka atbildīga uzņēmējdarbība ar tirdzniecības politikas palīdzību ir svarīga ES tirdzniecības pozīciju pasaulē uzlabošanai un ilgtspējas atbalstam.</w:t>
      </w:r>
    </w:p>
    <w:p w14:paraId="55A03DCC" w14:textId="77777777" w:rsidR="00C2459D" w:rsidRPr="00C2459D" w:rsidRDefault="00C2459D" w:rsidP="00AD0A70">
      <w:pPr>
        <w:tabs>
          <w:tab w:val="left" w:pos="1701"/>
        </w:tabs>
        <w:rPr>
          <w:color w:val="000000"/>
          <w:lang w:val="en-GB"/>
        </w:rPr>
      </w:pPr>
    </w:p>
    <w:p w14:paraId="7F6F9073" w14:textId="77777777" w:rsidR="00C2459D" w:rsidRPr="00C2459D" w:rsidRDefault="00C2459D" w:rsidP="00AD0A70">
      <w:pPr>
        <w:tabs>
          <w:tab w:val="left" w:pos="1701"/>
        </w:tabs>
        <w:rPr>
          <w:color w:val="000000"/>
        </w:rPr>
      </w:pPr>
      <w:r>
        <w:rPr>
          <w:color w:val="000000"/>
        </w:rPr>
        <w:t>EESK aicina jauno Komisiju atkārtoti apstiprināt savus horizontālos noteikumus par pārrobežu datu plūsmām un par personas datu aizsardzību ES tirdzniecības un ieguldījumu nolīgumos.</w:t>
      </w:r>
    </w:p>
    <w:p w14:paraId="760587B5" w14:textId="77777777" w:rsidR="00C2459D" w:rsidRPr="00C2459D" w:rsidRDefault="00C2459D" w:rsidP="00AD0A70">
      <w:pPr>
        <w:tabs>
          <w:tab w:val="left" w:pos="1701"/>
        </w:tabs>
        <w:rPr>
          <w:color w:val="000000"/>
          <w:lang w:val="en-GB"/>
        </w:rPr>
      </w:pPr>
    </w:p>
    <w:p w14:paraId="4D341560" w14:textId="77777777" w:rsidR="00C2459D" w:rsidRPr="00C2459D" w:rsidRDefault="00C2459D" w:rsidP="00AD0A70">
      <w:pPr>
        <w:tabs>
          <w:tab w:val="left" w:pos="1701"/>
        </w:tabs>
        <w:rPr>
          <w:color w:val="000000"/>
        </w:rPr>
      </w:pPr>
      <w:r>
        <w:rPr>
          <w:color w:val="000000"/>
        </w:rPr>
        <w:t>EESK ir pārliecināta, ka ir svarīgi padziļināt diskusijas par tirdzniecību un ieguldījumiem, jo tādējādi palielinātos izpratne par to veicināšanu un ekonomisko ietekmi. ES vērtēšanas politikā vairāk jāpievēršas tirdzniecības nolīgumu kvalitātes elementu novērtēšanai un pilnībā jāiesaista pilsoniskā sabiedrība un EESK.</w:t>
      </w:r>
    </w:p>
    <w:p w14:paraId="6224EFFF" w14:textId="77777777" w:rsidR="00C2459D" w:rsidRPr="00C2459D" w:rsidRDefault="00C2459D" w:rsidP="00AD0A70">
      <w:pPr>
        <w:tabs>
          <w:tab w:val="left" w:pos="1701"/>
        </w:tabs>
        <w:rPr>
          <w:color w:val="000000"/>
        </w:rPr>
      </w:pPr>
      <w:r>
        <w:rPr>
          <w:color w:val="000000"/>
        </w:rPr>
        <w:t xml:space="preserve"> </w:t>
      </w:r>
    </w:p>
    <w:p w14:paraId="3E17E799" w14:textId="77777777" w:rsidR="00C2459D" w:rsidRPr="00C2459D" w:rsidRDefault="00C2459D" w:rsidP="00AD0A70">
      <w:pPr>
        <w:tabs>
          <w:tab w:val="left" w:pos="1701"/>
        </w:tabs>
        <w:rPr>
          <w:color w:val="000000"/>
        </w:rPr>
      </w:pPr>
      <w:r>
        <w:rPr>
          <w:color w:val="000000"/>
        </w:rPr>
        <w:t>EESK atkārto Eiropas Ārējās darbības dienesta pausto aicinājumu, ka tai jāpalielina izpratne par tirdzniecību. EESK arī atkārtoti pauž aicinājumu padarīt ciešāku, konsekventāku un pārredzamāku savstarpējo sadarbību starp Tirdzniecības ĢD un citiem ģenerāldirektorātiem, īpaši DEVCO ĢD un EMPL ĢD.</w:t>
      </w:r>
    </w:p>
    <w:p w14:paraId="361CA9E1" w14:textId="77777777" w:rsidR="00C2459D" w:rsidRPr="00C2459D" w:rsidRDefault="00C2459D" w:rsidP="00AD0A70">
      <w:pPr>
        <w:tabs>
          <w:tab w:val="left" w:pos="1701"/>
        </w:tabs>
        <w:rPr>
          <w:color w:val="000000"/>
          <w:lang w:val="en-GB"/>
        </w:rPr>
      </w:pPr>
    </w:p>
    <w:p w14:paraId="04ADF9A7" w14:textId="77777777" w:rsidR="00C2459D" w:rsidRPr="00C2459D" w:rsidRDefault="00C2459D" w:rsidP="00AD0A70">
      <w:pPr>
        <w:tabs>
          <w:tab w:val="left" w:pos="1701"/>
        </w:tabs>
        <w:rPr>
          <w:color w:val="000000"/>
        </w:rPr>
      </w:pPr>
      <w:r>
        <w:rPr>
          <w:color w:val="000000"/>
        </w:rPr>
        <w:t>EESK vēlas, lai dialogs ar pilsonisko sabiedrību par tirdzniecību un ieguldījumu politiku kļūtu daudz dziļāks gan sarunu laikā, gan pēc tām un lai tiktu stiprināta pilsoniskās sabiedrības uzraudzības loma. Šis dialogs ir jāizvērš, balstoties uz pilnīgāku pārredzamību un pastāvīgu pilnveidošanu.</w:t>
      </w:r>
    </w:p>
    <w:p w14:paraId="214F3823" w14:textId="77777777" w:rsidR="00C2459D" w:rsidRPr="00C2459D" w:rsidRDefault="00C2459D" w:rsidP="00AD0A70">
      <w:pPr>
        <w:tabs>
          <w:tab w:val="left" w:pos="1701"/>
        </w:tabs>
        <w:rPr>
          <w:color w:val="000000"/>
          <w:lang w:val="en-GB"/>
        </w:rPr>
      </w:pPr>
    </w:p>
    <w:p w14:paraId="77296097" w14:textId="77777777" w:rsidR="00C2459D" w:rsidRPr="00C2459D" w:rsidRDefault="00C2459D" w:rsidP="00AD0A70">
      <w:pPr>
        <w:tabs>
          <w:tab w:val="left" w:pos="1701"/>
        </w:tabs>
        <w:rPr>
          <w:color w:val="000000"/>
        </w:rPr>
      </w:pPr>
      <w:r>
        <w:rPr>
          <w:color w:val="000000"/>
        </w:rPr>
        <w:t>EESK ļoti atzinīgi novērtēja uzsvaru, kas stratēģijā “Tirdzniecība visiem” likts uz ilgtspējīgu attīstību, īpaši cilvēktiesību, sociālo tiesību un vides aizsardzības jomā, kā arī tirdzniecības un ilgtspējīgas attīstības sadaļu iekļaušanu visos jaunās paaudzes tirdzniecības nolīgumos. Tam visam ir jāveido pamats ES tirdzniecības un ieguldījumu politikas veicināšanai. No šo saistību efektīvas īstenošanas tagad būs atkarīga vienlīdzīgas konkurences apstākļu nodrošināšana ES uzņēmumiem ārvalstīs.</w:t>
      </w:r>
    </w:p>
    <w:p w14:paraId="096B84CF" w14:textId="77777777" w:rsidR="00C2459D" w:rsidRPr="00C2459D" w:rsidRDefault="00C2459D" w:rsidP="00AD0A70">
      <w:pPr>
        <w:tabs>
          <w:tab w:val="left" w:pos="1701"/>
        </w:tabs>
        <w:rPr>
          <w:color w:val="000000"/>
          <w:lang w:val="en-GB"/>
        </w:rPr>
      </w:pPr>
    </w:p>
    <w:p w14:paraId="7CD2A7BA" w14:textId="77777777" w:rsidR="00C2459D" w:rsidRPr="00C2459D" w:rsidRDefault="00C2459D" w:rsidP="00AD0A70">
      <w:pPr>
        <w:tabs>
          <w:tab w:val="left" w:pos="1701"/>
        </w:tabs>
        <w:rPr>
          <w:color w:val="000000"/>
        </w:rPr>
      </w:pPr>
      <w:r>
        <w:rPr>
          <w:color w:val="000000"/>
        </w:rPr>
        <w:lastRenderedPageBreak/>
        <w:t>EESK iepriekš jau ir ieteikusi, ka nākamo tirdzniecības un ilgtspējīgas attīstības sadaļu pilnvaru jomā jāiekļauj ne vien īpaša klauzula attiecībā uz ilgtspējīgas attīstības mērķu popularizēšanu, bet kā ES vērtību neatņemama daļa saskaņā ar Parīzes nolīgumu jāiekļauj arī cīņa pret globālo sasilšanu.</w:t>
      </w:r>
    </w:p>
    <w:p w14:paraId="3879830E" w14:textId="77777777" w:rsidR="00C2459D" w:rsidRPr="00C2459D" w:rsidRDefault="00C2459D" w:rsidP="00AD0A70">
      <w:pPr>
        <w:tabs>
          <w:tab w:val="left" w:pos="1701"/>
        </w:tabs>
        <w:rPr>
          <w:color w:val="000000"/>
          <w:lang w:val="en-GB"/>
        </w:rPr>
      </w:pPr>
    </w:p>
    <w:p w14:paraId="28A58CED" w14:textId="77777777" w:rsidR="00411F08" w:rsidRDefault="00C2459D" w:rsidP="00AD0A70">
      <w:pPr>
        <w:tabs>
          <w:tab w:val="left" w:pos="1701"/>
        </w:tabs>
        <w:rPr>
          <w:color w:val="000000"/>
        </w:rPr>
      </w:pPr>
      <w:r>
        <w:rPr>
          <w:color w:val="000000"/>
        </w:rPr>
        <w:t>Palielinoties tirdzniecības plūsmām, turpinās palielināties pārvadājumu apjoms, kas jau tā rada īpaši lielu siltumnīcefekta gāzu emisiju daudzumu. Tāpēc EESK aicina visus transporta veidus iekļaut pilnveidotā ilgtspējīgā un taisnīgā transporta politikā un noteikt skaidru politisku saikni starp tirdzniecību un transportu, īpaši domājot par attiecīgo ilgtspējīgas attīstības mērķu saistību īstenošanu.</w:t>
      </w:r>
    </w:p>
    <w:p w14:paraId="721C1598" w14:textId="77777777" w:rsidR="008D4440" w:rsidRDefault="008D4440" w:rsidP="00AD0A70">
      <w:pPr>
        <w:tabs>
          <w:tab w:val="left" w:pos="1701"/>
        </w:tabs>
        <w:rPr>
          <w:color w:val="000000"/>
          <w:lang w:val="en-GB"/>
        </w:rPr>
      </w:pPr>
    </w:p>
    <w:p w14:paraId="3A755C95" w14:textId="77777777" w:rsidR="008D4440" w:rsidRPr="00554D34" w:rsidRDefault="008D4440" w:rsidP="003C75A0">
      <w:pPr>
        <w:tabs>
          <w:tab w:val="left" w:pos="1701"/>
        </w:tabs>
        <w:rPr>
          <w:i/>
        </w:rPr>
      </w:pPr>
      <w:r>
        <w:rPr>
          <w:b/>
          <w:i/>
        </w:rPr>
        <w:t>Kontaktpersona:</w:t>
      </w:r>
      <w:r>
        <w:rPr>
          <w:i/>
        </w:rPr>
        <w:tab/>
        <w:t>Sara Nanino</w:t>
      </w:r>
    </w:p>
    <w:p w14:paraId="436D9D6A" w14:textId="1FADBE71" w:rsidR="008D4440" w:rsidRPr="0035587B" w:rsidRDefault="008D4440" w:rsidP="007C3B01">
      <w:pPr>
        <w:keepNext/>
        <w:keepLines/>
        <w:ind w:left="1701"/>
        <w:rPr>
          <w:i/>
          <w:color w:val="0000FF"/>
          <w:u w:val="single"/>
        </w:rPr>
      </w:pPr>
      <w:r>
        <w:rPr>
          <w:i/>
        </w:rPr>
        <w:t xml:space="preserve">(Tālr.: 00 32 2 546 88 78, e-pasta adrese: </w:t>
      </w:r>
      <w:hyperlink r:id="rId37" w:history="1">
        <w:r>
          <w:rPr>
            <w:rStyle w:val="Hyperlink"/>
            <w:i/>
          </w:rPr>
          <w:t>Sara.Nanino@eesc.europa.eu</w:t>
        </w:r>
      </w:hyperlink>
      <w:r>
        <w:t>)</w:t>
      </w:r>
    </w:p>
    <w:p w14:paraId="5F3CCAD1" w14:textId="77777777" w:rsidR="00C561AD" w:rsidRDefault="00C561AD">
      <w:pPr>
        <w:spacing w:line="240" w:lineRule="auto"/>
        <w:jc w:val="left"/>
      </w:pPr>
      <w:r>
        <w:br w:type="page"/>
      </w:r>
    </w:p>
    <w:p w14:paraId="3A3D8F90" w14:textId="77777777" w:rsidR="00902EEB" w:rsidRPr="00902EEB" w:rsidRDefault="00CD6564" w:rsidP="00902EEB">
      <w:pPr>
        <w:pStyle w:val="Heading1"/>
        <w:numPr>
          <w:ilvl w:val="0"/>
          <w:numId w:val="23"/>
        </w:numPr>
        <w:ind w:left="567" w:hanging="567"/>
        <w:rPr>
          <w:b/>
        </w:rPr>
      </w:pPr>
      <w:bookmarkStart w:id="11" w:name="_Toc25663329"/>
      <w:r>
        <w:rPr>
          <w:b/>
        </w:rPr>
        <w:lastRenderedPageBreak/>
        <w:t>APAKŠKOMITEJA</w:t>
      </w:r>
      <w:bookmarkEnd w:id="11"/>
    </w:p>
    <w:p w14:paraId="71A87D23" w14:textId="77777777" w:rsidR="001E7515" w:rsidRPr="0051246D" w:rsidRDefault="001E7515" w:rsidP="001E7515">
      <w:pPr>
        <w:jc w:val="left"/>
        <w:rPr>
          <w:iCs/>
          <w:lang w:val="it-IT"/>
        </w:rPr>
      </w:pPr>
    </w:p>
    <w:p w14:paraId="67D5A54B" w14:textId="77777777" w:rsidR="001E7515" w:rsidRPr="002A5422" w:rsidRDefault="001E7515" w:rsidP="001E7515">
      <w:pPr>
        <w:pStyle w:val="ListParagraph"/>
        <w:keepNext/>
        <w:keepLines/>
        <w:numPr>
          <w:ilvl w:val="0"/>
          <w:numId w:val="3"/>
        </w:numPr>
        <w:ind w:left="567" w:hanging="567"/>
        <w:rPr>
          <w:b/>
          <w:bCs/>
          <w:i/>
          <w:iCs/>
          <w:sz w:val="28"/>
          <w:szCs w:val="28"/>
        </w:rPr>
      </w:pPr>
      <w:r>
        <w:rPr>
          <w:b/>
          <w:bCs/>
          <w:i/>
          <w:iCs/>
          <w:sz w:val="28"/>
          <w:szCs w:val="28"/>
        </w:rPr>
        <w:t>Nevienu neatstāt novārtā, īstenojot Ilgtspējīgas attīstības programmu 2030. gadam</w:t>
      </w:r>
    </w:p>
    <w:p w14:paraId="0A331893" w14:textId="77777777" w:rsidR="001E7515" w:rsidRPr="00C736A2" w:rsidRDefault="001E7515" w:rsidP="001E7515">
      <w:pPr>
        <w:pStyle w:val="ListParagraph"/>
        <w:keepNext/>
        <w:keepLines/>
        <w:ind w:left="567"/>
        <w:rPr>
          <w:bCs/>
          <w:iCs/>
          <w:lang w:val="en-GB"/>
        </w:rPr>
      </w:pPr>
    </w:p>
    <w:p w14:paraId="65426936" w14:textId="77777777" w:rsidR="001E7515" w:rsidRPr="0035587B" w:rsidRDefault="001E7515" w:rsidP="001E7515">
      <w:pPr>
        <w:keepNext/>
        <w:keepLines/>
      </w:pPr>
      <w:r>
        <w:rPr>
          <w:b/>
        </w:rPr>
        <w:t>Ziņotājs:</w:t>
      </w:r>
      <w:r>
        <w:tab/>
        <w:t>Peter Schmidt (Darba ņēmēju grupa – DE)</w:t>
      </w:r>
    </w:p>
    <w:p w14:paraId="3FCB2418" w14:textId="77777777" w:rsidR="001E7515" w:rsidRPr="0035587B" w:rsidRDefault="001E7515" w:rsidP="001E7515">
      <w:pPr>
        <w:keepNext/>
        <w:keepLines/>
      </w:pPr>
      <w:r>
        <w:rPr>
          <w:b/>
        </w:rPr>
        <w:t>Līdzziņotājs:</w:t>
      </w:r>
      <w:r>
        <w:tab/>
        <w:t>Lutz Ribbe (grupa “Daudzveidība Eiropā” – DE)</w:t>
      </w:r>
    </w:p>
    <w:p w14:paraId="6F3480A3" w14:textId="77777777" w:rsidR="001E7515" w:rsidRPr="0035587B" w:rsidRDefault="001E7515" w:rsidP="001E7515">
      <w:pPr>
        <w:keepNext/>
        <w:keepLines/>
        <w:rPr>
          <w:lang w:val="fr-BE"/>
        </w:rPr>
      </w:pPr>
    </w:p>
    <w:p w14:paraId="4C37D7D6" w14:textId="7A7A87EA" w:rsidR="001E7515" w:rsidRPr="003F4E00" w:rsidRDefault="007C3B01" w:rsidP="007C3B01">
      <w:pPr>
        <w:keepNext/>
        <w:keepLines/>
        <w:ind w:left="1701" w:hanging="1701"/>
        <w:rPr>
          <w:bCs/>
        </w:rPr>
      </w:pPr>
      <w:r>
        <w:rPr>
          <w:b/>
          <w:bCs/>
        </w:rPr>
        <w:t>Atsauce:</w:t>
      </w:r>
      <w:r w:rsidR="00215328">
        <w:rPr>
          <w:b/>
          <w:bCs/>
        </w:rPr>
        <w:tab/>
      </w:r>
      <w:r>
        <w:t>Pašiniciatīvas atzinums</w:t>
      </w:r>
    </w:p>
    <w:p w14:paraId="156018DE" w14:textId="148BC632" w:rsidR="001E7515" w:rsidRDefault="001E7515" w:rsidP="001E7515">
      <w:pPr>
        <w:keepNext/>
        <w:keepLines/>
        <w:ind w:left="1701"/>
      </w:pPr>
      <w:r>
        <w:t>EESC-2019-02446-00-01-AC</w:t>
      </w:r>
    </w:p>
    <w:p w14:paraId="22A6B43F" w14:textId="77777777" w:rsidR="001E7515" w:rsidRPr="00215328" w:rsidRDefault="001E7515" w:rsidP="001E7515">
      <w:pPr>
        <w:keepNext/>
        <w:keepLines/>
        <w:jc w:val="left"/>
      </w:pPr>
    </w:p>
    <w:p w14:paraId="705DA62E" w14:textId="77777777" w:rsidR="001E7515" w:rsidRPr="00B2569F" w:rsidRDefault="001E7515" w:rsidP="001E7515">
      <w:pPr>
        <w:keepNext/>
        <w:keepLines/>
        <w:tabs>
          <w:tab w:val="center" w:pos="284"/>
        </w:tabs>
        <w:ind w:left="266" w:hanging="266"/>
        <w:rPr>
          <w:b/>
        </w:rPr>
      </w:pPr>
      <w:r>
        <w:rPr>
          <w:b/>
        </w:rPr>
        <w:t>Galvenās nostādnes</w:t>
      </w:r>
    </w:p>
    <w:p w14:paraId="53BD35FC" w14:textId="77777777" w:rsidR="001E7515" w:rsidRPr="00215328" w:rsidRDefault="001E7515" w:rsidP="001E7515">
      <w:pPr>
        <w:pStyle w:val="Heading2"/>
        <w:keepNext/>
        <w:keepLines/>
        <w:overflowPunct w:val="0"/>
        <w:autoSpaceDE w:val="0"/>
        <w:autoSpaceDN w:val="0"/>
        <w:adjustRightInd w:val="0"/>
        <w:textAlignment w:val="baseline"/>
      </w:pPr>
    </w:p>
    <w:p w14:paraId="1CCCE761" w14:textId="77777777" w:rsidR="001E7515" w:rsidRDefault="001E7515" w:rsidP="001E7515">
      <w:pPr>
        <w:keepNext/>
        <w:keepLines/>
      </w:pPr>
      <w:r>
        <w:t>Ilgtspējīgas attīstības mērķi iezīmē ceļu uz labāku un ilgtspējīgāku nākotni visiem. Ilgtspējīgas attīstības mērķu pamatā ir apņemšanās “nevienu neatstāt novārtā, pirmos sasniedzot tos, kas visvairāk atstāti novārtā”, īstenojot pāreju uz ilgtspējīgu un stabilu virzību, kā arī nostāja, ka neviens mērķis nav uzskatāms par sasniegtu, ja tas nav sasniegts attiecībā uz visiem.</w:t>
      </w:r>
    </w:p>
    <w:p w14:paraId="7BD53E1D" w14:textId="77777777" w:rsidR="001E7515" w:rsidRPr="00215328" w:rsidRDefault="001E7515" w:rsidP="001E7515"/>
    <w:p w14:paraId="3EBCE27C" w14:textId="77777777" w:rsidR="001E7515" w:rsidRDefault="001E7515" w:rsidP="001E7515">
      <w:r>
        <w:t>EESK uzskata, ka sociālās problēmas jārisina pilnīgā sinerģijā ar vides un ekonomikas problēmām. Lai Eiropas Savienībā varētu sasniegt ilgtspējīgas attīstības mērķus, ilgtspējas sociālā dimensija ir jāapvieno ar ekonomisko un ekoloģisko dimensiju, īstenojot sistēmiskas pārmaiņas un pārvarot tā dēvēto viensētniecisko domāšanu, kas dominē ES pašreizējās stratēģijās. Nevar noliegt to, cik būtiski ir noteikt pasākumus un politikas virzienus, ņemot vērā programmas 2030. gadam daudzdimensionalitāti. Šīs programmas īstenošanā sociālā jautājuma risināšanai noteikti būs izšķiroša nozīme. Salīdzinājumā ar vides vai ekonomikas dimensijām gan sociālie, gan reģionālās kohēzijas jautājumi līdz šim uzskatīti par atsevišķām politikas jomām, nevis par patiesi neatņemamu ilgtspējas politikas daļu.</w:t>
      </w:r>
    </w:p>
    <w:p w14:paraId="6F4983F0" w14:textId="77777777" w:rsidR="001E7515" w:rsidRPr="00215328" w:rsidRDefault="001E7515" w:rsidP="001E7515"/>
    <w:p w14:paraId="725786AB" w14:textId="77777777" w:rsidR="001E7515" w:rsidRDefault="001E7515" w:rsidP="001E7515">
      <w:r>
        <w:t>Lai īstenotu pāreju uz ilgtspējīgu, oglekļa ziņā neitrālu un resursefektīvu ekonomiku, ir jāveic būtiskas izmaiņas mūsu sabiedrībā un mūsu ekonomikā. Minētās pārmaiņas sniegs iespējas, taču tās ir arī saistītas ar riskiem. “Nevienu neatstāt novārtā” nozīmē to, ka visiem sabiedrības locekļiem un it īpaši tiem, kuri visvairāk atstāti novārtā, ir reālas izredzes izmantot iespējas un ka viņi ir labi sagatavoti risku pārvarēšanai. Lai to panāktu, ir vajadzīga aktīva politika. Aicinājums “nevienu neatstāt novārtā” it īpaši nozīmē nodrošināt pilnvērtīgas iespējas maksimāli lielai iedzīvotāju daļai, lai viņi varētu aktīvi paust savu pozitīvo pilsonisko nostāju un neierobežoti piedalīties pārejas procesā.</w:t>
      </w:r>
    </w:p>
    <w:p w14:paraId="22D65153" w14:textId="77777777" w:rsidR="001E7515" w:rsidRPr="00215328" w:rsidRDefault="001E7515" w:rsidP="001E7515"/>
    <w:p w14:paraId="12FA92BB" w14:textId="77777777" w:rsidR="001E7515" w:rsidRDefault="001E7515" w:rsidP="001E7515">
      <w:r>
        <w:t>Lai panāktu Ilgtspējīgas attīstības mērķu īstenošanu un lai neviens netiktu atstāts novārtā, EESK aicina Eiropas Komisiju, Parlamentu, Padomi un dalībvalstis.</w:t>
      </w:r>
    </w:p>
    <w:p w14:paraId="31DBBE8A" w14:textId="77777777" w:rsidR="001E7515" w:rsidRPr="00215328" w:rsidRDefault="001E7515" w:rsidP="001E7515"/>
    <w:p w14:paraId="56298D39" w14:textId="4FBF4B8B" w:rsidR="001E7515" w:rsidRDefault="001E7515" w:rsidP="001E7515">
      <w:pPr>
        <w:pStyle w:val="ListParagraph"/>
        <w:numPr>
          <w:ilvl w:val="2"/>
          <w:numId w:val="28"/>
        </w:numPr>
        <w:ind w:left="851" w:hanging="284"/>
      </w:pPr>
      <w:r>
        <w:t>visaptverošas ES ilgtspējīgas attīstības stratēģijas 2050. gadam ietvaros izstrādāt Eiropas zaļo un sociālo kursu; sistemātiski izvērtēt pārejas iespējamo negatīvo un pozitīvo blakusietekmi uz Eiropas iedzīvotājiem (it īpaši uz nabadzīgām un neaizsargātām grupām) un strukturāli vājiem reģioniem, kā arī gūt labāku izpratni par ilgtspējas un nevienlīdzības veicinātājiem dažādās paaudzēs;</w:t>
      </w:r>
    </w:p>
    <w:p w14:paraId="78C1FF9D" w14:textId="77777777" w:rsidR="00215328" w:rsidRPr="00215328" w:rsidRDefault="00215328" w:rsidP="00215328">
      <w:pPr>
        <w:ind w:left="1800"/>
        <w:rPr>
          <w:sz w:val="16"/>
          <w:szCs w:val="16"/>
        </w:rPr>
      </w:pPr>
    </w:p>
    <w:p w14:paraId="254CB779" w14:textId="77777777" w:rsidR="001E7515" w:rsidRDefault="001E7515" w:rsidP="001E7515">
      <w:pPr>
        <w:pStyle w:val="ListParagraph"/>
        <w:numPr>
          <w:ilvl w:val="2"/>
          <w:numId w:val="28"/>
        </w:numPr>
        <w:ind w:left="851" w:hanging="284"/>
      </w:pPr>
      <w:r>
        <w:lastRenderedPageBreak/>
        <w:t>izveidot atbilstīgas pārvaldības struktūras un instrumentus Ilgtspējīgas attīstības mērķu un Eiropas zaļā un sociālā kursa īstenošanai, piemēram, izmantojot Eiropas pusgada procesu, labāku regulējumu un daudzgadu finanšu shēmu, tostarp kohēzijas un sociālos fondus, lai virzītu pārveidi;</w:t>
      </w:r>
    </w:p>
    <w:p w14:paraId="0B276770" w14:textId="77777777" w:rsidR="001E7515" w:rsidRPr="00215328" w:rsidRDefault="001E7515" w:rsidP="001E7515">
      <w:pPr>
        <w:pStyle w:val="ListParagraph"/>
        <w:ind w:left="851"/>
        <w:rPr>
          <w:sz w:val="20"/>
          <w:szCs w:val="20"/>
        </w:rPr>
      </w:pPr>
    </w:p>
    <w:p w14:paraId="01B7FC4C" w14:textId="77777777" w:rsidR="001E7515" w:rsidRDefault="001E7515" w:rsidP="001E7515">
      <w:pPr>
        <w:pStyle w:val="ListParagraph"/>
        <w:numPr>
          <w:ilvl w:val="2"/>
          <w:numId w:val="28"/>
        </w:numPr>
        <w:ind w:left="851" w:hanging="284"/>
      </w:pPr>
      <w:r>
        <w:t>vairot izpratni par “taisnīgu pāreju” (tā neaprobežojas ar atteikšanos no ogļu izmantošanas) un pilnībā īstenot Eiropas sociālo tiesību pīlāru, lai atbalstītu pārejas īstenošanu, vienlaikus virzot sadales sistēmu reformas (pielāgoti nodokļi, sociālā aizsardzība un ilgtspējīgi un sociāli atbildīgi ieguldījumi), kā arī veicinot darba un privātās dzīves līdzsvara nodrošināšanu un dzimumu līdztiesību;</w:t>
      </w:r>
    </w:p>
    <w:p w14:paraId="0A56A377" w14:textId="77777777" w:rsidR="001E7515" w:rsidRPr="00215328" w:rsidRDefault="001E7515" w:rsidP="001E7515">
      <w:pPr>
        <w:pStyle w:val="ListParagraph"/>
        <w:ind w:left="851"/>
        <w:rPr>
          <w:sz w:val="20"/>
          <w:szCs w:val="20"/>
        </w:rPr>
      </w:pPr>
    </w:p>
    <w:p w14:paraId="38C9B405" w14:textId="77777777" w:rsidR="001E7515" w:rsidRDefault="001E7515" w:rsidP="001E7515">
      <w:pPr>
        <w:pStyle w:val="ListParagraph"/>
        <w:numPr>
          <w:ilvl w:val="2"/>
          <w:numId w:val="28"/>
        </w:numPr>
        <w:ind w:left="851" w:hanging="284"/>
      </w:pPr>
      <w:r>
        <w:t>nodrošināt visiem vienādu piekļuvi atbilstīgai izglītībai un apmācībai un vienlīdzīgas iespējas šajā jomā;</w:t>
      </w:r>
    </w:p>
    <w:p w14:paraId="2D0BFF98" w14:textId="77777777" w:rsidR="001E7515" w:rsidRPr="00215328" w:rsidRDefault="001E7515" w:rsidP="001E7515">
      <w:pPr>
        <w:pStyle w:val="ListParagraph"/>
        <w:ind w:left="851"/>
        <w:rPr>
          <w:sz w:val="20"/>
          <w:szCs w:val="20"/>
        </w:rPr>
      </w:pPr>
    </w:p>
    <w:p w14:paraId="40594854" w14:textId="77777777" w:rsidR="001E7515" w:rsidRDefault="001E7515" w:rsidP="001E7515">
      <w:pPr>
        <w:pStyle w:val="ListParagraph"/>
        <w:numPr>
          <w:ilvl w:val="2"/>
          <w:numId w:val="28"/>
        </w:numPr>
        <w:ind w:left="851" w:hanging="284"/>
      </w:pPr>
      <w:r>
        <w:t>likvidēt šķēršļus tādu iedzīvotāju aktīvai līdzdalībai, kuriem trūkst nepieciešamā finanšu un sociālā kapitāla, vajadzīgo zināšanu un informācijas un kuri nevar piekļūt iespējām;</w:t>
      </w:r>
    </w:p>
    <w:p w14:paraId="3C389DC0" w14:textId="77777777" w:rsidR="001E7515" w:rsidRPr="00215328" w:rsidRDefault="001E7515" w:rsidP="001E7515">
      <w:pPr>
        <w:pStyle w:val="ListParagraph"/>
        <w:ind w:left="851"/>
        <w:rPr>
          <w:sz w:val="20"/>
          <w:szCs w:val="20"/>
        </w:rPr>
      </w:pPr>
    </w:p>
    <w:p w14:paraId="6308A36B" w14:textId="77777777" w:rsidR="001E7515" w:rsidRDefault="001E7515" w:rsidP="001E7515">
      <w:pPr>
        <w:pStyle w:val="ListParagraph"/>
        <w:numPr>
          <w:ilvl w:val="2"/>
          <w:numId w:val="28"/>
        </w:numPr>
        <w:ind w:left="851" w:hanging="284"/>
      </w:pPr>
      <w:r>
        <w:t>paredzēt politikas pasākumus, kas nodrošina ieguvumus iedzīvotājiem un veicina vides aizsardzību, piemēram, gaisa piesārņojuma samazināšanas plānus, kuros īpaša vērība pievērsta neaizsargātām grupām, videi draudzīgu sociālo mājokļu politiku utt.;</w:t>
      </w:r>
    </w:p>
    <w:p w14:paraId="5D722373" w14:textId="77777777" w:rsidR="001E7515" w:rsidRPr="00215328" w:rsidRDefault="001E7515" w:rsidP="001E7515">
      <w:pPr>
        <w:pStyle w:val="ListParagraph"/>
        <w:ind w:left="851"/>
        <w:rPr>
          <w:sz w:val="20"/>
          <w:szCs w:val="20"/>
        </w:rPr>
      </w:pPr>
    </w:p>
    <w:p w14:paraId="7EC6DBF9" w14:textId="77777777" w:rsidR="001E7515" w:rsidRDefault="001E7515" w:rsidP="001E7515">
      <w:pPr>
        <w:pStyle w:val="ListParagraph"/>
        <w:numPr>
          <w:ilvl w:val="2"/>
          <w:numId w:val="28"/>
        </w:numPr>
        <w:ind w:left="851" w:hanging="284"/>
      </w:pPr>
      <w:r>
        <w:t>pārejā uz ilgtspēju veicināt sociālo un sadarbīgo ekonomiku (piemēram, sekmēt prasmju apguvi, aprites ekonomiku, enerģētikas pārkārtošanu un atbalstīt kooperatīvus);</w:t>
      </w:r>
    </w:p>
    <w:p w14:paraId="2DF1E08F" w14:textId="77777777" w:rsidR="001E7515" w:rsidRPr="00215328" w:rsidRDefault="001E7515" w:rsidP="001E7515">
      <w:pPr>
        <w:pStyle w:val="ListParagraph"/>
        <w:ind w:left="851"/>
        <w:rPr>
          <w:sz w:val="20"/>
          <w:szCs w:val="20"/>
        </w:rPr>
      </w:pPr>
    </w:p>
    <w:p w14:paraId="3340A697" w14:textId="77777777" w:rsidR="001E7515" w:rsidRDefault="001E7515" w:rsidP="001E7515">
      <w:pPr>
        <w:pStyle w:val="ListParagraph"/>
        <w:numPr>
          <w:ilvl w:val="2"/>
          <w:numId w:val="28"/>
        </w:numPr>
        <w:ind w:left="851" w:hanging="284"/>
      </w:pPr>
      <w:r>
        <w:t>sniegt atbalstu mazajiem un vidējiem uzņēmumiem sekmīgā pārejas īstenošanā un ilgtspējīgas konkurētspējas panākšanā, nodrošinot tiem labāku pieejamību prasmēm, finansējumam, inovācijām un tehnoloģijām;</w:t>
      </w:r>
    </w:p>
    <w:p w14:paraId="5243C420" w14:textId="77777777" w:rsidR="001E7515" w:rsidRPr="00215328" w:rsidRDefault="001E7515" w:rsidP="001E7515">
      <w:pPr>
        <w:pStyle w:val="ListParagraph"/>
        <w:ind w:left="851"/>
        <w:rPr>
          <w:sz w:val="20"/>
          <w:szCs w:val="20"/>
        </w:rPr>
      </w:pPr>
    </w:p>
    <w:p w14:paraId="0CC7CE3A" w14:textId="77777777" w:rsidR="001E7515" w:rsidRDefault="001E7515" w:rsidP="001E7515">
      <w:pPr>
        <w:pStyle w:val="ListParagraph"/>
        <w:numPr>
          <w:ilvl w:val="2"/>
          <w:numId w:val="28"/>
        </w:numPr>
        <w:ind w:left="851" w:hanging="284"/>
      </w:pPr>
      <w:r>
        <w:t>sekmēt kvalitatīvu darbvietu izveidi;</w:t>
      </w:r>
    </w:p>
    <w:p w14:paraId="683F4F4D" w14:textId="77777777" w:rsidR="001E7515" w:rsidRPr="00215328" w:rsidRDefault="001E7515" w:rsidP="001E7515">
      <w:pPr>
        <w:pStyle w:val="ListParagraph"/>
        <w:ind w:left="851"/>
        <w:rPr>
          <w:sz w:val="20"/>
          <w:szCs w:val="20"/>
        </w:rPr>
      </w:pPr>
    </w:p>
    <w:p w14:paraId="5FD21AB5" w14:textId="77777777" w:rsidR="001E7515" w:rsidRDefault="001E7515" w:rsidP="001E7515">
      <w:pPr>
        <w:pStyle w:val="ListParagraph"/>
        <w:numPr>
          <w:ilvl w:val="2"/>
          <w:numId w:val="28"/>
        </w:numPr>
        <w:ind w:left="851" w:hanging="284"/>
      </w:pPr>
      <w:r>
        <w:t>izstrādāt stratēģiju, lai nodrošinātu, ka iekļaujošākas, izturētspējīgākas un ilgtspējīgākas kļūst ne tikai pilsētas, bet arī lauku kopienas;</w:t>
      </w:r>
    </w:p>
    <w:p w14:paraId="1A577483" w14:textId="77777777" w:rsidR="001E7515" w:rsidRPr="00215328" w:rsidRDefault="001E7515" w:rsidP="001E7515">
      <w:pPr>
        <w:pStyle w:val="ListParagraph"/>
        <w:ind w:left="851"/>
        <w:rPr>
          <w:sz w:val="20"/>
          <w:szCs w:val="20"/>
        </w:rPr>
      </w:pPr>
    </w:p>
    <w:p w14:paraId="281D8881" w14:textId="77777777" w:rsidR="001E7515" w:rsidRDefault="001E7515" w:rsidP="001E7515">
      <w:pPr>
        <w:pStyle w:val="ListParagraph"/>
        <w:numPr>
          <w:ilvl w:val="2"/>
          <w:numId w:val="28"/>
        </w:numPr>
        <w:ind w:left="851" w:hanging="284"/>
      </w:pPr>
      <w:r>
        <w:t>Eiropā stiprināt klimata aizsardzību un pielāgošanos klimata pārmaiņām, lai apkarotu pārtuksnešošanos un risinātu tādas problēmas kā ūdens trūkums un iedzīvotāju skaita samazināšanās;</w:t>
      </w:r>
    </w:p>
    <w:p w14:paraId="100A7836" w14:textId="77777777" w:rsidR="001E7515" w:rsidRPr="00215328" w:rsidRDefault="001E7515" w:rsidP="001E7515">
      <w:pPr>
        <w:pStyle w:val="ListParagraph"/>
        <w:ind w:left="851"/>
        <w:rPr>
          <w:sz w:val="20"/>
          <w:szCs w:val="20"/>
        </w:rPr>
      </w:pPr>
    </w:p>
    <w:p w14:paraId="7CB25DB2" w14:textId="77777777" w:rsidR="001E7515" w:rsidRDefault="001E7515" w:rsidP="001E7515">
      <w:pPr>
        <w:pStyle w:val="ListParagraph"/>
        <w:numPr>
          <w:ilvl w:val="2"/>
          <w:numId w:val="28"/>
        </w:numPr>
        <w:ind w:left="851" w:hanging="284"/>
      </w:pPr>
      <w:r>
        <w:t>dot iespēju jauniešiem un nākamajām paaudzēm jēgpilni paust savu viedokli un ņemt to vērā lēmumu par ilgtspēju pieņemšanā;</w:t>
      </w:r>
    </w:p>
    <w:p w14:paraId="61C16AB3" w14:textId="77777777" w:rsidR="001E7515" w:rsidRPr="00215328" w:rsidRDefault="001E7515" w:rsidP="001E7515">
      <w:pPr>
        <w:pStyle w:val="ListParagraph"/>
        <w:ind w:left="851"/>
        <w:rPr>
          <w:sz w:val="20"/>
          <w:szCs w:val="20"/>
        </w:rPr>
      </w:pPr>
    </w:p>
    <w:p w14:paraId="54274ABD" w14:textId="77777777" w:rsidR="001E7515" w:rsidRPr="00D06D08" w:rsidRDefault="001E7515" w:rsidP="001E7515">
      <w:pPr>
        <w:pStyle w:val="ListParagraph"/>
        <w:numPr>
          <w:ilvl w:val="2"/>
          <w:numId w:val="28"/>
        </w:numPr>
        <w:ind w:left="851" w:hanging="284"/>
      </w:pPr>
      <w:r>
        <w:t>veicināt ilgtspējīgu tirdzniecības politiku, kas internalizē tirdzniecības pozitīvo un negatīvo ārējo faktoru ietekmi uz sociālo jomu un vidi.</w:t>
      </w:r>
    </w:p>
    <w:p w14:paraId="026B1C37" w14:textId="77777777" w:rsidR="001E7515" w:rsidRPr="00215328" w:rsidRDefault="001E7515" w:rsidP="001E7515">
      <w:pPr>
        <w:keepNext/>
        <w:keepLines/>
        <w:tabs>
          <w:tab w:val="left" w:pos="1701"/>
        </w:tabs>
        <w:rPr>
          <w:bCs/>
          <w:i/>
          <w:iCs/>
          <w:sz w:val="20"/>
          <w:szCs w:val="20"/>
          <w:lang w:val="en-GB"/>
        </w:rPr>
      </w:pPr>
    </w:p>
    <w:p w14:paraId="62261E81" w14:textId="2266A56D" w:rsidR="001E7515" w:rsidRPr="0051246D" w:rsidRDefault="001E7515" w:rsidP="001E7515">
      <w:pPr>
        <w:keepNext/>
        <w:keepLines/>
        <w:tabs>
          <w:tab w:val="left" w:pos="1701"/>
        </w:tabs>
        <w:rPr>
          <w:i/>
          <w:iCs/>
        </w:rPr>
      </w:pPr>
      <w:r>
        <w:rPr>
          <w:b/>
          <w:bCs/>
          <w:i/>
          <w:iCs/>
        </w:rPr>
        <w:t>Kontaktpersona:</w:t>
      </w:r>
      <w:r w:rsidR="00215328">
        <w:rPr>
          <w:b/>
          <w:bCs/>
          <w:i/>
          <w:iCs/>
        </w:rPr>
        <w:tab/>
      </w:r>
      <w:r>
        <w:rPr>
          <w:i/>
        </w:rPr>
        <w:t>Monica Guarinoni</w:t>
      </w:r>
    </w:p>
    <w:p w14:paraId="6B6D215D" w14:textId="77777777" w:rsidR="009356B8" w:rsidRDefault="001E7515" w:rsidP="001E7515">
      <w:pPr>
        <w:keepNext/>
        <w:keepLines/>
        <w:tabs>
          <w:tab w:val="left" w:pos="1701"/>
        </w:tabs>
        <w:ind w:left="1701"/>
        <w:rPr>
          <w:i/>
          <w:iCs/>
        </w:rPr>
      </w:pPr>
      <w:r>
        <w:rPr>
          <w:i/>
          <w:iCs/>
        </w:rPr>
        <w:t>(Tālr.: 00 32 2 546 81 27, e-pasta adrese:</w:t>
      </w:r>
      <w:r>
        <w:t xml:space="preserve"> </w:t>
      </w:r>
      <w:hyperlink r:id="rId38" w:history="1">
        <w:r>
          <w:rPr>
            <w:rStyle w:val="Hyperlink"/>
            <w:i/>
            <w:iCs/>
          </w:rPr>
          <w:t>Monica.Guarinoni@eesc.europa.eu</w:t>
        </w:r>
      </w:hyperlink>
      <w:r>
        <w:rPr>
          <w:i/>
          <w:iCs/>
        </w:rPr>
        <w:t>)</w:t>
      </w:r>
    </w:p>
    <w:p w14:paraId="7CFD122B" w14:textId="77777777" w:rsidR="00411F08" w:rsidRPr="0035587B" w:rsidRDefault="00902EEB" w:rsidP="00902EEB">
      <w:pPr>
        <w:tabs>
          <w:tab w:val="left" w:pos="1701"/>
        </w:tabs>
        <w:spacing w:line="24" w:lineRule="atLeast"/>
        <w:jc w:val="center"/>
      </w:pPr>
      <w:r>
        <w:rPr>
          <w:i/>
          <w:szCs w:val="20"/>
        </w:rPr>
        <w:t>____________</w:t>
      </w:r>
    </w:p>
    <w:sectPr w:rsidR="00411F08" w:rsidRPr="0035587B" w:rsidSect="00613C9F">
      <w:headerReference w:type="even" r:id="rId39"/>
      <w:headerReference w:type="default" r:id="rId40"/>
      <w:footerReference w:type="even" r:id="rId41"/>
      <w:footerReference w:type="default" r:id="rId42"/>
      <w:headerReference w:type="first" r:id="rId43"/>
      <w:footerReference w:type="first" r:id="rId4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2415C" w14:textId="77777777" w:rsidR="00E96E8F" w:rsidRDefault="00E96E8F" w:rsidP="003B283B">
      <w:pPr>
        <w:spacing w:line="240" w:lineRule="auto"/>
      </w:pPr>
      <w:r>
        <w:separator/>
      </w:r>
    </w:p>
  </w:endnote>
  <w:endnote w:type="continuationSeparator" w:id="0">
    <w:p w14:paraId="451281B4" w14:textId="77777777" w:rsidR="00E96E8F" w:rsidRDefault="00E96E8F" w:rsidP="003B283B">
      <w:pPr>
        <w:spacing w:line="240" w:lineRule="auto"/>
      </w:pPr>
      <w:r>
        <w:continuationSeparator/>
      </w:r>
    </w:p>
  </w:endnote>
  <w:endnote w:type="continuationNotice" w:id="1">
    <w:p w14:paraId="071C282B" w14:textId="77777777" w:rsidR="00E96E8F" w:rsidRDefault="00E96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C219" w14:textId="77777777" w:rsidR="007A63F9" w:rsidRPr="00613C9F" w:rsidRDefault="007A63F9" w:rsidP="0061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AF2F" w14:textId="0CE07D1F" w:rsidR="00E96E8F" w:rsidRPr="00613C9F" w:rsidRDefault="00613C9F" w:rsidP="00613C9F">
    <w:pPr>
      <w:pStyle w:val="Footer"/>
    </w:pPr>
    <w:r>
      <w:t xml:space="preserve">EESC-2019-04301-00-02-TCD-TRA (EN/FR) </w:t>
    </w:r>
    <w:r>
      <w:fldChar w:fldCharType="begin"/>
    </w:r>
    <w:r>
      <w:instrText xml:space="preserve"> PAGE  \* Arabic  \* MERGEFORMAT </w:instrText>
    </w:r>
    <w:r>
      <w:fldChar w:fldCharType="separate"/>
    </w:r>
    <w:r w:rsidR="00A10EB9">
      <w:rPr>
        <w:noProof/>
      </w:rPr>
      <w:t>1</w:t>
    </w:r>
    <w:r>
      <w:fldChar w:fldCharType="end"/>
    </w:r>
    <w:r>
      <w:t>/</w:t>
    </w:r>
    <w:fldSimple w:instr=" NUMPAGES ">
      <w:r w:rsidR="00A10EB9">
        <w:rPr>
          <w:noProof/>
        </w:rPr>
        <w:t>24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7157" w14:textId="77777777" w:rsidR="007A63F9" w:rsidRPr="00613C9F" w:rsidRDefault="007A63F9" w:rsidP="00613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900E" w14:textId="77777777" w:rsidR="00E96E8F" w:rsidRPr="00613C9F" w:rsidRDefault="00E96E8F" w:rsidP="00613C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E612" w14:textId="52714771" w:rsidR="00E96E8F" w:rsidRPr="00613C9F" w:rsidRDefault="00613C9F" w:rsidP="00613C9F">
    <w:pPr>
      <w:pStyle w:val="Footer"/>
    </w:pPr>
    <w:r>
      <w:t xml:space="preserve">EESC-2019-04301-00-02-TCD-TRA (EN/FR) </w:t>
    </w:r>
    <w:r>
      <w:fldChar w:fldCharType="begin"/>
    </w:r>
    <w:r>
      <w:instrText xml:space="preserve"> PAGE  \* Arabic  \* MERGEFORMAT </w:instrText>
    </w:r>
    <w:r>
      <w:fldChar w:fldCharType="separate"/>
    </w:r>
    <w:r w:rsidR="00A10EB9">
      <w:rPr>
        <w:noProof/>
      </w:rPr>
      <w:t>2</w:t>
    </w:r>
    <w:r>
      <w:fldChar w:fldCharType="end"/>
    </w:r>
    <w:r>
      <w:t>/</w:t>
    </w:r>
    <w:fldSimple w:instr=" NUMPAGES ">
      <w:r w:rsidR="00A10EB9">
        <w:rPr>
          <w:noProof/>
        </w:rPr>
        <w:t>24</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9066" w14:textId="77777777" w:rsidR="00E96E8F" w:rsidRPr="00613C9F" w:rsidRDefault="00E96E8F" w:rsidP="0061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9801" w14:textId="77777777" w:rsidR="00E96E8F" w:rsidRDefault="00E96E8F" w:rsidP="003B283B">
      <w:pPr>
        <w:spacing w:line="240" w:lineRule="auto"/>
      </w:pPr>
      <w:r>
        <w:separator/>
      </w:r>
    </w:p>
  </w:footnote>
  <w:footnote w:type="continuationSeparator" w:id="0">
    <w:p w14:paraId="6B9D826A" w14:textId="77777777" w:rsidR="00E96E8F" w:rsidRDefault="00E96E8F" w:rsidP="003B283B">
      <w:pPr>
        <w:spacing w:line="240" w:lineRule="auto"/>
      </w:pPr>
      <w:r>
        <w:continuationSeparator/>
      </w:r>
    </w:p>
  </w:footnote>
  <w:footnote w:type="continuationNotice" w:id="1">
    <w:p w14:paraId="01DD5AA1" w14:textId="77777777" w:rsidR="00E96E8F" w:rsidRPr="00377A77" w:rsidRDefault="00E96E8F">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CF76" w14:textId="77777777" w:rsidR="007A63F9" w:rsidRPr="00613C9F" w:rsidRDefault="007A63F9" w:rsidP="0061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00AC" w14:textId="4B71E05B" w:rsidR="007A63F9" w:rsidRPr="00613C9F" w:rsidRDefault="007A63F9" w:rsidP="00613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8073" w14:textId="77777777" w:rsidR="007A63F9" w:rsidRPr="00613C9F" w:rsidRDefault="007A63F9" w:rsidP="00613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FCA6" w14:textId="77777777" w:rsidR="00E96E8F" w:rsidRPr="00613C9F" w:rsidRDefault="00E96E8F" w:rsidP="00613C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00F7" w14:textId="168E2631" w:rsidR="00E96E8F" w:rsidRPr="00613C9F" w:rsidRDefault="00E96E8F" w:rsidP="00613C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13171" w14:textId="77777777" w:rsidR="00E96E8F" w:rsidRPr="00613C9F" w:rsidRDefault="00E96E8F" w:rsidP="0061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4C785A"/>
    <w:lvl w:ilvl="0">
      <w:start w:val="1"/>
      <w:numFmt w:val="decimal"/>
      <w:lvlText w:val="%1."/>
      <w:lvlJc w:val="left"/>
      <w:pPr>
        <w:ind w:left="0"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8209E"/>
    <w:multiLevelType w:val="hybridMultilevel"/>
    <w:tmpl w:val="E94EFE1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7F59FF"/>
    <w:multiLevelType w:val="hybridMultilevel"/>
    <w:tmpl w:val="BB3807D2"/>
    <w:lvl w:ilvl="0" w:tplc="EFA2B9F6">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E951AF"/>
    <w:multiLevelType w:val="hybridMultilevel"/>
    <w:tmpl w:val="D082B6F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2616FC"/>
    <w:multiLevelType w:val="hybridMultilevel"/>
    <w:tmpl w:val="D830272C"/>
    <w:lvl w:ilvl="0" w:tplc="3EACB2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873857"/>
    <w:multiLevelType w:val="hybridMultilevel"/>
    <w:tmpl w:val="6826D0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0C467EB6"/>
    <w:multiLevelType w:val="hybridMultilevel"/>
    <w:tmpl w:val="A63002A0"/>
    <w:lvl w:ilvl="0" w:tplc="19FC62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DB2ACF"/>
    <w:multiLevelType w:val="hybridMultilevel"/>
    <w:tmpl w:val="10F4BAA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8A06112"/>
    <w:multiLevelType w:val="hybridMultilevel"/>
    <w:tmpl w:val="CE0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86693"/>
    <w:multiLevelType w:val="hybridMultilevel"/>
    <w:tmpl w:val="A574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E25EAF"/>
    <w:multiLevelType w:val="hybridMultilevel"/>
    <w:tmpl w:val="346EC76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43F59"/>
    <w:multiLevelType w:val="hybridMultilevel"/>
    <w:tmpl w:val="F5DA306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4DB1AEC"/>
    <w:multiLevelType w:val="hybridMultilevel"/>
    <w:tmpl w:val="E6C8036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34A491C"/>
    <w:multiLevelType w:val="hybridMultilevel"/>
    <w:tmpl w:val="0608B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626A31"/>
    <w:multiLevelType w:val="hybridMultilevel"/>
    <w:tmpl w:val="A5727A8A"/>
    <w:lvl w:ilvl="0" w:tplc="080C000F">
      <w:start w:val="1"/>
      <w:numFmt w:val="decimal"/>
      <w:lvlText w:val="%1."/>
      <w:lvlJc w:val="left"/>
      <w:pPr>
        <w:ind w:left="720" w:hanging="360"/>
      </w:pPr>
    </w:lvl>
    <w:lvl w:ilvl="1" w:tplc="1AF0D5A4">
      <w:start w:val="1"/>
      <w:numFmt w:val="bullet"/>
      <w:lvlText w:val="-"/>
      <w:lvlJc w:val="left"/>
      <w:pPr>
        <w:ind w:left="1440" w:hanging="360"/>
      </w:pPr>
      <w:rPr>
        <w:rFonts w:ascii="Times New Roman" w:eastAsia="Times New Roman" w:hAnsi="Times New Roman" w:cs="Times New Roman" w:hint="default"/>
      </w:rPr>
    </w:lvl>
    <w:lvl w:ilvl="2" w:tplc="A1D4CF9E">
      <w:numFmt w:val="bullet"/>
      <w:lvlText w:val="•"/>
      <w:lvlJc w:val="left"/>
      <w:pPr>
        <w:ind w:left="2550" w:hanging="570"/>
      </w:pPr>
      <w:rPr>
        <w:rFonts w:ascii="Times New Roman" w:eastAsia="Times New Roman"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52D4EFA"/>
    <w:multiLevelType w:val="hybridMultilevel"/>
    <w:tmpl w:val="59707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F73198"/>
    <w:multiLevelType w:val="hybridMultilevel"/>
    <w:tmpl w:val="38D80172"/>
    <w:lvl w:ilvl="0" w:tplc="08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319469E"/>
    <w:multiLevelType w:val="hybridMultilevel"/>
    <w:tmpl w:val="BAF2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22D14"/>
    <w:multiLevelType w:val="hybridMultilevel"/>
    <w:tmpl w:val="4CDC038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9545780"/>
    <w:multiLevelType w:val="hybridMultilevel"/>
    <w:tmpl w:val="336AB13C"/>
    <w:lvl w:ilvl="0" w:tplc="19FC620A">
      <w:numFmt w:val="bullet"/>
      <w:lvlText w:val="–"/>
      <w:lvlJc w:val="left"/>
      <w:pPr>
        <w:ind w:left="1077" w:hanging="360"/>
      </w:pPr>
      <w:rPr>
        <w:rFonts w:ascii="Times New Roman" w:eastAsia="Times New Roman" w:hAnsi="Times New Roman" w:cs="Times New Roman"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4" w15:restartNumberingAfterBreak="0">
    <w:nsid w:val="4B955F05"/>
    <w:multiLevelType w:val="hybridMultilevel"/>
    <w:tmpl w:val="4092ADD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3566467"/>
    <w:multiLevelType w:val="hybridMultilevel"/>
    <w:tmpl w:val="2376B8D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19FC620A">
      <w:numFmt w:val="bullet"/>
      <w:lvlText w:val="–"/>
      <w:lvlJc w:val="left"/>
      <w:pPr>
        <w:ind w:left="2160" w:hanging="360"/>
      </w:pPr>
      <w:rPr>
        <w:rFonts w:ascii="Times New Roman" w:eastAsia="Times New Roman" w:hAnsi="Times New Roman"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8"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0" w15:restartNumberingAfterBreak="0">
    <w:nsid w:val="67DF33A1"/>
    <w:multiLevelType w:val="hybridMultilevel"/>
    <w:tmpl w:val="A4108E3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967682A"/>
    <w:multiLevelType w:val="hybridMultilevel"/>
    <w:tmpl w:val="6E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100B6"/>
    <w:multiLevelType w:val="hybridMultilevel"/>
    <w:tmpl w:val="0F08078C"/>
    <w:lvl w:ilvl="0" w:tplc="815413C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6336160"/>
    <w:multiLevelType w:val="hybridMultilevel"/>
    <w:tmpl w:val="C1C63AE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8397CBC"/>
    <w:multiLevelType w:val="hybridMultilevel"/>
    <w:tmpl w:val="1A2A080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6"/>
  </w:num>
  <w:num w:numId="4">
    <w:abstractNumId w:val="32"/>
  </w:num>
  <w:num w:numId="5">
    <w:abstractNumId w:val="1"/>
    <w:lvlOverride w:ilvl="0">
      <w:lvl w:ilvl="0">
        <w:numFmt w:val="bullet"/>
        <w:lvlText w:val=""/>
        <w:legacy w:legacy="1" w:legacySpace="0" w:legacyIndent="283"/>
        <w:lvlJc w:val="left"/>
        <w:pPr>
          <w:ind w:left="567" w:hanging="283"/>
        </w:pPr>
        <w:rPr>
          <w:rFonts w:ascii="Symbol" w:hAnsi="Symbol" w:hint="default"/>
        </w:rPr>
      </w:lvl>
    </w:lvlOverride>
  </w:num>
  <w:num w:numId="6">
    <w:abstractNumId w:val="3"/>
  </w:num>
  <w:num w:numId="7">
    <w:abstractNumId w:val="14"/>
  </w:num>
  <w:num w:numId="8">
    <w:abstractNumId w:val="8"/>
  </w:num>
  <w:num w:numId="9">
    <w:abstractNumId w:val="2"/>
  </w:num>
  <w:num w:numId="10">
    <w:abstractNumId w:val="11"/>
  </w:num>
  <w:num w:numId="11">
    <w:abstractNumId w:val="31"/>
  </w:num>
  <w:num w:numId="12">
    <w:abstractNumId w:val="17"/>
  </w:num>
  <w:num w:numId="13">
    <w:abstractNumId w:val="29"/>
  </w:num>
  <w:num w:numId="14">
    <w:abstractNumId w:val="28"/>
  </w:num>
  <w:num w:numId="15">
    <w:abstractNumId w:val="7"/>
  </w:num>
  <w:num w:numId="16">
    <w:abstractNumId w:val="19"/>
  </w:num>
  <w:num w:numId="17">
    <w:abstractNumId w:val="33"/>
  </w:num>
  <w:num w:numId="18">
    <w:abstractNumId w:val="21"/>
  </w:num>
  <w:num w:numId="19">
    <w:abstractNumId w:val="9"/>
  </w:num>
  <w:num w:numId="20">
    <w:abstractNumId w:val="20"/>
  </w:num>
  <w:num w:numId="21">
    <w:abstractNumId w:val="12"/>
  </w:num>
  <w:num w:numId="22">
    <w:abstractNumId w:val="5"/>
  </w:num>
  <w:num w:numId="23">
    <w:abstractNumId w:val="18"/>
  </w:num>
  <w:num w:numId="24">
    <w:abstractNumId w:val="23"/>
  </w:num>
  <w:num w:numId="25">
    <w:abstractNumId w:val="24"/>
  </w:num>
  <w:num w:numId="26">
    <w:abstractNumId w:val="22"/>
  </w:num>
  <w:num w:numId="27">
    <w:abstractNumId w:val="6"/>
  </w:num>
  <w:num w:numId="28">
    <w:abstractNumId w:val="25"/>
  </w:num>
  <w:num w:numId="29">
    <w:abstractNumId w:val="4"/>
  </w:num>
  <w:num w:numId="30">
    <w:abstractNumId w:val="30"/>
  </w:num>
  <w:num w:numId="31">
    <w:abstractNumId w:val="15"/>
  </w:num>
  <w:num w:numId="32">
    <w:abstractNumId w:val="13"/>
  </w:num>
  <w:num w:numId="33">
    <w:abstractNumId w:val="16"/>
  </w:num>
  <w:num w:numId="34">
    <w:abstractNumId w:val="35"/>
  </w:num>
  <w:num w:numId="35">
    <w:abstractNumId w:val="34"/>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2A1"/>
    <w:rsid w:val="000104CB"/>
    <w:rsid w:val="000115A9"/>
    <w:rsid w:val="00012842"/>
    <w:rsid w:val="00012B39"/>
    <w:rsid w:val="00013610"/>
    <w:rsid w:val="000138A1"/>
    <w:rsid w:val="0001686B"/>
    <w:rsid w:val="00017703"/>
    <w:rsid w:val="000201DF"/>
    <w:rsid w:val="00020A28"/>
    <w:rsid w:val="00020D86"/>
    <w:rsid w:val="00021286"/>
    <w:rsid w:val="000215A9"/>
    <w:rsid w:val="00022AA4"/>
    <w:rsid w:val="00022B6C"/>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4BA6"/>
    <w:rsid w:val="00054BE0"/>
    <w:rsid w:val="00054E26"/>
    <w:rsid w:val="00055735"/>
    <w:rsid w:val="000557CE"/>
    <w:rsid w:val="000559BE"/>
    <w:rsid w:val="000562AF"/>
    <w:rsid w:val="000571C2"/>
    <w:rsid w:val="00060853"/>
    <w:rsid w:val="00060E5C"/>
    <w:rsid w:val="00061952"/>
    <w:rsid w:val="00062214"/>
    <w:rsid w:val="000630D1"/>
    <w:rsid w:val="00065751"/>
    <w:rsid w:val="00066490"/>
    <w:rsid w:val="0006652B"/>
    <w:rsid w:val="00067189"/>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8DE"/>
    <w:rsid w:val="00086D04"/>
    <w:rsid w:val="00086E67"/>
    <w:rsid w:val="00087AE9"/>
    <w:rsid w:val="00087F38"/>
    <w:rsid w:val="000905D5"/>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1551"/>
    <w:rsid w:val="00101C08"/>
    <w:rsid w:val="0010339F"/>
    <w:rsid w:val="001036E0"/>
    <w:rsid w:val="0010391E"/>
    <w:rsid w:val="00103CC0"/>
    <w:rsid w:val="00104975"/>
    <w:rsid w:val="001052AF"/>
    <w:rsid w:val="001053BA"/>
    <w:rsid w:val="001055E6"/>
    <w:rsid w:val="00105ACC"/>
    <w:rsid w:val="001063E3"/>
    <w:rsid w:val="0010786D"/>
    <w:rsid w:val="00110344"/>
    <w:rsid w:val="00111024"/>
    <w:rsid w:val="001126F6"/>
    <w:rsid w:val="001127C6"/>
    <w:rsid w:val="00113882"/>
    <w:rsid w:val="001138AF"/>
    <w:rsid w:val="001138B0"/>
    <w:rsid w:val="00114829"/>
    <w:rsid w:val="00114E69"/>
    <w:rsid w:val="001158DF"/>
    <w:rsid w:val="00115FAB"/>
    <w:rsid w:val="00116CFB"/>
    <w:rsid w:val="00120CC5"/>
    <w:rsid w:val="0012165E"/>
    <w:rsid w:val="00122BBC"/>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104C"/>
    <w:rsid w:val="00141052"/>
    <w:rsid w:val="0014175F"/>
    <w:rsid w:val="00141D4F"/>
    <w:rsid w:val="00142A4E"/>
    <w:rsid w:val="0014464E"/>
    <w:rsid w:val="00144A1D"/>
    <w:rsid w:val="00144DCE"/>
    <w:rsid w:val="00144E69"/>
    <w:rsid w:val="00145081"/>
    <w:rsid w:val="00145167"/>
    <w:rsid w:val="00146875"/>
    <w:rsid w:val="00146F91"/>
    <w:rsid w:val="001509A7"/>
    <w:rsid w:val="00153199"/>
    <w:rsid w:val="001540D3"/>
    <w:rsid w:val="001545B6"/>
    <w:rsid w:val="00154B90"/>
    <w:rsid w:val="00155138"/>
    <w:rsid w:val="00155FD0"/>
    <w:rsid w:val="0015678C"/>
    <w:rsid w:val="00156950"/>
    <w:rsid w:val="00157649"/>
    <w:rsid w:val="00160DCC"/>
    <w:rsid w:val="00160DD6"/>
    <w:rsid w:val="001636EC"/>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2F75"/>
    <w:rsid w:val="00183FC7"/>
    <w:rsid w:val="00184AE4"/>
    <w:rsid w:val="00184C46"/>
    <w:rsid w:val="00186D96"/>
    <w:rsid w:val="001901B3"/>
    <w:rsid w:val="00191C0B"/>
    <w:rsid w:val="00192485"/>
    <w:rsid w:val="00192F9E"/>
    <w:rsid w:val="001940FA"/>
    <w:rsid w:val="00194447"/>
    <w:rsid w:val="0019516A"/>
    <w:rsid w:val="00195479"/>
    <w:rsid w:val="001956D0"/>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515"/>
    <w:rsid w:val="001E76FC"/>
    <w:rsid w:val="001F0BC4"/>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393"/>
    <w:rsid w:val="00211FAE"/>
    <w:rsid w:val="00211FF4"/>
    <w:rsid w:val="00212787"/>
    <w:rsid w:val="00212C0D"/>
    <w:rsid w:val="002138A9"/>
    <w:rsid w:val="00214451"/>
    <w:rsid w:val="00215328"/>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2F54"/>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A4C"/>
    <w:rsid w:val="00242B03"/>
    <w:rsid w:val="00243514"/>
    <w:rsid w:val="00244ABF"/>
    <w:rsid w:val="00244C35"/>
    <w:rsid w:val="002469F7"/>
    <w:rsid w:val="00247F50"/>
    <w:rsid w:val="00250267"/>
    <w:rsid w:val="00252542"/>
    <w:rsid w:val="0025260B"/>
    <w:rsid w:val="002532B5"/>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18E"/>
    <w:rsid w:val="0027451C"/>
    <w:rsid w:val="00274585"/>
    <w:rsid w:val="00274E55"/>
    <w:rsid w:val="00275122"/>
    <w:rsid w:val="002751DD"/>
    <w:rsid w:val="00275FFD"/>
    <w:rsid w:val="00276777"/>
    <w:rsid w:val="00276ED9"/>
    <w:rsid w:val="0028043D"/>
    <w:rsid w:val="00280FDA"/>
    <w:rsid w:val="00281365"/>
    <w:rsid w:val="002817B5"/>
    <w:rsid w:val="0028188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683B"/>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7D23"/>
    <w:rsid w:val="003002D3"/>
    <w:rsid w:val="00300C7E"/>
    <w:rsid w:val="00301B43"/>
    <w:rsid w:val="003029D8"/>
    <w:rsid w:val="00302FF6"/>
    <w:rsid w:val="003033EF"/>
    <w:rsid w:val="00303C59"/>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458"/>
    <w:rsid w:val="00337799"/>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3680"/>
    <w:rsid w:val="003542D4"/>
    <w:rsid w:val="003543F0"/>
    <w:rsid w:val="003552B8"/>
    <w:rsid w:val="003555A1"/>
    <w:rsid w:val="0035587B"/>
    <w:rsid w:val="0035631F"/>
    <w:rsid w:val="00357171"/>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56EC"/>
    <w:rsid w:val="00367133"/>
    <w:rsid w:val="00367A90"/>
    <w:rsid w:val="00371609"/>
    <w:rsid w:val="00371671"/>
    <w:rsid w:val="0037202C"/>
    <w:rsid w:val="00372D96"/>
    <w:rsid w:val="00374124"/>
    <w:rsid w:val="003749A0"/>
    <w:rsid w:val="00374C3D"/>
    <w:rsid w:val="003751D1"/>
    <w:rsid w:val="003759AE"/>
    <w:rsid w:val="00377A77"/>
    <w:rsid w:val="003803A1"/>
    <w:rsid w:val="00380A9A"/>
    <w:rsid w:val="003819D7"/>
    <w:rsid w:val="0038274D"/>
    <w:rsid w:val="00382847"/>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1642"/>
    <w:rsid w:val="003A2297"/>
    <w:rsid w:val="003A29B6"/>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1D70"/>
    <w:rsid w:val="003C2DB1"/>
    <w:rsid w:val="003C3707"/>
    <w:rsid w:val="003C3C64"/>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B8C"/>
    <w:rsid w:val="003E24BB"/>
    <w:rsid w:val="003E387D"/>
    <w:rsid w:val="003E44F6"/>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9AD"/>
    <w:rsid w:val="003F65E2"/>
    <w:rsid w:val="00400FC6"/>
    <w:rsid w:val="00402423"/>
    <w:rsid w:val="00402CA2"/>
    <w:rsid w:val="0040578C"/>
    <w:rsid w:val="004079A9"/>
    <w:rsid w:val="00407AA7"/>
    <w:rsid w:val="00410363"/>
    <w:rsid w:val="004107E8"/>
    <w:rsid w:val="004114DB"/>
    <w:rsid w:val="00411755"/>
    <w:rsid w:val="00411F08"/>
    <w:rsid w:val="0041385B"/>
    <w:rsid w:val="00413CA9"/>
    <w:rsid w:val="00413EED"/>
    <w:rsid w:val="00414A4C"/>
    <w:rsid w:val="00414CA3"/>
    <w:rsid w:val="004154C1"/>
    <w:rsid w:val="00415AAD"/>
    <w:rsid w:val="0041623F"/>
    <w:rsid w:val="0041728F"/>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229E"/>
    <w:rsid w:val="00432D94"/>
    <w:rsid w:val="004331FF"/>
    <w:rsid w:val="004335DE"/>
    <w:rsid w:val="00433EDC"/>
    <w:rsid w:val="00434AB9"/>
    <w:rsid w:val="00434C77"/>
    <w:rsid w:val="004366A9"/>
    <w:rsid w:val="0043704F"/>
    <w:rsid w:val="00440808"/>
    <w:rsid w:val="00441BAD"/>
    <w:rsid w:val="0044310C"/>
    <w:rsid w:val="00443153"/>
    <w:rsid w:val="00443771"/>
    <w:rsid w:val="0044401F"/>
    <w:rsid w:val="004444F8"/>
    <w:rsid w:val="00444C4C"/>
    <w:rsid w:val="00444D44"/>
    <w:rsid w:val="00445275"/>
    <w:rsid w:val="004452E3"/>
    <w:rsid w:val="00445847"/>
    <w:rsid w:val="004460B4"/>
    <w:rsid w:val="00446146"/>
    <w:rsid w:val="00450993"/>
    <w:rsid w:val="004513D7"/>
    <w:rsid w:val="004520DF"/>
    <w:rsid w:val="0045436B"/>
    <w:rsid w:val="00454D59"/>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5489"/>
    <w:rsid w:val="004764CC"/>
    <w:rsid w:val="00477B4B"/>
    <w:rsid w:val="00477C1C"/>
    <w:rsid w:val="004802DF"/>
    <w:rsid w:val="0048090F"/>
    <w:rsid w:val="00480C50"/>
    <w:rsid w:val="00481E81"/>
    <w:rsid w:val="0048396C"/>
    <w:rsid w:val="00484993"/>
    <w:rsid w:val="00486144"/>
    <w:rsid w:val="00486C20"/>
    <w:rsid w:val="00486F07"/>
    <w:rsid w:val="00491D54"/>
    <w:rsid w:val="004929C8"/>
    <w:rsid w:val="00492EDB"/>
    <w:rsid w:val="00494E1A"/>
    <w:rsid w:val="00495606"/>
    <w:rsid w:val="0049603B"/>
    <w:rsid w:val="00496EBA"/>
    <w:rsid w:val="00497493"/>
    <w:rsid w:val="00497BC6"/>
    <w:rsid w:val="004A1166"/>
    <w:rsid w:val="004A58D1"/>
    <w:rsid w:val="004A58E6"/>
    <w:rsid w:val="004A7356"/>
    <w:rsid w:val="004A737C"/>
    <w:rsid w:val="004A7AEE"/>
    <w:rsid w:val="004A7C3A"/>
    <w:rsid w:val="004A7E85"/>
    <w:rsid w:val="004B03FA"/>
    <w:rsid w:val="004B05F5"/>
    <w:rsid w:val="004B0633"/>
    <w:rsid w:val="004B13AA"/>
    <w:rsid w:val="004B14C0"/>
    <w:rsid w:val="004B2B81"/>
    <w:rsid w:val="004B2E56"/>
    <w:rsid w:val="004B41EE"/>
    <w:rsid w:val="004B4C64"/>
    <w:rsid w:val="004B5BBE"/>
    <w:rsid w:val="004B6415"/>
    <w:rsid w:val="004B6441"/>
    <w:rsid w:val="004B6B4A"/>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46D"/>
    <w:rsid w:val="00512710"/>
    <w:rsid w:val="005127A0"/>
    <w:rsid w:val="00512B63"/>
    <w:rsid w:val="00514547"/>
    <w:rsid w:val="00514A9A"/>
    <w:rsid w:val="00514E2E"/>
    <w:rsid w:val="0051572F"/>
    <w:rsid w:val="00515A67"/>
    <w:rsid w:val="00515BC0"/>
    <w:rsid w:val="00516F22"/>
    <w:rsid w:val="005207E3"/>
    <w:rsid w:val="00520A8A"/>
    <w:rsid w:val="00522152"/>
    <w:rsid w:val="00523686"/>
    <w:rsid w:val="00523996"/>
    <w:rsid w:val="005258B3"/>
    <w:rsid w:val="00525911"/>
    <w:rsid w:val="00527F54"/>
    <w:rsid w:val="00530AAB"/>
    <w:rsid w:val="00531900"/>
    <w:rsid w:val="005329D4"/>
    <w:rsid w:val="00532E20"/>
    <w:rsid w:val="00534CC2"/>
    <w:rsid w:val="005359C0"/>
    <w:rsid w:val="00535FFB"/>
    <w:rsid w:val="00537288"/>
    <w:rsid w:val="00537436"/>
    <w:rsid w:val="0054017F"/>
    <w:rsid w:val="0054168C"/>
    <w:rsid w:val="0054280D"/>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1104"/>
    <w:rsid w:val="00581452"/>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49CF"/>
    <w:rsid w:val="005A68CF"/>
    <w:rsid w:val="005A6CB1"/>
    <w:rsid w:val="005A71E9"/>
    <w:rsid w:val="005A7585"/>
    <w:rsid w:val="005B04CB"/>
    <w:rsid w:val="005B0683"/>
    <w:rsid w:val="005B0D29"/>
    <w:rsid w:val="005B0DE3"/>
    <w:rsid w:val="005B1315"/>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04D"/>
    <w:rsid w:val="005F7803"/>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3C9F"/>
    <w:rsid w:val="006140BB"/>
    <w:rsid w:val="0061565F"/>
    <w:rsid w:val="006168EB"/>
    <w:rsid w:val="00616E48"/>
    <w:rsid w:val="006210CA"/>
    <w:rsid w:val="0062160F"/>
    <w:rsid w:val="00621A10"/>
    <w:rsid w:val="0062238D"/>
    <w:rsid w:val="00622A2D"/>
    <w:rsid w:val="0062300F"/>
    <w:rsid w:val="00623026"/>
    <w:rsid w:val="0062302E"/>
    <w:rsid w:val="0062309A"/>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2FD"/>
    <w:rsid w:val="0065609C"/>
    <w:rsid w:val="00657204"/>
    <w:rsid w:val="006579F9"/>
    <w:rsid w:val="00657F8D"/>
    <w:rsid w:val="006600DC"/>
    <w:rsid w:val="00660B1B"/>
    <w:rsid w:val="00661E13"/>
    <w:rsid w:val="00662B40"/>
    <w:rsid w:val="00662B64"/>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86B1B"/>
    <w:rsid w:val="00690AFD"/>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F27"/>
    <w:rsid w:val="006A70F0"/>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1926"/>
    <w:rsid w:val="006C28DC"/>
    <w:rsid w:val="006C29F2"/>
    <w:rsid w:val="006C4634"/>
    <w:rsid w:val="006C4809"/>
    <w:rsid w:val="006C4F95"/>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0798F"/>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489D"/>
    <w:rsid w:val="0074514B"/>
    <w:rsid w:val="007456DC"/>
    <w:rsid w:val="0074594B"/>
    <w:rsid w:val="00745F83"/>
    <w:rsid w:val="007460DB"/>
    <w:rsid w:val="0074642F"/>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29C"/>
    <w:rsid w:val="007605C0"/>
    <w:rsid w:val="007608EA"/>
    <w:rsid w:val="00760E25"/>
    <w:rsid w:val="007611F0"/>
    <w:rsid w:val="00761F77"/>
    <w:rsid w:val="00763B53"/>
    <w:rsid w:val="007647C3"/>
    <w:rsid w:val="00765C42"/>
    <w:rsid w:val="00765F1B"/>
    <w:rsid w:val="00766201"/>
    <w:rsid w:val="0076772E"/>
    <w:rsid w:val="007700AF"/>
    <w:rsid w:val="0077094B"/>
    <w:rsid w:val="00770D5C"/>
    <w:rsid w:val="00771B7B"/>
    <w:rsid w:val="00771F1C"/>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FDA"/>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3F9"/>
    <w:rsid w:val="007A6870"/>
    <w:rsid w:val="007A7FE9"/>
    <w:rsid w:val="007B28CF"/>
    <w:rsid w:val="007B31B6"/>
    <w:rsid w:val="007B3529"/>
    <w:rsid w:val="007B5211"/>
    <w:rsid w:val="007C0787"/>
    <w:rsid w:val="007C07C5"/>
    <w:rsid w:val="007C2CBF"/>
    <w:rsid w:val="007C2D6B"/>
    <w:rsid w:val="007C3321"/>
    <w:rsid w:val="007C3593"/>
    <w:rsid w:val="007C3B01"/>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8A1"/>
    <w:rsid w:val="007D4B5F"/>
    <w:rsid w:val="007D5306"/>
    <w:rsid w:val="007D5D0A"/>
    <w:rsid w:val="007D64BB"/>
    <w:rsid w:val="007D71F1"/>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40C2"/>
    <w:rsid w:val="00814D3F"/>
    <w:rsid w:val="00815415"/>
    <w:rsid w:val="008157C9"/>
    <w:rsid w:val="008169EC"/>
    <w:rsid w:val="0082010F"/>
    <w:rsid w:val="008212B0"/>
    <w:rsid w:val="00821A37"/>
    <w:rsid w:val="00821A9F"/>
    <w:rsid w:val="00821C94"/>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41C"/>
    <w:rsid w:val="0088450B"/>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6A63"/>
    <w:rsid w:val="008A6D95"/>
    <w:rsid w:val="008A6EC0"/>
    <w:rsid w:val="008A767A"/>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4D49"/>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8F7991"/>
    <w:rsid w:val="00900EA0"/>
    <w:rsid w:val="00901B7F"/>
    <w:rsid w:val="009022ED"/>
    <w:rsid w:val="00902891"/>
    <w:rsid w:val="00902EE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1D3"/>
    <w:rsid w:val="009249E5"/>
    <w:rsid w:val="00924DDF"/>
    <w:rsid w:val="00925D18"/>
    <w:rsid w:val="00927AA9"/>
    <w:rsid w:val="00927B5B"/>
    <w:rsid w:val="00930D55"/>
    <w:rsid w:val="00932F5A"/>
    <w:rsid w:val="00933610"/>
    <w:rsid w:val="00933B07"/>
    <w:rsid w:val="00933E29"/>
    <w:rsid w:val="00934561"/>
    <w:rsid w:val="009356B8"/>
    <w:rsid w:val="00935826"/>
    <w:rsid w:val="009358CE"/>
    <w:rsid w:val="00941C63"/>
    <w:rsid w:val="0094223D"/>
    <w:rsid w:val="0094406C"/>
    <w:rsid w:val="00944F28"/>
    <w:rsid w:val="009459A6"/>
    <w:rsid w:val="00945FB7"/>
    <w:rsid w:val="00946CC3"/>
    <w:rsid w:val="00947A7A"/>
    <w:rsid w:val="00951108"/>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791D"/>
    <w:rsid w:val="009A7FA8"/>
    <w:rsid w:val="009B081B"/>
    <w:rsid w:val="009B0BC4"/>
    <w:rsid w:val="009B0BC8"/>
    <w:rsid w:val="009B10FF"/>
    <w:rsid w:val="009B3504"/>
    <w:rsid w:val="009B4402"/>
    <w:rsid w:val="009B5536"/>
    <w:rsid w:val="009B5A72"/>
    <w:rsid w:val="009B79A1"/>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736"/>
    <w:rsid w:val="009F7EDF"/>
    <w:rsid w:val="00A000B4"/>
    <w:rsid w:val="00A0080F"/>
    <w:rsid w:val="00A0181D"/>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0EB9"/>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599"/>
    <w:rsid w:val="00A25D87"/>
    <w:rsid w:val="00A26386"/>
    <w:rsid w:val="00A26AC8"/>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F16"/>
    <w:rsid w:val="00A64A3B"/>
    <w:rsid w:val="00A64C8A"/>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6812"/>
    <w:rsid w:val="00A76B23"/>
    <w:rsid w:val="00A7752A"/>
    <w:rsid w:val="00A80AAC"/>
    <w:rsid w:val="00A81584"/>
    <w:rsid w:val="00A81894"/>
    <w:rsid w:val="00A84BEB"/>
    <w:rsid w:val="00A86A1B"/>
    <w:rsid w:val="00A86D47"/>
    <w:rsid w:val="00A91E1F"/>
    <w:rsid w:val="00A92296"/>
    <w:rsid w:val="00A9340A"/>
    <w:rsid w:val="00A9427C"/>
    <w:rsid w:val="00A944F3"/>
    <w:rsid w:val="00A96E05"/>
    <w:rsid w:val="00A97896"/>
    <w:rsid w:val="00A97E15"/>
    <w:rsid w:val="00AA08A0"/>
    <w:rsid w:val="00AA0BA5"/>
    <w:rsid w:val="00AA164C"/>
    <w:rsid w:val="00AA179C"/>
    <w:rsid w:val="00AA18AE"/>
    <w:rsid w:val="00AA19B0"/>
    <w:rsid w:val="00AA2776"/>
    <w:rsid w:val="00AA3306"/>
    <w:rsid w:val="00AA4125"/>
    <w:rsid w:val="00AA4AA6"/>
    <w:rsid w:val="00AA527B"/>
    <w:rsid w:val="00AA57F0"/>
    <w:rsid w:val="00AA5DB4"/>
    <w:rsid w:val="00AB0C84"/>
    <w:rsid w:val="00AB16BF"/>
    <w:rsid w:val="00AB1FBE"/>
    <w:rsid w:val="00AB24C8"/>
    <w:rsid w:val="00AB2B5F"/>
    <w:rsid w:val="00AB39F6"/>
    <w:rsid w:val="00AB4252"/>
    <w:rsid w:val="00AB508B"/>
    <w:rsid w:val="00AB6734"/>
    <w:rsid w:val="00AB6BE1"/>
    <w:rsid w:val="00AC00CE"/>
    <w:rsid w:val="00AC10D2"/>
    <w:rsid w:val="00AC16E1"/>
    <w:rsid w:val="00AC18F5"/>
    <w:rsid w:val="00AC2599"/>
    <w:rsid w:val="00AC26C3"/>
    <w:rsid w:val="00AC27AB"/>
    <w:rsid w:val="00AC3FF9"/>
    <w:rsid w:val="00AC5086"/>
    <w:rsid w:val="00AC5496"/>
    <w:rsid w:val="00AC6019"/>
    <w:rsid w:val="00AC6F72"/>
    <w:rsid w:val="00AC75D5"/>
    <w:rsid w:val="00AD0A70"/>
    <w:rsid w:val="00AD12EE"/>
    <w:rsid w:val="00AD173D"/>
    <w:rsid w:val="00AD2465"/>
    <w:rsid w:val="00AD442D"/>
    <w:rsid w:val="00AD6373"/>
    <w:rsid w:val="00AD6554"/>
    <w:rsid w:val="00AD7EE7"/>
    <w:rsid w:val="00AE0A04"/>
    <w:rsid w:val="00AE0E21"/>
    <w:rsid w:val="00AE14F3"/>
    <w:rsid w:val="00AE1A46"/>
    <w:rsid w:val="00AE20D3"/>
    <w:rsid w:val="00AE22F2"/>
    <w:rsid w:val="00AE2392"/>
    <w:rsid w:val="00AE24DF"/>
    <w:rsid w:val="00AE3428"/>
    <w:rsid w:val="00AE43C6"/>
    <w:rsid w:val="00AE46CA"/>
    <w:rsid w:val="00AE52EA"/>
    <w:rsid w:val="00AE56D2"/>
    <w:rsid w:val="00AE5B1E"/>
    <w:rsid w:val="00AE79CA"/>
    <w:rsid w:val="00AF1968"/>
    <w:rsid w:val="00AF310D"/>
    <w:rsid w:val="00AF328F"/>
    <w:rsid w:val="00AF4582"/>
    <w:rsid w:val="00AF4F04"/>
    <w:rsid w:val="00AF5293"/>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8E3"/>
    <w:rsid w:val="00B10DE9"/>
    <w:rsid w:val="00B1175C"/>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6A6C"/>
    <w:rsid w:val="00B274CC"/>
    <w:rsid w:val="00B27D22"/>
    <w:rsid w:val="00B31E79"/>
    <w:rsid w:val="00B32641"/>
    <w:rsid w:val="00B33A06"/>
    <w:rsid w:val="00B34AF2"/>
    <w:rsid w:val="00B35253"/>
    <w:rsid w:val="00B36427"/>
    <w:rsid w:val="00B40107"/>
    <w:rsid w:val="00B4093A"/>
    <w:rsid w:val="00B40D05"/>
    <w:rsid w:val="00B40DAA"/>
    <w:rsid w:val="00B419F8"/>
    <w:rsid w:val="00B41FBD"/>
    <w:rsid w:val="00B4246E"/>
    <w:rsid w:val="00B43411"/>
    <w:rsid w:val="00B43B74"/>
    <w:rsid w:val="00B43C8B"/>
    <w:rsid w:val="00B44286"/>
    <w:rsid w:val="00B44DE2"/>
    <w:rsid w:val="00B45903"/>
    <w:rsid w:val="00B4594A"/>
    <w:rsid w:val="00B461DE"/>
    <w:rsid w:val="00B46A6D"/>
    <w:rsid w:val="00B4742A"/>
    <w:rsid w:val="00B47B47"/>
    <w:rsid w:val="00B50DEE"/>
    <w:rsid w:val="00B50F6E"/>
    <w:rsid w:val="00B51A8E"/>
    <w:rsid w:val="00B5252F"/>
    <w:rsid w:val="00B52FBD"/>
    <w:rsid w:val="00B53927"/>
    <w:rsid w:val="00B54D58"/>
    <w:rsid w:val="00B55D48"/>
    <w:rsid w:val="00B577E9"/>
    <w:rsid w:val="00B57DB2"/>
    <w:rsid w:val="00B607BF"/>
    <w:rsid w:val="00B60D9B"/>
    <w:rsid w:val="00B6122B"/>
    <w:rsid w:val="00B61251"/>
    <w:rsid w:val="00B614E6"/>
    <w:rsid w:val="00B6214E"/>
    <w:rsid w:val="00B622FD"/>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11E0"/>
    <w:rsid w:val="00B811EC"/>
    <w:rsid w:val="00B81ED2"/>
    <w:rsid w:val="00B820D4"/>
    <w:rsid w:val="00B822F3"/>
    <w:rsid w:val="00B82F3D"/>
    <w:rsid w:val="00B83060"/>
    <w:rsid w:val="00B832BA"/>
    <w:rsid w:val="00B83530"/>
    <w:rsid w:val="00B84123"/>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B13"/>
    <w:rsid w:val="00BA4C14"/>
    <w:rsid w:val="00BA534E"/>
    <w:rsid w:val="00BA5F2A"/>
    <w:rsid w:val="00BA6C29"/>
    <w:rsid w:val="00BA72BD"/>
    <w:rsid w:val="00BA752D"/>
    <w:rsid w:val="00BA7559"/>
    <w:rsid w:val="00BB018A"/>
    <w:rsid w:val="00BB026F"/>
    <w:rsid w:val="00BB087C"/>
    <w:rsid w:val="00BB3FB2"/>
    <w:rsid w:val="00BB4A59"/>
    <w:rsid w:val="00BB5370"/>
    <w:rsid w:val="00BB6031"/>
    <w:rsid w:val="00BB64B0"/>
    <w:rsid w:val="00BB65C4"/>
    <w:rsid w:val="00BB6F7D"/>
    <w:rsid w:val="00BB7B9D"/>
    <w:rsid w:val="00BC1694"/>
    <w:rsid w:val="00BC2362"/>
    <w:rsid w:val="00BC2853"/>
    <w:rsid w:val="00BC33D4"/>
    <w:rsid w:val="00BC4431"/>
    <w:rsid w:val="00BC4B7F"/>
    <w:rsid w:val="00BC5473"/>
    <w:rsid w:val="00BC579E"/>
    <w:rsid w:val="00BC6E2E"/>
    <w:rsid w:val="00BC6E98"/>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61A"/>
    <w:rsid w:val="00C201CA"/>
    <w:rsid w:val="00C203E7"/>
    <w:rsid w:val="00C20F69"/>
    <w:rsid w:val="00C21EFF"/>
    <w:rsid w:val="00C22360"/>
    <w:rsid w:val="00C227AD"/>
    <w:rsid w:val="00C22825"/>
    <w:rsid w:val="00C23BA1"/>
    <w:rsid w:val="00C23DF7"/>
    <w:rsid w:val="00C2459D"/>
    <w:rsid w:val="00C253D7"/>
    <w:rsid w:val="00C25B4D"/>
    <w:rsid w:val="00C26DEE"/>
    <w:rsid w:val="00C274F6"/>
    <w:rsid w:val="00C27846"/>
    <w:rsid w:val="00C27BFD"/>
    <w:rsid w:val="00C303D0"/>
    <w:rsid w:val="00C30474"/>
    <w:rsid w:val="00C3053E"/>
    <w:rsid w:val="00C31597"/>
    <w:rsid w:val="00C3190C"/>
    <w:rsid w:val="00C34991"/>
    <w:rsid w:val="00C363DF"/>
    <w:rsid w:val="00C373A2"/>
    <w:rsid w:val="00C37F29"/>
    <w:rsid w:val="00C4067A"/>
    <w:rsid w:val="00C41BC5"/>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61AD"/>
    <w:rsid w:val="00C57333"/>
    <w:rsid w:val="00C57A19"/>
    <w:rsid w:val="00C604EE"/>
    <w:rsid w:val="00C61462"/>
    <w:rsid w:val="00C61790"/>
    <w:rsid w:val="00C617E4"/>
    <w:rsid w:val="00C624F8"/>
    <w:rsid w:val="00C62955"/>
    <w:rsid w:val="00C64256"/>
    <w:rsid w:val="00C64815"/>
    <w:rsid w:val="00C64A18"/>
    <w:rsid w:val="00C64C12"/>
    <w:rsid w:val="00C64DB4"/>
    <w:rsid w:val="00C66947"/>
    <w:rsid w:val="00C67814"/>
    <w:rsid w:val="00C67DF9"/>
    <w:rsid w:val="00C67E59"/>
    <w:rsid w:val="00C703D4"/>
    <w:rsid w:val="00C7096C"/>
    <w:rsid w:val="00C70A83"/>
    <w:rsid w:val="00C71FF0"/>
    <w:rsid w:val="00C725E7"/>
    <w:rsid w:val="00C726AA"/>
    <w:rsid w:val="00C72F05"/>
    <w:rsid w:val="00C732DD"/>
    <w:rsid w:val="00C736A2"/>
    <w:rsid w:val="00C73A82"/>
    <w:rsid w:val="00C73B44"/>
    <w:rsid w:val="00C73BEF"/>
    <w:rsid w:val="00C74590"/>
    <w:rsid w:val="00C74BBA"/>
    <w:rsid w:val="00C74EB7"/>
    <w:rsid w:val="00C7512A"/>
    <w:rsid w:val="00C760B6"/>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992"/>
    <w:rsid w:val="00C97B34"/>
    <w:rsid w:val="00CA1241"/>
    <w:rsid w:val="00CA18F8"/>
    <w:rsid w:val="00CA1941"/>
    <w:rsid w:val="00CA3114"/>
    <w:rsid w:val="00CA3753"/>
    <w:rsid w:val="00CA3D9A"/>
    <w:rsid w:val="00CA4CE9"/>
    <w:rsid w:val="00CA77C7"/>
    <w:rsid w:val="00CB0AD7"/>
    <w:rsid w:val="00CB10E5"/>
    <w:rsid w:val="00CB1363"/>
    <w:rsid w:val="00CB1D32"/>
    <w:rsid w:val="00CB40EE"/>
    <w:rsid w:val="00CB4EF9"/>
    <w:rsid w:val="00CB4F00"/>
    <w:rsid w:val="00CB5CC4"/>
    <w:rsid w:val="00CB6A8A"/>
    <w:rsid w:val="00CB7A79"/>
    <w:rsid w:val="00CC0E6A"/>
    <w:rsid w:val="00CC3544"/>
    <w:rsid w:val="00CC3E39"/>
    <w:rsid w:val="00CC4171"/>
    <w:rsid w:val="00CC4385"/>
    <w:rsid w:val="00CC49A2"/>
    <w:rsid w:val="00CC57DC"/>
    <w:rsid w:val="00CC6783"/>
    <w:rsid w:val="00CC6A15"/>
    <w:rsid w:val="00CC6AD3"/>
    <w:rsid w:val="00CC734B"/>
    <w:rsid w:val="00CD06D2"/>
    <w:rsid w:val="00CD0AEF"/>
    <w:rsid w:val="00CD1811"/>
    <w:rsid w:val="00CD273E"/>
    <w:rsid w:val="00CD2E7B"/>
    <w:rsid w:val="00CD4639"/>
    <w:rsid w:val="00CD5F76"/>
    <w:rsid w:val="00CD6411"/>
    <w:rsid w:val="00CD6564"/>
    <w:rsid w:val="00CD785A"/>
    <w:rsid w:val="00CE24C9"/>
    <w:rsid w:val="00CE27BF"/>
    <w:rsid w:val="00CE2C06"/>
    <w:rsid w:val="00CE3E7C"/>
    <w:rsid w:val="00CE4BFB"/>
    <w:rsid w:val="00CE569C"/>
    <w:rsid w:val="00CE56C5"/>
    <w:rsid w:val="00CE5779"/>
    <w:rsid w:val="00CE5991"/>
    <w:rsid w:val="00CE5FE3"/>
    <w:rsid w:val="00CE63B6"/>
    <w:rsid w:val="00CE653A"/>
    <w:rsid w:val="00CE78F3"/>
    <w:rsid w:val="00CF2663"/>
    <w:rsid w:val="00CF35FC"/>
    <w:rsid w:val="00CF3BBF"/>
    <w:rsid w:val="00CF512E"/>
    <w:rsid w:val="00CF53C8"/>
    <w:rsid w:val="00CF56FB"/>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4D9"/>
    <w:rsid w:val="00D057E1"/>
    <w:rsid w:val="00D05BB8"/>
    <w:rsid w:val="00D05EB9"/>
    <w:rsid w:val="00D06776"/>
    <w:rsid w:val="00D06A85"/>
    <w:rsid w:val="00D06D08"/>
    <w:rsid w:val="00D07A8B"/>
    <w:rsid w:val="00D11707"/>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4F48"/>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2D5B"/>
    <w:rsid w:val="00D93206"/>
    <w:rsid w:val="00D94B63"/>
    <w:rsid w:val="00D94BBB"/>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E7B2F"/>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420"/>
    <w:rsid w:val="00E04459"/>
    <w:rsid w:val="00E0455F"/>
    <w:rsid w:val="00E0490E"/>
    <w:rsid w:val="00E052DD"/>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722"/>
    <w:rsid w:val="00E33B33"/>
    <w:rsid w:val="00E34658"/>
    <w:rsid w:val="00E3526B"/>
    <w:rsid w:val="00E35AA3"/>
    <w:rsid w:val="00E37047"/>
    <w:rsid w:val="00E370DE"/>
    <w:rsid w:val="00E37661"/>
    <w:rsid w:val="00E407DD"/>
    <w:rsid w:val="00E41308"/>
    <w:rsid w:val="00E41633"/>
    <w:rsid w:val="00E417E3"/>
    <w:rsid w:val="00E42454"/>
    <w:rsid w:val="00E4346B"/>
    <w:rsid w:val="00E4347A"/>
    <w:rsid w:val="00E435F2"/>
    <w:rsid w:val="00E44AB4"/>
    <w:rsid w:val="00E44B09"/>
    <w:rsid w:val="00E44C79"/>
    <w:rsid w:val="00E45A5E"/>
    <w:rsid w:val="00E45BEF"/>
    <w:rsid w:val="00E46012"/>
    <w:rsid w:val="00E4661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4FDF"/>
    <w:rsid w:val="00E9527E"/>
    <w:rsid w:val="00E96E8F"/>
    <w:rsid w:val="00E97693"/>
    <w:rsid w:val="00E97DE3"/>
    <w:rsid w:val="00E97ECB"/>
    <w:rsid w:val="00EA005D"/>
    <w:rsid w:val="00EA0C94"/>
    <w:rsid w:val="00EA0FAF"/>
    <w:rsid w:val="00EA275B"/>
    <w:rsid w:val="00EA2B80"/>
    <w:rsid w:val="00EA33A4"/>
    <w:rsid w:val="00EA3B47"/>
    <w:rsid w:val="00EA3BB2"/>
    <w:rsid w:val="00EA4509"/>
    <w:rsid w:val="00EA45D8"/>
    <w:rsid w:val="00EA48F0"/>
    <w:rsid w:val="00EA5358"/>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713A"/>
    <w:rsid w:val="00EC7796"/>
    <w:rsid w:val="00EC7FB1"/>
    <w:rsid w:val="00ED0D2F"/>
    <w:rsid w:val="00ED0F60"/>
    <w:rsid w:val="00ED143E"/>
    <w:rsid w:val="00ED2941"/>
    <w:rsid w:val="00ED65ED"/>
    <w:rsid w:val="00ED6A60"/>
    <w:rsid w:val="00ED6FD4"/>
    <w:rsid w:val="00ED70E2"/>
    <w:rsid w:val="00ED7F77"/>
    <w:rsid w:val="00EE0891"/>
    <w:rsid w:val="00EE0F3C"/>
    <w:rsid w:val="00EE140B"/>
    <w:rsid w:val="00EE1D81"/>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532E"/>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4EEDC954"/>
  <w14:defaultImageDpi w14:val="96"/>
  <w15:docId w15:val="{40CF4B5A-C876-4814-BB60-0459E2071A3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v-LV"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lv-LV"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lv-LV"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lv-LV"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lv-LV"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lv-LV"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lv-LV"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lv-LV"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lv-LV"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lv-LV"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lv-LV"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lv-LV"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lv-LV"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lv-LV"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lv-LV"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lv-LV"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lv-LV"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lv-LV"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Susanne.Johansson@eesc.europa.eu" TargetMode="External"/><Relationship Id="rId39" Type="http://schemas.openxmlformats.org/officeDocument/2006/relationships/header" Target="header4.xml"/><Relationship Id="rId21" Type="http://schemas.openxmlformats.org/officeDocument/2006/relationships/hyperlink" Target="mailto:Alice.Tetu@eesc.europa.eu" TargetMode="External"/><Relationship Id="rId34" Type="http://schemas.openxmlformats.org/officeDocument/2006/relationships/hyperlink" Target="mailto:Maarit.Laurila@eesc.europa.eu" TargetMode="External"/><Relationship Id="rId42" Type="http://schemas.openxmlformats.org/officeDocument/2006/relationships/footer" Target="footer5.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Triin.Aasmaa@eesc.europa.eu"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Conrad.Ganslandt@eesc.europa.eu" TargetMode="External"/><Relationship Id="rId37" Type="http://schemas.openxmlformats.org/officeDocument/2006/relationships/hyperlink" Target="mailto:Sara.Nanino@eesc.europa.eu" TargetMode="External"/><Relationship Id="rId40" Type="http://schemas.openxmlformats.org/officeDocument/2006/relationships/header" Target="header5.xml"/><Relationship Id="rId45" Type="http://schemas.openxmlformats.org/officeDocument/2006/relationships/fontTable" Target="fontTable.xml"/><Relationship Id="rId15" Type="http://schemas.openxmlformats.org/officeDocument/2006/relationships/header" Target="header1.xml"/><Relationship Id="rId23" Type="http://schemas.openxmlformats.org/officeDocument/2006/relationships/hyperlink" Target="mailto:Luis.Lobo@eesc.europa.eu" TargetMode="External"/><Relationship Id="rId28" Type="http://schemas.openxmlformats.org/officeDocument/2006/relationships/hyperlink" Target="mailto:AnneMarie.Wiersma@eesc.europa.eu" TargetMode="External"/><Relationship Id="rId36" Type="http://schemas.openxmlformats.org/officeDocument/2006/relationships/hyperlink" Target="mailto:Alessandro.Rizzi@eesc.europa.eu" TargetMode="External"/><Relationship Id="rId49"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Conrad.Ganslandt@eesc.europa.eu" TargetMode="External"/><Relationship Id="rId44" Type="http://schemas.openxmlformats.org/officeDocument/2006/relationships/footer" Target="footer6.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Alice.Tetu@eesc.europa.eu" TargetMode="External"/><Relationship Id="rId27" Type="http://schemas.openxmlformats.org/officeDocument/2006/relationships/hyperlink" Target="mailto:Jakob.Andersen@eesc.europa.eu" TargetMode="External"/><Relationship Id="rId30" Type="http://schemas.openxmlformats.org/officeDocument/2006/relationships/hyperlink" Target="mailto:Adam.Plezer@eesc.europa.eu" TargetMode="External"/><Relationship Id="rId35" Type="http://schemas.openxmlformats.org/officeDocument/2006/relationships/hyperlink" Target="mailto:Monica.Guarinoni@eesc.europa.eu" TargetMode="External"/><Relationship Id="rId43" Type="http://schemas.openxmlformats.org/officeDocument/2006/relationships/header" Target="header6.xml"/><Relationship Id="rId48" Type="http://schemas.openxmlformats.org/officeDocument/2006/relationships/customXml" Target="../customXml/item2.xml"/><Relationship Id="rId8"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Alexander.Alexandrov@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Monica.Guarinoni@eesc.europa.eu"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footer" Target="footer4.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CTJJHAUHWN5E-2028081414-5175</_dlc_DocId>
    <_dlc_DocIdUrl xmlns="bfc960a6-20da-4c94-8684-71380fca093b">
      <Url>http://dm2016/eesc/2019/_layouts/15/DocIdRedir.aspx?ID=CTJJHAUHWN5E-2028081414-5175</Url>
      <Description>CTJJHAUHWN5E-2028081414-5175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2019-11-26T12:00:00+00:00</ProductionDate>
    <FicheYear xmlns="bfc960a6-20da-4c94-8684-71380fca093b">2019</FicheYear>
    <DocumentNumber xmlns="e7079bb7-b7bf-4242-8479-9b6b0b289b96">4301</DocumentNumber>
    <DocumentVersion xmlns="bfc960a6-20da-4c94-8684-71380fca093b">2</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2019-12-11T12:00:00+00:00</MeetingDate>
    <TaxCatchAll xmlns="bfc960a6-20da-4c94-8684-71380fca093b">
      <Value>65</Value>
      <Value>64</Value>
      <Value>62</Value>
      <Value>60</Value>
      <Value>59</Value>
      <Value>58</Value>
      <Value>57</Value>
      <Value>56</Value>
      <Value>55</Value>
      <Value>52</Value>
      <Value>49</Value>
      <Value>48</Value>
      <Value>46</Value>
      <Value>45</Value>
      <Value>38</Value>
      <Value>31</Value>
      <Value>25</Value>
      <Value>21</Value>
      <Value>17</Value>
      <Value>16</Value>
      <Value>14</Value>
      <Value>10</Value>
      <Value>8</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11784</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e7079bb7-b7bf-4242-8479-9b6b0b289b96">548</MeetingNumber>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AD7F41433A6CF64590E6DEF3B77EF5BC" ma:contentTypeVersion="4" ma:contentTypeDescription="Defines the documents for Document Manager V2" ma:contentTypeScope="" ma:versionID="57767cad13f405e320dfa48c1a1b278a">
  <xsd:schema xmlns:xsd="http://www.w3.org/2001/XMLSchema" xmlns:xs="http://www.w3.org/2001/XMLSchema" xmlns:p="http://schemas.microsoft.com/office/2006/metadata/properties" xmlns:ns2="bfc960a6-20da-4c94-8684-71380fca093b" xmlns:ns3="http://schemas.microsoft.com/sharepoint/v3/fields" xmlns:ns4="e7079bb7-b7bf-4242-8479-9b6b0b289b96" targetNamespace="http://schemas.microsoft.com/office/2006/metadata/properties" ma:root="true" ma:fieldsID="2b990c73e79d9e86df42c8b52008ac21" ns2:_="" ns3:_="" ns4:_="">
    <xsd:import namespace="bfc960a6-20da-4c94-8684-71380fca093b"/>
    <xsd:import namespace="http://schemas.microsoft.com/sharepoint/v3/fields"/>
    <xsd:import namespace="e7079bb7-b7bf-4242-8479-9b6b0b289b9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79bb7-b7bf-4242-8479-9b6b0b289b9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F924D-4261-430F-98FD-79D9D4634DFC}"/>
</file>

<file path=customXml/itemProps2.xml><?xml version="1.0" encoding="utf-8"?>
<ds:datastoreItem xmlns:ds="http://schemas.openxmlformats.org/officeDocument/2006/customXml" ds:itemID="{4DF6FC4C-8DC9-492C-8768-FC28EC3F1A2B}"/>
</file>

<file path=customXml/itemProps3.xml><?xml version="1.0" encoding="utf-8"?>
<ds:datastoreItem xmlns:ds="http://schemas.openxmlformats.org/officeDocument/2006/customXml" ds:itemID="{8003075D-C4C1-4E27-9C71-788B56785F23}"/>
</file>

<file path=customXml/itemProps4.xml><?xml version="1.0" encoding="utf-8"?>
<ds:datastoreItem xmlns:ds="http://schemas.openxmlformats.org/officeDocument/2006/customXml" ds:itemID="{CB9FD47B-D743-428B-944B-7A1BF89BEFA1}"/>
</file>

<file path=docProps/app.xml><?xml version="1.0" encoding="utf-8"?>
<Properties xmlns="http://schemas.openxmlformats.org/officeDocument/2006/extended-properties" xmlns:vt="http://schemas.openxmlformats.org/officeDocument/2006/docPropsVTypes">
  <Template>Styles</Template>
  <TotalTime>15</TotalTime>
  <Pages>24</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Atzinumu kopsavilkums  2019. gada oktobris</dc:title>
  <dc:creator>Marcos Jaime Tornin</dc:creator>
  <cp:keywords>EESC-2019-04301-00-02-TCD-TRA-EN</cp:keywords>
  <dc:description>Rapporteur:  - Original language: EN, FR - Date of document: 26/11/2019 - Date of meeting: 11/12/2019 - External documents:  - Administrator:  DEGIORGIO REUBEN</dc:description>
  <cp:lastModifiedBy>Evija Goba</cp:lastModifiedBy>
  <cp:revision>11</cp:revision>
  <cp:lastPrinted>2019-11-14T08:46:00Z</cp:lastPrinted>
  <dcterms:created xsi:type="dcterms:W3CDTF">2019-11-22T14:38:00Z</dcterms:created>
  <dcterms:modified xsi:type="dcterms:W3CDTF">2019-11-26T11:23:00Z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22/11/2019, 23/07/2019, 19/07/2019, 27/06/2019, 05/06/2019, 03/05/2019, 13/12/2018, 09/11/2018, 12/07/2018, 23/05/2018, 13/03/2018, 26/02/2018, 14/02/2018, 24/01/2018, 16/01/2018, 19/12/2017, 01/12/2017, 16/11/2017, 15/11/2017, 17/10/2017, 13/09/2017, 03/</vt:lpwstr>
  </property>
  <property fmtid="{D5CDD505-2E9C-101B-9397-08002B2CF9AE}" pid="4" name="Pref_Time">
    <vt:lpwstr>15:38:18, 14:11:10, 11:32:00, 12:00:39, 16:39:54, 14:43:22, 11:27:48, 09:10:15, 14:45:38, 09:50:08, 13:54:15, 10:33:11, 11:57:02, 15:31:00, 09:45:52, 11:53:01, 15:00:14, 15:49:39, 15:47:16, 10:48:52, 11:23:50, 09:51:12, 14:43:57, 12:54:34, 12:22:33, 12:08</vt:lpwstr>
  </property>
  <property fmtid="{D5CDD505-2E9C-101B-9397-08002B2CF9AE}" pid="5" name="Pref_User">
    <vt:lpwstr>mkop, enied, enied, amett, amett, enied, enied, amett, enied, hnic, mreg, jhvi, mkop, hnic, mkop, amett, jhvi, amett, tvoc, tvoc, tvoc, amett, hnic, mreg, mreg, enied, mreg, jhvi, tvoc, htoo, mreg, tvoc, hnic, mreg, hnic, amett, nmcg, amett, enied, nmcg, </vt:lpwstr>
  </property>
  <property fmtid="{D5CDD505-2E9C-101B-9397-08002B2CF9AE}" pid="6" name="Pref_FileName">
    <vt:lpwstr>EESC-2019-04301-00-02-TCD-ORI.docx, EESC-2019-03134-01-01-TCD-ORI.docx, EESC-2019-03134-01-00-TCD-ORI.docx, EESC-2019-02484-00-00-TCD-ORI.docx, EESC-2019-01616-00-00-TCD-ORI.docx, EESC-2019-01082-00-00-TCD-ORI.docx, EESC-2018-05296-00-00-TCD-ORI.docx, EES</vt:lpwstr>
  </property>
  <property fmtid="{D5CDD505-2E9C-101B-9397-08002B2CF9AE}" pid="7" name="ContentTypeId">
    <vt:lpwstr>0x010100EA97B91038054C99906057A708A1480A00AD7F41433A6CF64590E6DEF3B77EF5BC</vt:lpwstr>
  </property>
  <property fmtid="{D5CDD505-2E9C-101B-9397-08002B2CF9AE}" pid="8" name="_dlc_DocIdItemGuid">
    <vt:lpwstr>9ed70abb-a276-4c03-9210-5cff6f73a5ee</vt:lpwstr>
  </property>
  <property fmtid="{D5CDD505-2E9C-101B-9397-08002B2CF9AE}" pid="9" name="AvailableTranslations">
    <vt:lpwstr>46;#CS|72f9705b-0217-4fd3-bea2-cbc7ed80e26e;#59;#HR|2f555653-ed1a-4fe6-8362-9082d95989e5;#52;#DA|5d49c027-8956-412b-aa16-e85a0f96ad0e;#57;#RO|feb747a2-64cd-4299-af12-4833ddc30497;#60;#HU|6b229040-c589-4408-b4c1-4285663d20a8;#56;#SL|98a412ae-eb01-49e9-ae3d-585a81724cfc;#17;#ES|e7a6b05b-ae16-40c8-add9-68b64b03aeba;#65;#ET|ff6c3f4c-b02c-4c3c-ab07-2c37995a7a0a;#16;#PL|1e03da61-4678-4e07-b136-b5024ca9197b;#62;#FI|87606a43-d45f-42d6-b8c9-e1a3457db5b7;#49;#EL|6d4f4d51-af9b-4650-94b4-4276bee85c91;#45;#NL|55c6556c-b4f4-441d-9acf-c498d4f838bd;#58;#LV|46f7e311-5d9f-4663-b433-18aeccb7ace7;#64;#PT|50ccc04a-eadd-42ae-a0cb-acaf45f812ba;#10;#FR|d2afafd3-4c81-4f60-8f52-ee33f2f54ff3;#25;#SK|46d9fce0-ef79-4f71-b89b-cd6aa82426b8;#48;#LT|a7ff5ce7-6123-4f68-865a-a57c31810414;#21;#IT|0774613c-01ed-4e5d-a25d-11d2388de825;#14;#DE|f6b31e5a-26fa-4935-b661-318e46daf27e;#4;#EN|f2175f21-25d7-44a3-96da-d6a61b075e1b;#55;#BG|1a1b3951-7821-4e6a-85f5-5673fc08bd2c;#38;#SV|c2ed69e7-a339-43d7-8f22-d93680a92aa0</vt:lpwstr>
  </property>
  <property fmtid="{D5CDD505-2E9C-101B-9397-08002B2CF9AE}" pid="10" name="DocumentType_0">
    <vt:lpwstr>TCD|cd9d6eb6-3f4f-424a-b2d1-57c9d450eaaf</vt:lpwstr>
  </property>
  <property fmtid="{D5CDD505-2E9C-101B-9397-08002B2CF9AE}" pid="11" name="MeetingNumber">
    <vt:i4>548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4301</vt:i4>
  </property>
  <property fmtid="{D5CDD505-2E9C-101B-9397-08002B2CF9AE}" pid="15" name="FicheYear">
    <vt:i4>2019</vt:i4>
  </property>
  <property fmtid="{D5CDD505-2E9C-101B-9397-08002B2CF9AE}" pid="16" name="DocumentVersion">
    <vt:i4>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4;#EN|f2175f21-25d7-44a3-96da-d6a61b075e1b;#10;#FR|d2afafd3-4c81-4f60-8f52-ee33f2f54ff3</vt:lpwstr>
  </property>
  <property fmtid="{D5CDD505-2E9C-101B-9397-08002B2CF9AE}" pid="28" name="MeetingName">
    <vt:lpwstr>31;#SPL-CES|32d8cb1f-c9ec-4365-95c7-8385a18618ac</vt:lpwstr>
  </property>
  <property fmtid="{D5CDD505-2E9C-101B-9397-08002B2CF9AE}" pid="29" name="MeetingDate">
    <vt:filetime>2019-12-11T12:00:00Z</vt:filetime>
  </property>
  <property fmtid="{D5CDD505-2E9C-101B-9397-08002B2CF9AE}" pid="30" name="AvailableTranslations_0">
    <vt:lpwstr>DA|5d49c027-8956-412b-aa16-e85a0f96ad0e;LT|a7ff5ce7-6123-4f68-865a-a57c31810414</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48;#LT|a7ff5ce7-6123-4f68-865a-a57c31810414;#31;#SPL-CES|32d8cb1f-c9ec-4365-95c7-8385a18618ac;#10;#FR|d2afafd3-4c81-4f60-8f52-ee33f2f54ff3;#8;#TCD|cd9d6eb6-3f4f-424a-b2d1-57c9d450eaaf;#7;#Final|ea5e6674-7b27-4bac-b091-73adbb394efe;#52;#DA|5d49c027-8956-412b-aa16-e85a0f96ad0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2019</vt:i4>
  </property>
  <property fmtid="{D5CDD505-2E9C-101B-9397-08002B2CF9AE}" pid="37" name="FicheNumber">
    <vt:i4>11784</vt:i4>
  </property>
  <property fmtid="{D5CDD505-2E9C-101B-9397-08002B2CF9AE}" pid="38" name="DocumentLanguage">
    <vt:lpwstr>58;#LV|46f7e311-5d9f-4663-b433-18aeccb7ace7</vt:lpwstr>
  </property>
  <property fmtid="{D5CDD505-2E9C-101B-9397-08002B2CF9AE}" pid="39" name="_docset_NoMedatataSyncRequired">
    <vt:lpwstr>False</vt:lpwstr>
  </property>
</Properties>
</file>