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37129" w14:textId="5C7B7FED" w:rsidR="00AE2BA9" w:rsidRPr="00D0663D" w:rsidRDefault="00830087" w:rsidP="00E4226B">
      <w:pPr>
        <w:jc w:val="center"/>
        <w:rPr>
          <w:b/>
          <w:sz w:val="28"/>
        </w:rPr>
      </w:pPr>
      <w:bookmarkStart w:id="0" w:name="_GoBack"/>
      <w:bookmarkEnd w:id="0"/>
      <w:r>
        <w:rPr>
          <w:b/>
          <w:sz w:val="28"/>
        </w:rPr>
        <w:t>Declarația celei de-a patra reuniuni comune a Republicii Moldova cu</w:t>
      </w:r>
      <w:r w:rsidR="00F4735E">
        <w:rPr>
          <w:b/>
          <w:sz w:val="28"/>
        </w:rPr>
        <w:t> </w:t>
      </w:r>
      <w:r>
        <w:rPr>
          <w:b/>
          <w:sz w:val="28"/>
        </w:rPr>
        <w:t>grupurile consultative interne ale Uniunii Europene pentru comerț și</w:t>
      </w:r>
      <w:r w:rsidR="00F4735E">
        <w:rPr>
          <w:b/>
          <w:sz w:val="28"/>
        </w:rPr>
        <w:t> </w:t>
      </w:r>
      <w:r>
        <w:rPr>
          <w:b/>
          <w:sz w:val="28"/>
        </w:rPr>
        <w:t>dezvoltare durabilă</w:t>
      </w:r>
    </w:p>
    <w:p w14:paraId="33C913C0" w14:textId="18253AB7" w:rsidR="00830087" w:rsidRPr="00D0663D" w:rsidRDefault="00D0663D" w:rsidP="00E4226B">
      <w:pPr>
        <w:rPr>
          <w:b/>
        </w:rPr>
      </w:pPr>
      <w:r>
        <w:rPr>
          <w:b/>
          <w:noProof/>
          <w:lang w:val="en-GB" w:eastAsia="en-GB"/>
        </w:rPr>
        <mc:AlternateContent>
          <mc:Choice Requires="wps">
            <w:drawing>
              <wp:anchor distT="0" distB="0" distL="114300" distR="114300" simplePos="0" relativeHeight="251659264" behindDoc="1" locked="0" layoutInCell="0" allowOverlap="1" wp14:anchorId="1D99D838" wp14:editId="18BFFBA2">
                <wp:simplePos x="0" y="0"/>
                <wp:positionH relativeFrom="page">
                  <wp:posOffset>6769100</wp:posOffset>
                </wp:positionH>
                <wp:positionV relativeFrom="page">
                  <wp:posOffset>10026015</wp:posOffset>
                </wp:positionV>
                <wp:extent cx="647700" cy="45148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893A4" w14:textId="77777777" w:rsidR="00D0663D" w:rsidRPr="00A8456C" w:rsidRDefault="00D0663D" w:rsidP="00A8456C">
                            <w:pPr>
                              <w:jc w:val="center"/>
                              <w:rPr>
                                <w:rFonts w:ascii="Arial" w:hAnsi="Arial" w:cs="Arial"/>
                                <w:b/>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9D838" id="_x0000_t202" coordsize="21600,21600" o:spt="202" path="m,l,21600r21600,l21600,xe">
                <v:stroke joinstyle="miter"/>
                <v:path gradientshapeok="t" o:connecttype="rect"/>
              </v:shapetype>
              <v:shape id="Text Box 1" o:spid="_x0000_s1026" type="#_x0000_t202" style="position:absolute;left:0;text-align:left;margin-left:533pt;margin-top:789.45pt;width:51pt;height:3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U4sQIAALg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" o:allowincell="f" filled="f" stroked="f">
                <v:textbox>
                  <w:txbxContent>
                    <w:p w14:paraId="320893A4" w14:textId="77777777" w:rsidR="00D0663D" w:rsidRPr="00A8456C" w:rsidRDefault="00D0663D" w:rsidP="00A8456C">
                      <w:pPr>
                        <w:jc w:val="center"/>
                        <w:rPr>
                          <w:rFonts w:ascii="Arial" w:hAnsi="Arial" w:cs="Arial"/>
                          <w:b/>
                          <w:sz w:val="48"/>
                        </w:rPr>
                      </w:pPr>
                      <w:r>
                        <w:rPr>
                          <w:rFonts w:ascii="Arial" w:hAnsi="Arial"/>
                          <w:b/>
                          <w:sz w:val="48"/>
                        </w:rPr>
                        <w:t>RO</w:t>
                      </w:r>
                    </w:p>
                  </w:txbxContent>
                </v:textbox>
                <w10:wrap anchorx="page" anchory="page"/>
              </v:shape>
            </w:pict>
          </mc:Fallback>
        </mc:AlternateContent>
      </w:r>
    </w:p>
    <w:p w14:paraId="44078F22" w14:textId="32A478E7" w:rsidR="00830087" w:rsidRPr="00D0663D" w:rsidRDefault="00C13EC9" w:rsidP="00E4226B">
      <w:pPr>
        <w:jc w:val="right"/>
      </w:pPr>
      <w:r>
        <w:t>5 iulie 2019</w:t>
      </w:r>
    </w:p>
    <w:p w14:paraId="710AD1C8" w14:textId="77777777" w:rsidR="00830087" w:rsidRPr="00D0663D" w:rsidRDefault="00830087" w:rsidP="00E4226B">
      <w:pPr>
        <w:jc w:val="right"/>
      </w:pPr>
      <w:r>
        <w:t>Chișinău, Republica Moldova</w:t>
      </w:r>
    </w:p>
    <w:p w14:paraId="471EDBF8" w14:textId="77777777" w:rsidR="00830087" w:rsidRPr="00D0663D" w:rsidRDefault="00830087" w:rsidP="00E4226B"/>
    <w:p w14:paraId="05E98BBE" w14:textId="3C6DC999" w:rsidR="00830087" w:rsidRPr="00D0663D" w:rsidRDefault="00830087" w:rsidP="00E4226B">
      <w:r>
        <w:t>Reprezentanții celor două grupuri consultative interne (GCI) din UE și Republica Moldova, instituite în temeiul capitolului 13 privind comerțul și dezvoltarea durabilă (CDD) din Acordul de liber schimb aprofundat și cuprinzător dintre Republica Moldova și Uniunea Europeană, au organizat cea de-a patra reuniune comună la 5 iulie 2019 la Chișinău, Republica Moldova. Reuniunea a fost organizată în conformitate cu dispozițiile capitolului 13 privind comerțul și dezvoltarea durabilă din Acordul de asociere dintre Republica Moldova și Uniunea Europeană.</w:t>
      </w:r>
    </w:p>
    <w:p w14:paraId="0431D344" w14:textId="77777777" w:rsidR="00E4226B" w:rsidRPr="00D0663D" w:rsidRDefault="00E4226B" w:rsidP="00E4226B"/>
    <w:p w14:paraId="6BA2B8E9" w14:textId="43AD008C" w:rsidR="00830087" w:rsidRPr="00D0663D" w:rsidRDefault="00830087" w:rsidP="00E4226B">
      <w:r>
        <w:t>În special, participanții au discutat despre impactul estimat al punerii în aplicare a acordului de liber schimb aprofundat și cuprinzător după 5 ani și au identificat principalele priorități politice în vederea accelerării punerii în aplicare pentru următorii 5 de ani. Aceștia au discutat, de asemenea, despre alte aspecte legate de piața forței de muncă, mediul de afaceri și protecția mediului. Participanții au luat act de stabilizarea politică și de formarea noului guvern pro-UE și pro-reformă și și-au exprimat dorința de a se alătura eforturilor de promovare și punere în aplicare a dispozițiilor privind comerțul și dezvoltarea durabilă din acordul de liber schimb aprofundat și cuprinzător.</w:t>
      </w:r>
    </w:p>
    <w:p w14:paraId="59915DD0" w14:textId="77777777" w:rsidR="00E4226B" w:rsidRPr="00D0663D" w:rsidRDefault="00E4226B" w:rsidP="00E4226B"/>
    <w:p w14:paraId="5C9CA805" w14:textId="67922C84" w:rsidR="00830087" w:rsidRPr="00D0663D" w:rsidRDefault="00830087">
      <w:r>
        <w:t>Participanții au fost informați cu privire la un studiu privind punerea în aplicare a acordului de liber schimb aprofundat și cuprinzător după cinci ani</w:t>
      </w:r>
      <w:r w:rsidR="00A649C3" w:rsidRPr="00D0663D">
        <w:rPr>
          <w:rStyle w:val="FootnoteReference"/>
        </w:rPr>
        <w:footnoteReference w:id="1"/>
      </w:r>
      <w:r>
        <w:t xml:space="preserve">: </w:t>
      </w:r>
    </w:p>
    <w:p w14:paraId="0B3E501C" w14:textId="77777777" w:rsidR="00E4226B" w:rsidRPr="00D0663D" w:rsidRDefault="00E4226B">
      <w:pPr>
        <w:rPr>
          <w:i/>
        </w:rPr>
      </w:pPr>
    </w:p>
    <w:p w14:paraId="00E6BEE2" w14:textId="38C8D273" w:rsidR="00830087" w:rsidRPr="00D0663D" w:rsidRDefault="00830087" w:rsidP="00817815">
      <w:pPr>
        <w:keepNext/>
        <w:rPr>
          <w:i/>
        </w:rPr>
      </w:pPr>
      <w:r>
        <w:rPr>
          <w:i/>
        </w:rPr>
        <w:t>Principalele concluzii ale studiului privind punerea în aplicare a acordului de liber schimb aprofundat și cuprinzător</w:t>
      </w:r>
    </w:p>
    <w:p w14:paraId="2F358944" w14:textId="4B0129A0" w:rsidR="00830087" w:rsidRPr="00D0663D" w:rsidRDefault="007F7B8A">
      <w:pPr>
        <w:pStyle w:val="ListParagraph"/>
        <w:numPr>
          <w:ilvl w:val="0"/>
          <w:numId w:val="1"/>
        </w:numPr>
      </w:pPr>
      <w:r>
        <w:t>După 5 ani de punere în aplicare a acordului de liber schimb aprofundat și cuprinzător, se poate observa în mod clar impactul său net pozitiv. În perioada 2015-2018, exporturile totale au crescut cu 1,5 miliarde USD sau 34 % comparativ cu 4 ani înainte de semnarea DCFTA (2011</w:t>
      </w:r>
      <w:r w:rsidR="00F4735E">
        <w:noBreakHyphen/>
      </w:r>
      <w:r>
        <w:t>2014), care au compensat pierderile pe piața CSI. În consecință, Uniunea Europeană și</w:t>
      </w:r>
      <w:r w:rsidR="00F4735E">
        <w:noBreakHyphen/>
      </w:r>
      <w:r>
        <w:t xml:space="preserve">a consolidat poziția de principal partener comercial al exportatorilor moldoveni. </w:t>
      </w:r>
    </w:p>
    <w:p w14:paraId="33DFD324" w14:textId="7F24B875" w:rsidR="004564AE" w:rsidRPr="00D0663D" w:rsidRDefault="00DE483E">
      <w:pPr>
        <w:pStyle w:val="ListParagraph"/>
        <w:numPr>
          <w:ilvl w:val="0"/>
          <w:numId w:val="1"/>
        </w:numPr>
      </w:pPr>
      <w:r>
        <w:t>Comerțul dintre Republica Moldova și Uniunea Europeană a devenit mai echilibrat datorită creșterii rapide a exporturilor pe piața UE și reducerii importurilor de produse industriale din UE. Nivelul de acoperire a importurilor cu exporturi a crescut de la 47 % (medie pentru 2011</w:t>
      </w:r>
      <w:r w:rsidR="00F4735E">
        <w:noBreakHyphen/>
      </w:r>
      <w:r>
        <w:t>2014) la 66 % în perioada 2015-2018, în timp ce acest indicator a scăzut dramatic în cazul comerțului cu CSI, și, în comparație cu alte state, a crescut de două ori mai lent. Prin urmare, DCFTA a contribuit la atenuarea presiunii comerciale asupra balanței contului curent ca un element important de asigurare a stabilității macrofinanciare a țării.</w:t>
      </w:r>
    </w:p>
    <w:p w14:paraId="2CB3DE77" w14:textId="32F8355F" w:rsidR="00DE483E" w:rsidRPr="00D0663D" w:rsidRDefault="00DE483E">
      <w:pPr>
        <w:pStyle w:val="ListParagraph"/>
        <w:numPr>
          <w:ilvl w:val="0"/>
          <w:numId w:val="1"/>
        </w:numPr>
      </w:pPr>
      <w:r>
        <w:t>Exporturile de produse agroalimentare au beneficiat mai mult de pe urma DCFTA, în comparație cu produsele industriale. În perioada 2015-2018, exporturile agroalimentare au crescut cu 820 de milioane USD în comparație cu perioada 2011-2014 (+ 52</w:t>
      </w:r>
      <w:r w:rsidR="008A2663">
        <w:t xml:space="preserve"> </w:t>
      </w:r>
      <w:r>
        <w:t xml:space="preserve">%), în timp ce exporturile de produse industriale au crescut cu 761 de milioane USD, adică cu 26 % în aceeași </w:t>
      </w:r>
      <w:r>
        <w:lastRenderedPageBreak/>
        <w:t>perioadă. În același timp, impactul net al DCFTA asupra exporturilor de produse agroalimentare a fost de aproximativ 3 ori mai mare decât impactul asupra exporturilor de produse industriale (475 de milioane USD față de 128 de milioane USD). Acest lucru se datorează, pe de o parte, efectului marginal al DCFTA asupra exporturilor de produse agroalimentare, în timp ce comerțul cu produse industriale a fost deja liberalizat aproape complet înainte de intrarea în vigoare a DCFTA; pe de altă parte, existența unor perioade de tranziție pentru cele mai vulnerabile sectoare indigene agroalimentare a permis evitarea unui șoc concurențial pentru producătorii interni ca urmare a liberalizării comerțului cu UE.</w:t>
      </w:r>
    </w:p>
    <w:p w14:paraId="0B6A36EA" w14:textId="1EF27504" w:rsidR="00D76FE6" w:rsidRPr="00D0663D" w:rsidRDefault="00D76FE6">
      <w:pPr>
        <w:pStyle w:val="ListParagraph"/>
        <w:numPr>
          <w:ilvl w:val="0"/>
          <w:numId w:val="1"/>
        </w:numPr>
      </w:pPr>
      <w:r>
        <w:t xml:space="preserve">Pe lângă performanța pozitivă a comerțului exterior în contextul acordului de liber schimb aprofundat și cuprinzător, există anumite preocupări legate de concentrarea exporturilor, care evidențiază riscuri pentru sustenabilitatea creșterii economice și decalaje în competitivitatea producătorilor interni. În ciuda creșterii impresionante a exporturilor, studiul arată că mai mult de jumătate din exporturile de produse industriale sunt orientate către o singură piață (România) și mai mult de jumătate din exporturile de produse agroalimentare sunt orientate numai către trei piețe (România, Italia și Marea Britanie). În afară de concentrarea geografică, exporturile devin mai concentrate și în ce privește produsele în cursul punerii în aplicare a acordului de liber schimb aprofundat și cuprinzător, ceea ce confirmă preocupările menționate mai sus. </w:t>
      </w:r>
    </w:p>
    <w:p w14:paraId="512E2AF4" w14:textId="7CDCBDB6" w:rsidR="003102CD" w:rsidRPr="00D0663D" w:rsidRDefault="00D76FE6">
      <w:pPr>
        <w:pStyle w:val="ListParagraph"/>
        <w:numPr>
          <w:ilvl w:val="0"/>
          <w:numId w:val="1"/>
        </w:numPr>
      </w:pPr>
      <w:r>
        <w:t>Preocupările legate de competitivitatea scăzută a producătorilor interni sunt, de asemenea, confirmate de nivelul scăzut de complexitate tehnologică a exporturilor moldovenești pe piața UE. În cazul produselor agroalimentare, în ciuda creșterii impresionante a exporturilor de produse primare (de exemplu, semințe de floarea-soarelui, grâu sau fructe proaspete), exporturile de produse cu un nivel mai avansat de prelucrare (de exemplu, uleiurile obținute din semințe de floarea-soarelui, sucuri de fructe sau produse de panificație și patiserie) au scăzut. În cazul produselor industriale, mai mult de jumătate dintre acestea nu păstrează ca origine Republica Moldova din cauza nivelului insuficient de prelucrare, fiind clasificate ca reexporturi. Acest lucru este valabil în special pentru cablurile electrice pentru industria autovehiculelor și pentru îmbrăcăminte și încălțăminte. Prin urmare, în pofida evoluțiilor pozitive în ceea ce privește volumele de export, există o contribuție destul de limitată la generarea de valoare adăugată brută în economie, precum și diferențe semnificative în materie de competitivitate.</w:t>
      </w:r>
    </w:p>
    <w:p w14:paraId="172E2470" w14:textId="77777777" w:rsidR="00612851" w:rsidRPr="00D0663D" w:rsidRDefault="00612851" w:rsidP="00817815"/>
    <w:p w14:paraId="3DD82504" w14:textId="567FEC80" w:rsidR="00532A0D" w:rsidRPr="00D0663D" w:rsidRDefault="003102CD" w:rsidP="00817815">
      <w:pPr>
        <w:keepNext/>
        <w:ind w:left="403"/>
      </w:pPr>
      <w:r>
        <w:t>În urma constatărilor studiului și pentru a asigura caracterul ireversibil al creșterii exporturilor și a explora beneficiile DCFTA la scară mai mare, factorii de decizie ar trebui să urmeze următoarele priorități:</w:t>
      </w:r>
    </w:p>
    <w:p w14:paraId="2810DB57" w14:textId="77777777" w:rsidR="00532A0D" w:rsidRPr="00D0663D" w:rsidRDefault="00532A0D">
      <w:pPr>
        <w:pStyle w:val="ListParagraph"/>
        <w:numPr>
          <w:ilvl w:val="1"/>
          <w:numId w:val="1"/>
        </w:numPr>
      </w:pPr>
      <w:r>
        <w:t xml:space="preserve">punerea în aplicare în mod deplin a strategiei de atragere a investițiilor și de promovare a exporturilor pentru perioada 2016-2020, care include întregul spectru al acțiunilor de politică necesare pentru a spori gradul de complexitate tehnologică a exporturilor din Republica Moldova către UE și pentru a crește atractivitatea investițiilor; </w:t>
      </w:r>
    </w:p>
    <w:p w14:paraId="29BB6256" w14:textId="77777777" w:rsidR="00532A0D" w:rsidRPr="00D0663D" w:rsidRDefault="00532A0D">
      <w:pPr>
        <w:pStyle w:val="ListParagraph"/>
        <w:numPr>
          <w:ilvl w:val="1"/>
          <w:numId w:val="1"/>
        </w:numPr>
      </w:pPr>
      <w:r>
        <w:t xml:space="preserve">încurajarea dezvoltării industriilor care se concentrează pe prelucrarea materiilor prime interne, care generează cea mai mare valoare adăugată pentru economie; </w:t>
      </w:r>
    </w:p>
    <w:p w14:paraId="14B84CE5" w14:textId="74740B80" w:rsidR="00532A0D" w:rsidRPr="00D0663D" w:rsidRDefault="00532A0D">
      <w:pPr>
        <w:pStyle w:val="ListParagraph"/>
        <w:numPr>
          <w:ilvl w:val="1"/>
          <w:numId w:val="1"/>
        </w:numPr>
      </w:pPr>
      <w:r>
        <w:t xml:space="preserve">modernizarea infrastructurii de calitate, prin creșterea eficacității Agenției Naționale pentru Siguranța Alimentară și modernizarea laboratoarelor de certificare a calității produselor. În acest context, este esențial să se obțină autorizația de a exporta pe piața UE produse de origine animală; </w:t>
      </w:r>
    </w:p>
    <w:p w14:paraId="7D6AA3E3" w14:textId="77777777" w:rsidR="00930036" w:rsidRPr="00D0663D" w:rsidRDefault="00930036">
      <w:pPr>
        <w:pStyle w:val="ListParagraph"/>
        <w:numPr>
          <w:ilvl w:val="1"/>
          <w:numId w:val="1"/>
        </w:numPr>
      </w:pPr>
      <w:r>
        <w:t xml:space="preserve">punerea în aplicare a programelor financiare și tehnice de sprijinire a IMM-urilor în punerea în aplicare a standardelor de calitate ale UE la nivelul companiilor; </w:t>
      </w:r>
    </w:p>
    <w:p w14:paraId="7F1E2C3A" w14:textId="77777777" w:rsidR="00930036" w:rsidRPr="00D0663D" w:rsidRDefault="00930036">
      <w:pPr>
        <w:pStyle w:val="ListParagraph"/>
        <w:numPr>
          <w:ilvl w:val="1"/>
          <w:numId w:val="1"/>
        </w:numPr>
      </w:pPr>
      <w:r>
        <w:lastRenderedPageBreak/>
        <w:t xml:space="preserve">continuarea creșterii nivelului de informare și înțelegere în rândul IMM-urilor cu privire la cerințele tehnice de acces la piața UE. </w:t>
      </w:r>
    </w:p>
    <w:p w14:paraId="07504CB3" w14:textId="77777777" w:rsidR="00612851" w:rsidRPr="00D0663D" w:rsidRDefault="00612851">
      <w:pPr>
        <w:rPr>
          <w:i/>
        </w:rPr>
      </w:pPr>
    </w:p>
    <w:p w14:paraId="158D4F9C" w14:textId="4B729F26" w:rsidR="00580D6B" w:rsidRPr="00D0663D" w:rsidRDefault="00580D6B" w:rsidP="00817815">
      <w:pPr>
        <w:keepNext/>
        <w:rPr>
          <w:i/>
        </w:rPr>
      </w:pPr>
      <w:r>
        <w:rPr>
          <w:i/>
        </w:rPr>
        <w:t>Concluzii-cheie privind evoluțiile de pe piața forței de muncă</w:t>
      </w:r>
    </w:p>
    <w:p w14:paraId="71372680" w14:textId="0E3E34AD" w:rsidR="00EF5B82" w:rsidRPr="00D0663D" w:rsidRDefault="00EF5B82">
      <w:pPr>
        <w:pStyle w:val="ListParagraph"/>
        <w:numPr>
          <w:ilvl w:val="0"/>
          <w:numId w:val="4"/>
        </w:numPr>
        <w:rPr>
          <w:i/>
        </w:rPr>
      </w:pPr>
      <w:r>
        <w:t>Perpetuarea nivelurilor scăzute de ocupare a forței de muncă confirmă calitatea scăzută și nesustenabilitatea creșterii economice din ultimii ani, care nu a generat locuri de muncă, având o contribuție limitată la creșterea bunăstării populației. O altă preocupare deosebită este legată de ponderea ridicată a locurilor de muncă informale, în special în agricultură, comerț intern și construcții.</w:t>
      </w:r>
    </w:p>
    <w:p w14:paraId="500171BF" w14:textId="5F2B278F" w:rsidR="00842442" w:rsidRPr="00D0663D" w:rsidRDefault="00842442">
      <w:pPr>
        <w:pStyle w:val="ListParagraph"/>
        <w:numPr>
          <w:ilvl w:val="0"/>
          <w:numId w:val="4"/>
        </w:numPr>
        <w:rPr>
          <w:i/>
        </w:rPr>
      </w:pPr>
      <w:r>
        <w:t>Salariul minim este recunoscut ca fiind prea scăzut pentru a asigura o protecție adecvată a angajaților, fără efectuarea unor ajustări corespunzătoare în ultimii ani, în conformitate cu inflația și/sau cu evoluția salariului mediu.</w:t>
      </w:r>
    </w:p>
    <w:p w14:paraId="32383593" w14:textId="178385A1" w:rsidR="00030293" w:rsidRPr="00D0663D" w:rsidRDefault="00030293">
      <w:pPr>
        <w:pStyle w:val="ListParagraph"/>
        <w:numPr>
          <w:ilvl w:val="0"/>
          <w:numId w:val="4"/>
        </w:numPr>
        <w:rPr>
          <w:i/>
        </w:rPr>
      </w:pPr>
      <w:r>
        <w:t xml:space="preserve">În ultimii ani, guvernul a înregistrat progrese semnificative în ceea ce privește punerea în aplicare a directivelor UE referitoare la piața forței de muncă, la securitatea și sănătatea lucrătorilor, precum și la egalitatea de gen. Cu toate acestea, numărul accidentelor de muncă a crescut, iar securitatea la locul de muncă a scăzut ca urmare a aplicării deficitare a legislației relevante în materie de securitate a muncii. </w:t>
      </w:r>
    </w:p>
    <w:p w14:paraId="77251A14" w14:textId="792C2F01" w:rsidR="00EF5B82" w:rsidRPr="00D0663D" w:rsidRDefault="00EF5B82" w:rsidP="00817815">
      <w:pPr>
        <w:pStyle w:val="ListParagraph"/>
        <w:keepNext/>
        <w:numPr>
          <w:ilvl w:val="0"/>
          <w:numId w:val="4"/>
        </w:numPr>
        <w:ind w:left="714" w:hanging="357"/>
        <w:rPr>
          <w:i/>
        </w:rPr>
      </w:pPr>
      <w:r>
        <w:t>Având în vedere tendințele și preocupările menționate mai sus, factorii de decizie ar trebui să urmărească următoarele priorități:</w:t>
      </w:r>
    </w:p>
    <w:p w14:paraId="2F142975" w14:textId="58B15847" w:rsidR="00EF5B82" w:rsidRPr="00D0663D" w:rsidRDefault="00EF5B82">
      <w:pPr>
        <w:pStyle w:val="ListParagraph"/>
        <w:numPr>
          <w:ilvl w:val="1"/>
          <w:numId w:val="4"/>
        </w:numPr>
        <w:rPr>
          <w:i/>
        </w:rPr>
      </w:pPr>
      <w:r>
        <w:t xml:space="preserve">integrarea aspectelor legate de combaterea angajării informale în cadrul politic și bugetar și intensificarea eforturilor politice în vederea combaterii acestui obstacol fundamental pentru dezvoltarea țării; </w:t>
      </w:r>
    </w:p>
    <w:p w14:paraId="2694745C" w14:textId="15998E84" w:rsidR="00E26523" w:rsidRPr="00D0663D" w:rsidRDefault="00E26523">
      <w:pPr>
        <w:pStyle w:val="ListParagraph"/>
        <w:numPr>
          <w:ilvl w:val="1"/>
          <w:numId w:val="4"/>
        </w:numPr>
        <w:rPr>
          <w:i/>
        </w:rPr>
      </w:pPr>
      <w:r>
        <w:t xml:space="preserve">efectuarea unei reorganizări instituționale prin divizarea Ministerului Sănătății, Muncii și Protecției Sociale în două instituții diferite: Ministerul Sănătății și Ministerul Muncii și Protecției Sociale; </w:t>
      </w:r>
    </w:p>
    <w:p w14:paraId="683DEB03" w14:textId="3EFD1134" w:rsidR="00842442" w:rsidRPr="00D0663D" w:rsidRDefault="006024FC">
      <w:pPr>
        <w:pStyle w:val="ListParagraph"/>
        <w:numPr>
          <w:ilvl w:val="1"/>
          <w:numId w:val="4"/>
        </w:numPr>
        <w:rPr>
          <w:i/>
        </w:rPr>
      </w:pPr>
      <w:r>
        <w:t xml:space="preserve">consultările tripartite privind unificarea și creșterea progresivă a salariului minim în corelație cu inflația și cu salariul mediu, sub rezerva consultărilor și a acordului în cadrul consultărilor tripartite cu sindicatele și asociațiile angajatorilor; </w:t>
      </w:r>
    </w:p>
    <w:p w14:paraId="5DACC4B0" w14:textId="0D89DB06" w:rsidR="00E24C8C" w:rsidRPr="00D0663D" w:rsidRDefault="00E24C8C">
      <w:pPr>
        <w:pStyle w:val="ListParagraph"/>
        <w:numPr>
          <w:ilvl w:val="1"/>
          <w:numId w:val="4"/>
        </w:numPr>
      </w:pPr>
      <w:r>
        <w:t>asigurarea, în procesul de elaborare și consolidare a dreptului muncii, a respectării dispozițiilor actelor normative internaționale în cadrul cărora Republica Moldova este parte, precum și a directivelor UE prevăzute în Acordul de asociere RM-UE care au fost deja adoptate și care vor fi transpuse în legislația națională;</w:t>
      </w:r>
    </w:p>
    <w:p w14:paraId="48027618" w14:textId="7CA43491" w:rsidR="00E24C8C" w:rsidRPr="00D0663D" w:rsidRDefault="00E24C8C">
      <w:pPr>
        <w:pStyle w:val="ListParagraph"/>
        <w:numPr>
          <w:ilvl w:val="1"/>
          <w:numId w:val="4"/>
        </w:numPr>
      </w:pPr>
      <w:r>
        <w:t>respectarea, în procesul de elaborare și consolidare a dreptului muncii și în alte domenii, a dispozițiilor articolului 371 din Acordul de asociere RM-UE, conform cărora părțile recunosc că încurajarea comerțului sau a investițiilor prin reducerea nivelurilor de protecție oferite de legislația națională în domeniul mediului sau al muncii este inadecvată;</w:t>
      </w:r>
    </w:p>
    <w:p w14:paraId="6F10BC3A" w14:textId="7FD04578" w:rsidR="00EB2E9F" w:rsidRPr="00D0663D" w:rsidRDefault="00EB2E9F">
      <w:pPr>
        <w:pStyle w:val="ListParagraph"/>
        <w:numPr>
          <w:ilvl w:val="1"/>
          <w:numId w:val="4"/>
        </w:numPr>
        <w:rPr>
          <w:i/>
        </w:rPr>
      </w:pPr>
      <w:r>
        <w:t xml:space="preserve">revigorarea și dezvoltarea continuă a dialogului tripartit între Confederația angajatorilor din Republica Moldova, Confederația Sindicatelor din Moldova și Guvernul Moldovei, ca o platformă esențială pentru găsirea unui consens cu privire la aspecte-cheie legate de drepturile angajatorilor și ale angajaților; </w:t>
      </w:r>
    </w:p>
    <w:p w14:paraId="53561BB9" w14:textId="3A466DD1" w:rsidR="003102CD" w:rsidRPr="00D0663D" w:rsidRDefault="003102CD">
      <w:pPr>
        <w:pStyle w:val="ListParagraph"/>
        <w:numPr>
          <w:ilvl w:val="1"/>
          <w:numId w:val="4"/>
        </w:numPr>
        <w:rPr>
          <w:i/>
        </w:rPr>
      </w:pPr>
      <w:r>
        <w:t>sprijinirea eforturilor de consolidare a programelor de formare profesională ca modalitate de combatere a lipsei de lucrători calificați;</w:t>
      </w:r>
    </w:p>
    <w:p w14:paraId="3246F268" w14:textId="092753A4" w:rsidR="00E24C8C" w:rsidRPr="00D0663D" w:rsidRDefault="00E24C8C">
      <w:pPr>
        <w:pStyle w:val="ListParagraph"/>
        <w:numPr>
          <w:ilvl w:val="1"/>
          <w:numId w:val="4"/>
        </w:numPr>
      </w:pPr>
      <w:r>
        <w:t>ajustarea Legii privind controlul statului asupra activității antreprenoriale nr. 131 din 8</w:t>
      </w:r>
      <w:r w:rsidR="00F4735E">
        <w:t> </w:t>
      </w:r>
      <w:r>
        <w:t xml:space="preserve">iunie 2012 și a Legii nr. 140-XV din 10 mai 2001 a Inspectoratului de Stat al Muncii la dispozițiile Convențiilor Organizației Internaționale a Muncii nr. 81 „Convenția </w:t>
      </w:r>
      <w:r>
        <w:lastRenderedPageBreak/>
        <w:t>privind inspecția muncii în industrie și industrie” și nr. 129 „Convenția privind inspecția muncii în agricultură”;</w:t>
      </w:r>
    </w:p>
    <w:p w14:paraId="3A082ABA" w14:textId="1EFC654D" w:rsidR="00E24C8C" w:rsidRPr="00D0663D" w:rsidRDefault="00E24C8C">
      <w:pPr>
        <w:pStyle w:val="ListParagraph"/>
        <w:numPr>
          <w:ilvl w:val="1"/>
          <w:numId w:val="4"/>
        </w:numPr>
      </w:pPr>
      <w:r>
        <w:t>revenirea la un sistem integrat de inspecție a muncii (rapoarte privind forța de muncă și rapoarte privind securitatea și siguranța forței de muncă) și consolidarea capacităților instituționale ale Inspectoratului de stat în domeniul muncii (resurse umane, hardware, sisteme de informații etc.).</w:t>
      </w:r>
    </w:p>
    <w:p w14:paraId="2966E480" w14:textId="77777777" w:rsidR="00612851" w:rsidRPr="00D0663D" w:rsidRDefault="00612851" w:rsidP="00817815"/>
    <w:p w14:paraId="010A3E63" w14:textId="77777777" w:rsidR="00580D6B" w:rsidRPr="00D0663D" w:rsidRDefault="00580D6B" w:rsidP="00817815">
      <w:pPr>
        <w:keepNext/>
        <w:rPr>
          <w:i/>
        </w:rPr>
      </w:pPr>
      <w:r>
        <w:rPr>
          <w:i/>
        </w:rPr>
        <w:t>Concluzii-cheie privind evoluțiile climatului de afaceri</w:t>
      </w:r>
    </w:p>
    <w:p w14:paraId="46A7749B" w14:textId="53C70CCB" w:rsidR="00B57952" w:rsidRPr="00D0663D" w:rsidRDefault="00E624CF">
      <w:pPr>
        <w:pStyle w:val="ListParagraph"/>
        <w:numPr>
          <w:ilvl w:val="0"/>
          <w:numId w:val="4"/>
        </w:numPr>
        <w:rPr>
          <w:i/>
        </w:rPr>
      </w:pPr>
      <w:r>
        <w:t xml:space="preserve">Cadrul de reglementare s-a îmbunătățit semnificativ în ultimii ani, prin reducerea numărului de controale, inspecții și acte permisive, prin reducerea numărului de instituții cu funcție de control al afacerilor, precum și prin modernizarea pieței forței de muncă. </w:t>
      </w:r>
    </w:p>
    <w:p w14:paraId="78CC89DE" w14:textId="15A7042C" w:rsidR="00EB2E9F" w:rsidRPr="00D0663D" w:rsidRDefault="003D6328">
      <w:pPr>
        <w:pStyle w:val="ListParagraph"/>
        <w:numPr>
          <w:ilvl w:val="0"/>
          <w:numId w:val="4"/>
        </w:numPr>
        <w:rPr>
          <w:i/>
        </w:rPr>
      </w:pPr>
      <w:r>
        <w:t xml:space="preserve">Cu toate acestea, simplificarea cadrului de reglementare nu s-a transformat într-o îmbunătățire semnificativă a climatului de afaceri, așa cum reiese din performanțele slabe ale activității de investiții din ultimii ani. Aceasta a subminat capacitatea producătorilor moldoveni de a-și diversifica și de a crește gradul de complexitate tehnologică al exporturilor către UE. </w:t>
      </w:r>
    </w:p>
    <w:p w14:paraId="75CE87B7" w14:textId="77777777" w:rsidR="00EB2E9F" w:rsidRPr="00D0663D" w:rsidRDefault="00EB2E9F" w:rsidP="00817815">
      <w:pPr>
        <w:pStyle w:val="ListParagraph"/>
        <w:keepNext/>
        <w:numPr>
          <w:ilvl w:val="0"/>
          <w:numId w:val="4"/>
        </w:numPr>
        <w:ind w:left="714" w:hanging="357"/>
        <w:rPr>
          <w:i/>
        </w:rPr>
      </w:pPr>
      <w:r>
        <w:t>În următorii ani, politicile de consolidare a climatului de afaceri ar trebui să depășească simplificarea cadrului de reglementare a întreprinderilor, vizând următoarele priorități:</w:t>
      </w:r>
    </w:p>
    <w:p w14:paraId="574D8C72" w14:textId="57A1C668" w:rsidR="00AC7E84" w:rsidRPr="00D0663D" w:rsidRDefault="00EB2E9F">
      <w:pPr>
        <w:pStyle w:val="ListParagraph"/>
        <w:numPr>
          <w:ilvl w:val="1"/>
          <w:numId w:val="4"/>
        </w:numPr>
        <w:rPr>
          <w:i/>
        </w:rPr>
      </w:pPr>
      <w:r>
        <w:t xml:space="preserve">consolidarea statului de drept și a independenței sistemului judiciar, precum și accelerarea agendei anticorupție reprezintă o condiție prealabilă esențială pentru executarea contractelor și protecția dreptului de proprietate; </w:t>
      </w:r>
    </w:p>
    <w:p w14:paraId="744573CC" w14:textId="1642AF13" w:rsidR="00710F20" w:rsidRPr="00D0663D" w:rsidRDefault="00FB6785">
      <w:pPr>
        <w:pStyle w:val="ListParagraph"/>
        <w:numPr>
          <w:ilvl w:val="1"/>
          <w:numId w:val="4"/>
        </w:numPr>
        <w:rPr>
          <w:i/>
        </w:rPr>
      </w:pPr>
      <w:r>
        <w:t xml:space="preserve">accelerarea punerii în aplicare a standardelor UE privind transporturile, energia și TIC; </w:t>
      </w:r>
    </w:p>
    <w:p w14:paraId="6B07AAD6" w14:textId="174331E3" w:rsidR="00FB6785" w:rsidRPr="00D0663D" w:rsidRDefault="006024FC">
      <w:pPr>
        <w:pStyle w:val="ListParagraph"/>
        <w:numPr>
          <w:ilvl w:val="1"/>
          <w:numId w:val="4"/>
        </w:numPr>
        <w:rPr>
          <w:i/>
        </w:rPr>
      </w:pPr>
      <w:r>
        <w:t>schimburi privind posibila reducere sau eliminare a tarifelor de roaming;</w:t>
      </w:r>
    </w:p>
    <w:p w14:paraId="02DBA312" w14:textId="07DD9DF8" w:rsidR="00FB6785" w:rsidRPr="00D0663D" w:rsidRDefault="00FB6785">
      <w:pPr>
        <w:pStyle w:val="ListParagraph"/>
        <w:numPr>
          <w:ilvl w:val="1"/>
          <w:numId w:val="4"/>
        </w:numPr>
        <w:rPr>
          <w:i/>
        </w:rPr>
      </w:pPr>
      <w:r>
        <w:t xml:space="preserve">promovarea sistemelor de control vamal pentru a facilita tranzitul pasagerilor și de mărfuri din Moldova către UE și viceversa, precum și pentru a combate introducerea ilegală de migranți într-un mod mai eficient; </w:t>
      </w:r>
    </w:p>
    <w:p w14:paraId="187AA8BC" w14:textId="22E7127E" w:rsidR="00836BEE" w:rsidRPr="00D0663D" w:rsidRDefault="00FB6785">
      <w:pPr>
        <w:pStyle w:val="ListParagraph"/>
        <w:numPr>
          <w:ilvl w:val="1"/>
          <w:numId w:val="4"/>
        </w:numPr>
        <w:rPr>
          <w:i/>
        </w:rPr>
      </w:pPr>
      <w:r>
        <w:t xml:space="preserve">punerea în aplicare a unui registru unificat al inspecțiilor, pentru a crește gradul de previzibilitate a inspecțiilor pentru întreprinderi; </w:t>
      </w:r>
    </w:p>
    <w:p w14:paraId="15BD31AF" w14:textId="4CF913F0" w:rsidR="00836BEE" w:rsidRPr="00D0663D" w:rsidRDefault="00836BEE">
      <w:pPr>
        <w:pStyle w:val="ListParagraph"/>
        <w:numPr>
          <w:ilvl w:val="1"/>
          <w:numId w:val="4"/>
        </w:numPr>
        <w:rPr>
          <w:i/>
        </w:rPr>
      </w:pPr>
      <w:r>
        <w:t xml:space="preserve">facilitarea interconectării energetice cu România și Ucraina în vederea diversificării importurilor de energie și a sporirii securității energetice a țării. </w:t>
      </w:r>
    </w:p>
    <w:p w14:paraId="0A915B24" w14:textId="77777777" w:rsidR="00612851" w:rsidRPr="00D0663D" w:rsidRDefault="00612851">
      <w:pPr>
        <w:rPr>
          <w:i/>
        </w:rPr>
      </w:pPr>
    </w:p>
    <w:p w14:paraId="2E6D4668" w14:textId="4E5AC055" w:rsidR="00580D6B" w:rsidRPr="00D0663D" w:rsidRDefault="00580D6B" w:rsidP="00817815">
      <w:pPr>
        <w:keepNext/>
        <w:rPr>
          <w:i/>
        </w:rPr>
      </w:pPr>
      <w:r>
        <w:rPr>
          <w:i/>
        </w:rPr>
        <w:t>Concluzii-cheie privind evoluțiile în domeniul mediului</w:t>
      </w:r>
    </w:p>
    <w:p w14:paraId="712E9531" w14:textId="7B268E3E" w:rsidR="00836BEE" w:rsidRPr="00D0663D" w:rsidRDefault="00836BEE" w:rsidP="00817815">
      <w:pPr>
        <w:pStyle w:val="ListParagraph"/>
        <w:keepNext/>
        <w:numPr>
          <w:ilvl w:val="0"/>
          <w:numId w:val="4"/>
        </w:numPr>
        <w:ind w:left="714" w:hanging="357"/>
        <w:rPr>
          <w:i/>
        </w:rPr>
      </w:pPr>
      <w:r>
        <w:t>În ultimii ani, s-au înregistrat o serie de evoluții pozitive importante prin adoptarea legislației relevante legate de resursele de apă și gestionarea deșeurilor, în conformitate cu cerințele UE. Cu toate acestea, există provocări majore în ceea ce privește punerea în aplicare și respectarea acestei legislații. Pentru a soluționa aceste probleme, sunt necesare următoarele politici:</w:t>
      </w:r>
    </w:p>
    <w:p w14:paraId="112BCBF9" w14:textId="74350793" w:rsidR="00836BEE" w:rsidRPr="00D0663D" w:rsidRDefault="00836BEE">
      <w:pPr>
        <w:pStyle w:val="ListParagraph"/>
        <w:numPr>
          <w:ilvl w:val="1"/>
          <w:numId w:val="4"/>
        </w:numPr>
        <w:rPr>
          <w:i/>
        </w:rPr>
      </w:pPr>
      <w:r>
        <w:t xml:space="preserve">exploatarea potențialului energetic al deșeurilor prin încurajarea practicilor de incinerare și coincinerare, în paralel cu promovarea cadrului juridic și instituțional pentru prevenirea poluării potențiale a aerului și a apei care ar putea rezulta din aceste practici; </w:t>
      </w:r>
    </w:p>
    <w:p w14:paraId="40C8207F" w14:textId="5C01F807" w:rsidR="00836BEE" w:rsidRPr="00D0663D" w:rsidRDefault="006024FC">
      <w:pPr>
        <w:pStyle w:val="ListParagraph"/>
        <w:numPr>
          <w:ilvl w:val="1"/>
          <w:numId w:val="4"/>
        </w:numPr>
        <w:rPr>
          <w:i/>
        </w:rPr>
      </w:pPr>
      <w:r>
        <w:t xml:space="preserve">înființarea unui minister al mediului care să promoveze o agendă ambițioasă pentru punerea în aplicare a angajamentelor Republicii Moldova în temeiul acordurilor multilaterale în domeniul mediului și adoptarea unor standarde internaționale și europene care să consolideze capacitatea și să asigure funcționarea eficientă a Inspectoratului de Stat pentru Mediu și a Agenției de Mediu; </w:t>
      </w:r>
    </w:p>
    <w:p w14:paraId="32C0BF4C" w14:textId="4FF54208" w:rsidR="00CE59B8" w:rsidRPr="00D0663D" w:rsidRDefault="00CE59B8">
      <w:pPr>
        <w:pStyle w:val="ListParagraph"/>
        <w:numPr>
          <w:ilvl w:val="1"/>
          <w:numId w:val="4"/>
        </w:numPr>
        <w:rPr>
          <w:i/>
        </w:rPr>
      </w:pPr>
      <w:r>
        <w:t>sprijinirea întreprinderilor în vederea punerii în aplicare a standardului ISO</w:t>
      </w:r>
      <w:r w:rsidR="00F4735E">
        <w:t> </w:t>
      </w:r>
      <w:r>
        <w:t xml:space="preserve">14000 privind managementul de mediu; </w:t>
      </w:r>
    </w:p>
    <w:p w14:paraId="0B615F21" w14:textId="77777777" w:rsidR="00612851" w:rsidRPr="00817815" w:rsidRDefault="00CE59B8">
      <w:pPr>
        <w:pStyle w:val="ListParagraph"/>
        <w:numPr>
          <w:ilvl w:val="1"/>
          <w:numId w:val="4"/>
        </w:numPr>
        <w:rPr>
          <w:i/>
        </w:rPr>
      </w:pPr>
      <w:r>
        <w:lastRenderedPageBreak/>
        <w:t>angajarea în negocieri active cu omologul ucrainean privind chestiunea construirii de centrale hidroelectrice pe râul Nistru, colectând, în paralel, dovezi cu privire la impactul potențial și asigurând transparența acestui proces.</w:t>
      </w:r>
    </w:p>
    <w:p w14:paraId="55D96BEE" w14:textId="77777777" w:rsidR="00612851" w:rsidRPr="00D0663D" w:rsidRDefault="00612851" w:rsidP="00817815"/>
    <w:p w14:paraId="18E911B9" w14:textId="77777777" w:rsidR="00612851" w:rsidRPr="00D0663D" w:rsidRDefault="00612851">
      <w:pPr>
        <w:jc w:val="center"/>
      </w:pPr>
      <w:r>
        <w:t>___________</w:t>
      </w:r>
    </w:p>
    <w:p w14:paraId="02F63AD7" w14:textId="3990C008" w:rsidR="00580D6B" w:rsidRPr="00D0663D" w:rsidRDefault="00580D6B">
      <w:pPr>
        <w:rPr>
          <w:i/>
        </w:rPr>
      </w:pPr>
    </w:p>
    <w:sectPr w:rsidR="00580D6B" w:rsidRPr="00D0663D" w:rsidSect="00D0663D">
      <w:footerReference w:type="default" r:id="rId11"/>
      <w:pgSz w:w="11906" w:h="16838"/>
      <w:pgMar w:top="1417" w:right="1417" w:bottom="1417" w:left="1417" w:header="709" w:footer="70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C11E87" w16cid:durableId="20CF09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BCD63" w14:textId="77777777" w:rsidR="002F5256" w:rsidRDefault="002F5256" w:rsidP="00A649C3">
      <w:pPr>
        <w:spacing w:line="240" w:lineRule="auto"/>
      </w:pPr>
      <w:r>
        <w:separator/>
      </w:r>
    </w:p>
  </w:endnote>
  <w:endnote w:type="continuationSeparator" w:id="0">
    <w:p w14:paraId="2D539199" w14:textId="77777777" w:rsidR="002F5256" w:rsidRDefault="002F5256" w:rsidP="00A649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4D9F3" w14:textId="786225E0" w:rsidR="00D0663D" w:rsidRPr="00D0663D" w:rsidRDefault="00D0663D" w:rsidP="00D0663D">
    <w:pPr>
      <w:pStyle w:val="Footer"/>
    </w:pPr>
    <w:r>
      <w:t xml:space="preserve">EESC-2019-03436-00-00-DECL-TRA (EN) </w:t>
    </w:r>
    <w:r>
      <w:fldChar w:fldCharType="begin"/>
    </w:r>
    <w:r>
      <w:instrText xml:space="preserve"> PAGE  \* Arabic  \* MERGEFORMAT </w:instrText>
    </w:r>
    <w:r>
      <w:fldChar w:fldCharType="separate"/>
    </w:r>
    <w:r w:rsidR="0087334D">
      <w:rPr>
        <w:noProof/>
      </w:rPr>
      <w:t>1</w:t>
    </w:r>
    <w:r>
      <w:fldChar w:fldCharType="end"/>
    </w:r>
    <w:r>
      <w:t>/</w:t>
    </w:r>
    <w:fldSimple w:instr=" NUMPAGES ">
      <w:r w:rsidR="0087334D">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060C2" w14:textId="77777777" w:rsidR="002F5256" w:rsidRDefault="002F5256" w:rsidP="00A649C3">
      <w:pPr>
        <w:spacing w:line="240" w:lineRule="auto"/>
      </w:pPr>
      <w:r>
        <w:separator/>
      </w:r>
    </w:p>
  </w:footnote>
  <w:footnote w:type="continuationSeparator" w:id="0">
    <w:p w14:paraId="0C69B4E8" w14:textId="77777777" w:rsidR="002F5256" w:rsidRDefault="002F5256" w:rsidP="00A649C3">
      <w:pPr>
        <w:spacing w:line="240" w:lineRule="auto"/>
      </w:pPr>
      <w:r>
        <w:continuationSeparator/>
      </w:r>
    </w:p>
  </w:footnote>
  <w:footnote w:id="1">
    <w:p w14:paraId="14FE654A" w14:textId="72F9C8FF" w:rsidR="00E24C8C" w:rsidRPr="00E4226B" w:rsidRDefault="00E24C8C">
      <w:pPr>
        <w:pStyle w:val="FootnoteText"/>
        <w:rPr>
          <w:szCs w:val="16"/>
        </w:rPr>
      </w:pPr>
      <w:r>
        <w:rPr>
          <w:rStyle w:val="FootnoteReference"/>
          <w:szCs w:val="24"/>
        </w:rPr>
        <w:footnoteRef/>
      </w:r>
      <w:r>
        <w:tab/>
        <w:t>„DCFTA după 5 ani de punere în aplicare: estimarea impactului și concluziile principale pentru următorii 5 ani”, Expert-Grup,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D6D47"/>
    <w:multiLevelType w:val="hybridMultilevel"/>
    <w:tmpl w:val="0CFA5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3227D"/>
    <w:multiLevelType w:val="hybridMultilevel"/>
    <w:tmpl w:val="B8984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125EB1"/>
    <w:multiLevelType w:val="hybridMultilevel"/>
    <w:tmpl w:val="C79659BC"/>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21FE430E"/>
    <w:multiLevelType w:val="hybridMultilevel"/>
    <w:tmpl w:val="23FA8662"/>
    <w:lvl w:ilvl="0" w:tplc="160E6834">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53AB1822"/>
    <w:multiLevelType w:val="hybridMultilevel"/>
    <w:tmpl w:val="9758B7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5D3530"/>
    <w:multiLevelType w:val="hybridMultilevel"/>
    <w:tmpl w:val="CFB043F0"/>
    <w:lvl w:ilvl="0" w:tplc="308A6584">
      <w:start w:val="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49"/>
    <w:rsid w:val="00030293"/>
    <w:rsid w:val="00030E4F"/>
    <w:rsid w:val="00054555"/>
    <w:rsid w:val="000A641B"/>
    <w:rsid w:val="001C1085"/>
    <w:rsid w:val="001E0FA6"/>
    <w:rsid w:val="002736E1"/>
    <w:rsid w:val="002B01E2"/>
    <w:rsid w:val="002F2BD0"/>
    <w:rsid w:val="002F5256"/>
    <w:rsid w:val="00302924"/>
    <w:rsid w:val="003102CD"/>
    <w:rsid w:val="00355CBC"/>
    <w:rsid w:val="003D6328"/>
    <w:rsid w:val="00415915"/>
    <w:rsid w:val="004564AE"/>
    <w:rsid w:val="004858B4"/>
    <w:rsid w:val="00496FD6"/>
    <w:rsid w:val="004E266A"/>
    <w:rsid w:val="00506359"/>
    <w:rsid w:val="00532A0D"/>
    <w:rsid w:val="0055348C"/>
    <w:rsid w:val="005608BA"/>
    <w:rsid w:val="00580D6B"/>
    <w:rsid w:val="005B2068"/>
    <w:rsid w:val="005D629B"/>
    <w:rsid w:val="006024FC"/>
    <w:rsid w:val="00612851"/>
    <w:rsid w:val="006601BA"/>
    <w:rsid w:val="00692824"/>
    <w:rsid w:val="006D2FCB"/>
    <w:rsid w:val="00710F20"/>
    <w:rsid w:val="007F7B8A"/>
    <w:rsid w:val="00817815"/>
    <w:rsid w:val="00830087"/>
    <w:rsid w:val="00836BEE"/>
    <w:rsid w:val="00842442"/>
    <w:rsid w:val="0087334D"/>
    <w:rsid w:val="008A2663"/>
    <w:rsid w:val="00930036"/>
    <w:rsid w:val="00A649C3"/>
    <w:rsid w:val="00A8707D"/>
    <w:rsid w:val="00AC7E84"/>
    <w:rsid w:val="00AE2BA9"/>
    <w:rsid w:val="00B07749"/>
    <w:rsid w:val="00B23D87"/>
    <w:rsid w:val="00B57952"/>
    <w:rsid w:val="00BC7620"/>
    <w:rsid w:val="00C12E90"/>
    <w:rsid w:val="00C13EC9"/>
    <w:rsid w:val="00C8068F"/>
    <w:rsid w:val="00C90430"/>
    <w:rsid w:val="00CE59B8"/>
    <w:rsid w:val="00D0663D"/>
    <w:rsid w:val="00D7660D"/>
    <w:rsid w:val="00D76FE6"/>
    <w:rsid w:val="00DB538C"/>
    <w:rsid w:val="00DB7AC6"/>
    <w:rsid w:val="00DE483E"/>
    <w:rsid w:val="00E01BB2"/>
    <w:rsid w:val="00E24C8C"/>
    <w:rsid w:val="00E26523"/>
    <w:rsid w:val="00E4226B"/>
    <w:rsid w:val="00E624CF"/>
    <w:rsid w:val="00E778E1"/>
    <w:rsid w:val="00E83112"/>
    <w:rsid w:val="00E90D07"/>
    <w:rsid w:val="00E947A7"/>
    <w:rsid w:val="00EB2E9F"/>
    <w:rsid w:val="00EF5B82"/>
    <w:rsid w:val="00F4735E"/>
    <w:rsid w:val="00F504B6"/>
    <w:rsid w:val="00FB6785"/>
    <w:rsid w:val="00FF013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D42AE"/>
  <w15:docId w15:val="{D1D6956C-1678-4FF1-8C07-E25A12E2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26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4226B"/>
    <w:pPr>
      <w:numPr>
        <w:numId w:val="7"/>
      </w:numPr>
      <w:ind w:left="567" w:hanging="567"/>
      <w:outlineLvl w:val="0"/>
    </w:pPr>
    <w:rPr>
      <w:kern w:val="28"/>
    </w:rPr>
  </w:style>
  <w:style w:type="paragraph" w:styleId="Heading2">
    <w:name w:val="heading 2"/>
    <w:basedOn w:val="Normal"/>
    <w:next w:val="Normal"/>
    <w:link w:val="Heading2Char"/>
    <w:qFormat/>
    <w:rsid w:val="00E4226B"/>
    <w:pPr>
      <w:numPr>
        <w:ilvl w:val="1"/>
        <w:numId w:val="7"/>
      </w:numPr>
      <w:ind w:left="567" w:hanging="567"/>
      <w:outlineLvl w:val="1"/>
    </w:pPr>
  </w:style>
  <w:style w:type="paragraph" w:styleId="Heading3">
    <w:name w:val="heading 3"/>
    <w:basedOn w:val="Normal"/>
    <w:next w:val="Normal"/>
    <w:link w:val="Heading3Char"/>
    <w:qFormat/>
    <w:rsid w:val="00E4226B"/>
    <w:pPr>
      <w:numPr>
        <w:ilvl w:val="2"/>
        <w:numId w:val="7"/>
      </w:numPr>
      <w:ind w:left="567" w:hanging="567"/>
      <w:outlineLvl w:val="2"/>
    </w:pPr>
  </w:style>
  <w:style w:type="paragraph" w:styleId="Heading4">
    <w:name w:val="heading 4"/>
    <w:basedOn w:val="Normal"/>
    <w:next w:val="Normal"/>
    <w:link w:val="Heading4Char"/>
    <w:qFormat/>
    <w:rsid w:val="00E4226B"/>
    <w:pPr>
      <w:numPr>
        <w:ilvl w:val="3"/>
        <w:numId w:val="7"/>
      </w:numPr>
      <w:ind w:left="567" w:hanging="567"/>
      <w:outlineLvl w:val="3"/>
    </w:pPr>
  </w:style>
  <w:style w:type="paragraph" w:styleId="Heading5">
    <w:name w:val="heading 5"/>
    <w:basedOn w:val="Normal"/>
    <w:next w:val="Normal"/>
    <w:link w:val="Heading5Char"/>
    <w:qFormat/>
    <w:rsid w:val="00E4226B"/>
    <w:pPr>
      <w:numPr>
        <w:ilvl w:val="4"/>
        <w:numId w:val="7"/>
      </w:numPr>
      <w:ind w:left="567" w:hanging="567"/>
      <w:outlineLvl w:val="4"/>
    </w:pPr>
  </w:style>
  <w:style w:type="paragraph" w:styleId="Heading6">
    <w:name w:val="heading 6"/>
    <w:basedOn w:val="Normal"/>
    <w:next w:val="Normal"/>
    <w:link w:val="Heading6Char"/>
    <w:qFormat/>
    <w:rsid w:val="00E4226B"/>
    <w:pPr>
      <w:numPr>
        <w:ilvl w:val="5"/>
        <w:numId w:val="7"/>
      </w:numPr>
      <w:ind w:left="567" w:hanging="567"/>
      <w:outlineLvl w:val="5"/>
    </w:pPr>
  </w:style>
  <w:style w:type="paragraph" w:styleId="Heading7">
    <w:name w:val="heading 7"/>
    <w:basedOn w:val="Normal"/>
    <w:next w:val="Normal"/>
    <w:link w:val="Heading7Char"/>
    <w:qFormat/>
    <w:rsid w:val="00E4226B"/>
    <w:pPr>
      <w:numPr>
        <w:ilvl w:val="6"/>
        <w:numId w:val="7"/>
      </w:numPr>
      <w:ind w:left="567" w:hanging="567"/>
      <w:outlineLvl w:val="6"/>
    </w:pPr>
  </w:style>
  <w:style w:type="paragraph" w:styleId="Heading8">
    <w:name w:val="heading 8"/>
    <w:basedOn w:val="Normal"/>
    <w:next w:val="Normal"/>
    <w:link w:val="Heading8Char"/>
    <w:qFormat/>
    <w:rsid w:val="00E4226B"/>
    <w:pPr>
      <w:numPr>
        <w:ilvl w:val="7"/>
        <w:numId w:val="7"/>
      </w:numPr>
      <w:ind w:left="567" w:hanging="567"/>
      <w:outlineLvl w:val="7"/>
    </w:pPr>
  </w:style>
  <w:style w:type="paragraph" w:styleId="Heading9">
    <w:name w:val="heading 9"/>
    <w:basedOn w:val="Normal"/>
    <w:next w:val="Normal"/>
    <w:link w:val="Heading9Char"/>
    <w:qFormat/>
    <w:rsid w:val="00E4226B"/>
    <w:pPr>
      <w:numPr>
        <w:ilvl w:val="8"/>
        <w:numId w:val="7"/>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087"/>
    <w:pPr>
      <w:ind w:left="720"/>
      <w:contextualSpacing/>
    </w:pPr>
  </w:style>
  <w:style w:type="paragraph" w:styleId="Revision">
    <w:name w:val="Revision"/>
    <w:hidden/>
    <w:uiPriority w:val="99"/>
    <w:semiHidden/>
    <w:rsid w:val="00E83112"/>
    <w:pPr>
      <w:spacing w:after="0" w:line="240" w:lineRule="auto"/>
    </w:pPr>
  </w:style>
  <w:style w:type="paragraph" w:styleId="FootnoteText">
    <w:name w:val="footnote text"/>
    <w:basedOn w:val="Normal"/>
    <w:link w:val="FootnoteTextChar"/>
    <w:qFormat/>
    <w:rsid w:val="00E4226B"/>
    <w:pPr>
      <w:keepLines/>
      <w:spacing w:after="60" w:line="240" w:lineRule="auto"/>
      <w:ind w:left="567" w:hanging="567"/>
    </w:pPr>
    <w:rPr>
      <w:sz w:val="16"/>
    </w:rPr>
  </w:style>
  <w:style w:type="character" w:customStyle="1" w:styleId="FootnoteTextChar">
    <w:name w:val="Footnote Text Char"/>
    <w:basedOn w:val="DefaultParagraphFont"/>
    <w:link w:val="FootnoteText"/>
    <w:rsid w:val="00A649C3"/>
    <w:rPr>
      <w:rFonts w:ascii="Times New Roman" w:eastAsia="Times New Roman" w:hAnsi="Times New Roman" w:cs="Times New Roman"/>
      <w:sz w:val="16"/>
      <w:lang w:val="ro-RO"/>
    </w:rPr>
  </w:style>
  <w:style w:type="character" w:styleId="FootnoteReference">
    <w:name w:val="footnote reference"/>
    <w:basedOn w:val="DefaultParagraphFont"/>
    <w:unhideWhenUsed/>
    <w:qFormat/>
    <w:rsid w:val="00E4226B"/>
    <w:rPr>
      <w:sz w:val="24"/>
      <w:vertAlign w:val="superscript"/>
    </w:rPr>
  </w:style>
  <w:style w:type="paragraph" w:styleId="Header">
    <w:name w:val="header"/>
    <w:basedOn w:val="Normal"/>
    <w:link w:val="HeaderChar"/>
    <w:qFormat/>
    <w:rsid w:val="00E4226B"/>
  </w:style>
  <w:style w:type="character" w:customStyle="1" w:styleId="HeaderChar">
    <w:name w:val="Header Char"/>
    <w:basedOn w:val="DefaultParagraphFont"/>
    <w:link w:val="Header"/>
    <w:rsid w:val="00C13EC9"/>
    <w:rPr>
      <w:rFonts w:ascii="Times New Roman" w:eastAsia="Times New Roman" w:hAnsi="Times New Roman" w:cs="Times New Roman"/>
      <w:lang w:val="ro-RO"/>
    </w:rPr>
  </w:style>
  <w:style w:type="paragraph" w:styleId="Footer">
    <w:name w:val="footer"/>
    <w:basedOn w:val="Normal"/>
    <w:link w:val="FooterChar"/>
    <w:qFormat/>
    <w:rsid w:val="00E4226B"/>
  </w:style>
  <w:style w:type="character" w:customStyle="1" w:styleId="FooterChar">
    <w:name w:val="Footer Char"/>
    <w:basedOn w:val="DefaultParagraphFont"/>
    <w:link w:val="Footer"/>
    <w:rsid w:val="00C13EC9"/>
    <w:rPr>
      <w:rFonts w:ascii="Times New Roman" w:eastAsia="Times New Roman" w:hAnsi="Times New Roman" w:cs="Times New Roman"/>
      <w:lang w:val="ro-RO"/>
    </w:rPr>
  </w:style>
  <w:style w:type="character" w:customStyle="1" w:styleId="Heading1Char">
    <w:name w:val="Heading 1 Char"/>
    <w:basedOn w:val="DefaultParagraphFont"/>
    <w:link w:val="Heading1"/>
    <w:rsid w:val="00E4226B"/>
    <w:rPr>
      <w:rFonts w:ascii="Times New Roman" w:eastAsia="Times New Roman" w:hAnsi="Times New Roman" w:cs="Times New Roman"/>
      <w:kern w:val="28"/>
      <w:lang w:val="ro-RO"/>
    </w:rPr>
  </w:style>
  <w:style w:type="character" w:customStyle="1" w:styleId="Heading2Char">
    <w:name w:val="Heading 2 Char"/>
    <w:basedOn w:val="DefaultParagraphFont"/>
    <w:link w:val="Heading2"/>
    <w:rsid w:val="00E4226B"/>
    <w:rPr>
      <w:rFonts w:ascii="Times New Roman" w:eastAsia="Times New Roman" w:hAnsi="Times New Roman" w:cs="Times New Roman"/>
      <w:lang w:val="ro-RO"/>
    </w:rPr>
  </w:style>
  <w:style w:type="character" w:customStyle="1" w:styleId="Heading3Char">
    <w:name w:val="Heading 3 Char"/>
    <w:basedOn w:val="DefaultParagraphFont"/>
    <w:link w:val="Heading3"/>
    <w:rsid w:val="00E4226B"/>
    <w:rPr>
      <w:rFonts w:ascii="Times New Roman" w:eastAsia="Times New Roman" w:hAnsi="Times New Roman" w:cs="Times New Roman"/>
      <w:lang w:val="ro-RO"/>
    </w:rPr>
  </w:style>
  <w:style w:type="character" w:customStyle="1" w:styleId="Heading4Char">
    <w:name w:val="Heading 4 Char"/>
    <w:basedOn w:val="DefaultParagraphFont"/>
    <w:link w:val="Heading4"/>
    <w:rsid w:val="00E4226B"/>
    <w:rPr>
      <w:rFonts w:ascii="Times New Roman" w:eastAsia="Times New Roman" w:hAnsi="Times New Roman" w:cs="Times New Roman"/>
      <w:lang w:val="ro-RO"/>
    </w:rPr>
  </w:style>
  <w:style w:type="character" w:customStyle="1" w:styleId="Heading5Char">
    <w:name w:val="Heading 5 Char"/>
    <w:basedOn w:val="DefaultParagraphFont"/>
    <w:link w:val="Heading5"/>
    <w:rsid w:val="00E4226B"/>
    <w:rPr>
      <w:rFonts w:ascii="Times New Roman" w:eastAsia="Times New Roman" w:hAnsi="Times New Roman" w:cs="Times New Roman"/>
      <w:lang w:val="ro-RO"/>
    </w:rPr>
  </w:style>
  <w:style w:type="character" w:customStyle="1" w:styleId="Heading6Char">
    <w:name w:val="Heading 6 Char"/>
    <w:basedOn w:val="DefaultParagraphFont"/>
    <w:link w:val="Heading6"/>
    <w:rsid w:val="00E4226B"/>
    <w:rPr>
      <w:rFonts w:ascii="Times New Roman" w:eastAsia="Times New Roman" w:hAnsi="Times New Roman" w:cs="Times New Roman"/>
      <w:lang w:val="ro-RO"/>
    </w:rPr>
  </w:style>
  <w:style w:type="character" w:customStyle="1" w:styleId="Heading7Char">
    <w:name w:val="Heading 7 Char"/>
    <w:basedOn w:val="DefaultParagraphFont"/>
    <w:link w:val="Heading7"/>
    <w:rsid w:val="00E4226B"/>
    <w:rPr>
      <w:rFonts w:ascii="Times New Roman" w:eastAsia="Times New Roman" w:hAnsi="Times New Roman" w:cs="Times New Roman"/>
      <w:lang w:val="ro-RO"/>
    </w:rPr>
  </w:style>
  <w:style w:type="character" w:customStyle="1" w:styleId="Heading8Char">
    <w:name w:val="Heading 8 Char"/>
    <w:basedOn w:val="DefaultParagraphFont"/>
    <w:link w:val="Heading8"/>
    <w:rsid w:val="00E4226B"/>
    <w:rPr>
      <w:rFonts w:ascii="Times New Roman" w:eastAsia="Times New Roman" w:hAnsi="Times New Roman" w:cs="Times New Roman"/>
      <w:lang w:val="ro-RO"/>
    </w:rPr>
  </w:style>
  <w:style w:type="character" w:customStyle="1" w:styleId="Heading9Char">
    <w:name w:val="Heading 9 Char"/>
    <w:basedOn w:val="DefaultParagraphFont"/>
    <w:link w:val="Heading9"/>
    <w:rsid w:val="00E4226B"/>
    <w:rPr>
      <w:rFonts w:ascii="Times New Roman" w:eastAsia="Times New Roman" w:hAnsi="Times New Roman" w:cs="Times New Roman"/>
      <w:lang w:val="ro-RO"/>
    </w:rPr>
  </w:style>
  <w:style w:type="paragraph" w:customStyle="1" w:styleId="quotes">
    <w:name w:val="quotes"/>
    <w:basedOn w:val="Normal"/>
    <w:next w:val="Normal"/>
    <w:rsid w:val="00E4226B"/>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AD35D3BCF8F4544A8F08714FCE6E0FA1" ma:contentTypeVersion="4" ma:contentTypeDescription="Defines the documents for Document Manager V2" ma:contentTypeScope="" ma:versionID="32fa0bad10b3041c39328cc1de51cc7a">
  <xsd:schema xmlns:xsd="http://www.w3.org/2001/XMLSchema" xmlns:xs="http://www.w3.org/2001/XMLSchema" xmlns:p="http://schemas.microsoft.com/office/2006/metadata/properties" xmlns:ns2="bfc960a6-20da-4c94-8684-71380fca093b" xmlns:ns3="http://schemas.microsoft.com/sharepoint/v3/fields" xmlns:ns4="a69be8a7-9536-4706-a7cf-8bd1aed539a4" targetNamespace="http://schemas.microsoft.com/office/2006/metadata/properties" ma:root="true" ma:fieldsID="80ed43f531677b78d6727881f5bc703a" ns2:_="" ns3:_="" ns4:_="">
    <xsd:import namespace="bfc960a6-20da-4c94-8684-71380fca093b"/>
    <xsd:import namespace="http://schemas.microsoft.com/sharepoint/v3/fields"/>
    <xsd:import namespace="a69be8a7-9536-4706-a7cf-8bd1aed539a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be8a7-9536-4706-a7cf-8bd1aed539a4"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CTJJHAUHWN5E-318629884-1989</_dlc_DocId>
    <_dlc_DocIdUrl xmlns="bfc960a6-20da-4c94-8684-71380fca093b">
      <Url>http://dm2016/eesc/2019/_layouts/15/DocIdRedir.aspx?ID=CTJJHAUHWN5E-318629884-1989</Url>
      <Description>CTJJHAUHWN5E-318629884-1989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2019-07-25T12:00:00+00:00</ProductionDate>
    <FicheYear xmlns="bfc960a6-20da-4c94-8684-71380fca093b">2019</FicheYear>
    <DocumentNumber xmlns="a69be8a7-9536-4706-a7cf-8bd1aed539a4">3436</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18</Value>
      <Value>7</Value>
      <Value>57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7519</FicheNumber>
    <DocumentPart xmlns="bfc960a6-20da-4c94-8684-71380fca093b">0</DocumentPart>
    <AdoptionDate xmlns="bfc960a6-20da-4c94-8684-71380fca093b" xsi:nil="true"/>
    <RequestingService xmlns="bfc960a6-20da-4c94-8684-71380fca093b">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a69be8a7-9536-4706-a7cf-8bd1aed539a4"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8F2E31-5287-4653-BD61-74248134F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a69be8a7-9536-4706-a7cf-8bd1aed53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0E04A-A128-4803-A7F6-3953D5C2FD6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fc960a6-20da-4c94-8684-71380fca093b"/>
    <ds:schemaRef ds:uri="http://schemas.microsoft.com/office/infopath/2007/PartnerControls"/>
    <ds:schemaRef ds:uri="a69be8a7-9536-4706-a7cf-8bd1aed539a4"/>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5D7A2438-ABE8-4666-9F7D-D3D066F02585}">
  <ds:schemaRefs>
    <ds:schemaRef ds:uri="http://schemas.microsoft.com/sharepoint/v3/contenttype/forms"/>
  </ds:schemaRefs>
</ds:datastoreItem>
</file>

<file path=customXml/itemProps4.xml><?xml version="1.0" encoding="utf-8"?>
<ds:datastoreItem xmlns:ds="http://schemas.openxmlformats.org/officeDocument/2006/customXml" ds:itemID="{7C5AB065-E791-4287-ADBD-CABCF18D6B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2111</Words>
  <Characters>12038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Declarația celei de-a patra reuniuni comune a Republicii Moldova cugrupurile consultative interne ale Uniunii Europene pentru comerț șidezvoltare durabilă</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Declarația celei de-a patra reuniuni comune a Republicii Moldova cugrupurile consultative interne ale Uniunii Europene pentru comerț șidezvoltare durabilă</dc:title>
  <dc:creator>Adrian Lupusor</dc:creator>
  <cp:keywords>EESC-2019-03436-00-00-DECL-TRA-EN</cp:keywords>
  <dc:description>Rapporteur:  - Original language: EN - Date of document: 25/07/2019 - Date of meeting:  - External documents:  - Administrator: MME Albrechtova Katarina</dc:description>
  <cp:lastModifiedBy>mgrie</cp:lastModifiedBy>
  <cp:revision>2</cp:revision>
  <cp:lastPrinted>2019-07-10T09:21:00Z</cp:lastPrinted>
  <dcterms:created xsi:type="dcterms:W3CDTF">2019-07-26T10:39:00Z</dcterms:created>
  <dcterms:modified xsi:type="dcterms:W3CDTF">2019-07-26T10:39:00Z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15/07/2019, 15/07/2019</vt:lpwstr>
  </property>
  <property fmtid="{D5CDD505-2E9C-101B-9397-08002B2CF9AE}" pid="4" name="Pref_Time">
    <vt:lpwstr>11:47:02, 11:34:58</vt:lpwstr>
  </property>
  <property fmtid="{D5CDD505-2E9C-101B-9397-08002B2CF9AE}" pid="5" name="Pref_User">
    <vt:lpwstr>jhvi, htoo</vt:lpwstr>
  </property>
  <property fmtid="{D5CDD505-2E9C-101B-9397-08002B2CF9AE}" pid="6" name="Pref_FileName">
    <vt:lpwstr>EESC-2019-03436-00-00-DECL-TRA-EN-CRR.docx, EESC-2019-03436-00-00-DECL-CRR-EN.docx</vt:lpwstr>
  </property>
  <property fmtid="{D5CDD505-2E9C-101B-9397-08002B2CF9AE}" pid="7" name="ContentTypeId">
    <vt:lpwstr>0x010100EA97B91038054C99906057A708A1480A00AD35D3BCF8F4544A8F08714FCE6E0FA1</vt:lpwstr>
  </property>
  <property fmtid="{D5CDD505-2E9C-101B-9397-08002B2CF9AE}" pid="8" name="_dlc_DocIdItemGuid">
    <vt:lpwstr>bab6d8de-2d26-4f0d-bd0b-e7fcea1375de</vt:lpwstr>
  </property>
  <property fmtid="{D5CDD505-2E9C-101B-9397-08002B2CF9AE}" pid="9" name="AvailableTranslations">
    <vt:lpwstr>4;#EN|f2175f21-25d7-44a3-96da-d6a61b075e1b;#57;#RO|feb747a2-64cd-4299-af12-4833ddc30497</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3436</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18;#DECL|3e2492ed-4ef9-4eb0-bb74-05f60f74f0a3</vt:lpwstr>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18;#DECL|3e2492ed-4ef9-4eb0-bb74-05f60f74f0a3;#7;#Final|ea5e6674-7b27-4bac-b091-73adbb394efe;#5;#Unrestricted|826e22d7-d029-4ec0-a450-0c28ff673572;#4;#EN|f2175f21-25d7-44a3-96da-d6a61b075e1b;#2;#TRA|150d2a88-1431-44e6-a8ca-0bb753ab8672;#1;#EESC|422833ec-8</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7519</vt:i4>
  </property>
  <property fmtid="{D5CDD505-2E9C-101B-9397-08002B2CF9AE}" pid="35" name="DocumentLanguage">
    <vt:lpwstr>57;#RO|feb747a2-64cd-4299-af12-4833ddc30497</vt:lpwstr>
  </property>
  <property fmtid="{D5CDD505-2E9C-101B-9397-08002B2CF9AE}" pid="36" name="_docset_NoMedatataSyncRequired">
    <vt:lpwstr>False</vt:lpwstr>
  </property>
</Properties>
</file>