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4F4081" w:rsidRDefault="006A08D5" w:rsidP="001F50B6">
      <w:pPr>
        <w:snapToGrid w:val="0"/>
        <w:jc w:val="center"/>
      </w:pPr>
      <w:r w:rsidRPr="004F4081">
        <w:fldChar w:fldCharType="begin"/>
      </w:r>
      <w:r w:rsidRPr="004F4081">
        <w:instrText xml:space="preserve">  </w:instrText>
      </w:r>
      <w:r w:rsidRPr="004F4081">
        <w:fldChar w:fldCharType="end"/>
      </w:r>
      <w:r>
        <w:rPr>
          <w:noProof/>
          <w:lang w:val="fr-BE" w:eastAsia="fr-BE"/>
        </w:rPr>
        <w:drawing>
          <wp:inline distT="0" distB="0" distL="0" distR="0" wp14:anchorId="2BB54711" wp14:editId="64742A1F">
            <wp:extent cx="876300" cy="545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76300" cy="545792"/>
                    </a:xfrm>
                    <a:prstGeom prst="rect">
                      <a:avLst/>
                    </a:prstGeom>
                    <a:noFill/>
                    <a:ln>
                      <a:noFill/>
                    </a:ln>
                  </pic:spPr>
                </pic:pic>
              </a:graphicData>
            </a:graphic>
          </wp:inline>
        </w:drawing>
      </w:r>
      <w:r>
        <w:rPr>
          <w:noProof/>
          <w:sz w:val="20"/>
          <w:lang w:val="fr-BE" w:eastAsia="fr-BE"/>
        </w:rPr>
        <mc:AlternateContent>
          <mc:Choice Requires="wps">
            <w:drawing>
              <wp:anchor distT="0" distB="0" distL="114300" distR="114300" simplePos="0" relativeHeight="251659264" behindDoc="1" locked="0" layoutInCell="0" allowOverlap="1" wp14:anchorId="5780C406" wp14:editId="01ECEF1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5F5" w:rsidRPr="00260E65" w:rsidRDefault="004B05F5">
                            <w:pPr>
                              <w:jc w:val="center"/>
                              <w:rPr>
                                <w:rFonts w:ascii="Arial" w:hAnsi="Arial" w:cs="Arial"/>
                                <w:b/>
                                <w:bCs/>
                                <w:sz w:val="48"/>
                              </w:rPr>
                            </w:pPr>
                            <w:r>
                              <w:rPr>
                                <w:rFonts w:ascii="Arial" w:hAnsi="Arial"/>
                                <w:b/>
                                <w:bCs/>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0C406"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4B05F5" w:rsidRPr="00260E65" w:rsidRDefault="004B05F5">
                      <w:pPr>
                        <w:jc w:val="center"/>
                        <w:rPr>
                          <w:rFonts w:ascii="Arial" w:hAnsi="Arial" w:cs="Arial"/>
                          <w:b/>
                          <w:bCs/>
                          <w:sz w:val="48"/>
                        </w:rPr>
                      </w:pPr>
                      <w:r>
                        <w:rPr>
                          <w:rFonts w:ascii="Arial" w:hAnsi="Arial"/>
                          <w:b/>
                          <w:bCs/>
                          <w:sz w:val="48"/>
                        </w:rPr>
                        <w:t>ES</w:t>
                      </w:r>
                    </w:p>
                  </w:txbxContent>
                </v:textbox>
                <w10:wrap anchorx="page" anchory="page"/>
              </v:shape>
            </w:pict>
          </mc:Fallback>
        </mc:AlternateContent>
      </w:r>
    </w:p>
    <w:p w:rsidR="008405A0" w:rsidRPr="004F4081" w:rsidRDefault="00876D7B" w:rsidP="001F50B6">
      <w:pPr>
        <w:snapToGrid w:val="0"/>
        <w:jc w:val="center"/>
        <w:rPr>
          <w:rFonts w:ascii="Arial" w:eastAsia="MS Mincho" w:hAnsi="Arial" w:cs="Arial"/>
          <w:b/>
          <w:i/>
          <w:sz w:val="20"/>
        </w:rPr>
      </w:pPr>
      <w:r>
        <w:rPr>
          <w:rFonts w:ascii="Arial" w:hAnsi="Arial"/>
          <w:b/>
          <w:i/>
          <w:sz w:val="20"/>
        </w:rPr>
        <w:t>Comité Económico y Social Europeo</w:t>
      </w:r>
    </w:p>
    <w:p w:rsidR="008405A0" w:rsidRPr="004F4081" w:rsidRDefault="008405A0" w:rsidP="001F50B6">
      <w:pPr>
        <w:snapToGrid w:val="0"/>
        <w:rPr>
          <w:lang w:val="en-GB"/>
        </w:rPr>
      </w:pPr>
    </w:p>
    <w:p w:rsidR="008405A0" w:rsidRPr="004F4081" w:rsidRDefault="008405A0" w:rsidP="001F50B6">
      <w:pPr>
        <w:snapToGrid w:val="0"/>
        <w:rPr>
          <w:lang w:val="en-GB"/>
        </w:rPr>
      </w:pPr>
    </w:p>
    <w:p w:rsidR="008405A0" w:rsidRPr="004F4081" w:rsidRDefault="00FC0B2C" w:rsidP="001F50B6">
      <w:pPr>
        <w:snapToGrid w:val="0"/>
        <w:jc w:val="right"/>
        <w:rPr>
          <w:rFonts w:eastAsia="MS Mincho"/>
        </w:rPr>
      </w:pPr>
      <w:r>
        <w:t>Bruselas, 29 de julio de 2019</w:t>
      </w:r>
    </w:p>
    <w:p w:rsidR="008405A0" w:rsidRPr="004F4081" w:rsidRDefault="008405A0" w:rsidP="001F50B6">
      <w:pPr>
        <w:snapToGrid w:val="0"/>
        <w:rPr>
          <w:lang w:val="en-GB"/>
        </w:rPr>
      </w:pPr>
    </w:p>
    <w:p w:rsidR="008405A0" w:rsidRPr="004F4081" w:rsidRDefault="008405A0" w:rsidP="001F50B6">
      <w:pPr>
        <w:snapToGrid w:val="0"/>
        <w:rPr>
          <w:lang w:val="en-GB"/>
        </w:rPr>
      </w:pPr>
    </w:p>
    <w:p w:rsidR="00AF6F3E" w:rsidRPr="004F4081" w:rsidRDefault="00AF6F3E" w:rsidP="001F50B6">
      <w:pPr>
        <w:snapToGrid w:val="0"/>
        <w:rPr>
          <w:lang w:val="en-GB"/>
        </w:rPr>
      </w:pPr>
    </w:p>
    <w:p w:rsidR="006819C8" w:rsidRPr="004F4081" w:rsidRDefault="006819C8" w:rsidP="001F50B6">
      <w:pPr>
        <w:snapToGrid w:val="0"/>
        <w:rPr>
          <w:lang w:val="en-GB"/>
        </w:rPr>
      </w:pPr>
    </w:p>
    <w:tbl>
      <w:tblPr>
        <w:tblW w:w="0" w:type="auto"/>
        <w:tblLayout w:type="fixed"/>
        <w:tblLook w:val="0000" w:firstRow="0" w:lastRow="0" w:firstColumn="0" w:lastColumn="0" w:noHBand="0" w:noVBand="0"/>
      </w:tblPr>
      <w:tblGrid>
        <w:gridCol w:w="9289"/>
      </w:tblGrid>
      <w:tr w:rsidR="00975645">
        <w:tc>
          <w:tcPr>
            <w:tcW w:w="9289" w:type="dxa"/>
            <w:tcBorders>
              <w:top w:val="nil"/>
              <w:left w:val="nil"/>
              <w:bottom w:val="double" w:sz="4" w:space="0" w:color="auto"/>
              <w:right w:val="nil"/>
            </w:tcBorders>
          </w:tcPr>
          <w:p w:rsidR="008405A0" w:rsidRPr="004F4081" w:rsidRDefault="00B83060" w:rsidP="001F50B6">
            <w:pPr>
              <w:snapToGrid w:val="0"/>
              <w:jc w:val="center"/>
              <w:rPr>
                <w:rFonts w:eastAsia="MS Mincho"/>
                <w:b/>
                <w:sz w:val="32"/>
              </w:rPr>
            </w:pPr>
            <w:r>
              <w:rPr>
                <w:b/>
                <w:sz w:val="32"/>
              </w:rPr>
              <w:t>PLENO</w:t>
            </w:r>
            <w:r>
              <w:rPr>
                <w:b/>
                <w:sz w:val="32"/>
              </w:rPr>
              <w:br/>
              <w:t xml:space="preserve"> </w:t>
            </w:r>
            <w:r>
              <w:rPr>
                <w:b/>
                <w:sz w:val="32"/>
              </w:rPr>
              <w:br/>
              <w:t>DE LOS DÍAS 17 Y 18 DE JULIO DE 2019</w:t>
            </w:r>
            <w:r>
              <w:rPr>
                <w:b/>
                <w:sz w:val="32"/>
              </w:rPr>
              <w:br/>
              <w:t xml:space="preserve"> </w:t>
            </w:r>
            <w:r>
              <w:rPr>
                <w:b/>
                <w:sz w:val="32"/>
              </w:rPr>
              <w:br/>
              <w:t>SÍNTESIS DE LOS DICTÁMENES APROBADOS</w:t>
            </w:r>
          </w:p>
          <w:p w:rsidR="008405A0" w:rsidRPr="004F4081" w:rsidRDefault="008405A0" w:rsidP="001F50B6">
            <w:pPr>
              <w:rPr>
                <w:lang w:val="en-GB"/>
              </w:rPr>
            </w:pPr>
          </w:p>
          <w:p w:rsidR="008405A0" w:rsidRPr="004F4081" w:rsidRDefault="008405A0" w:rsidP="001F50B6">
            <w:pPr>
              <w:rPr>
                <w:lang w:val="en-GB"/>
              </w:rPr>
            </w:pPr>
          </w:p>
        </w:tc>
      </w:tr>
      <w:tr w:rsidR="00975645">
        <w:tc>
          <w:tcPr>
            <w:tcW w:w="9289" w:type="dxa"/>
            <w:tcBorders>
              <w:top w:val="double" w:sz="4" w:space="0" w:color="auto"/>
              <w:left w:val="double" w:sz="4" w:space="0" w:color="auto"/>
              <w:bottom w:val="double" w:sz="4" w:space="0" w:color="auto"/>
              <w:right w:val="double" w:sz="4" w:space="0" w:color="auto"/>
            </w:tcBorders>
          </w:tcPr>
          <w:p w:rsidR="00FF15DA" w:rsidRPr="004F4081" w:rsidRDefault="00FF15DA" w:rsidP="001F50B6">
            <w:pPr>
              <w:snapToGrid w:val="0"/>
              <w:jc w:val="center"/>
              <w:rPr>
                <w:b/>
                <w:lang w:val="en-GB"/>
              </w:rPr>
            </w:pPr>
          </w:p>
          <w:p w:rsidR="00FC0B2C" w:rsidRPr="004F4081" w:rsidRDefault="00FC0B2C" w:rsidP="001F50B6">
            <w:pPr>
              <w:snapToGrid w:val="0"/>
              <w:jc w:val="center"/>
              <w:rPr>
                <w:rFonts w:eastAsia="MS Mincho"/>
                <w:b/>
              </w:rPr>
            </w:pPr>
            <w:r>
              <w:rPr>
                <w:b/>
              </w:rPr>
              <w:t>Este documento puede consultarse en todas la</w:t>
            </w:r>
            <w:bookmarkStart w:id="0" w:name="_GoBack"/>
            <w:bookmarkEnd w:id="0"/>
            <w:r>
              <w:rPr>
                <w:b/>
              </w:rPr>
              <w:t>s lenguas oficiales en el sitio internet</w:t>
            </w:r>
            <w:r w:rsidR="00A81BDA">
              <w:rPr>
                <w:b/>
              </w:rPr>
              <w:br/>
            </w:r>
            <w:r>
              <w:rPr>
                <w:b/>
              </w:rPr>
              <w:t xml:space="preserve"> del Comité en la siguiente dirección:</w:t>
            </w:r>
          </w:p>
          <w:p w:rsidR="00FC0B2C" w:rsidRPr="004F4081" w:rsidRDefault="00FC0B2C" w:rsidP="001F50B6">
            <w:pPr>
              <w:snapToGrid w:val="0"/>
              <w:jc w:val="center"/>
              <w:rPr>
                <w:b/>
                <w:lang w:val="en-GB"/>
              </w:rPr>
            </w:pPr>
          </w:p>
          <w:p w:rsidR="00FC0B2C" w:rsidRPr="004F4081" w:rsidRDefault="006D34BE" w:rsidP="001F50B6">
            <w:pPr>
              <w:jc w:val="center"/>
              <w:rPr>
                <w:rStyle w:val="Hyperlink"/>
                <w:b/>
              </w:rPr>
            </w:pPr>
            <w:hyperlink r:id="rId13" w:history="1">
              <w:r w:rsidR="004F4081">
                <w:rPr>
                  <w:rStyle w:val="Hyperlink"/>
                </w:rPr>
                <w:t>https://www.eesc.europa.eu/es/our-work/opinions-information-reports/plenary-session-summaries</w:t>
              </w:r>
            </w:hyperlink>
          </w:p>
          <w:p w:rsidR="00FC0B2C" w:rsidRPr="004F4081" w:rsidRDefault="00FC0B2C" w:rsidP="001F50B6">
            <w:pPr>
              <w:snapToGrid w:val="0"/>
              <w:jc w:val="center"/>
              <w:rPr>
                <w:b/>
                <w:lang w:val="en-GB"/>
              </w:rPr>
            </w:pPr>
          </w:p>
          <w:p w:rsidR="00FC0B2C" w:rsidRPr="004F4081" w:rsidRDefault="00FC0B2C" w:rsidP="001F50B6">
            <w:pPr>
              <w:snapToGrid w:val="0"/>
              <w:jc w:val="center"/>
              <w:rPr>
                <w:rFonts w:eastAsia="SimSun"/>
                <w:b/>
                <w:lang w:val="en-GB"/>
              </w:rPr>
            </w:pPr>
          </w:p>
          <w:p w:rsidR="00FC0B2C" w:rsidRPr="004F4081" w:rsidRDefault="00FC0B2C" w:rsidP="001F50B6">
            <w:pPr>
              <w:snapToGrid w:val="0"/>
              <w:jc w:val="center"/>
              <w:rPr>
                <w:rFonts w:eastAsia="MS Mincho"/>
                <w:b/>
              </w:rPr>
            </w:pPr>
            <w:r>
              <w:rPr>
                <w:b/>
              </w:rPr>
              <w:t>Los dictámenes mencionados pueden consultarse en línea a partir</w:t>
            </w:r>
            <w:r w:rsidR="0010098E">
              <w:rPr>
                <w:b/>
              </w:rPr>
              <w:br/>
            </w:r>
            <w:r>
              <w:rPr>
                <w:b/>
              </w:rPr>
              <w:t xml:space="preserve"> del motor de búsqueda del Comité:</w:t>
            </w:r>
          </w:p>
          <w:p w:rsidR="00FC0B2C" w:rsidRPr="004F4081" w:rsidRDefault="00FC0B2C" w:rsidP="001F50B6">
            <w:pPr>
              <w:snapToGrid w:val="0"/>
              <w:jc w:val="center"/>
              <w:rPr>
                <w:b/>
                <w:lang w:val="en-GB"/>
              </w:rPr>
            </w:pPr>
          </w:p>
          <w:p w:rsidR="00FC0B2C" w:rsidRPr="004F4081" w:rsidRDefault="006D34BE" w:rsidP="001F50B6">
            <w:pPr>
              <w:jc w:val="center"/>
              <w:rPr>
                <w:rStyle w:val="Hyperlink"/>
                <w:b/>
              </w:rPr>
            </w:pPr>
            <w:hyperlink r:id="rId14" w:history="1">
              <w:r w:rsidR="004F4081">
                <w:rPr>
                  <w:rStyle w:val="Hyperlink"/>
                </w:rPr>
                <w:t>https://dmsearch.eesc.europa.eu/search/opinion</w:t>
              </w:r>
            </w:hyperlink>
          </w:p>
          <w:p w:rsidR="008405A0" w:rsidRPr="004F4081" w:rsidRDefault="008405A0" w:rsidP="001F50B6">
            <w:pPr>
              <w:snapToGrid w:val="0"/>
              <w:jc w:val="center"/>
              <w:rPr>
                <w:b/>
                <w:bCs/>
                <w:lang w:val="en-GB"/>
              </w:rPr>
            </w:pPr>
          </w:p>
        </w:tc>
      </w:tr>
    </w:tbl>
    <w:p w:rsidR="008F7791" w:rsidRPr="004F4081" w:rsidRDefault="008F7791" w:rsidP="001F50B6">
      <w:pPr>
        <w:rPr>
          <w:rFonts w:eastAsia="SimSun"/>
          <w:lang w:val="en-GB"/>
        </w:rPr>
      </w:pPr>
    </w:p>
    <w:p w:rsidR="00A9340A" w:rsidRPr="004F4081" w:rsidRDefault="00A9340A" w:rsidP="001F50B6">
      <w:pPr>
        <w:rPr>
          <w:rFonts w:eastAsia="SimSun"/>
          <w:lang w:val="en-GB"/>
        </w:rPr>
        <w:sectPr w:rsidR="00A9340A" w:rsidRPr="004F4081" w:rsidSect="004F4081">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4F4081" w:rsidRDefault="00876D7B" w:rsidP="001F50B6">
      <w:pPr>
        <w:snapToGrid w:val="0"/>
        <w:rPr>
          <w:b/>
        </w:rPr>
      </w:pPr>
      <w:r>
        <w:rPr>
          <w:b/>
        </w:rPr>
        <w:lastRenderedPageBreak/>
        <w:t>Índice</w:t>
      </w:r>
    </w:p>
    <w:p w:rsidR="00D16D76" w:rsidRPr="004F4081" w:rsidRDefault="00D16D76" w:rsidP="001F50B6">
      <w:pPr>
        <w:rPr>
          <w:lang w:val="en-GB"/>
        </w:rPr>
      </w:pPr>
    </w:p>
    <w:p w:rsidR="00E875E3" w:rsidRDefault="003353E8" w:rsidP="00140F03">
      <w:pPr>
        <w:pStyle w:val="TOC1"/>
        <w:rPr>
          <w:rFonts w:asciiTheme="minorHAnsi" w:eastAsiaTheme="minorEastAsia" w:hAnsiTheme="minorHAnsi" w:cstheme="minorBidi"/>
          <w:noProof/>
          <w:lang w:val="fr-BE" w:eastAsia="fr-BE"/>
        </w:rPr>
      </w:pPr>
      <w:r w:rsidRPr="002B07FF">
        <w:fldChar w:fldCharType="begin"/>
      </w:r>
      <w:r w:rsidRPr="004F4081">
        <w:instrText xml:space="preserve"> TOC \o "1-1" \h \z \u </w:instrText>
      </w:r>
      <w:r w:rsidRPr="002B07FF">
        <w:fldChar w:fldCharType="separate"/>
      </w:r>
      <w:hyperlink w:anchor="_Toc15401463" w:history="1">
        <w:r w:rsidR="00E875E3" w:rsidRPr="00515311">
          <w:rPr>
            <w:rStyle w:val="Hyperlink"/>
            <w:caps/>
            <w:noProof/>
          </w:rPr>
          <w:t>1.</w:t>
        </w:r>
        <w:r w:rsidR="00E875E3">
          <w:rPr>
            <w:rFonts w:asciiTheme="minorHAnsi" w:eastAsiaTheme="minorEastAsia" w:hAnsiTheme="minorHAnsi" w:cstheme="minorBidi"/>
            <w:noProof/>
            <w:lang w:val="fr-BE" w:eastAsia="fr-BE"/>
          </w:rPr>
          <w:tab/>
        </w:r>
        <w:r w:rsidR="00E875E3" w:rsidRPr="00515311">
          <w:rPr>
            <w:rStyle w:val="Hyperlink"/>
            <w:b/>
            <w:caps/>
            <w:noProof/>
          </w:rPr>
          <w:t>Unión Económica y Monetaria y Cohesión Económica y Social</w:t>
        </w:r>
        <w:r w:rsidR="00E875E3">
          <w:rPr>
            <w:noProof/>
            <w:webHidden/>
          </w:rPr>
          <w:tab/>
        </w:r>
        <w:r w:rsidR="00E875E3">
          <w:rPr>
            <w:noProof/>
            <w:webHidden/>
          </w:rPr>
          <w:fldChar w:fldCharType="begin"/>
        </w:r>
        <w:r w:rsidR="00E875E3">
          <w:rPr>
            <w:noProof/>
            <w:webHidden/>
          </w:rPr>
          <w:instrText xml:space="preserve"> PAGEREF _Toc15401463 \h </w:instrText>
        </w:r>
        <w:r w:rsidR="00E875E3">
          <w:rPr>
            <w:noProof/>
            <w:webHidden/>
          </w:rPr>
        </w:r>
        <w:r w:rsidR="00E875E3">
          <w:rPr>
            <w:noProof/>
            <w:webHidden/>
          </w:rPr>
          <w:fldChar w:fldCharType="separate"/>
        </w:r>
        <w:r w:rsidR="006D34BE">
          <w:rPr>
            <w:noProof/>
            <w:webHidden/>
          </w:rPr>
          <w:t>2</w:t>
        </w:r>
        <w:r w:rsidR="00E875E3">
          <w:rPr>
            <w:noProof/>
            <w:webHidden/>
          </w:rPr>
          <w:fldChar w:fldCharType="end"/>
        </w:r>
      </w:hyperlink>
    </w:p>
    <w:p w:rsidR="00E875E3" w:rsidRDefault="006D34BE" w:rsidP="00140F03">
      <w:pPr>
        <w:pStyle w:val="TOC1"/>
        <w:rPr>
          <w:rFonts w:asciiTheme="minorHAnsi" w:eastAsiaTheme="minorEastAsia" w:hAnsiTheme="minorHAnsi" w:cstheme="minorBidi"/>
          <w:noProof/>
          <w:lang w:val="fr-BE" w:eastAsia="fr-BE"/>
        </w:rPr>
      </w:pPr>
      <w:hyperlink w:anchor="_Toc15401464" w:history="1">
        <w:r w:rsidR="00E875E3" w:rsidRPr="00515311">
          <w:rPr>
            <w:rStyle w:val="Hyperlink"/>
            <w:noProof/>
          </w:rPr>
          <w:t>2.</w:t>
        </w:r>
        <w:r w:rsidR="00E875E3">
          <w:rPr>
            <w:rFonts w:asciiTheme="minorHAnsi" w:eastAsiaTheme="minorEastAsia" w:hAnsiTheme="minorHAnsi" w:cstheme="minorBidi"/>
            <w:noProof/>
            <w:lang w:val="fr-BE" w:eastAsia="fr-BE"/>
          </w:rPr>
          <w:tab/>
        </w:r>
        <w:r w:rsidR="00E875E3" w:rsidRPr="00515311">
          <w:rPr>
            <w:rStyle w:val="Hyperlink"/>
            <w:b/>
            <w:noProof/>
          </w:rPr>
          <w:t>MERCADO ÚNICO, PRODUCCIÓN Y CONSUMO</w:t>
        </w:r>
        <w:r w:rsidR="00E875E3">
          <w:rPr>
            <w:noProof/>
            <w:webHidden/>
          </w:rPr>
          <w:tab/>
        </w:r>
        <w:r w:rsidR="00E875E3">
          <w:rPr>
            <w:noProof/>
            <w:webHidden/>
          </w:rPr>
          <w:fldChar w:fldCharType="begin"/>
        </w:r>
        <w:r w:rsidR="00E875E3">
          <w:rPr>
            <w:noProof/>
            <w:webHidden/>
          </w:rPr>
          <w:instrText xml:space="preserve"> PAGEREF _Toc15401464 \h </w:instrText>
        </w:r>
        <w:r w:rsidR="00E875E3">
          <w:rPr>
            <w:noProof/>
            <w:webHidden/>
          </w:rPr>
        </w:r>
        <w:r w:rsidR="00E875E3">
          <w:rPr>
            <w:noProof/>
            <w:webHidden/>
          </w:rPr>
          <w:fldChar w:fldCharType="separate"/>
        </w:r>
        <w:r>
          <w:rPr>
            <w:noProof/>
            <w:webHidden/>
          </w:rPr>
          <w:t>2</w:t>
        </w:r>
        <w:r w:rsidR="00E875E3">
          <w:rPr>
            <w:noProof/>
            <w:webHidden/>
          </w:rPr>
          <w:fldChar w:fldCharType="end"/>
        </w:r>
      </w:hyperlink>
    </w:p>
    <w:p w:rsidR="00E875E3" w:rsidRDefault="006D34BE" w:rsidP="00140F03">
      <w:pPr>
        <w:pStyle w:val="TOC1"/>
        <w:rPr>
          <w:rFonts w:asciiTheme="minorHAnsi" w:eastAsiaTheme="minorEastAsia" w:hAnsiTheme="minorHAnsi" w:cstheme="minorBidi"/>
          <w:noProof/>
          <w:lang w:val="fr-BE" w:eastAsia="fr-BE"/>
        </w:rPr>
      </w:pPr>
      <w:hyperlink w:anchor="_Toc15401465" w:history="1">
        <w:r w:rsidR="00E875E3" w:rsidRPr="00515311">
          <w:rPr>
            <w:rStyle w:val="Hyperlink"/>
            <w:caps/>
            <w:noProof/>
          </w:rPr>
          <w:t>3.</w:t>
        </w:r>
        <w:r w:rsidR="00E875E3">
          <w:rPr>
            <w:rFonts w:asciiTheme="minorHAnsi" w:eastAsiaTheme="minorEastAsia" w:hAnsiTheme="minorHAnsi" w:cstheme="minorBidi"/>
            <w:noProof/>
            <w:lang w:val="fr-BE" w:eastAsia="fr-BE"/>
          </w:rPr>
          <w:tab/>
        </w:r>
        <w:r w:rsidR="00E875E3" w:rsidRPr="00515311">
          <w:rPr>
            <w:rStyle w:val="Hyperlink"/>
            <w:b/>
            <w:caps/>
            <w:noProof/>
          </w:rPr>
          <w:t>Transporte, Energía, Infraestructuras y Sociedad de la Información</w:t>
        </w:r>
        <w:r w:rsidR="00E875E3">
          <w:rPr>
            <w:noProof/>
            <w:webHidden/>
          </w:rPr>
          <w:tab/>
        </w:r>
        <w:r w:rsidR="00E875E3">
          <w:rPr>
            <w:noProof/>
            <w:webHidden/>
          </w:rPr>
          <w:fldChar w:fldCharType="begin"/>
        </w:r>
        <w:r w:rsidR="00E875E3">
          <w:rPr>
            <w:noProof/>
            <w:webHidden/>
          </w:rPr>
          <w:instrText xml:space="preserve"> PAGEREF _Toc15401465 \h </w:instrText>
        </w:r>
        <w:r w:rsidR="00E875E3">
          <w:rPr>
            <w:noProof/>
            <w:webHidden/>
          </w:rPr>
        </w:r>
        <w:r w:rsidR="00E875E3">
          <w:rPr>
            <w:noProof/>
            <w:webHidden/>
          </w:rPr>
          <w:fldChar w:fldCharType="separate"/>
        </w:r>
        <w:r>
          <w:rPr>
            <w:noProof/>
            <w:webHidden/>
          </w:rPr>
          <w:t>2</w:t>
        </w:r>
        <w:r w:rsidR="00E875E3">
          <w:rPr>
            <w:noProof/>
            <w:webHidden/>
          </w:rPr>
          <w:fldChar w:fldCharType="end"/>
        </w:r>
      </w:hyperlink>
    </w:p>
    <w:p w:rsidR="00E875E3" w:rsidRDefault="006D34BE" w:rsidP="00140F03">
      <w:pPr>
        <w:pStyle w:val="TOC1"/>
        <w:rPr>
          <w:rFonts w:asciiTheme="minorHAnsi" w:eastAsiaTheme="minorEastAsia" w:hAnsiTheme="minorHAnsi" w:cstheme="minorBidi"/>
          <w:noProof/>
          <w:lang w:val="fr-BE" w:eastAsia="fr-BE"/>
        </w:rPr>
      </w:pPr>
      <w:hyperlink w:anchor="_Toc15401466" w:history="1">
        <w:r w:rsidR="00E875E3" w:rsidRPr="00515311">
          <w:rPr>
            <w:rStyle w:val="Hyperlink"/>
            <w:noProof/>
          </w:rPr>
          <w:t>4.</w:t>
        </w:r>
        <w:r w:rsidR="00E875E3">
          <w:rPr>
            <w:rFonts w:asciiTheme="minorHAnsi" w:eastAsiaTheme="minorEastAsia" w:hAnsiTheme="minorHAnsi" w:cstheme="minorBidi"/>
            <w:noProof/>
            <w:lang w:val="fr-BE" w:eastAsia="fr-BE"/>
          </w:rPr>
          <w:tab/>
        </w:r>
        <w:r w:rsidR="00E875E3" w:rsidRPr="00515311">
          <w:rPr>
            <w:rStyle w:val="Hyperlink"/>
            <w:b/>
            <w:noProof/>
          </w:rPr>
          <w:t>AGRICULTURA, DESARROLLO RURAL Y MEDIO AMBIENTE</w:t>
        </w:r>
        <w:r w:rsidR="00E875E3">
          <w:rPr>
            <w:noProof/>
            <w:webHidden/>
          </w:rPr>
          <w:tab/>
        </w:r>
        <w:r w:rsidR="00E875E3">
          <w:rPr>
            <w:noProof/>
            <w:webHidden/>
          </w:rPr>
          <w:fldChar w:fldCharType="begin"/>
        </w:r>
        <w:r w:rsidR="00E875E3">
          <w:rPr>
            <w:noProof/>
            <w:webHidden/>
          </w:rPr>
          <w:instrText xml:space="preserve"> PAGEREF _Toc15401466 \h </w:instrText>
        </w:r>
        <w:r w:rsidR="00E875E3">
          <w:rPr>
            <w:noProof/>
            <w:webHidden/>
          </w:rPr>
        </w:r>
        <w:r w:rsidR="00E875E3">
          <w:rPr>
            <w:noProof/>
            <w:webHidden/>
          </w:rPr>
          <w:fldChar w:fldCharType="separate"/>
        </w:r>
        <w:r>
          <w:rPr>
            <w:noProof/>
            <w:webHidden/>
          </w:rPr>
          <w:t>2</w:t>
        </w:r>
        <w:r w:rsidR="00E875E3">
          <w:rPr>
            <w:noProof/>
            <w:webHidden/>
          </w:rPr>
          <w:fldChar w:fldCharType="end"/>
        </w:r>
      </w:hyperlink>
    </w:p>
    <w:p w:rsidR="00E875E3" w:rsidRDefault="006D34BE" w:rsidP="00140F03">
      <w:pPr>
        <w:pStyle w:val="TOC1"/>
        <w:rPr>
          <w:rFonts w:asciiTheme="minorHAnsi" w:eastAsiaTheme="minorEastAsia" w:hAnsiTheme="minorHAnsi" w:cstheme="minorBidi"/>
          <w:noProof/>
          <w:lang w:val="fr-BE" w:eastAsia="fr-BE"/>
        </w:rPr>
      </w:pPr>
      <w:hyperlink w:anchor="_Toc15401467" w:history="1">
        <w:r w:rsidR="00E875E3" w:rsidRPr="00515311">
          <w:rPr>
            <w:rStyle w:val="Hyperlink"/>
            <w:noProof/>
          </w:rPr>
          <w:t>5.</w:t>
        </w:r>
        <w:r w:rsidR="00E875E3">
          <w:rPr>
            <w:rFonts w:asciiTheme="minorHAnsi" w:eastAsiaTheme="minorEastAsia" w:hAnsiTheme="minorHAnsi" w:cstheme="minorBidi"/>
            <w:noProof/>
            <w:lang w:val="fr-BE" w:eastAsia="fr-BE"/>
          </w:rPr>
          <w:tab/>
        </w:r>
        <w:r w:rsidR="00E875E3" w:rsidRPr="00515311">
          <w:rPr>
            <w:rStyle w:val="Hyperlink"/>
            <w:b/>
            <w:noProof/>
          </w:rPr>
          <w:t>EMPLEO, ASUNTOS SOCIALES Y CIUDADANÍA</w:t>
        </w:r>
        <w:r w:rsidR="00E875E3">
          <w:rPr>
            <w:noProof/>
            <w:webHidden/>
          </w:rPr>
          <w:tab/>
        </w:r>
        <w:r w:rsidR="00E875E3">
          <w:rPr>
            <w:noProof/>
            <w:webHidden/>
          </w:rPr>
          <w:fldChar w:fldCharType="begin"/>
        </w:r>
        <w:r w:rsidR="00E875E3">
          <w:rPr>
            <w:noProof/>
            <w:webHidden/>
          </w:rPr>
          <w:instrText xml:space="preserve"> PAGEREF _Toc15401467 \h </w:instrText>
        </w:r>
        <w:r w:rsidR="00E875E3">
          <w:rPr>
            <w:noProof/>
            <w:webHidden/>
          </w:rPr>
        </w:r>
        <w:r w:rsidR="00E875E3">
          <w:rPr>
            <w:noProof/>
            <w:webHidden/>
          </w:rPr>
          <w:fldChar w:fldCharType="separate"/>
        </w:r>
        <w:r>
          <w:rPr>
            <w:noProof/>
            <w:webHidden/>
          </w:rPr>
          <w:t>2</w:t>
        </w:r>
        <w:r w:rsidR="00E875E3">
          <w:rPr>
            <w:noProof/>
            <w:webHidden/>
          </w:rPr>
          <w:fldChar w:fldCharType="end"/>
        </w:r>
      </w:hyperlink>
    </w:p>
    <w:p w:rsidR="00E875E3" w:rsidRDefault="006D34BE" w:rsidP="00140F03">
      <w:pPr>
        <w:pStyle w:val="TOC1"/>
        <w:rPr>
          <w:rFonts w:asciiTheme="minorHAnsi" w:eastAsiaTheme="minorEastAsia" w:hAnsiTheme="minorHAnsi" w:cstheme="minorBidi"/>
          <w:noProof/>
          <w:lang w:val="fr-BE" w:eastAsia="fr-BE"/>
        </w:rPr>
      </w:pPr>
      <w:hyperlink w:anchor="_Toc15401468" w:history="1">
        <w:r w:rsidR="00E875E3" w:rsidRPr="00515311">
          <w:rPr>
            <w:rStyle w:val="Hyperlink"/>
            <w:noProof/>
          </w:rPr>
          <w:t>6.</w:t>
        </w:r>
        <w:r w:rsidR="00E875E3">
          <w:rPr>
            <w:rFonts w:asciiTheme="minorHAnsi" w:eastAsiaTheme="minorEastAsia" w:hAnsiTheme="minorHAnsi" w:cstheme="minorBidi"/>
            <w:noProof/>
            <w:lang w:val="fr-BE" w:eastAsia="fr-BE"/>
          </w:rPr>
          <w:tab/>
        </w:r>
        <w:r w:rsidR="00E875E3" w:rsidRPr="00515311">
          <w:rPr>
            <w:rStyle w:val="Hyperlink"/>
            <w:b/>
            <w:noProof/>
          </w:rPr>
          <w:t>COMISIÓN CONSULTIVA DE LAS TRANSFORMACIONES INDUSTRIALES</w:t>
        </w:r>
        <w:r w:rsidR="00E875E3">
          <w:rPr>
            <w:noProof/>
            <w:webHidden/>
          </w:rPr>
          <w:tab/>
        </w:r>
        <w:r w:rsidR="00E875E3">
          <w:rPr>
            <w:noProof/>
            <w:webHidden/>
          </w:rPr>
          <w:fldChar w:fldCharType="begin"/>
        </w:r>
        <w:r w:rsidR="00E875E3">
          <w:rPr>
            <w:noProof/>
            <w:webHidden/>
          </w:rPr>
          <w:instrText xml:space="preserve"> PAGEREF _Toc15401468 \h </w:instrText>
        </w:r>
        <w:r w:rsidR="00E875E3">
          <w:rPr>
            <w:noProof/>
            <w:webHidden/>
          </w:rPr>
        </w:r>
        <w:r w:rsidR="00E875E3">
          <w:rPr>
            <w:noProof/>
            <w:webHidden/>
          </w:rPr>
          <w:fldChar w:fldCharType="separate"/>
        </w:r>
        <w:r>
          <w:rPr>
            <w:noProof/>
            <w:webHidden/>
          </w:rPr>
          <w:t>2</w:t>
        </w:r>
        <w:r w:rsidR="00E875E3">
          <w:rPr>
            <w:noProof/>
            <w:webHidden/>
          </w:rPr>
          <w:fldChar w:fldCharType="end"/>
        </w:r>
      </w:hyperlink>
    </w:p>
    <w:p w:rsidR="008405A0" w:rsidRPr="004F4081" w:rsidRDefault="003353E8" w:rsidP="001F50B6">
      <w:pPr>
        <w:ind w:left="567" w:hanging="567"/>
      </w:pPr>
      <w:r w:rsidRPr="002B07FF">
        <w:fldChar w:fldCharType="end"/>
      </w:r>
      <w:r>
        <w:br w:type="page"/>
      </w:r>
    </w:p>
    <w:p w:rsidR="00421682" w:rsidRPr="004F4081" w:rsidRDefault="00AD7EE7" w:rsidP="001F50B6">
      <w:r>
        <w:lastRenderedPageBreak/>
        <w:t>Los dictámenes aprobados en el pleno de los días 17 y 18 de julio de 2019 fueron los siguientes:</w:t>
      </w:r>
    </w:p>
    <w:p w:rsidR="00A43397" w:rsidRPr="004F4081" w:rsidRDefault="00A43397" w:rsidP="001F50B6">
      <w:pPr>
        <w:rPr>
          <w:lang w:val="en-GB"/>
        </w:rPr>
      </w:pPr>
    </w:p>
    <w:p w:rsidR="00A43397" w:rsidRPr="004F4081" w:rsidRDefault="000C491C" w:rsidP="001F50B6">
      <w:pPr>
        <w:pStyle w:val="Heading1"/>
        <w:ind w:left="567" w:hanging="567"/>
        <w:rPr>
          <w:b/>
          <w:caps/>
        </w:rPr>
      </w:pPr>
      <w:bookmarkStart w:id="1" w:name="_Toc15401463"/>
      <w:r>
        <w:rPr>
          <w:b/>
          <w:caps/>
        </w:rPr>
        <w:t>Unión Económica y Monetaria y Cohesión Económica y Social</w:t>
      </w:r>
      <w:bookmarkEnd w:id="1"/>
    </w:p>
    <w:p w:rsidR="00026116" w:rsidRPr="004F4081" w:rsidRDefault="00026116" w:rsidP="001F50B6">
      <w:pPr>
        <w:jc w:val="left"/>
        <w:rPr>
          <w:b/>
          <w:caps/>
          <w:kern w:val="28"/>
          <w:lang w:val="en-GB"/>
        </w:rPr>
      </w:pPr>
    </w:p>
    <w:p w:rsidR="008262D3" w:rsidRPr="004F4081" w:rsidRDefault="007A7FE9" w:rsidP="001F50B6">
      <w:pPr>
        <w:jc w:val="left"/>
        <w:rPr>
          <w:b/>
          <w:caps/>
          <w:kern w:val="28"/>
        </w:rPr>
      </w:pPr>
      <w:r>
        <w:rPr>
          <w:b/>
          <w:caps/>
          <w:u w:val="single"/>
        </w:rPr>
        <w:t>ECO/458</w:t>
      </w:r>
    </w:p>
    <w:p w:rsidR="008262D3" w:rsidRPr="004F4081" w:rsidRDefault="008262D3" w:rsidP="001F50B6">
      <w:pPr>
        <w:jc w:val="left"/>
        <w:rPr>
          <w:b/>
          <w:caps/>
          <w:kern w:val="28"/>
          <w:lang w:val="en-GB"/>
        </w:rPr>
      </w:pPr>
    </w:p>
    <w:p w:rsidR="00847378" w:rsidRPr="004F4081" w:rsidRDefault="009241D3" w:rsidP="001F50B6">
      <w:pPr>
        <w:widowControl w:val="0"/>
        <w:numPr>
          <w:ilvl w:val="0"/>
          <w:numId w:val="13"/>
        </w:numPr>
        <w:overflowPunct w:val="0"/>
        <w:autoSpaceDE w:val="0"/>
        <w:autoSpaceDN w:val="0"/>
        <w:adjustRightInd w:val="0"/>
        <w:ind w:left="567" w:hanging="567"/>
        <w:textAlignment w:val="baseline"/>
        <w:rPr>
          <w:b/>
          <w:i/>
          <w:sz w:val="28"/>
          <w:szCs w:val="28"/>
        </w:rPr>
      </w:pPr>
      <w:r>
        <w:rPr>
          <w:b/>
          <w:i/>
          <w:sz w:val="28"/>
          <w:szCs w:val="28"/>
        </w:rPr>
        <w:t>La fiscalidad de la economía digitalizada</w:t>
      </w:r>
    </w:p>
    <w:p w:rsidR="00E97ECB" w:rsidRPr="004F4081" w:rsidRDefault="00E97ECB" w:rsidP="001F50B6">
      <w:pPr>
        <w:tabs>
          <w:tab w:val="center" w:pos="284"/>
          <w:tab w:val="left" w:pos="1701"/>
        </w:tabs>
        <w:ind w:left="266" w:hanging="266"/>
        <w:rPr>
          <w:b/>
          <w:lang w:val="en-GB"/>
        </w:rPr>
      </w:pPr>
    </w:p>
    <w:p w:rsidR="00847378" w:rsidRPr="002B07FF" w:rsidRDefault="00847378" w:rsidP="001F50B6">
      <w:pPr>
        <w:tabs>
          <w:tab w:val="center" w:pos="284"/>
          <w:tab w:val="left" w:pos="1701"/>
        </w:tabs>
        <w:ind w:left="266" w:hanging="266"/>
      </w:pPr>
      <w:r>
        <w:rPr>
          <w:b/>
        </w:rPr>
        <w:t>Ponente:</w:t>
      </w:r>
      <w:r>
        <w:tab/>
        <w:t>Krister ANDERSSON (Grupo de Empresarios – SE)</w:t>
      </w:r>
    </w:p>
    <w:p w:rsidR="00847378" w:rsidRPr="004F4081" w:rsidRDefault="00847378" w:rsidP="001F50B6">
      <w:pPr>
        <w:tabs>
          <w:tab w:val="center" w:pos="284"/>
        </w:tabs>
        <w:ind w:left="266" w:hanging="266"/>
        <w:rPr>
          <w:lang w:val="en-GB"/>
        </w:rPr>
      </w:pPr>
    </w:p>
    <w:p w:rsidR="007A7FE9" w:rsidRPr="002B07FF" w:rsidRDefault="00847378" w:rsidP="001F50B6">
      <w:pPr>
        <w:tabs>
          <w:tab w:val="center" w:pos="284"/>
        </w:tabs>
        <w:ind w:left="266" w:hanging="266"/>
      </w:pPr>
      <w:r>
        <w:rPr>
          <w:b/>
        </w:rPr>
        <w:t>Referencia:</w:t>
      </w:r>
      <w:r w:rsidR="0010098E">
        <w:rPr>
          <w:b/>
        </w:rPr>
        <w:tab/>
      </w:r>
      <w:r w:rsidR="0010098E">
        <w:rPr>
          <w:b/>
        </w:rPr>
        <w:tab/>
      </w:r>
      <w:r>
        <w:t>Dictamen de iniciativa</w:t>
      </w:r>
    </w:p>
    <w:p w:rsidR="00847378" w:rsidRPr="004F4081" w:rsidRDefault="009241D3" w:rsidP="001F50B6">
      <w:pPr>
        <w:tabs>
          <w:tab w:val="center" w:pos="284"/>
        </w:tabs>
        <w:ind w:left="266" w:firstLine="1435"/>
      </w:pPr>
      <w:r>
        <w:t>EESC-2018-02781-00-00-AC</w:t>
      </w:r>
    </w:p>
    <w:p w:rsidR="00B15573" w:rsidRPr="004F4081" w:rsidRDefault="00B15573">
      <w:pPr>
        <w:keepNext/>
        <w:keepLines/>
        <w:tabs>
          <w:tab w:val="center" w:pos="284"/>
        </w:tabs>
        <w:ind w:left="266" w:hanging="266"/>
        <w:rPr>
          <w:b/>
          <w:lang w:val="en-GB"/>
        </w:rPr>
      </w:pPr>
    </w:p>
    <w:p w:rsidR="00847378" w:rsidRPr="004F4081" w:rsidRDefault="00AC6F72">
      <w:pPr>
        <w:keepNext/>
        <w:keepLines/>
        <w:tabs>
          <w:tab w:val="center" w:pos="284"/>
        </w:tabs>
        <w:ind w:left="266" w:hanging="266"/>
        <w:rPr>
          <w:b/>
        </w:rPr>
      </w:pPr>
      <w:r>
        <w:rPr>
          <w:b/>
        </w:rPr>
        <w:t>Puntos clave</w:t>
      </w:r>
    </w:p>
    <w:p w:rsidR="00BB6F7D" w:rsidRPr="002B07FF" w:rsidRDefault="00BB6F7D">
      <w:pPr>
        <w:jc w:val="left"/>
        <w:rPr>
          <w:lang w:val="en-GB"/>
        </w:rPr>
      </w:pPr>
    </w:p>
    <w:p w:rsidR="00B750B4" w:rsidRPr="002B07FF" w:rsidRDefault="009241D3">
      <w:pPr>
        <w:jc w:val="left"/>
      </w:pPr>
      <w:r>
        <w:t>El CESE:</w:t>
      </w:r>
    </w:p>
    <w:p w:rsidR="009241D3" w:rsidRPr="002B07FF" w:rsidRDefault="009241D3">
      <w:pPr>
        <w:jc w:val="left"/>
        <w:rPr>
          <w:lang w:val="en-GB"/>
        </w:rPr>
      </w:pPr>
    </w:p>
    <w:p w:rsidR="007D48A1" w:rsidRPr="002B07FF" w:rsidRDefault="009241D3" w:rsidP="00C604EE">
      <w:pPr>
        <w:pStyle w:val="ListParagraph"/>
        <w:numPr>
          <w:ilvl w:val="0"/>
          <w:numId w:val="77"/>
        </w:numPr>
        <w:ind w:left="709"/>
      </w:pPr>
      <w:r>
        <w:t>considera que la digitalización de la economía representa una gran oportunidad y que la Agenda Digital de la UE es una política clave para la Unión Europea;</w:t>
      </w:r>
    </w:p>
    <w:p w:rsidR="009241D3" w:rsidRPr="002B07FF" w:rsidRDefault="009241D3" w:rsidP="009241D3">
      <w:pPr>
        <w:rPr>
          <w:lang w:val="en-GB"/>
        </w:rPr>
      </w:pPr>
    </w:p>
    <w:p w:rsidR="009241D3" w:rsidRPr="002B07FF" w:rsidRDefault="002C2380" w:rsidP="00C604EE">
      <w:pPr>
        <w:pStyle w:val="ListParagraph"/>
        <w:numPr>
          <w:ilvl w:val="0"/>
          <w:numId w:val="77"/>
        </w:numPr>
        <w:ind w:left="709"/>
      </w:pPr>
      <w:r>
        <w:rPr>
          <w:color w:val="000000" w:themeColor="text1"/>
        </w:rPr>
        <w:t>insiste en la necesidad de que los sistemas tributarios tengan debidamente en cuenta los nuevos modelos de negocio. Los principios de un sistema tributario justo —coherencia, previsibilidad, neutralidad— son más pertinentes que nunca tanto para las autoridades públicas como para las empresas y los consumidores;</w:t>
      </w:r>
    </w:p>
    <w:p w:rsidR="002C2380" w:rsidRPr="002B07FF" w:rsidRDefault="002C2380" w:rsidP="002C2380">
      <w:pPr>
        <w:ind w:left="709"/>
        <w:rPr>
          <w:lang w:val="en-GB"/>
        </w:rPr>
      </w:pPr>
    </w:p>
    <w:p w:rsidR="002C2380" w:rsidRPr="002B07FF" w:rsidRDefault="002C2380" w:rsidP="00C604EE">
      <w:pPr>
        <w:pStyle w:val="ListParagraph"/>
        <w:numPr>
          <w:ilvl w:val="0"/>
          <w:numId w:val="77"/>
        </w:numPr>
        <w:ind w:left="709"/>
      </w:pPr>
      <w:r>
        <w:rPr>
          <w:color w:val="000000" w:themeColor="text1"/>
        </w:rPr>
        <w:t>está convencido de que, en el contexto de la digitalización de la economía, todo cambio en las normas de reparto entre países de los derechos de fiscalidad sobre los beneficios debe coordinarse a escala del planeta. Por lo tanto, el CESE acoge con satisfacción la estrecha cooperación entre la Comisión, los Estados miembros y la OCDE y el G-20 para apoyar la elaboración de una solución internacional que limite el riesgo de doble imposición a nivel internacional. Si no se logra alcanzar una solución a escala internacional, la UE deberá actuar por su cuenta;</w:t>
      </w:r>
    </w:p>
    <w:p w:rsidR="002C2380" w:rsidRPr="002B07FF" w:rsidRDefault="002C2380" w:rsidP="002C2380">
      <w:pPr>
        <w:rPr>
          <w:lang w:val="en-GB"/>
        </w:rPr>
      </w:pPr>
    </w:p>
    <w:p w:rsidR="002C2380" w:rsidRPr="002B07FF" w:rsidRDefault="002C2380" w:rsidP="00C604EE">
      <w:pPr>
        <w:pStyle w:val="ListParagraph"/>
        <w:numPr>
          <w:ilvl w:val="0"/>
          <w:numId w:val="78"/>
        </w:numPr>
        <w:ind w:left="709"/>
        <w:rPr>
          <w:color w:val="000000" w:themeColor="text1"/>
        </w:rPr>
      </w:pPr>
      <w:r>
        <w:rPr>
          <w:color w:val="000000" w:themeColor="text1"/>
        </w:rPr>
        <w:t>anima a la Comisión y a los Estados miembros a estudiar cuidadosamente todas las posibilidades para eliminar cualquier imposición insuficiente de los servicios digitales, independientemente de dónde esté radicada la empresa, por aquellas ventas que acaban en un Estado miembro. Los servicios prestados a través de plataformas que utilicen los consumidores europeos deberían incorporarse plenamente en el sistema del IVA, como elemento esencial para abordar la cuestión fiscal;</w:t>
      </w:r>
    </w:p>
    <w:p w:rsidR="002C2380" w:rsidRPr="002B07FF" w:rsidRDefault="002C2380" w:rsidP="002C2380">
      <w:pPr>
        <w:rPr>
          <w:color w:val="000000" w:themeColor="text1"/>
          <w:lang w:val="en-GB"/>
        </w:rPr>
      </w:pPr>
    </w:p>
    <w:p w:rsidR="002C2380" w:rsidRPr="002B07FF" w:rsidRDefault="002C2380" w:rsidP="00C604EE">
      <w:pPr>
        <w:pStyle w:val="ListParagraph"/>
        <w:numPr>
          <w:ilvl w:val="0"/>
          <w:numId w:val="76"/>
        </w:numPr>
        <w:rPr>
          <w:color w:val="000000" w:themeColor="text1"/>
        </w:rPr>
      </w:pPr>
      <w:r>
        <w:rPr>
          <w:color w:val="000000" w:themeColor="text1"/>
        </w:rPr>
        <w:t>recomienda que la clave de reparto que se ha sugerido para la base imponible consolidada común del impuesto sobre sociedades, con sus tres factores, se podría utilizar y aplicar como punto de partida para la atribución de los beneficios residuales, si este es el método acordado en la OCDE;</w:t>
      </w:r>
    </w:p>
    <w:p w:rsidR="002C2380" w:rsidRPr="002B07FF" w:rsidRDefault="002C2380" w:rsidP="002C2380">
      <w:pPr>
        <w:rPr>
          <w:color w:val="000000" w:themeColor="text1"/>
          <w:lang w:val="en-GB"/>
        </w:rPr>
      </w:pPr>
    </w:p>
    <w:p w:rsidR="002C2380" w:rsidRPr="002B07FF" w:rsidRDefault="002C2380" w:rsidP="00C604EE">
      <w:pPr>
        <w:pStyle w:val="ListParagraph"/>
        <w:keepNext/>
        <w:keepLines/>
        <w:numPr>
          <w:ilvl w:val="0"/>
          <w:numId w:val="76"/>
        </w:numPr>
        <w:ind w:left="714" w:hanging="357"/>
        <w:rPr>
          <w:color w:val="000000" w:themeColor="text1"/>
        </w:rPr>
      </w:pPr>
      <w:r>
        <w:lastRenderedPageBreak/>
        <w:t>propone que para atribuir el beneficio residual se utilice una fórmula compuesta por cuatro factores, en lugar de los tres de la fórmula de la base imponible consolidada común del impuesto sobre sociedades y el Comité reconoce plenamente la complejidad del cálculo de los derechos de fiscalidad internacionales.</w:t>
      </w:r>
      <w:r>
        <w:rPr>
          <w:color w:val="000000" w:themeColor="text1"/>
        </w:rPr>
        <w:t xml:space="preserve"> Al mismo tiempo, se necesita una atribución aceptable y justa de los derechos fiscales entre países;</w:t>
      </w:r>
    </w:p>
    <w:p w:rsidR="002C2380" w:rsidRPr="002B07FF" w:rsidRDefault="002C2380" w:rsidP="002C2380">
      <w:pPr>
        <w:rPr>
          <w:color w:val="000000" w:themeColor="text1"/>
          <w:lang w:val="en-GB"/>
        </w:rPr>
      </w:pPr>
    </w:p>
    <w:p w:rsidR="002C2380" w:rsidRPr="002B07FF" w:rsidRDefault="002C2380" w:rsidP="00C604EE">
      <w:pPr>
        <w:pStyle w:val="ListParagraph"/>
        <w:numPr>
          <w:ilvl w:val="0"/>
          <w:numId w:val="78"/>
        </w:numPr>
        <w:ind w:left="709"/>
      </w:pPr>
      <w:r>
        <w:rPr>
          <w:color w:val="000000" w:themeColor="text1"/>
        </w:rPr>
        <w:t>considera necesario lograr un equilibrio razonable entre la reatribución de los impuestos sobre los beneficios de las empresas entre países exportadores netos y países importadores netos, para no comprometer la posibilidad de que los países cumplan sus objetivos sociales y medioambientales.</w:t>
      </w:r>
    </w:p>
    <w:p w:rsidR="007D48A1" w:rsidRPr="002B07FF" w:rsidRDefault="007D48A1">
      <w:pPr>
        <w:rPr>
          <w:lang w:val="en-GB"/>
        </w:rPr>
      </w:pPr>
    </w:p>
    <w:p w:rsidR="009241D3" w:rsidRPr="002B07FF" w:rsidRDefault="007D48A1" w:rsidP="009241D3">
      <w:pPr>
        <w:tabs>
          <w:tab w:val="left" w:pos="0"/>
        </w:tabs>
        <w:ind w:left="1701" w:right="-141" w:hanging="1701"/>
        <w:rPr>
          <w:i/>
          <w:iCs/>
        </w:rPr>
      </w:pPr>
      <w:r>
        <w:rPr>
          <w:b/>
          <w:bCs/>
          <w:i/>
          <w:iCs/>
        </w:rPr>
        <w:t>Contacto:</w:t>
      </w:r>
      <w:r w:rsidR="0010098E">
        <w:rPr>
          <w:b/>
          <w:bCs/>
          <w:i/>
          <w:iCs/>
        </w:rPr>
        <w:tab/>
      </w:r>
      <w:r>
        <w:rPr>
          <w:bCs/>
          <w:i/>
          <w:iCs/>
        </w:rPr>
        <w:t>Jüri Soosaar</w:t>
      </w:r>
    </w:p>
    <w:p w:rsidR="007D48A1" w:rsidRPr="002B07FF" w:rsidRDefault="009241D3" w:rsidP="009241D3">
      <w:pPr>
        <w:tabs>
          <w:tab w:val="left" w:pos="0"/>
        </w:tabs>
        <w:ind w:left="1701" w:right="-141" w:hanging="1701"/>
        <w:rPr>
          <w:i/>
          <w:iCs/>
        </w:rPr>
      </w:pPr>
      <w:r>
        <w:rPr>
          <w:b/>
          <w:bCs/>
          <w:i/>
          <w:iCs/>
        </w:rPr>
        <w:tab/>
      </w:r>
      <w:r>
        <w:rPr>
          <w:i/>
          <w:iCs/>
        </w:rPr>
        <w:t>(Tel.: 00 32 2 546 97 40 – correo electrónico:</w:t>
      </w:r>
      <w:hyperlink r:id="rId21" w:history="1">
        <w:r>
          <w:rPr>
            <w:rStyle w:val="Hyperlink"/>
          </w:rPr>
          <w:t xml:space="preserve"> </w:t>
        </w:r>
        <w:r>
          <w:rPr>
            <w:rStyle w:val="Hyperlink"/>
            <w:i/>
          </w:rPr>
          <w:t>Juri.Soosaar</w:t>
        </w:r>
        <w:r>
          <w:rPr>
            <w:rStyle w:val="Hyperlink"/>
            <w:i/>
            <w:iCs/>
          </w:rPr>
          <w:t>@eesc.europa.eu</w:t>
        </w:r>
      </w:hyperlink>
      <w:r>
        <w:rPr>
          <w:i/>
          <w:iCs/>
        </w:rPr>
        <w:t>)</w:t>
      </w:r>
    </w:p>
    <w:p w:rsidR="00085624" w:rsidRPr="004F4081" w:rsidRDefault="00085624">
      <w:pPr>
        <w:jc w:val="left"/>
        <w:rPr>
          <w:b/>
          <w:caps/>
          <w:kern w:val="28"/>
          <w:u w:val="single"/>
          <w:lang w:val="en-GB"/>
        </w:rPr>
      </w:pPr>
    </w:p>
    <w:p w:rsidR="006D5DF2" w:rsidRPr="002B07FF" w:rsidRDefault="006D5DF2" w:rsidP="005D56C1">
      <w:pPr>
        <w:jc w:val="left"/>
      </w:pPr>
      <w:r>
        <w:rPr>
          <w:b/>
          <w:u w:val="single"/>
        </w:rPr>
        <w:t>ECO/491</w:t>
      </w:r>
    </w:p>
    <w:p w:rsidR="006D5DF2" w:rsidRPr="002B07FF" w:rsidRDefault="006D5DF2" w:rsidP="005D56C1">
      <w:pPr>
        <w:jc w:val="left"/>
        <w:rPr>
          <w:lang w:val="en-GB"/>
        </w:rPr>
      </w:pPr>
    </w:p>
    <w:p w:rsidR="006D5DF2" w:rsidRPr="002B07FF" w:rsidRDefault="003A631F">
      <w:pPr>
        <w:widowControl w:val="0"/>
        <w:numPr>
          <w:ilvl w:val="0"/>
          <w:numId w:val="13"/>
        </w:numPr>
        <w:overflowPunct w:val="0"/>
        <w:autoSpaceDE w:val="0"/>
        <w:autoSpaceDN w:val="0"/>
        <w:adjustRightInd w:val="0"/>
        <w:ind w:left="567" w:hanging="567"/>
        <w:textAlignment w:val="baseline"/>
        <w:rPr>
          <w:b/>
          <w:i/>
          <w:sz w:val="28"/>
          <w:szCs w:val="28"/>
        </w:rPr>
      </w:pPr>
      <w:r>
        <w:rPr>
          <w:b/>
          <w:i/>
          <w:sz w:val="28"/>
          <w:szCs w:val="28"/>
        </w:rPr>
        <w:t>Fiscalidad – Votación por mayoría cualificada</w:t>
      </w:r>
    </w:p>
    <w:p w:rsidR="006D5DF2" w:rsidRPr="002B07FF" w:rsidRDefault="006D5DF2">
      <w:pPr>
        <w:widowControl w:val="0"/>
        <w:overflowPunct w:val="0"/>
        <w:autoSpaceDE w:val="0"/>
        <w:autoSpaceDN w:val="0"/>
        <w:adjustRightInd w:val="0"/>
        <w:textAlignment w:val="baseline"/>
        <w:rPr>
          <w:b/>
          <w:i/>
          <w:lang w:val="en-GB"/>
        </w:rPr>
      </w:pPr>
    </w:p>
    <w:p w:rsidR="00C604EE" w:rsidRPr="002B07FF" w:rsidRDefault="006D5DF2" w:rsidP="003A631F">
      <w:pPr>
        <w:tabs>
          <w:tab w:val="center" w:pos="284"/>
        </w:tabs>
        <w:ind w:left="266" w:hanging="266"/>
      </w:pPr>
      <w:r>
        <w:rPr>
          <w:b/>
        </w:rPr>
        <w:t>Ponente:</w:t>
      </w:r>
      <w:r>
        <w:tab/>
      </w:r>
      <w:r w:rsidR="0010098E">
        <w:tab/>
      </w:r>
      <w:r>
        <w:t>Krister ANDERSSON (Grupo de Empresarios – SE)</w:t>
      </w:r>
    </w:p>
    <w:p w:rsidR="003A631F" w:rsidRPr="002B07FF" w:rsidRDefault="003A631F" w:rsidP="00C604EE">
      <w:pPr>
        <w:tabs>
          <w:tab w:val="right" w:pos="1701"/>
        </w:tabs>
        <w:ind w:left="1701"/>
      </w:pPr>
      <w:r>
        <w:t>Juan MENDOZA CASTRO (Grupo de Trabajadores – ES)</w:t>
      </w:r>
    </w:p>
    <w:p w:rsidR="006D5DF2" w:rsidRPr="002B07FF" w:rsidRDefault="003A631F" w:rsidP="004154C1">
      <w:pPr>
        <w:tabs>
          <w:tab w:val="center" w:pos="284"/>
          <w:tab w:val="left" w:pos="1701"/>
        </w:tabs>
        <w:ind w:left="266" w:firstLine="1435"/>
      </w:pPr>
      <w:r>
        <w:t>Mihai IVAȘCU (Grupo Diversidad Europa – RO)</w:t>
      </w:r>
    </w:p>
    <w:p w:rsidR="006D5DF2" w:rsidRPr="002B07FF" w:rsidRDefault="006D5DF2">
      <w:pPr>
        <w:tabs>
          <w:tab w:val="center" w:pos="284"/>
        </w:tabs>
        <w:ind w:left="266" w:hanging="266"/>
        <w:rPr>
          <w:lang w:val="en-GB"/>
        </w:rPr>
      </w:pPr>
    </w:p>
    <w:p w:rsidR="006D5DF2" w:rsidRPr="002B07FF" w:rsidRDefault="006D5DF2">
      <w:pPr>
        <w:tabs>
          <w:tab w:val="center" w:pos="284"/>
        </w:tabs>
        <w:ind w:left="266" w:hanging="266"/>
      </w:pPr>
      <w:r>
        <w:rPr>
          <w:b/>
        </w:rPr>
        <w:t>Referencia:</w:t>
      </w:r>
      <w:r w:rsidR="0010098E">
        <w:rPr>
          <w:b/>
        </w:rPr>
        <w:tab/>
      </w:r>
      <w:r w:rsidR="0010098E">
        <w:rPr>
          <w:b/>
        </w:rPr>
        <w:tab/>
      </w:r>
      <w:r>
        <w:t>COM(2019) 8 final</w:t>
      </w:r>
    </w:p>
    <w:p w:rsidR="006D5DF2" w:rsidRPr="002B07FF" w:rsidRDefault="003A631F">
      <w:pPr>
        <w:tabs>
          <w:tab w:val="center" w:pos="284"/>
        </w:tabs>
        <w:ind w:left="266" w:firstLine="1435"/>
      </w:pPr>
      <w:r>
        <w:t>EESC-2019-00699-00-00-AC</w:t>
      </w:r>
    </w:p>
    <w:p w:rsidR="006D5DF2" w:rsidRPr="002B07FF" w:rsidRDefault="006D5DF2">
      <w:pPr>
        <w:tabs>
          <w:tab w:val="center" w:pos="284"/>
        </w:tabs>
        <w:ind w:left="266" w:hanging="266"/>
        <w:rPr>
          <w:lang w:val="en-GB"/>
        </w:rPr>
      </w:pPr>
    </w:p>
    <w:p w:rsidR="00786F0E" w:rsidRPr="002B07FF" w:rsidRDefault="00786F0E">
      <w:pPr>
        <w:tabs>
          <w:tab w:val="center" w:pos="284"/>
        </w:tabs>
        <w:ind w:left="266" w:hanging="266"/>
        <w:rPr>
          <w:b/>
          <w:color w:val="000000" w:themeColor="text1"/>
        </w:rPr>
      </w:pPr>
      <w:r>
        <w:rPr>
          <w:b/>
          <w:color w:val="000000" w:themeColor="text1"/>
        </w:rPr>
        <w:t>Puntos clave</w:t>
      </w:r>
    </w:p>
    <w:p w:rsidR="00BB6F7D" w:rsidRPr="002B07FF" w:rsidRDefault="00BB6F7D">
      <w:pPr>
        <w:tabs>
          <w:tab w:val="center" w:pos="284"/>
        </w:tabs>
        <w:ind w:left="266" w:hanging="266"/>
        <w:rPr>
          <w:b/>
          <w:color w:val="000000" w:themeColor="text1"/>
          <w:lang w:val="en-GB"/>
        </w:rPr>
      </w:pPr>
    </w:p>
    <w:p w:rsidR="003A631F" w:rsidRPr="002B07FF" w:rsidRDefault="003A631F" w:rsidP="003A631F">
      <w:pPr>
        <w:pStyle w:val="Heading2"/>
        <w:numPr>
          <w:ilvl w:val="0"/>
          <w:numId w:val="79"/>
        </w:numPr>
        <w:autoSpaceDE w:val="0"/>
        <w:autoSpaceDN w:val="0"/>
      </w:pPr>
      <w:r>
        <w:t>El CESE apoya la ambición de la Comisión de poner en marcha un debate necesario, habida cuenta de las reticencias que suscita la votación por mayoría cualificada en materia fiscal. Al mismo tiempo, el CESE considera que hay determinadas condiciones que deberían cumplirse para que la votación por mayoría cualificada se introdujera con éxito.</w:t>
      </w:r>
    </w:p>
    <w:p w:rsidR="003A631F" w:rsidRPr="002B07FF" w:rsidRDefault="003A631F" w:rsidP="003A631F">
      <w:pPr>
        <w:ind w:left="567" w:hanging="567"/>
        <w:rPr>
          <w:lang w:val="en-GB"/>
        </w:rPr>
      </w:pPr>
    </w:p>
    <w:p w:rsidR="003A631F" w:rsidRPr="002B07FF" w:rsidRDefault="003A631F" w:rsidP="003A631F">
      <w:pPr>
        <w:pStyle w:val="Heading2"/>
        <w:numPr>
          <w:ilvl w:val="0"/>
          <w:numId w:val="79"/>
        </w:numPr>
        <w:autoSpaceDE w:val="0"/>
        <w:autoSpaceDN w:val="0"/>
      </w:pPr>
      <w:r>
        <w:t>La regla de la unanimidad en el ámbito fiscal puede parecer cada vez más anacrónica desde el punto de vista político, problemática desde el jurídico y económicamente contraproducente. En el futuro, si adoptara la votación por mayoría cualificada, el Parlamento Europeo desempeñaría un papel importante en el ámbito fiscal.</w:t>
      </w:r>
    </w:p>
    <w:p w:rsidR="003A631F" w:rsidRPr="002B07FF" w:rsidRDefault="003A631F" w:rsidP="003A631F">
      <w:pPr>
        <w:rPr>
          <w:lang w:val="en-GB"/>
        </w:rPr>
      </w:pPr>
    </w:p>
    <w:p w:rsidR="003A631F" w:rsidRPr="002B07FF" w:rsidRDefault="003A631F" w:rsidP="003A631F">
      <w:pPr>
        <w:pStyle w:val="ListParagraph"/>
        <w:numPr>
          <w:ilvl w:val="0"/>
          <w:numId w:val="79"/>
        </w:numPr>
      </w:pPr>
      <w:r>
        <w:t>La unanimidad en materia fiscal ha tenido repercusiones en otras prioridades políticas más amplias de la UE.</w:t>
      </w:r>
    </w:p>
    <w:p w:rsidR="003A631F" w:rsidRPr="002B07FF" w:rsidRDefault="003A631F" w:rsidP="003A631F">
      <w:pPr>
        <w:rPr>
          <w:lang w:val="en-GB"/>
        </w:rPr>
      </w:pPr>
    </w:p>
    <w:p w:rsidR="003A631F" w:rsidRPr="002B07FF" w:rsidRDefault="003A631F" w:rsidP="003A631F">
      <w:pPr>
        <w:pStyle w:val="ListParagraph"/>
        <w:numPr>
          <w:ilvl w:val="0"/>
          <w:numId w:val="79"/>
        </w:numPr>
      </w:pPr>
      <w:r>
        <w:t>El CESE considera también que la política fiscal en general, y la lucha contra el fraude fiscal en particular, tienen que seguir siendo un ámbito político prioritario para la próxima Comisión Europea.</w:t>
      </w:r>
    </w:p>
    <w:p w:rsidR="003A631F" w:rsidRPr="002B07FF" w:rsidRDefault="003A631F" w:rsidP="003A631F">
      <w:pPr>
        <w:rPr>
          <w:lang w:val="en-GB"/>
        </w:rPr>
      </w:pPr>
    </w:p>
    <w:p w:rsidR="003A631F" w:rsidRPr="002B07FF" w:rsidRDefault="003A631F" w:rsidP="003A631F">
      <w:pPr>
        <w:pStyle w:val="Heading2"/>
        <w:numPr>
          <w:ilvl w:val="0"/>
          <w:numId w:val="79"/>
        </w:numPr>
        <w:autoSpaceDE w:val="0"/>
        <w:autoSpaceDN w:val="0"/>
      </w:pPr>
      <w:r>
        <w:lastRenderedPageBreak/>
        <w:t>El CESE es consciente de que la política fiscal siempre ha estado estrechamente vinculada a la soberanía de los Estados miembros, puesto que es sumamente importante para ellos. El CESE entiende que para algunos Estados miembros de la UE la competencia fiscal ha constituido un factor para resolver problemas financieros en el pasado.</w:t>
      </w:r>
    </w:p>
    <w:p w:rsidR="003A631F" w:rsidRPr="002B07FF" w:rsidRDefault="003A631F" w:rsidP="003A631F">
      <w:pPr>
        <w:rPr>
          <w:lang w:val="en-GB"/>
        </w:rPr>
      </w:pPr>
    </w:p>
    <w:p w:rsidR="003A631F" w:rsidRPr="002B07FF" w:rsidRDefault="003A631F" w:rsidP="003A631F">
      <w:pPr>
        <w:pStyle w:val="Heading2"/>
        <w:numPr>
          <w:ilvl w:val="0"/>
          <w:numId w:val="79"/>
        </w:numPr>
        <w:autoSpaceDE w:val="0"/>
        <w:autoSpaceDN w:val="0"/>
      </w:pPr>
      <w:r>
        <w:t>Tras un análisis económico, social y fiscal exhaustivo, cualquier norma nueva debe ser adecuada para cumplir su propósito y todos los Estados miembros deberán contar en todo momento con posibilidades suficientes para participar en el proceso de toma de decisiones. La obtención de un resultado ventajoso, tanto a nivel de la UE como de cada Estado miembro, deberá ser el objetivo último.</w:t>
      </w:r>
    </w:p>
    <w:p w:rsidR="003A631F" w:rsidRPr="002B07FF" w:rsidRDefault="003A631F" w:rsidP="003A631F">
      <w:pPr>
        <w:outlineLvl w:val="1"/>
        <w:rPr>
          <w:lang w:val="en-GB"/>
        </w:rPr>
      </w:pPr>
    </w:p>
    <w:p w:rsidR="003A631F" w:rsidRPr="002B07FF" w:rsidRDefault="003A631F" w:rsidP="003A631F">
      <w:pPr>
        <w:pStyle w:val="Heading2"/>
        <w:numPr>
          <w:ilvl w:val="0"/>
          <w:numId w:val="79"/>
        </w:numPr>
        <w:autoSpaceDE w:val="0"/>
        <w:autoSpaceDN w:val="0"/>
      </w:pPr>
      <w:r>
        <w:t>Una vez decididas, las cuatro etapas propuestas deberán aplicarse de forma gradual y la Comisión Europea deberá llevar a cabo una evaluación posterior a cada aplicación.</w:t>
      </w:r>
    </w:p>
    <w:p w:rsidR="003A631F" w:rsidRPr="002B07FF" w:rsidRDefault="003A631F" w:rsidP="003A631F">
      <w:pPr>
        <w:ind w:left="567"/>
        <w:outlineLvl w:val="1"/>
        <w:rPr>
          <w:rFonts w:eastAsiaTheme="minorHAnsi"/>
          <w:lang w:val="en-GB"/>
        </w:rPr>
      </w:pPr>
    </w:p>
    <w:p w:rsidR="003A631F" w:rsidRPr="002B07FF" w:rsidRDefault="003A631F" w:rsidP="003A631F">
      <w:pPr>
        <w:pStyle w:val="Heading2"/>
        <w:numPr>
          <w:ilvl w:val="0"/>
          <w:numId w:val="79"/>
        </w:numPr>
        <w:autoSpaceDE w:val="0"/>
        <w:autoSpaceDN w:val="0"/>
      </w:pPr>
      <w:r>
        <w:t>El CESE subraya que es necesario un proceso más amplio que haga posible avanzar hacia una votación por mayoría cualificada más eficaz, que llevará tiempo y deberá sincronizarse con otras iniciativas políticas. En este sentido, el CESE hace hincapié en la necesidad de:</w:t>
      </w:r>
    </w:p>
    <w:p w:rsidR="003A631F" w:rsidRPr="002B07FF" w:rsidRDefault="002F0A4D" w:rsidP="00115AA0">
      <w:pPr>
        <w:pStyle w:val="ListParagraph"/>
        <w:numPr>
          <w:ilvl w:val="0"/>
          <w:numId w:val="103"/>
        </w:numPr>
      </w:pPr>
      <w:bookmarkStart w:id="2" w:name="_Toc13752601"/>
      <w:r>
        <w:t>un presupuesto de la UE suficientemente sólido;</w:t>
      </w:r>
      <w:bookmarkEnd w:id="2"/>
    </w:p>
    <w:p w:rsidR="00054BE0" w:rsidRPr="002B07FF" w:rsidRDefault="002F0A4D" w:rsidP="00115AA0">
      <w:pPr>
        <w:pStyle w:val="ListParagraph"/>
        <w:numPr>
          <w:ilvl w:val="0"/>
          <w:numId w:val="103"/>
        </w:numPr>
      </w:pPr>
      <w:bookmarkStart w:id="3" w:name="_Toc13752602"/>
      <w:r>
        <w:t>una mejor coordinación de la política económica, y</w:t>
      </w:r>
      <w:bookmarkEnd w:id="3"/>
    </w:p>
    <w:p w:rsidR="00786F0E" w:rsidRPr="002B07FF" w:rsidRDefault="002F0A4D" w:rsidP="00115AA0">
      <w:pPr>
        <w:pStyle w:val="ListParagraph"/>
        <w:numPr>
          <w:ilvl w:val="0"/>
          <w:numId w:val="103"/>
        </w:numPr>
      </w:pPr>
      <w:bookmarkStart w:id="4" w:name="_Toc13752603"/>
      <w:r>
        <w:t>un trabajo analítico sustancial para evaluar hasta qué punto las medidas fiscales actuales han sido insuficientes.</w:t>
      </w:r>
      <w:bookmarkEnd w:id="4"/>
    </w:p>
    <w:p w:rsidR="00786F0E" w:rsidRPr="002B07FF" w:rsidRDefault="00786F0E">
      <w:pPr>
        <w:tabs>
          <w:tab w:val="center" w:pos="284"/>
        </w:tabs>
        <w:ind w:left="266" w:hanging="266"/>
        <w:rPr>
          <w:color w:val="000000" w:themeColor="text1"/>
          <w:lang w:val="en-GB"/>
        </w:rPr>
      </w:pPr>
    </w:p>
    <w:p w:rsidR="003A631F" w:rsidRPr="002B07FF" w:rsidRDefault="00786F0E" w:rsidP="003A631F">
      <w:pPr>
        <w:tabs>
          <w:tab w:val="left" w:pos="770"/>
        </w:tabs>
        <w:ind w:left="1430" w:hanging="1430"/>
        <w:rPr>
          <w:bCs/>
          <w:i/>
          <w:iCs/>
        </w:rPr>
      </w:pPr>
      <w:r>
        <w:rPr>
          <w:b/>
          <w:bCs/>
          <w:i/>
          <w:iCs/>
        </w:rPr>
        <w:t>Contacto:</w:t>
      </w:r>
      <w:r w:rsidR="0010098E">
        <w:rPr>
          <w:b/>
          <w:bCs/>
          <w:i/>
          <w:iCs/>
        </w:rPr>
        <w:tab/>
      </w:r>
      <w:r w:rsidR="0010098E">
        <w:rPr>
          <w:b/>
          <w:bCs/>
          <w:i/>
          <w:iCs/>
        </w:rPr>
        <w:tab/>
      </w:r>
      <w:r>
        <w:rPr>
          <w:bCs/>
          <w:i/>
          <w:iCs/>
        </w:rPr>
        <w:t>Gerald Klec</w:t>
      </w:r>
    </w:p>
    <w:p w:rsidR="006D5DF2" w:rsidRPr="002B07FF" w:rsidRDefault="003A631F" w:rsidP="00C604EE">
      <w:pPr>
        <w:ind w:left="1701" w:right="-141"/>
      </w:pPr>
      <w:r>
        <w:rPr>
          <w:bCs/>
          <w:i/>
          <w:iCs/>
        </w:rPr>
        <w:t xml:space="preserve">(Tel.: 00 32 2 546 99 09 – correo electrónico: </w:t>
      </w:r>
      <w:hyperlink r:id="rId22" w:history="1">
        <w:r>
          <w:rPr>
            <w:rStyle w:val="Hyperlink"/>
            <w:i/>
            <w:iCs/>
          </w:rPr>
          <w:t>gerald.klec@eesc.europa.eu</w:t>
        </w:r>
      </w:hyperlink>
      <w:r>
        <w:rPr>
          <w:bCs/>
          <w:i/>
          <w:iCs/>
        </w:rPr>
        <w:t>)</w:t>
      </w:r>
    </w:p>
    <w:p w:rsidR="00786F0E" w:rsidRPr="002B07FF" w:rsidRDefault="00786F0E">
      <w:pPr>
        <w:tabs>
          <w:tab w:val="center" w:pos="284"/>
        </w:tabs>
        <w:ind w:left="266" w:hanging="266"/>
        <w:rPr>
          <w:lang w:val="en-GB"/>
        </w:rPr>
      </w:pPr>
    </w:p>
    <w:p w:rsidR="00786F0E" w:rsidRPr="002B07FF" w:rsidRDefault="0082735B">
      <w:pPr>
        <w:tabs>
          <w:tab w:val="center" w:pos="284"/>
        </w:tabs>
        <w:ind w:left="266" w:hanging="266"/>
      </w:pPr>
      <w:r>
        <w:rPr>
          <w:b/>
          <w:u w:val="single"/>
        </w:rPr>
        <w:t>ECO/492</w:t>
      </w:r>
    </w:p>
    <w:p w:rsidR="0082735B" w:rsidRPr="002B07FF" w:rsidRDefault="0082735B">
      <w:pPr>
        <w:tabs>
          <w:tab w:val="center" w:pos="284"/>
        </w:tabs>
        <w:ind w:left="266" w:hanging="266"/>
        <w:rPr>
          <w:lang w:val="en-GB"/>
        </w:rPr>
      </w:pPr>
    </w:p>
    <w:p w:rsidR="0082735B" w:rsidRPr="002B07FF" w:rsidRDefault="00EF532E">
      <w:pPr>
        <w:widowControl w:val="0"/>
        <w:numPr>
          <w:ilvl w:val="0"/>
          <w:numId w:val="13"/>
        </w:numPr>
        <w:overflowPunct w:val="0"/>
        <w:autoSpaceDE w:val="0"/>
        <w:autoSpaceDN w:val="0"/>
        <w:adjustRightInd w:val="0"/>
        <w:ind w:left="567" w:hanging="567"/>
        <w:textAlignment w:val="baseline"/>
        <w:rPr>
          <w:b/>
          <w:i/>
          <w:sz w:val="28"/>
          <w:szCs w:val="28"/>
        </w:rPr>
      </w:pPr>
      <w:r>
        <w:rPr>
          <w:b/>
          <w:i/>
          <w:sz w:val="28"/>
          <w:szCs w:val="28"/>
        </w:rPr>
        <w:t>Hacia una economía europea más resiliente y sostenible</w:t>
      </w:r>
    </w:p>
    <w:p w:rsidR="0082735B" w:rsidRPr="002B07FF" w:rsidRDefault="0082735B">
      <w:pPr>
        <w:widowControl w:val="0"/>
        <w:overflowPunct w:val="0"/>
        <w:autoSpaceDE w:val="0"/>
        <w:autoSpaceDN w:val="0"/>
        <w:adjustRightInd w:val="0"/>
        <w:textAlignment w:val="baseline"/>
        <w:rPr>
          <w:b/>
          <w:i/>
          <w:sz w:val="28"/>
          <w:szCs w:val="28"/>
          <w:lang w:val="en-GB"/>
        </w:rPr>
      </w:pPr>
    </w:p>
    <w:p w:rsidR="0082735B" w:rsidRPr="002B07FF" w:rsidRDefault="0082735B">
      <w:pPr>
        <w:tabs>
          <w:tab w:val="center" w:pos="284"/>
          <w:tab w:val="left" w:pos="1701"/>
        </w:tabs>
        <w:ind w:left="266" w:hanging="266"/>
      </w:pPr>
      <w:r>
        <w:rPr>
          <w:b/>
        </w:rPr>
        <w:t>Ponente:</w:t>
      </w:r>
      <w:r>
        <w:tab/>
        <w:t>Javier DOZ ORRIT (Grupo de Trabajadores – ES)</w:t>
      </w:r>
    </w:p>
    <w:p w:rsidR="0082735B" w:rsidRPr="002B07FF" w:rsidRDefault="0082735B">
      <w:pPr>
        <w:tabs>
          <w:tab w:val="center" w:pos="284"/>
        </w:tabs>
        <w:ind w:left="266" w:hanging="266"/>
        <w:rPr>
          <w:lang w:val="en-GB"/>
        </w:rPr>
      </w:pPr>
    </w:p>
    <w:p w:rsidR="0082735B" w:rsidRPr="002B07FF" w:rsidRDefault="0082735B">
      <w:pPr>
        <w:tabs>
          <w:tab w:val="center" w:pos="284"/>
          <w:tab w:val="left" w:pos="1701"/>
        </w:tabs>
        <w:ind w:left="266" w:hanging="266"/>
      </w:pPr>
      <w:r>
        <w:rPr>
          <w:b/>
        </w:rPr>
        <w:t>Referencia:</w:t>
      </w:r>
      <w:r w:rsidR="0010098E">
        <w:rPr>
          <w:b/>
        </w:rPr>
        <w:tab/>
      </w:r>
      <w:r>
        <w:t>Dictamen de iniciativa</w:t>
      </w:r>
    </w:p>
    <w:p w:rsidR="0082735B" w:rsidRPr="002B07FF" w:rsidRDefault="00EF532E">
      <w:pPr>
        <w:tabs>
          <w:tab w:val="center" w:pos="284"/>
          <w:tab w:val="left" w:pos="1701"/>
        </w:tabs>
        <w:ind w:left="266" w:firstLine="1435"/>
      </w:pPr>
      <w:r>
        <w:t>EESC-2019-01033-00-00-AC</w:t>
      </w:r>
    </w:p>
    <w:p w:rsidR="00786F0E" w:rsidRPr="002B07FF" w:rsidRDefault="00786F0E">
      <w:pPr>
        <w:tabs>
          <w:tab w:val="center" w:pos="284"/>
        </w:tabs>
        <w:ind w:left="266" w:hanging="266"/>
        <w:rPr>
          <w:lang w:val="en-GB"/>
        </w:rPr>
      </w:pPr>
    </w:p>
    <w:p w:rsidR="00786F0E" w:rsidRPr="002B07FF" w:rsidRDefault="0082735B">
      <w:pPr>
        <w:tabs>
          <w:tab w:val="center" w:pos="284"/>
        </w:tabs>
        <w:ind w:left="266" w:hanging="266"/>
        <w:rPr>
          <w:b/>
        </w:rPr>
      </w:pPr>
      <w:r>
        <w:rPr>
          <w:b/>
        </w:rPr>
        <w:t>Puntos clave</w:t>
      </w:r>
    </w:p>
    <w:p w:rsidR="00BB6F7D" w:rsidRPr="002B07FF" w:rsidRDefault="00BB6F7D">
      <w:pPr>
        <w:tabs>
          <w:tab w:val="center" w:pos="284"/>
        </w:tabs>
        <w:ind w:left="266" w:hanging="266"/>
        <w:rPr>
          <w:b/>
          <w:u w:val="single"/>
          <w:lang w:val="en-GB"/>
        </w:rPr>
      </w:pPr>
    </w:p>
    <w:p w:rsidR="00EF532E" w:rsidRPr="002B07FF" w:rsidRDefault="00EF532E" w:rsidP="00C604EE">
      <w:pPr>
        <w:pStyle w:val="ListParagraph"/>
        <w:numPr>
          <w:ilvl w:val="0"/>
          <w:numId w:val="82"/>
        </w:numPr>
        <w:rPr>
          <w:color w:val="000000" w:themeColor="text1"/>
        </w:rPr>
      </w:pPr>
      <w:r>
        <w:rPr>
          <w:color w:val="000000" w:themeColor="text1"/>
        </w:rPr>
        <w:t>La falta de convergencia económica y social entre los Estados miembros y regiones constituye una amenaza para la sostenibilidad política del proyecto europeo y para todos los beneficios que este ha reportado a los ciudadanos europeos.</w:t>
      </w:r>
    </w:p>
    <w:p w:rsidR="00EF532E" w:rsidRPr="002B07FF" w:rsidRDefault="00EF532E" w:rsidP="00C604EE">
      <w:pPr>
        <w:pStyle w:val="ListParagraph"/>
        <w:rPr>
          <w:color w:val="000000" w:themeColor="text1"/>
          <w:lang w:val="en-GB"/>
        </w:rPr>
      </w:pPr>
    </w:p>
    <w:p w:rsidR="00EF532E" w:rsidRPr="002B07FF" w:rsidRDefault="00EF532E" w:rsidP="00C604EE">
      <w:pPr>
        <w:pStyle w:val="ListParagraph"/>
        <w:numPr>
          <w:ilvl w:val="0"/>
          <w:numId w:val="81"/>
        </w:numPr>
        <w:ind w:left="720"/>
        <w:rPr>
          <w:color w:val="000000" w:themeColor="text1"/>
        </w:rPr>
      </w:pPr>
      <w:r>
        <w:rPr>
          <w:color w:val="000000" w:themeColor="text1"/>
        </w:rPr>
        <w:t>Desarrollar la resiliencia económica y del mercado de trabajo con sostenibilidad económica, social, medioambiental e institucional deberá ser el principio rector de unas políticas. Esto fomentará la convergencia al alza y la equidad en la transición hacia una economía climáticamente neutra, haciendo frente al mismo tiempo a los retos que plantean la digitalización y el cambio demográfico.</w:t>
      </w:r>
    </w:p>
    <w:p w:rsidR="00EF532E" w:rsidRPr="002B07FF" w:rsidRDefault="00EF532E" w:rsidP="00C604EE">
      <w:pPr>
        <w:pStyle w:val="ListParagraph"/>
        <w:rPr>
          <w:color w:val="000000" w:themeColor="text1"/>
          <w:lang w:val="en-GB"/>
        </w:rPr>
      </w:pPr>
    </w:p>
    <w:p w:rsidR="00EF532E" w:rsidRPr="002B07FF" w:rsidRDefault="00EF532E" w:rsidP="00C604EE">
      <w:pPr>
        <w:pStyle w:val="ListParagraph"/>
        <w:numPr>
          <w:ilvl w:val="0"/>
          <w:numId w:val="82"/>
        </w:numPr>
        <w:rPr>
          <w:color w:val="000000" w:themeColor="text1"/>
        </w:rPr>
      </w:pPr>
      <w:r>
        <w:rPr>
          <w:color w:val="000000" w:themeColor="text1"/>
        </w:rPr>
        <w:t>Para que las políticas económicas puedan incrementar la resiliencia de la economía, el mercado de trabajo y la sociedad, hay que mantener y redoblar los esfuerzos por reforzar la arquitectura institucional de la UEM.</w:t>
      </w:r>
    </w:p>
    <w:p w:rsidR="00EF532E" w:rsidRPr="002B07FF" w:rsidRDefault="00EF532E" w:rsidP="00C604EE">
      <w:pPr>
        <w:pStyle w:val="ListParagraph"/>
        <w:rPr>
          <w:color w:val="000000" w:themeColor="text1"/>
          <w:lang w:val="en-GB"/>
        </w:rPr>
      </w:pPr>
    </w:p>
    <w:p w:rsidR="00EF532E" w:rsidRPr="002B07FF" w:rsidRDefault="00EF532E" w:rsidP="00C604EE">
      <w:pPr>
        <w:pStyle w:val="ListParagraph"/>
        <w:keepNext/>
        <w:keepLines/>
        <w:numPr>
          <w:ilvl w:val="0"/>
          <w:numId w:val="82"/>
        </w:numPr>
        <w:ind w:left="714" w:hanging="357"/>
        <w:rPr>
          <w:color w:val="000000" w:themeColor="text1"/>
        </w:rPr>
      </w:pPr>
      <w:r>
        <w:rPr>
          <w:color w:val="000000" w:themeColor="text1"/>
        </w:rPr>
        <w:t>Hay que sacar adelante la creación de una capacidad presupuestaria en la zona del euro, la reforma de las normas fiscales actuales para preservar la inversión pública durante las recesiones, el establecimiento de un activo común seguro y la culminación de la Unión Bancaria y la Unión de los Mercados de Capitales.</w:t>
      </w:r>
    </w:p>
    <w:p w:rsidR="00EF532E" w:rsidRPr="002B07FF" w:rsidRDefault="00EF532E" w:rsidP="00C604EE">
      <w:pPr>
        <w:pStyle w:val="ListParagraph"/>
        <w:rPr>
          <w:color w:val="000000" w:themeColor="text1"/>
          <w:lang w:val="en-GB"/>
        </w:rPr>
      </w:pPr>
    </w:p>
    <w:p w:rsidR="00EF532E" w:rsidRPr="002B07FF" w:rsidRDefault="00EF532E" w:rsidP="00C604EE">
      <w:pPr>
        <w:pStyle w:val="ListParagraph"/>
        <w:numPr>
          <w:ilvl w:val="0"/>
          <w:numId w:val="82"/>
        </w:numPr>
        <w:rPr>
          <w:color w:val="000000" w:themeColor="text1"/>
        </w:rPr>
      </w:pPr>
      <w:r>
        <w:rPr>
          <w:color w:val="000000" w:themeColor="text1"/>
        </w:rPr>
        <w:t>Hay que promover medidas para evitar la competencia fiscal desleal entre los Estados miembros.</w:t>
      </w:r>
    </w:p>
    <w:p w:rsidR="00EF532E" w:rsidRPr="002B07FF" w:rsidRDefault="00EF532E" w:rsidP="00C604EE">
      <w:pPr>
        <w:pStyle w:val="ListParagraph"/>
        <w:rPr>
          <w:color w:val="000000" w:themeColor="text1"/>
          <w:lang w:val="en-GB"/>
        </w:rPr>
      </w:pPr>
    </w:p>
    <w:p w:rsidR="00EF532E" w:rsidRPr="002B07FF" w:rsidRDefault="00EF532E" w:rsidP="00C604EE">
      <w:pPr>
        <w:pStyle w:val="ListParagraph"/>
        <w:numPr>
          <w:ilvl w:val="0"/>
          <w:numId w:val="82"/>
        </w:numPr>
        <w:rPr>
          <w:color w:val="000000" w:themeColor="text1"/>
        </w:rPr>
      </w:pPr>
      <w:r>
        <w:rPr>
          <w:color w:val="000000" w:themeColor="text1"/>
        </w:rPr>
        <w:t>Deben adoptarse medidas para invertir la actual tendencia hacia una desigualdad cada vez mayor, tanto en términos de oportunidades como de resultados.</w:t>
      </w:r>
    </w:p>
    <w:p w:rsidR="00EF532E" w:rsidRPr="002B07FF" w:rsidRDefault="00EF532E" w:rsidP="00C604EE">
      <w:pPr>
        <w:pStyle w:val="ListParagraph"/>
        <w:rPr>
          <w:color w:val="000000" w:themeColor="text1"/>
          <w:lang w:val="en-GB"/>
        </w:rPr>
      </w:pPr>
    </w:p>
    <w:p w:rsidR="00EF532E" w:rsidRPr="002B07FF" w:rsidRDefault="00EF532E" w:rsidP="00C604EE">
      <w:pPr>
        <w:pStyle w:val="ListParagraph"/>
        <w:numPr>
          <w:ilvl w:val="0"/>
          <w:numId w:val="82"/>
        </w:numPr>
        <w:rPr>
          <w:color w:val="000000" w:themeColor="text1"/>
        </w:rPr>
      </w:pPr>
      <w:r>
        <w:t>Hay que desarrollar el concepto de transición justa a la hora de intentar alcanzar el objetivo de una economía de la UE neutra en emisiones de carbono de aquí a 2050.</w:t>
      </w:r>
      <w:r>
        <w:rPr>
          <w:color w:val="000000" w:themeColor="text1"/>
        </w:rPr>
        <w:t xml:space="preserve"> Esto requiere garantizar una distribución equitativa de los efectos de las políticas climáticas y gestionar las transiciones del mercado laboral de forma prospectiva y con plena participación de los interlocutores sociales.</w:t>
      </w:r>
    </w:p>
    <w:p w:rsidR="00EF532E" w:rsidRPr="002B07FF" w:rsidRDefault="00EF532E" w:rsidP="00C604EE">
      <w:pPr>
        <w:pStyle w:val="ListParagraph"/>
        <w:rPr>
          <w:color w:val="000000" w:themeColor="text1"/>
          <w:lang w:val="en-GB"/>
        </w:rPr>
      </w:pPr>
    </w:p>
    <w:p w:rsidR="00EF532E" w:rsidRPr="002B07FF" w:rsidRDefault="00EF532E" w:rsidP="00C604EE">
      <w:pPr>
        <w:pStyle w:val="ListParagraph"/>
        <w:numPr>
          <w:ilvl w:val="0"/>
          <w:numId w:val="82"/>
        </w:numPr>
        <w:rPr>
          <w:color w:val="000000" w:themeColor="text1"/>
        </w:rPr>
      </w:pPr>
      <w:r>
        <w:rPr>
          <w:color w:val="000000" w:themeColor="text1"/>
        </w:rPr>
        <w:t>Los Estados miembros han de emprender iniciativas para aplicar el pilar europeo de los derechos sociales.</w:t>
      </w:r>
    </w:p>
    <w:p w:rsidR="00EF532E" w:rsidRPr="002B07FF" w:rsidRDefault="00EF532E" w:rsidP="00C604EE">
      <w:pPr>
        <w:pStyle w:val="ListParagraph"/>
        <w:rPr>
          <w:color w:val="000000" w:themeColor="text1"/>
          <w:lang w:val="en-GB"/>
        </w:rPr>
      </w:pPr>
    </w:p>
    <w:p w:rsidR="00EF532E" w:rsidRPr="002B07FF" w:rsidRDefault="00EF532E" w:rsidP="00C604EE">
      <w:pPr>
        <w:pStyle w:val="ListParagraph"/>
        <w:numPr>
          <w:ilvl w:val="0"/>
          <w:numId w:val="82"/>
        </w:numPr>
        <w:rPr>
          <w:color w:val="000000" w:themeColor="text1"/>
        </w:rPr>
      </w:pPr>
      <w:r>
        <w:rPr>
          <w:color w:val="000000" w:themeColor="text1"/>
        </w:rPr>
        <w:t>Estas iniciativas han de ir acompañadas de un refuerzo de la competitividad de la economía europea, esto es, de su capacidad para incrementar su productividad y su nivel de vida de manera sostenible.</w:t>
      </w:r>
    </w:p>
    <w:p w:rsidR="00EF532E" w:rsidRPr="002B07FF" w:rsidRDefault="00EF532E" w:rsidP="00EF532E">
      <w:pPr>
        <w:pStyle w:val="ListParagraph"/>
        <w:rPr>
          <w:color w:val="000000" w:themeColor="text1"/>
          <w:lang w:val="en-GB"/>
        </w:rPr>
      </w:pPr>
    </w:p>
    <w:p w:rsidR="0082735B" w:rsidRPr="002B07FF" w:rsidRDefault="00EF532E" w:rsidP="00C604EE">
      <w:pPr>
        <w:pStyle w:val="ListParagraph"/>
        <w:numPr>
          <w:ilvl w:val="0"/>
          <w:numId w:val="78"/>
        </w:numPr>
        <w:tabs>
          <w:tab w:val="center" w:pos="284"/>
        </w:tabs>
        <w:ind w:left="709"/>
        <w:rPr>
          <w:b/>
          <w:u w:val="single"/>
        </w:rPr>
      </w:pPr>
      <w:r>
        <w:t>Dada la interconexión entre las diferentes facetas de una economía resiliente y sostenible, hay que formalizar y reforzar a nivel nacional y europeo, siempre que sea necesario, la participación de las organizaciones representativas de los interlocutores sociales y de la sociedad civil en la elaboración de las políticas y en los ciclos de aplicación.</w:t>
      </w:r>
    </w:p>
    <w:p w:rsidR="005A49CF" w:rsidRPr="002B07FF" w:rsidRDefault="005A49CF" w:rsidP="005A49CF">
      <w:pPr>
        <w:tabs>
          <w:tab w:val="center" w:pos="284"/>
        </w:tabs>
        <w:rPr>
          <w:b/>
          <w:u w:val="single"/>
          <w:lang w:val="en-GB"/>
        </w:rPr>
      </w:pPr>
    </w:p>
    <w:p w:rsidR="005A49CF" w:rsidRPr="002B07FF" w:rsidRDefault="005A49CF" w:rsidP="00C604EE">
      <w:pPr>
        <w:tabs>
          <w:tab w:val="left" w:pos="1701"/>
        </w:tabs>
        <w:ind w:left="1701" w:hanging="1701"/>
        <w:rPr>
          <w:bCs/>
          <w:i/>
          <w:iCs/>
        </w:rPr>
      </w:pPr>
      <w:r>
        <w:rPr>
          <w:b/>
          <w:bCs/>
          <w:i/>
          <w:iCs/>
        </w:rPr>
        <w:t>Contacto:</w:t>
      </w:r>
      <w:r w:rsidR="0010098E">
        <w:rPr>
          <w:b/>
          <w:bCs/>
          <w:i/>
          <w:iCs/>
        </w:rPr>
        <w:tab/>
      </w:r>
      <w:r>
        <w:rPr>
          <w:bCs/>
          <w:i/>
          <w:iCs/>
        </w:rPr>
        <w:t>Gerald Klec</w:t>
      </w:r>
    </w:p>
    <w:p w:rsidR="005A49CF" w:rsidRPr="002B07FF" w:rsidRDefault="005A49CF" w:rsidP="00C604EE">
      <w:pPr>
        <w:tabs>
          <w:tab w:val="center" w:pos="284"/>
          <w:tab w:val="left" w:pos="1701"/>
        </w:tabs>
        <w:ind w:left="1701"/>
        <w:rPr>
          <w:b/>
          <w:u w:val="single"/>
        </w:rPr>
      </w:pPr>
      <w:r>
        <w:rPr>
          <w:bCs/>
          <w:i/>
          <w:iCs/>
        </w:rPr>
        <w:t xml:space="preserve">(Tel.: 00 32 2 546 99 09 – correo electrónico: </w:t>
      </w:r>
      <w:hyperlink r:id="rId23" w:history="1">
        <w:r>
          <w:rPr>
            <w:rStyle w:val="Hyperlink"/>
            <w:i/>
            <w:iCs/>
          </w:rPr>
          <w:t>gerald.klec@eesc.europa.eu</w:t>
        </w:r>
      </w:hyperlink>
      <w:r>
        <w:rPr>
          <w:bCs/>
          <w:i/>
          <w:iCs/>
        </w:rPr>
        <w:t>)</w:t>
      </w:r>
    </w:p>
    <w:p w:rsidR="00894064" w:rsidRPr="002B07FF" w:rsidRDefault="00894064">
      <w:pPr>
        <w:spacing w:line="240" w:lineRule="auto"/>
        <w:jc w:val="left"/>
        <w:rPr>
          <w:b/>
          <w:lang w:val="en-GB"/>
        </w:rPr>
      </w:pPr>
    </w:p>
    <w:p w:rsidR="00894064" w:rsidRPr="002B07FF" w:rsidRDefault="00894064" w:rsidP="0010098E">
      <w:pPr>
        <w:keepNext/>
        <w:keepLines/>
        <w:ind w:left="-567"/>
        <w:rPr>
          <w:b/>
          <w:iCs/>
          <w:u w:val="single"/>
        </w:rPr>
      </w:pPr>
      <w:r>
        <w:rPr>
          <w:b/>
          <w:iCs/>
          <w:u w:val="single"/>
        </w:rPr>
        <w:lastRenderedPageBreak/>
        <w:t>ECO/493</w:t>
      </w:r>
    </w:p>
    <w:p w:rsidR="00894064" w:rsidRPr="002B07FF" w:rsidRDefault="00894064" w:rsidP="0010098E">
      <w:pPr>
        <w:keepNext/>
        <w:keepLines/>
        <w:spacing w:line="240" w:lineRule="auto"/>
        <w:rPr>
          <w:color w:val="000000" w:themeColor="text1"/>
          <w:lang w:val="en-GB"/>
        </w:rPr>
      </w:pPr>
    </w:p>
    <w:p w:rsidR="00894064" w:rsidRPr="002B07FF" w:rsidRDefault="00894064" w:rsidP="0010098E">
      <w:pPr>
        <w:keepNext/>
        <w:keepLines/>
        <w:numPr>
          <w:ilvl w:val="0"/>
          <w:numId w:val="83"/>
        </w:numPr>
        <w:overflowPunct w:val="0"/>
        <w:autoSpaceDE w:val="0"/>
        <w:autoSpaceDN w:val="0"/>
        <w:adjustRightInd w:val="0"/>
        <w:ind w:left="567" w:hanging="567"/>
        <w:textAlignment w:val="baseline"/>
        <w:rPr>
          <w:b/>
          <w:i/>
          <w:sz w:val="28"/>
          <w:szCs w:val="28"/>
        </w:rPr>
      </w:pPr>
      <w:r>
        <w:rPr>
          <w:b/>
          <w:i/>
          <w:sz w:val="28"/>
          <w:szCs w:val="28"/>
        </w:rPr>
        <w:t>Una nueva visión para completar la unión económica y monetaria</w:t>
      </w:r>
    </w:p>
    <w:p w:rsidR="00894064" w:rsidRPr="002B07FF" w:rsidRDefault="00894064" w:rsidP="0010098E">
      <w:pPr>
        <w:keepNext/>
        <w:keepLines/>
        <w:overflowPunct w:val="0"/>
        <w:autoSpaceDE w:val="0"/>
        <w:autoSpaceDN w:val="0"/>
        <w:adjustRightInd w:val="0"/>
        <w:textAlignment w:val="baseline"/>
        <w:rPr>
          <w:b/>
          <w:i/>
          <w:sz w:val="28"/>
          <w:szCs w:val="28"/>
          <w:lang w:val="en-GB"/>
        </w:rPr>
      </w:pPr>
    </w:p>
    <w:p w:rsidR="00894064" w:rsidRPr="002B07FF" w:rsidRDefault="00894064" w:rsidP="0010098E">
      <w:pPr>
        <w:keepNext/>
        <w:keepLines/>
        <w:tabs>
          <w:tab w:val="center" w:pos="284"/>
        </w:tabs>
        <w:ind w:left="266" w:hanging="266"/>
      </w:pPr>
      <w:r>
        <w:rPr>
          <w:b/>
        </w:rPr>
        <w:t>Ponente:</w:t>
      </w:r>
      <w:r>
        <w:tab/>
      </w:r>
      <w:r w:rsidR="0010098E">
        <w:tab/>
      </w:r>
      <w:r>
        <w:t>Judith VORBACH (Grupo de Trabajadores – AT)</w:t>
      </w:r>
    </w:p>
    <w:p w:rsidR="00894064" w:rsidRPr="002B07FF" w:rsidRDefault="00894064" w:rsidP="0010098E">
      <w:pPr>
        <w:keepNext/>
        <w:keepLines/>
        <w:tabs>
          <w:tab w:val="center" w:pos="284"/>
        </w:tabs>
        <w:ind w:left="266" w:hanging="266"/>
        <w:rPr>
          <w:lang w:val="en-GB"/>
        </w:rPr>
      </w:pPr>
    </w:p>
    <w:p w:rsidR="00894064" w:rsidRPr="002B07FF" w:rsidRDefault="00894064" w:rsidP="0010098E">
      <w:pPr>
        <w:keepNext/>
        <w:keepLines/>
        <w:tabs>
          <w:tab w:val="center" w:pos="284"/>
          <w:tab w:val="left" w:pos="1701"/>
        </w:tabs>
        <w:ind w:left="266" w:hanging="266"/>
      </w:pPr>
      <w:r>
        <w:rPr>
          <w:b/>
        </w:rPr>
        <w:t>Referencia:</w:t>
      </w:r>
      <w:r w:rsidR="0010098E">
        <w:rPr>
          <w:b/>
        </w:rPr>
        <w:tab/>
      </w:r>
      <w:r>
        <w:t>Dictamen de iniciativa</w:t>
      </w:r>
    </w:p>
    <w:p w:rsidR="00894064" w:rsidRPr="002B07FF" w:rsidRDefault="00894064" w:rsidP="0010098E">
      <w:pPr>
        <w:keepNext/>
        <w:keepLines/>
        <w:tabs>
          <w:tab w:val="center" w:pos="284"/>
          <w:tab w:val="left" w:pos="1701"/>
        </w:tabs>
        <w:ind w:left="1701"/>
      </w:pPr>
      <w:r>
        <w:t>EESC-2019-01345-00-00-AC</w:t>
      </w:r>
    </w:p>
    <w:p w:rsidR="00894064" w:rsidRPr="002B07FF" w:rsidRDefault="00894064" w:rsidP="0010098E">
      <w:pPr>
        <w:keepNext/>
        <w:keepLines/>
        <w:tabs>
          <w:tab w:val="center" w:pos="284"/>
        </w:tabs>
        <w:ind w:left="266" w:hanging="266"/>
        <w:rPr>
          <w:lang w:val="en-GB"/>
        </w:rPr>
      </w:pPr>
    </w:p>
    <w:p w:rsidR="00894064" w:rsidRPr="002B07FF" w:rsidRDefault="00894064" w:rsidP="0010098E">
      <w:pPr>
        <w:keepNext/>
        <w:keepLines/>
        <w:tabs>
          <w:tab w:val="center" w:pos="284"/>
        </w:tabs>
        <w:ind w:left="266" w:hanging="266"/>
        <w:rPr>
          <w:b/>
        </w:rPr>
      </w:pPr>
      <w:r>
        <w:rPr>
          <w:b/>
        </w:rPr>
        <w:t>Puntos clave</w:t>
      </w:r>
    </w:p>
    <w:p w:rsidR="00242A4C" w:rsidRPr="002B07FF" w:rsidRDefault="00242A4C" w:rsidP="0010098E">
      <w:pPr>
        <w:keepNext/>
        <w:keepLines/>
        <w:spacing w:line="276" w:lineRule="auto"/>
        <w:jc w:val="left"/>
        <w:rPr>
          <w:i/>
          <w:iCs/>
          <w:lang w:val="en-GB"/>
        </w:rPr>
      </w:pPr>
    </w:p>
    <w:p w:rsidR="00242A4C" w:rsidRPr="002B07FF" w:rsidRDefault="00242A4C" w:rsidP="0010098E">
      <w:pPr>
        <w:pStyle w:val="Heading2"/>
        <w:keepNext/>
        <w:keepLines/>
        <w:numPr>
          <w:ilvl w:val="0"/>
          <w:numId w:val="0"/>
        </w:numPr>
      </w:pPr>
      <w:r>
        <w:t>El CESE:</w:t>
      </w:r>
    </w:p>
    <w:p w:rsidR="00242A4C" w:rsidRPr="002B07FF" w:rsidRDefault="00242A4C" w:rsidP="0010098E">
      <w:pPr>
        <w:pStyle w:val="Heading2"/>
        <w:keepNext/>
        <w:keepLines/>
        <w:numPr>
          <w:ilvl w:val="0"/>
          <w:numId w:val="0"/>
        </w:numPr>
        <w:rPr>
          <w:sz w:val="16"/>
          <w:szCs w:val="16"/>
          <w:lang w:val="en-GB"/>
        </w:rPr>
      </w:pPr>
    </w:p>
    <w:p w:rsidR="00242A4C" w:rsidRPr="004F4081" w:rsidRDefault="00242A4C" w:rsidP="0010098E">
      <w:pPr>
        <w:pStyle w:val="ListParagraph"/>
        <w:keepNext/>
        <w:keepLines/>
        <w:numPr>
          <w:ilvl w:val="0"/>
          <w:numId w:val="84"/>
        </w:numPr>
        <w:overflowPunct w:val="0"/>
        <w:autoSpaceDE w:val="0"/>
        <w:autoSpaceDN w:val="0"/>
        <w:adjustRightInd w:val="0"/>
        <w:ind w:left="709"/>
        <w:textAlignment w:val="baseline"/>
        <w:outlineLvl w:val="1"/>
        <w:rPr>
          <w:szCs w:val="20"/>
        </w:rPr>
      </w:pPr>
      <w:r>
        <w:t>insta a las instituciones europeas y a los gobiernos nacionales a avanzar de un modo claramente más ambicioso en el marco de la reforma de la UEM, con el fin de hacer realidad una Unión más integrada, más democrática y mejor desarrollada en el plano social;</w:t>
      </w:r>
    </w:p>
    <w:p w:rsidR="00242A4C" w:rsidRPr="002B07FF" w:rsidRDefault="00242A4C" w:rsidP="00C604EE">
      <w:pPr>
        <w:overflowPunct w:val="0"/>
        <w:autoSpaceDE w:val="0"/>
        <w:autoSpaceDN w:val="0"/>
        <w:adjustRightInd w:val="0"/>
        <w:ind w:left="709" w:hanging="567"/>
        <w:contextualSpacing/>
        <w:textAlignment w:val="baseline"/>
        <w:rPr>
          <w:sz w:val="16"/>
          <w:szCs w:val="16"/>
          <w:lang w:val="en-GB" w:eastAsia="de-DE" w:bidi="de-DE"/>
        </w:rPr>
      </w:pPr>
    </w:p>
    <w:p w:rsidR="00242A4C" w:rsidRPr="002B07FF" w:rsidRDefault="00242A4C" w:rsidP="00C604EE">
      <w:pPr>
        <w:pStyle w:val="ListParagraph"/>
        <w:numPr>
          <w:ilvl w:val="0"/>
          <w:numId w:val="84"/>
        </w:numPr>
        <w:overflowPunct w:val="0"/>
        <w:autoSpaceDE w:val="0"/>
        <w:autoSpaceDN w:val="0"/>
        <w:adjustRightInd w:val="0"/>
        <w:ind w:left="709"/>
        <w:textAlignment w:val="baseline"/>
        <w:outlineLvl w:val="1"/>
        <w:rPr>
          <w:szCs w:val="20"/>
        </w:rPr>
      </w:pPr>
      <w:r>
        <w:t>cree que, pese a que se han superado grandes etapas en el camino para completar la UEM, aún sigue siendo necesario mejorar considerablemente cada uno de los pilares que la componen. Al hacerlo, es necesario velar por el equilibrio entre ellos, ya que dejar de lado uno o varios de los pilares puede dar lugar a divergencias peligrosas;</w:t>
      </w:r>
    </w:p>
    <w:p w:rsidR="00242A4C" w:rsidRPr="002B07FF" w:rsidRDefault="00242A4C" w:rsidP="00C604EE">
      <w:pPr>
        <w:overflowPunct w:val="0"/>
        <w:autoSpaceDE w:val="0"/>
        <w:autoSpaceDN w:val="0"/>
        <w:adjustRightInd w:val="0"/>
        <w:ind w:left="709" w:hanging="567"/>
        <w:contextualSpacing/>
        <w:textAlignment w:val="baseline"/>
        <w:rPr>
          <w:sz w:val="16"/>
          <w:szCs w:val="16"/>
          <w:lang w:val="en-GB" w:eastAsia="de-DE" w:bidi="de-DE"/>
        </w:rPr>
      </w:pPr>
    </w:p>
    <w:p w:rsidR="00242A4C" w:rsidRPr="002B07FF" w:rsidRDefault="00242A4C" w:rsidP="00C604EE">
      <w:pPr>
        <w:pStyle w:val="ListParagraph"/>
        <w:numPr>
          <w:ilvl w:val="0"/>
          <w:numId w:val="84"/>
        </w:numPr>
        <w:overflowPunct w:val="0"/>
        <w:autoSpaceDE w:val="0"/>
        <w:autoSpaceDN w:val="0"/>
        <w:adjustRightInd w:val="0"/>
        <w:ind w:left="709"/>
        <w:textAlignment w:val="baseline"/>
        <w:outlineLvl w:val="1"/>
        <w:rPr>
          <w:szCs w:val="20"/>
        </w:rPr>
      </w:pPr>
      <w:r>
        <w:t>considera que la resiliencia frente a las crisis es una condición necesaria, pero no suficiente, para completar la UEM. También es necesaria una visión positiva, como refleja el artículo 3 del Tratado de la Unión Europea;</w:t>
      </w:r>
    </w:p>
    <w:p w:rsidR="00242A4C" w:rsidRPr="002B07FF" w:rsidRDefault="00242A4C" w:rsidP="00C604EE">
      <w:pPr>
        <w:overflowPunct w:val="0"/>
        <w:autoSpaceDE w:val="0"/>
        <w:autoSpaceDN w:val="0"/>
        <w:adjustRightInd w:val="0"/>
        <w:ind w:left="709"/>
        <w:textAlignment w:val="baseline"/>
        <w:outlineLvl w:val="1"/>
        <w:rPr>
          <w:sz w:val="16"/>
          <w:szCs w:val="16"/>
          <w:lang w:val="en-GB" w:eastAsia="de-DE" w:bidi="de-DE"/>
        </w:rPr>
      </w:pPr>
    </w:p>
    <w:p w:rsidR="00894064" w:rsidRPr="002B07FF" w:rsidRDefault="00242A4C" w:rsidP="00242A4C">
      <w:pPr>
        <w:pStyle w:val="ListParagraph"/>
        <w:numPr>
          <w:ilvl w:val="0"/>
          <w:numId w:val="78"/>
        </w:numPr>
        <w:spacing w:line="276" w:lineRule="auto"/>
        <w:ind w:left="709"/>
        <w:jc w:val="left"/>
        <w:rPr>
          <w:i/>
          <w:iCs/>
        </w:rPr>
      </w:pPr>
      <w:r>
        <w:t>recomienda establecer las siguientes prioridades en relación con los pilares fundamentales de la UEM:</w:t>
      </w:r>
    </w:p>
    <w:p w:rsidR="00374C3D" w:rsidRPr="002B07FF" w:rsidRDefault="00374C3D" w:rsidP="00374C3D">
      <w:pPr>
        <w:keepNext/>
        <w:keepLines/>
        <w:rPr>
          <w:lang w:val="en-GB"/>
        </w:rPr>
      </w:pPr>
    </w:p>
    <w:p w:rsidR="006C28DC" w:rsidRPr="002B07FF" w:rsidRDefault="00483C93" w:rsidP="00C604EE">
      <w:pPr>
        <w:pStyle w:val="Heading3"/>
        <w:numPr>
          <w:ilvl w:val="0"/>
          <w:numId w:val="90"/>
        </w:numPr>
        <w:overflowPunct w:val="0"/>
        <w:autoSpaceDE w:val="0"/>
        <w:autoSpaceDN w:val="0"/>
        <w:adjustRightInd w:val="0"/>
        <w:ind w:left="1134"/>
        <w:textAlignment w:val="baseline"/>
        <w:rPr>
          <w:i/>
          <w:iCs/>
        </w:rPr>
      </w:pPr>
      <w:r>
        <w:t>u</w:t>
      </w:r>
      <w:r w:rsidR="00374C3D">
        <w:t xml:space="preserve">n </w:t>
      </w:r>
      <w:r w:rsidR="00374C3D">
        <w:rPr>
          <w:i/>
        </w:rPr>
        <w:t>pilar monetario y financiero</w:t>
      </w:r>
      <w:r w:rsidR="00374C3D">
        <w:t xml:space="preserve"> estable como base para el desarrollo macroeconómico que incluya consolidar la función estabilizadora del BCE y mantener su independencia; medidas firmes para completar la unión bancaria y de los mercados de capitales; refuerzo del papel internacional del euro basado en una UEM estable, económicamente fuerte y socialmente equilibrada;</w:t>
      </w:r>
    </w:p>
    <w:p w:rsidR="00CA4CE9" w:rsidRPr="002B07FF" w:rsidRDefault="00CA4CE9" w:rsidP="00242A4C">
      <w:pPr>
        <w:overflowPunct w:val="0"/>
        <w:autoSpaceDE w:val="0"/>
        <w:autoSpaceDN w:val="0"/>
        <w:adjustRightInd w:val="0"/>
        <w:ind w:left="360"/>
        <w:textAlignment w:val="baseline"/>
        <w:rPr>
          <w:sz w:val="16"/>
          <w:szCs w:val="16"/>
          <w:lang w:val="en-GB" w:eastAsia="de-DE" w:bidi="de-DE"/>
        </w:rPr>
      </w:pPr>
    </w:p>
    <w:p w:rsidR="00CA4CE9" w:rsidRPr="002B07FF" w:rsidRDefault="004366A9" w:rsidP="00C604EE">
      <w:pPr>
        <w:pStyle w:val="ListParagraph"/>
        <w:numPr>
          <w:ilvl w:val="0"/>
          <w:numId w:val="91"/>
        </w:numPr>
        <w:overflowPunct w:val="0"/>
        <w:autoSpaceDE w:val="0"/>
        <w:autoSpaceDN w:val="0"/>
        <w:adjustRightInd w:val="0"/>
        <w:ind w:left="1134"/>
        <w:textAlignment w:val="baseline"/>
        <w:outlineLvl w:val="2"/>
        <w:rPr>
          <w:szCs w:val="20"/>
        </w:rPr>
      </w:pPr>
      <w:r>
        <w:t xml:space="preserve">un </w:t>
      </w:r>
      <w:r>
        <w:rPr>
          <w:i/>
          <w:szCs w:val="20"/>
        </w:rPr>
        <w:t>pilar económico</w:t>
      </w:r>
      <w:r>
        <w:t xml:space="preserve"> fuerte como base para el bienestar y el progreso social que incluya promover el crecimiento, la productividad y la competitividad; equilibrio de las medidas en el ámbito de la oferta y la demanda, lo que actualmente implica revalorizar el lado de la demanda; creación de una capacidad presupuestaria de la zona del euro financiada mediante un instrumento de deuda común; medidas para contener la competencia fiscal desleal e impedir la evasión y el fraude fiscal;</w:t>
      </w:r>
    </w:p>
    <w:p w:rsidR="004366A9" w:rsidRPr="002B07FF" w:rsidRDefault="004366A9" w:rsidP="004366A9">
      <w:pPr>
        <w:overflowPunct w:val="0"/>
        <w:autoSpaceDE w:val="0"/>
        <w:autoSpaceDN w:val="0"/>
        <w:adjustRightInd w:val="0"/>
        <w:ind w:left="414"/>
        <w:textAlignment w:val="baseline"/>
        <w:outlineLvl w:val="2"/>
        <w:rPr>
          <w:szCs w:val="20"/>
          <w:lang w:val="en-GB" w:eastAsia="de-DE" w:bidi="de-DE"/>
        </w:rPr>
      </w:pPr>
    </w:p>
    <w:p w:rsidR="004366A9" w:rsidRPr="002B07FF" w:rsidRDefault="004366A9" w:rsidP="00C604EE">
      <w:pPr>
        <w:pStyle w:val="ListParagraph"/>
        <w:numPr>
          <w:ilvl w:val="0"/>
          <w:numId w:val="92"/>
        </w:numPr>
        <w:overflowPunct w:val="0"/>
        <w:autoSpaceDE w:val="0"/>
        <w:autoSpaceDN w:val="0"/>
        <w:adjustRightInd w:val="0"/>
        <w:textAlignment w:val="baseline"/>
        <w:outlineLvl w:val="2"/>
        <w:rPr>
          <w:szCs w:val="20"/>
        </w:rPr>
      </w:pPr>
      <w:r>
        <w:t xml:space="preserve">expandir el </w:t>
      </w:r>
      <w:r>
        <w:rPr>
          <w:i/>
          <w:szCs w:val="20"/>
        </w:rPr>
        <w:t>pilar social</w:t>
      </w:r>
      <w:r>
        <w:t xml:space="preserve"> como base para el progreso social mediante normas mínimas sociales en los Estados miembros; encontrar un justo equilibrio entre una base económica sólida y una fuerte dimensión social; ampliación del debate sobre un ministro de finanzas de la UE para incluir el debate sobre un homólogo responsable de asuntos sociales y laborales;</w:t>
      </w:r>
    </w:p>
    <w:p w:rsidR="004366A9" w:rsidRPr="002B07FF" w:rsidRDefault="004366A9">
      <w:pPr>
        <w:overflowPunct w:val="0"/>
        <w:autoSpaceDE w:val="0"/>
        <w:autoSpaceDN w:val="0"/>
        <w:adjustRightInd w:val="0"/>
        <w:textAlignment w:val="baseline"/>
        <w:outlineLvl w:val="2"/>
        <w:rPr>
          <w:szCs w:val="20"/>
          <w:lang w:val="en-GB" w:eastAsia="de-DE" w:bidi="de-DE"/>
        </w:rPr>
      </w:pPr>
    </w:p>
    <w:p w:rsidR="004366A9" w:rsidRPr="002B07FF" w:rsidRDefault="004366A9" w:rsidP="00C604EE">
      <w:pPr>
        <w:pStyle w:val="ListParagraph"/>
        <w:numPr>
          <w:ilvl w:val="0"/>
          <w:numId w:val="93"/>
        </w:numPr>
        <w:overflowPunct w:val="0"/>
        <w:autoSpaceDE w:val="0"/>
        <w:autoSpaceDN w:val="0"/>
        <w:adjustRightInd w:val="0"/>
        <w:ind w:left="1134"/>
        <w:textAlignment w:val="baseline"/>
        <w:outlineLvl w:val="2"/>
        <w:rPr>
          <w:szCs w:val="20"/>
        </w:rPr>
      </w:pPr>
      <w:r>
        <w:t xml:space="preserve"> un </w:t>
      </w:r>
      <w:r>
        <w:rPr>
          <w:i/>
          <w:szCs w:val="20"/>
        </w:rPr>
        <w:t>pilar político</w:t>
      </w:r>
      <w:r>
        <w:t xml:space="preserve"> como base para la democracia, la solidaridad y la unidad mediante el refuerzo de la participación del Parlamento Europeo, los interlocutores sociales y otras organizaciones de la sociedad civil en decisiones fundamentales de política social y económica; la solidaridad y la unidad como base para la prosperidad y la paz dentro de la UE y a nivel global; una rápida adhesión a la zona del euro de los países de la UE que todavía no forman parte de ella.</w:t>
      </w:r>
    </w:p>
    <w:p w:rsidR="00CA4CE9" w:rsidRPr="002B07FF" w:rsidRDefault="00CA4CE9" w:rsidP="00CA4CE9">
      <w:pPr>
        <w:spacing w:line="276" w:lineRule="auto"/>
        <w:jc w:val="left"/>
        <w:rPr>
          <w:i/>
          <w:iCs/>
          <w:lang w:val="en-GB"/>
        </w:rPr>
      </w:pPr>
    </w:p>
    <w:p w:rsidR="00CA4CE9" w:rsidRPr="002B07FF" w:rsidRDefault="00CA4CE9" w:rsidP="00AD6373">
      <w:pPr>
        <w:tabs>
          <w:tab w:val="left" w:pos="770"/>
        </w:tabs>
        <w:ind w:left="1701" w:hanging="1701"/>
        <w:rPr>
          <w:bCs/>
          <w:i/>
          <w:iCs/>
        </w:rPr>
      </w:pPr>
      <w:r>
        <w:rPr>
          <w:b/>
          <w:bCs/>
          <w:i/>
          <w:iCs/>
        </w:rPr>
        <w:t>Contacto:</w:t>
      </w:r>
      <w:r w:rsidR="0010098E">
        <w:rPr>
          <w:b/>
          <w:bCs/>
          <w:i/>
          <w:iCs/>
        </w:rPr>
        <w:tab/>
      </w:r>
      <w:r>
        <w:rPr>
          <w:bCs/>
          <w:i/>
          <w:iCs/>
        </w:rPr>
        <w:t>Alexander Alexandrov</w:t>
      </w:r>
    </w:p>
    <w:p w:rsidR="00025D27" w:rsidRPr="002B07FF" w:rsidRDefault="00CA4CE9" w:rsidP="00C604EE">
      <w:pPr>
        <w:tabs>
          <w:tab w:val="left" w:pos="1701"/>
        </w:tabs>
        <w:spacing w:line="240" w:lineRule="auto"/>
        <w:ind w:left="1701"/>
        <w:jc w:val="left"/>
        <w:rPr>
          <w:bCs/>
          <w:i/>
          <w:iCs/>
        </w:rPr>
      </w:pPr>
      <w:r>
        <w:rPr>
          <w:bCs/>
          <w:i/>
          <w:iCs/>
        </w:rPr>
        <w:t xml:space="preserve">(Tel.: 00 32 2 546 98 05 – correo electrónico: </w:t>
      </w:r>
      <w:hyperlink r:id="rId24" w:history="1">
        <w:r>
          <w:rPr>
            <w:rStyle w:val="Hyperlink"/>
            <w:i/>
            <w:iCs/>
          </w:rPr>
          <w:t>alexander.alexandrov@eesc.europa.eu</w:t>
        </w:r>
      </w:hyperlink>
      <w:r>
        <w:rPr>
          <w:bCs/>
          <w:i/>
          <w:iCs/>
        </w:rPr>
        <w:t>)</w:t>
      </w:r>
    </w:p>
    <w:p w:rsidR="00025D27" w:rsidRPr="002B07FF" w:rsidRDefault="00025D27" w:rsidP="00AD6373">
      <w:pPr>
        <w:tabs>
          <w:tab w:val="left" w:pos="1701"/>
        </w:tabs>
        <w:spacing w:line="240" w:lineRule="auto"/>
        <w:jc w:val="left"/>
        <w:rPr>
          <w:bCs/>
          <w:i/>
          <w:iCs/>
          <w:lang w:val="en-GB"/>
        </w:rPr>
      </w:pPr>
    </w:p>
    <w:p w:rsidR="00E0455F" w:rsidRPr="002B07FF" w:rsidRDefault="00E0455F" w:rsidP="00AD6373">
      <w:pPr>
        <w:tabs>
          <w:tab w:val="left" w:pos="1701"/>
        </w:tabs>
        <w:spacing w:line="240" w:lineRule="auto"/>
        <w:jc w:val="left"/>
        <w:rPr>
          <w:b/>
        </w:rPr>
      </w:pPr>
      <w:r>
        <w:rPr>
          <w:b/>
          <w:u w:val="single"/>
        </w:rPr>
        <w:t>ECO/495</w:t>
      </w:r>
    </w:p>
    <w:p w:rsidR="00E0455F" w:rsidRPr="002B07FF" w:rsidRDefault="00E0455F" w:rsidP="00AD6373">
      <w:pPr>
        <w:tabs>
          <w:tab w:val="left" w:pos="1701"/>
        </w:tabs>
        <w:spacing w:line="240" w:lineRule="auto"/>
        <w:jc w:val="left"/>
        <w:rPr>
          <w:b/>
          <w:lang w:val="en-GB"/>
        </w:rPr>
      </w:pPr>
    </w:p>
    <w:p w:rsidR="00E0455F" w:rsidRPr="002B07FF" w:rsidRDefault="00E0455F" w:rsidP="00E0455F">
      <w:pPr>
        <w:pStyle w:val="ListParagraph"/>
        <w:keepNext/>
        <w:numPr>
          <w:ilvl w:val="0"/>
          <w:numId w:val="83"/>
        </w:numPr>
        <w:spacing w:line="240" w:lineRule="auto"/>
        <w:ind w:left="567" w:hanging="567"/>
        <w:rPr>
          <w:b/>
          <w:i/>
          <w:sz w:val="28"/>
          <w:szCs w:val="28"/>
        </w:rPr>
      </w:pPr>
      <w:r>
        <w:rPr>
          <w:b/>
          <w:i/>
          <w:sz w:val="28"/>
          <w:szCs w:val="28"/>
        </w:rPr>
        <w:t>El Semestre Europeo y la política de cohesión – Hacia una nueva estrategia europea después de 2020</w:t>
      </w:r>
    </w:p>
    <w:p w:rsidR="00E0455F" w:rsidRPr="002B07FF" w:rsidRDefault="00E0455F" w:rsidP="00E0455F">
      <w:pPr>
        <w:widowControl w:val="0"/>
        <w:overflowPunct w:val="0"/>
        <w:autoSpaceDE w:val="0"/>
        <w:autoSpaceDN w:val="0"/>
        <w:adjustRightInd w:val="0"/>
        <w:textAlignment w:val="baseline"/>
        <w:rPr>
          <w:b/>
          <w:i/>
          <w:sz w:val="28"/>
          <w:szCs w:val="28"/>
          <w:lang w:val="en-GB"/>
        </w:rPr>
      </w:pPr>
    </w:p>
    <w:p w:rsidR="00E0455F" w:rsidRPr="002B07FF" w:rsidRDefault="00E0455F" w:rsidP="009B79A1">
      <w:pPr>
        <w:tabs>
          <w:tab w:val="center" w:pos="284"/>
        </w:tabs>
        <w:ind w:left="266" w:hanging="266"/>
      </w:pPr>
      <w:r>
        <w:rPr>
          <w:b/>
        </w:rPr>
        <w:t>Ponente:</w:t>
      </w:r>
      <w:r>
        <w:tab/>
      </w:r>
      <w:r w:rsidR="0010098E">
        <w:tab/>
      </w:r>
      <w:r>
        <w:t>Etele BARÁTH (Grupo Diversidad Europa – HU)</w:t>
      </w:r>
    </w:p>
    <w:p w:rsidR="00E0455F" w:rsidRPr="002B07FF" w:rsidRDefault="00E0455F" w:rsidP="009B79A1">
      <w:pPr>
        <w:tabs>
          <w:tab w:val="center" w:pos="284"/>
          <w:tab w:val="left" w:pos="1701"/>
        </w:tabs>
        <w:ind w:left="266" w:hanging="266"/>
        <w:rPr>
          <w:b/>
        </w:rPr>
      </w:pPr>
      <w:r>
        <w:rPr>
          <w:b/>
        </w:rPr>
        <w:t>Coponente</w:t>
      </w:r>
      <w:r w:rsidR="0010098E">
        <w:rPr>
          <w:b/>
        </w:rPr>
        <w:t>:</w:t>
      </w:r>
      <w:r w:rsidR="0010098E">
        <w:rPr>
          <w:b/>
        </w:rPr>
        <w:tab/>
      </w:r>
      <w:r>
        <w:t>Petr ZAHRADNÍK (Grupo de Empresarios – CZ)</w:t>
      </w:r>
    </w:p>
    <w:p w:rsidR="00E0455F" w:rsidRPr="002B07FF" w:rsidRDefault="00E0455F" w:rsidP="00E0455F">
      <w:pPr>
        <w:tabs>
          <w:tab w:val="center" w:pos="284"/>
        </w:tabs>
        <w:ind w:left="266" w:hanging="266"/>
        <w:rPr>
          <w:b/>
          <w:lang w:val="en-GB"/>
        </w:rPr>
      </w:pPr>
    </w:p>
    <w:p w:rsidR="009B79A1" w:rsidRPr="002B07FF" w:rsidRDefault="00E0455F" w:rsidP="009B79A1">
      <w:pPr>
        <w:tabs>
          <w:tab w:val="center" w:pos="284"/>
          <w:tab w:val="left" w:pos="1701"/>
        </w:tabs>
        <w:ind w:left="266" w:hanging="266"/>
      </w:pPr>
      <w:r>
        <w:rPr>
          <w:b/>
        </w:rPr>
        <w:t>Referencia:</w:t>
      </w:r>
      <w:r w:rsidR="0010098E">
        <w:rPr>
          <w:b/>
        </w:rPr>
        <w:tab/>
      </w:r>
      <w:r>
        <w:t>Dictamen de iniciativa</w:t>
      </w:r>
    </w:p>
    <w:p w:rsidR="00E0455F" w:rsidRPr="002B07FF" w:rsidRDefault="00E0455F" w:rsidP="00C604EE">
      <w:pPr>
        <w:tabs>
          <w:tab w:val="left" w:pos="1701"/>
        </w:tabs>
        <w:ind w:left="1701"/>
      </w:pPr>
      <w:r>
        <w:t>EESC-2019-01444-00-01-AC</w:t>
      </w:r>
    </w:p>
    <w:p w:rsidR="00E0455F" w:rsidRPr="002B07FF" w:rsidRDefault="00E0455F" w:rsidP="00E0455F">
      <w:pPr>
        <w:tabs>
          <w:tab w:val="center" w:pos="284"/>
        </w:tabs>
        <w:ind w:left="266" w:hanging="266"/>
        <w:rPr>
          <w:lang w:val="en-GB"/>
        </w:rPr>
      </w:pPr>
    </w:p>
    <w:p w:rsidR="00E0455F" w:rsidRPr="002B07FF" w:rsidRDefault="00E0455F" w:rsidP="00E0455F">
      <w:pPr>
        <w:keepNext/>
        <w:keepLines/>
        <w:tabs>
          <w:tab w:val="center" w:pos="284"/>
        </w:tabs>
        <w:ind w:left="266" w:hanging="266"/>
        <w:rPr>
          <w:b/>
        </w:rPr>
      </w:pPr>
      <w:r>
        <w:rPr>
          <w:b/>
        </w:rPr>
        <w:t>Puntos clave</w:t>
      </w:r>
    </w:p>
    <w:p w:rsidR="009B79A1" w:rsidRPr="002B07FF" w:rsidRDefault="009B79A1" w:rsidP="00E0455F">
      <w:pPr>
        <w:outlineLvl w:val="1"/>
        <w:rPr>
          <w:lang w:val="en-GB"/>
        </w:rPr>
      </w:pPr>
    </w:p>
    <w:p w:rsidR="00E0455F" w:rsidRPr="002B07FF" w:rsidRDefault="00E0455F" w:rsidP="00E0455F">
      <w:pPr>
        <w:outlineLvl w:val="1"/>
      </w:pPr>
      <w:r>
        <w:t>El CESE:</w:t>
      </w:r>
    </w:p>
    <w:p w:rsidR="00BB6F7D" w:rsidRPr="002B07FF" w:rsidRDefault="00BB6F7D" w:rsidP="00E0455F">
      <w:pPr>
        <w:outlineLvl w:val="1"/>
        <w:rPr>
          <w:lang w:val="en-GB"/>
        </w:rPr>
      </w:pPr>
    </w:p>
    <w:p w:rsidR="00E0455F" w:rsidRPr="002B07FF" w:rsidRDefault="00E0455F" w:rsidP="009B79A1">
      <w:pPr>
        <w:pStyle w:val="ListParagraph"/>
        <w:numPr>
          <w:ilvl w:val="0"/>
          <w:numId w:val="10"/>
        </w:numPr>
        <w:ind w:left="709"/>
      </w:pPr>
      <w:r>
        <w:t>considera que los vínculos entre el Semestre Europeo y la política de cohesión de la UE tienen un enorme potencial para mejorar la coordinación y la gobernanza de la política económica de la UE. Es un signo de mejor gobernanza y de un enfoque basado en los resultados. Dado que su razón de ser es la coordinación, aúna la consecución de objetivos económicos, sociales y ambientales estratégicos, las prioridades políticas y la interacción entre tareas a corto y largo plazo;</w:t>
      </w:r>
    </w:p>
    <w:p w:rsidR="00E0455F" w:rsidRPr="002B07FF" w:rsidRDefault="00E0455F" w:rsidP="009B79A1">
      <w:pPr>
        <w:pStyle w:val="ListParagraph"/>
        <w:ind w:left="709"/>
        <w:rPr>
          <w:lang w:val="en-GB"/>
        </w:rPr>
      </w:pPr>
    </w:p>
    <w:p w:rsidR="00E0455F" w:rsidRPr="002B07FF" w:rsidRDefault="00E0455F" w:rsidP="009B79A1">
      <w:pPr>
        <w:pStyle w:val="ListParagraph"/>
        <w:numPr>
          <w:ilvl w:val="0"/>
          <w:numId w:val="10"/>
        </w:numPr>
        <w:ind w:left="709"/>
      </w:pPr>
      <w:r>
        <w:t>cree en el proceso del Semestre Europeo y propone que se ofrezca una aplicación más equilibrada del incentivo y de sanciones diferenciadas, bien justificadas y cuidadosamente consideradas para coordinar la puesta en práctica de los objetivos económicos, sociales y medioambientales;</w:t>
      </w:r>
    </w:p>
    <w:p w:rsidR="00E0455F" w:rsidRPr="002B07FF" w:rsidRDefault="00E0455F" w:rsidP="009B79A1">
      <w:pPr>
        <w:pStyle w:val="ListParagraph"/>
        <w:ind w:left="709"/>
        <w:rPr>
          <w:lang w:val="en-GB"/>
        </w:rPr>
      </w:pPr>
    </w:p>
    <w:p w:rsidR="00E0455F" w:rsidRPr="002B07FF" w:rsidRDefault="00E0455F" w:rsidP="009B79A1">
      <w:pPr>
        <w:pStyle w:val="ListParagraph"/>
        <w:numPr>
          <w:ilvl w:val="0"/>
          <w:numId w:val="10"/>
        </w:numPr>
        <w:ind w:left="709"/>
      </w:pPr>
      <w:r>
        <w:t>lamenta que el nivel de ejecución de los acuerdos sea tan dispar en función de la situación del desarrollo macroeconómico de cada país. La aplicación de las políticas plurianuales es, por lo general, limitada (entre un 40 y un 50 %);</w:t>
      </w:r>
    </w:p>
    <w:p w:rsidR="00E0455F" w:rsidRPr="002B07FF" w:rsidRDefault="00E0455F" w:rsidP="009B79A1">
      <w:pPr>
        <w:pStyle w:val="ListParagraph"/>
        <w:ind w:left="709"/>
        <w:rPr>
          <w:lang w:val="en-GB"/>
        </w:rPr>
      </w:pPr>
    </w:p>
    <w:p w:rsidR="00E0455F" w:rsidRPr="002B07FF" w:rsidRDefault="00E0455F" w:rsidP="0010098E">
      <w:pPr>
        <w:pStyle w:val="ListParagraph"/>
        <w:keepNext/>
        <w:keepLines/>
        <w:numPr>
          <w:ilvl w:val="0"/>
          <w:numId w:val="10"/>
        </w:numPr>
        <w:ind w:left="709" w:hanging="357"/>
      </w:pPr>
      <w:r>
        <w:lastRenderedPageBreak/>
        <w:t>señala que el elemento primordial de la coordinación de la política económica ha de ser un proceso del Semestre Europeo reforzado. Entre los asuntos clave se incluyen la aplicación del pilar europeo de derechos sociales, el empleo sostenible, la introducción de unos estándares sociales mínimos sobre la base de un marco común europeo establecidos por el Semestre Europeo, y también de unos objetivos climáticos más ambiciosos, y una mejor protección de la biodiversidad;</w:t>
      </w:r>
    </w:p>
    <w:p w:rsidR="00E0455F" w:rsidRPr="002B07FF" w:rsidRDefault="00E0455F" w:rsidP="009B79A1">
      <w:pPr>
        <w:pStyle w:val="ListParagraph"/>
        <w:ind w:left="709"/>
        <w:rPr>
          <w:lang w:val="en-GB"/>
        </w:rPr>
      </w:pPr>
    </w:p>
    <w:p w:rsidR="00E0455F" w:rsidRPr="002B07FF" w:rsidRDefault="00E0455F" w:rsidP="009B79A1">
      <w:pPr>
        <w:pStyle w:val="ListParagraph"/>
        <w:numPr>
          <w:ilvl w:val="0"/>
          <w:numId w:val="10"/>
        </w:numPr>
        <w:ind w:left="709"/>
      </w:pPr>
      <w:r>
        <w:t>propone que el sistema renovado de gobernanza europea basado en la Estrategia Europa 2030 se centre más en los resultados y fije menos prioridades, facilitando el acceso a los procedimientos administrativos y apoyándose más en su comprensión de la sociedad civil y su cooperación con ella. Todo ello debe ir asociado al desarrollo de sistemas de supervisión y evaluación. Una manera importante de reforzar la gobernanza europea es mejorar la administración pública multinivel y abrirla más a la libre participación;</w:t>
      </w:r>
    </w:p>
    <w:p w:rsidR="00E0455F" w:rsidRPr="002B07FF" w:rsidRDefault="00E0455F" w:rsidP="009B79A1">
      <w:pPr>
        <w:ind w:left="709"/>
        <w:rPr>
          <w:lang w:val="en-GB"/>
        </w:rPr>
      </w:pPr>
    </w:p>
    <w:p w:rsidR="00E0455F" w:rsidRPr="002B07FF" w:rsidRDefault="00E0455F" w:rsidP="009B79A1">
      <w:pPr>
        <w:pStyle w:val="ListParagraph"/>
        <w:numPr>
          <w:ilvl w:val="0"/>
          <w:numId w:val="10"/>
        </w:numPr>
        <w:ind w:left="709"/>
      </w:pPr>
      <w:r>
        <w:t>debe encontrar un papel renovado en la preparación y aplicación de las políticas y estrategias europeas, y asumir una posición nueva y más firme en la gobernanza europea. El CESE pretende mejorar el entendimiento mediante el refuerzo de un diálogo periódico y estructurado con los interlocutores sociales y la sociedad civil y sugiere que se podría establecer un centro de competencia del CESE para el intercambio de información para abordar las cuestiones relativas a la aplicación en relación con la futura estrategia de la UE;</w:t>
      </w:r>
    </w:p>
    <w:p w:rsidR="00E0455F" w:rsidRPr="002B07FF" w:rsidRDefault="00E0455F" w:rsidP="009B79A1">
      <w:pPr>
        <w:pStyle w:val="ListParagraph"/>
        <w:ind w:left="709"/>
        <w:rPr>
          <w:lang w:val="en-GB"/>
        </w:rPr>
      </w:pPr>
    </w:p>
    <w:p w:rsidR="00E0455F" w:rsidRPr="002B07FF" w:rsidRDefault="00E0455F" w:rsidP="009B79A1">
      <w:pPr>
        <w:pStyle w:val="ListParagraph"/>
        <w:numPr>
          <w:ilvl w:val="0"/>
          <w:numId w:val="83"/>
        </w:numPr>
        <w:spacing w:after="200"/>
        <w:ind w:left="709"/>
        <w:jc w:val="left"/>
        <w:rPr>
          <w:i/>
          <w:iCs/>
        </w:rPr>
      </w:pPr>
      <w:r>
        <w:t>opina que, gracias a una evaluación continua de los complejos objetivos, el Semestre Europeo se demostrará capaz de centrarse en la reducción del riesgo de crisis en el futuro y de crear un entorno económico y social sostenible, significativo y con capacidad de respuesta.</w:t>
      </w:r>
    </w:p>
    <w:p w:rsidR="00E0455F" w:rsidRPr="002B07FF" w:rsidRDefault="00E0455F" w:rsidP="009B79A1">
      <w:pPr>
        <w:tabs>
          <w:tab w:val="left" w:pos="770"/>
        </w:tabs>
        <w:ind w:left="1701" w:hanging="1701"/>
        <w:rPr>
          <w:bCs/>
          <w:i/>
          <w:iCs/>
        </w:rPr>
      </w:pPr>
      <w:r>
        <w:rPr>
          <w:b/>
          <w:bCs/>
          <w:i/>
          <w:iCs/>
        </w:rPr>
        <w:t>Contacto:</w:t>
      </w:r>
      <w:r w:rsidR="0010098E">
        <w:rPr>
          <w:b/>
          <w:bCs/>
          <w:i/>
          <w:iCs/>
        </w:rPr>
        <w:tab/>
      </w:r>
      <w:r>
        <w:rPr>
          <w:bCs/>
          <w:i/>
          <w:iCs/>
        </w:rPr>
        <w:t>Susanne Johansson</w:t>
      </w:r>
    </w:p>
    <w:p w:rsidR="00EF532E" w:rsidRPr="002B07FF" w:rsidRDefault="00E0455F" w:rsidP="00483C93">
      <w:pPr>
        <w:tabs>
          <w:tab w:val="left" w:pos="1701"/>
        </w:tabs>
        <w:spacing w:line="240" w:lineRule="auto"/>
        <w:ind w:left="1701"/>
        <w:jc w:val="left"/>
        <w:rPr>
          <w:b/>
        </w:rPr>
      </w:pPr>
      <w:r>
        <w:rPr>
          <w:bCs/>
          <w:i/>
          <w:iCs/>
        </w:rPr>
        <w:t xml:space="preserve">(Tel.: 00 32 2 546 84 77 – correo electrónico: </w:t>
      </w:r>
      <w:hyperlink r:id="rId25" w:history="1">
        <w:r>
          <w:rPr>
            <w:rStyle w:val="Hyperlink"/>
            <w:i/>
            <w:iCs/>
          </w:rPr>
          <w:t>susanne.johansson@eesc.europa.eu</w:t>
        </w:r>
      </w:hyperlink>
      <w:r w:rsidR="00483C93" w:rsidRPr="00483C93">
        <w:rPr>
          <w:i/>
        </w:rPr>
        <w:t>)</w:t>
      </w:r>
      <w:r w:rsidR="0010098E">
        <w:rPr>
          <w:b/>
        </w:rPr>
        <w:br w:type="page"/>
      </w:r>
      <w:r w:rsidR="00483C93">
        <w:rPr>
          <w:b/>
        </w:rPr>
        <w:lastRenderedPageBreak/>
        <w:t xml:space="preserve"> </w:t>
      </w:r>
    </w:p>
    <w:p w:rsidR="00C03049" w:rsidRPr="002B07FF" w:rsidRDefault="00C03049">
      <w:pPr>
        <w:pStyle w:val="Heading1"/>
        <w:ind w:left="567" w:hanging="567"/>
        <w:rPr>
          <w:b/>
        </w:rPr>
      </w:pPr>
      <w:bookmarkStart w:id="5" w:name="_Toc15401464"/>
      <w:r>
        <w:rPr>
          <w:b/>
        </w:rPr>
        <w:t>MERCADO ÚNICO, PRODUCCIÓN Y CONSUMO</w:t>
      </w:r>
      <w:bookmarkEnd w:id="5"/>
    </w:p>
    <w:p w:rsidR="00282E34" w:rsidRPr="002B07FF" w:rsidRDefault="00282E34">
      <w:pPr>
        <w:tabs>
          <w:tab w:val="left" w:pos="1701"/>
        </w:tabs>
        <w:rPr>
          <w:i/>
          <w:lang w:val="en-GB"/>
        </w:rPr>
      </w:pPr>
    </w:p>
    <w:p w:rsidR="00122BBC" w:rsidRPr="002B07FF" w:rsidRDefault="00122BBC" w:rsidP="00BB6F7D">
      <w:pPr>
        <w:keepNext/>
        <w:keepLines/>
        <w:jc w:val="left"/>
      </w:pPr>
      <w:r>
        <w:rPr>
          <w:b/>
          <w:u w:val="single"/>
        </w:rPr>
        <w:t>INT/880</w:t>
      </w:r>
    </w:p>
    <w:p w:rsidR="00122BBC" w:rsidRPr="002B07FF" w:rsidRDefault="00122BBC" w:rsidP="00BB6F7D">
      <w:pPr>
        <w:keepNext/>
        <w:keepLines/>
        <w:jc w:val="left"/>
        <w:rPr>
          <w:lang w:val="en-GB"/>
        </w:rPr>
      </w:pPr>
    </w:p>
    <w:p w:rsidR="00431723" w:rsidRPr="002B07FF" w:rsidRDefault="00431723" w:rsidP="00BB6F7D">
      <w:pPr>
        <w:keepNext/>
        <w:keepLines/>
        <w:widowControl w:val="0"/>
        <w:numPr>
          <w:ilvl w:val="0"/>
          <w:numId w:val="36"/>
        </w:numPr>
        <w:overflowPunct w:val="0"/>
        <w:autoSpaceDE w:val="0"/>
        <w:autoSpaceDN w:val="0"/>
        <w:adjustRightInd w:val="0"/>
        <w:ind w:hanging="567"/>
        <w:rPr>
          <w:sz w:val="24"/>
          <w:szCs w:val="24"/>
        </w:rPr>
      </w:pPr>
      <w:r>
        <w:rPr>
          <w:b/>
          <w:i/>
          <w:sz w:val="28"/>
          <w:szCs w:val="28"/>
        </w:rPr>
        <w:t>Cadena de bloques y economía social</w:t>
      </w:r>
    </w:p>
    <w:p w:rsidR="00431723" w:rsidRPr="002B07FF" w:rsidRDefault="00431723" w:rsidP="00BB6F7D">
      <w:pPr>
        <w:keepNext/>
        <w:keepLines/>
        <w:tabs>
          <w:tab w:val="center" w:pos="284"/>
        </w:tabs>
        <w:ind w:left="266" w:hanging="266"/>
        <w:rPr>
          <w:b/>
          <w:szCs w:val="20"/>
          <w:lang w:val="en-GB"/>
        </w:rPr>
      </w:pPr>
    </w:p>
    <w:p w:rsidR="00431723" w:rsidRPr="002B07FF" w:rsidRDefault="00431723" w:rsidP="00BB6F7D">
      <w:pPr>
        <w:keepNext/>
        <w:keepLines/>
        <w:tabs>
          <w:tab w:val="left" w:pos="1701"/>
        </w:tabs>
        <w:rPr>
          <w:highlight w:val="lightGray"/>
        </w:rPr>
      </w:pPr>
      <w:r>
        <w:rPr>
          <w:b/>
        </w:rPr>
        <w:t>Ponente:</w:t>
      </w:r>
      <w:r>
        <w:t xml:space="preserve"> </w:t>
      </w:r>
      <w:r>
        <w:tab/>
        <w:t>Giuseppe GUERINI (Grupo Diversidad Europa – IT)</w:t>
      </w:r>
    </w:p>
    <w:p w:rsidR="00431723" w:rsidRPr="002B07FF" w:rsidRDefault="00431723" w:rsidP="00BB6F7D">
      <w:pPr>
        <w:keepNext/>
        <w:keepLines/>
        <w:tabs>
          <w:tab w:val="center" w:pos="284"/>
        </w:tabs>
        <w:ind w:left="266" w:hanging="266"/>
        <w:rPr>
          <w:b/>
          <w:lang w:val="en-GB"/>
        </w:rPr>
      </w:pPr>
    </w:p>
    <w:p w:rsidR="00431723" w:rsidRPr="002B07FF" w:rsidRDefault="00431723" w:rsidP="00BB6F7D">
      <w:pPr>
        <w:keepNext/>
        <w:keepLines/>
        <w:tabs>
          <w:tab w:val="center" w:pos="284"/>
          <w:tab w:val="left" w:pos="1701"/>
        </w:tabs>
        <w:ind w:left="266" w:hanging="266"/>
      </w:pPr>
      <w:r>
        <w:rPr>
          <w:b/>
        </w:rPr>
        <w:t>Referencia:</w:t>
      </w:r>
      <w:r>
        <w:tab/>
        <w:t>Dictamen de iniciativa</w:t>
      </w:r>
    </w:p>
    <w:p w:rsidR="00431723" w:rsidRPr="002B07FF" w:rsidRDefault="00431723" w:rsidP="00C604EE">
      <w:pPr>
        <w:keepNext/>
        <w:keepLines/>
        <w:tabs>
          <w:tab w:val="left" w:pos="1701"/>
        </w:tabs>
        <w:ind w:left="1701"/>
      </w:pPr>
      <w:r>
        <w:t>EESC-2019-00522-00-00-AC</w:t>
      </w:r>
    </w:p>
    <w:p w:rsidR="00431723" w:rsidRPr="002B07FF" w:rsidRDefault="00431723" w:rsidP="00BB6F7D">
      <w:pPr>
        <w:keepNext/>
        <w:keepLines/>
        <w:tabs>
          <w:tab w:val="center" w:pos="284"/>
        </w:tabs>
        <w:ind w:left="266" w:hanging="266"/>
        <w:rPr>
          <w:szCs w:val="20"/>
          <w:lang w:val="en-GB"/>
        </w:rPr>
      </w:pPr>
    </w:p>
    <w:p w:rsidR="00431723" w:rsidRPr="002B07FF" w:rsidRDefault="00431723" w:rsidP="00BB6F7D">
      <w:pPr>
        <w:keepNext/>
        <w:keepLines/>
        <w:tabs>
          <w:tab w:val="center" w:pos="284"/>
        </w:tabs>
        <w:ind w:left="266" w:hanging="266"/>
        <w:rPr>
          <w:b/>
        </w:rPr>
      </w:pPr>
      <w:r>
        <w:rPr>
          <w:b/>
        </w:rPr>
        <w:t>Puntos clave</w:t>
      </w:r>
    </w:p>
    <w:p w:rsidR="00431723" w:rsidRPr="002B07FF" w:rsidRDefault="00431723" w:rsidP="00BB6F7D">
      <w:pPr>
        <w:keepNext/>
        <w:keepLines/>
        <w:tabs>
          <w:tab w:val="center" w:pos="284"/>
        </w:tabs>
        <w:ind w:left="266" w:hanging="266"/>
        <w:rPr>
          <w:b/>
          <w:lang w:val="en-GB"/>
        </w:rPr>
      </w:pPr>
    </w:p>
    <w:p w:rsidR="00431723" w:rsidRPr="002B07FF" w:rsidRDefault="00431723" w:rsidP="00BB6F7D">
      <w:pPr>
        <w:keepNext/>
        <w:keepLines/>
      </w:pPr>
      <w:r>
        <w:t>El CESE:</w:t>
      </w:r>
    </w:p>
    <w:p w:rsidR="003C3C64" w:rsidRPr="002B07FF" w:rsidRDefault="003C3C64" w:rsidP="00BB6F7D">
      <w:pPr>
        <w:keepNext/>
        <w:keepLines/>
        <w:rPr>
          <w:lang w:val="en-GB"/>
        </w:rPr>
      </w:pPr>
    </w:p>
    <w:p w:rsidR="00431723" w:rsidRPr="004F4081" w:rsidRDefault="00431723" w:rsidP="00BB6F7D">
      <w:pPr>
        <w:pStyle w:val="ListParagraph"/>
        <w:keepNext/>
        <w:keepLines/>
        <w:numPr>
          <w:ilvl w:val="0"/>
          <w:numId w:val="94"/>
        </w:numPr>
        <w:overflowPunct w:val="0"/>
        <w:autoSpaceDE w:val="0"/>
        <w:autoSpaceDN w:val="0"/>
        <w:adjustRightInd w:val="0"/>
        <w:ind w:left="709"/>
      </w:pPr>
      <w:r>
        <w:t>considera que las aplicaciones operativas de las tecnologías de cadena de bloques pueden mejorar de forma significativa los resultados de las organizaciones de la economía social, aportando beneficios para dichas organizaciones, sus socios y, sobre todo, los usuarios finales;</w:t>
      </w:r>
    </w:p>
    <w:p w:rsidR="00431723" w:rsidRPr="004F4081" w:rsidRDefault="00431723" w:rsidP="00431723">
      <w:pPr>
        <w:overflowPunct w:val="0"/>
        <w:autoSpaceDE w:val="0"/>
        <w:autoSpaceDN w:val="0"/>
        <w:adjustRightInd w:val="0"/>
        <w:ind w:left="349"/>
        <w:rPr>
          <w:lang w:val="fr-FR"/>
        </w:rPr>
      </w:pPr>
    </w:p>
    <w:p w:rsidR="00431723" w:rsidRPr="004F4081" w:rsidRDefault="00431723" w:rsidP="00431723">
      <w:pPr>
        <w:pStyle w:val="ListParagraph"/>
        <w:numPr>
          <w:ilvl w:val="0"/>
          <w:numId w:val="94"/>
        </w:numPr>
        <w:overflowPunct w:val="0"/>
        <w:autoSpaceDE w:val="0"/>
        <w:autoSpaceDN w:val="0"/>
        <w:adjustRightInd w:val="0"/>
        <w:ind w:left="709"/>
      </w:pPr>
      <w:r>
        <w:t>opina que es imprescindible una participación real de las organizaciones de la economía social y de la sociedad civil para que las grandes oportunidades que brindan las nuevas tecnologías se orienten a garantizar beneficios, acceso, transparencia y participación para todos, y no solo para una nueva «élite de la economía digital».</w:t>
      </w:r>
    </w:p>
    <w:p w:rsidR="00431723" w:rsidRPr="002B07FF" w:rsidRDefault="00431723" w:rsidP="00431723">
      <w:pPr>
        <w:rPr>
          <w:b/>
          <w:highlight w:val="lightGray"/>
          <w:lang w:val="en-GB"/>
        </w:rPr>
      </w:pPr>
    </w:p>
    <w:p w:rsidR="00431723" w:rsidRPr="002B07FF" w:rsidRDefault="00431723" w:rsidP="006D34BE">
      <w:pPr>
        <w:tabs>
          <w:tab w:val="left" w:pos="1701"/>
        </w:tabs>
        <w:rPr>
          <w:i/>
        </w:rPr>
      </w:pPr>
      <w:r>
        <w:rPr>
          <w:b/>
          <w:i/>
        </w:rPr>
        <w:t>Contacto</w:t>
      </w:r>
      <w:r>
        <w:t>:</w:t>
      </w:r>
      <w:r>
        <w:tab/>
      </w:r>
      <w:r>
        <w:rPr>
          <w:i/>
        </w:rPr>
        <w:t>Marie-Laurence Drillon</w:t>
      </w:r>
    </w:p>
    <w:p w:rsidR="003C3C64" w:rsidRPr="002B07FF" w:rsidRDefault="00431723" w:rsidP="006D34BE">
      <w:pPr>
        <w:ind w:left="1701"/>
        <w:jc w:val="left"/>
        <w:rPr>
          <w:i/>
        </w:rPr>
      </w:pPr>
      <w:r>
        <w:rPr>
          <w:i/>
        </w:rPr>
        <w:t xml:space="preserve">(Tel.: 00 32 2 546 83 20 – correo electrónico: </w:t>
      </w:r>
      <w:hyperlink r:id="rId26" w:history="1">
        <w:r w:rsidR="006D34BE" w:rsidRPr="00A508F3">
          <w:rPr>
            <w:rStyle w:val="Hyperlink"/>
            <w:i/>
          </w:rPr>
          <w:t>marie-laurence.drillon@eesc.europa.eu</w:t>
        </w:r>
      </w:hyperlink>
      <w:r>
        <w:rPr>
          <w:i/>
        </w:rPr>
        <w:t>)</w:t>
      </w:r>
    </w:p>
    <w:p w:rsidR="003C3C64" w:rsidRPr="002B07FF" w:rsidRDefault="003C3C64" w:rsidP="00431723">
      <w:pPr>
        <w:tabs>
          <w:tab w:val="left" w:pos="1701"/>
        </w:tabs>
        <w:jc w:val="left"/>
        <w:rPr>
          <w:i/>
          <w:lang w:val="en-GB"/>
        </w:rPr>
      </w:pPr>
    </w:p>
    <w:p w:rsidR="003C3C64" w:rsidRPr="002B07FF" w:rsidRDefault="003C3C64" w:rsidP="00431723">
      <w:pPr>
        <w:tabs>
          <w:tab w:val="left" w:pos="1701"/>
        </w:tabs>
        <w:jc w:val="left"/>
      </w:pPr>
      <w:r>
        <w:rPr>
          <w:b/>
          <w:u w:val="single"/>
        </w:rPr>
        <w:t>INT/881</w:t>
      </w:r>
    </w:p>
    <w:p w:rsidR="003C3C64" w:rsidRPr="002B07FF" w:rsidRDefault="003C3C64" w:rsidP="00431723">
      <w:pPr>
        <w:tabs>
          <w:tab w:val="left" w:pos="1701"/>
        </w:tabs>
        <w:jc w:val="left"/>
        <w:rPr>
          <w:lang w:val="en-GB"/>
        </w:rPr>
      </w:pPr>
    </w:p>
    <w:p w:rsidR="003C3C64" w:rsidRPr="002B07FF" w:rsidRDefault="00C604EE" w:rsidP="003C3C64">
      <w:pPr>
        <w:widowControl w:val="0"/>
        <w:numPr>
          <w:ilvl w:val="0"/>
          <w:numId w:val="36"/>
        </w:numPr>
        <w:overflowPunct w:val="0"/>
        <w:autoSpaceDE w:val="0"/>
        <w:autoSpaceDN w:val="0"/>
        <w:adjustRightInd w:val="0"/>
        <w:ind w:hanging="567"/>
        <w:rPr>
          <w:sz w:val="24"/>
          <w:szCs w:val="24"/>
        </w:rPr>
      </w:pPr>
      <w:r>
        <w:rPr>
          <w:b/>
          <w:i/>
          <w:sz w:val="28"/>
          <w:szCs w:val="28"/>
        </w:rPr>
        <w:t>Impulsar un mercado único que favorezca el espíritu empresarial y la innovación</w:t>
      </w:r>
    </w:p>
    <w:p w:rsidR="003C3C64" w:rsidRPr="002B07FF" w:rsidRDefault="003C3C64" w:rsidP="003C3C64">
      <w:pPr>
        <w:tabs>
          <w:tab w:val="center" w:pos="284"/>
        </w:tabs>
        <w:ind w:left="266" w:hanging="266"/>
        <w:rPr>
          <w:b/>
          <w:szCs w:val="20"/>
          <w:lang w:val="en-GB"/>
        </w:rPr>
      </w:pPr>
    </w:p>
    <w:p w:rsidR="003C3C64" w:rsidRPr="002B07FF" w:rsidRDefault="003C3C64" w:rsidP="003C3C64">
      <w:pPr>
        <w:tabs>
          <w:tab w:val="left" w:pos="1701"/>
        </w:tabs>
        <w:rPr>
          <w:highlight w:val="lightGray"/>
        </w:rPr>
      </w:pPr>
      <w:r>
        <w:rPr>
          <w:b/>
        </w:rPr>
        <w:t>Ponente:</w:t>
      </w:r>
      <w:r>
        <w:t xml:space="preserve"> </w:t>
      </w:r>
      <w:r>
        <w:tab/>
        <w:t>Giuseppe GUERINI (Grupo Diversidad Europa – IT)</w:t>
      </w:r>
    </w:p>
    <w:p w:rsidR="003C3C64" w:rsidRPr="002B07FF" w:rsidRDefault="003C3C64" w:rsidP="003C3C64">
      <w:pPr>
        <w:tabs>
          <w:tab w:val="center" w:pos="284"/>
        </w:tabs>
        <w:ind w:left="266" w:hanging="266"/>
        <w:rPr>
          <w:b/>
          <w:lang w:val="en-GB"/>
        </w:rPr>
      </w:pPr>
    </w:p>
    <w:p w:rsidR="003C3C64" w:rsidRPr="002B07FF" w:rsidRDefault="003C3C64" w:rsidP="003C3C64">
      <w:pPr>
        <w:tabs>
          <w:tab w:val="center" w:pos="284"/>
          <w:tab w:val="left" w:pos="1701"/>
        </w:tabs>
        <w:ind w:left="266" w:hanging="266"/>
      </w:pPr>
      <w:r>
        <w:rPr>
          <w:b/>
        </w:rPr>
        <w:t>Referencia:</w:t>
      </w:r>
      <w:r>
        <w:tab/>
        <w:t>Dictamen de iniciativa</w:t>
      </w:r>
    </w:p>
    <w:p w:rsidR="003C3C64" w:rsidRPr="002B07FF" w:rsidRDefault="003C3C64" w:rsidP="00C604EE">
      <w:pPr>
        <w:tabs>
          <w:tab w:val="center" w:pos="284"/>
          <w:tab w:val="left" w:pos="1701"/>
        </w:tabs>
        <w:ind w:left="1701"/>
      </w:pPr>
      <w:r>
        <w:t>EESC-2019-01572-00-00-AC</w:t>
      </w:r>
    </w:p>
    <w:p w:rsidR="003C3C64" w:rsidRPr="002B07FF" w:rsidRDefault="003C3C64" w:rsidP="003C3C64">
      <w:pPr>
        <w:tabs>
          <w:tab w:val="center" w:pos="284"/>
        </w:tabs>
        <w:ind w:left="266" w:hanging="266"/>
        <w:rPr>
          <w:szCs w:val="20"/>
          <w:lang w:val="en-GB"/>
        </w:rPr>
      </w:pPr>
    </w:p>
    <w:p w:rsidR="003C3C64" w:rsidRPr="002B07FF" w:rsidRDefault="003C3C64" w:rsidP="003C3C64">
      <w:pPr>
        <w:tabs>
          <w:tab w:val="left" w:pos="1701"/>
        </w:tabs>
        <w:jc w:val="left"/>
        <w:rPr>
          <w:b/>
        </w:rPr>
      </w:pPr>
      <w:r>
        <w:rPr>
          <w:b/>
        </w:rPr>
        <w:t>Puntos clave</w:t>
      </w:r>
    </w:p>
    <w:p w:rsidR="00BB6F7D" w:rsidRPr="002B07FF" w:rsidRDefault="00BB6F7D" w:rsidP="003C3C64">
      <w:pPr>
        <w:tabs>
          <w:tab w:val="left" w:pos="1701"/>
        </w:tabs>
        <w:jc w:val="left"/>
        <w:rPr>
          <w:b/>
          <w:lang w:val="en-GB"/>
        </w:rPr>
      </w:pPr>
    </w:p>
    <w:p w:rsidR="003C3C64" w:rsidRPr="004F4081" w:rsidRDefault="003C3C64" w:rsidP="003C3C64">
      <w:r>
        <w:t>Para el CESE:</w:t>
      </w:r>
    </w:p>
    <w:p w:rsidR="00454D59" w:rsidRPr="004F4081" w:rsidRDefault="00454D59" w:rsidP="003C3C64">
      <w:pPr>
        <w:rPr>
          <w:lang w:val="en-GB"/>
        </w:rPr>
      </w:pPr>
    </w:p>
    <w:p w:rsidR="003C3C64" w:rsidRPr="002B07FF" w:rsidRDefault="003C3C64" w:rsidP="00454D59">
      <w:pPr>
        <w:pStyle w:val="ListParagraph"/>
        <w:numPr>
          <w:ilvl w:val="0"/>
          <w:numId w:val="94"/>
        </w:numPr>
        <w:overflowPunct w:val="0"/>
        <w:autoSpaceDE w:val="0"/>
        <w:autoSpaceDN w:val="0"/>
        <w:adjustRightInd w:val="0"/>
        <w:ind w:left="709"/>
      </w:pPr>
      <w:r>
        <w:t>una contribución activa y pertinente en este sentido podría llegar del mundo empresarial, así como de las instituciones públicas;</w:t>
      </w:r>
    </w:p>
    <w:p w:rsidR="00454D59" w:rsidRPr="002B07FF" w:rsidRDefault="00454D59" w:rsidP="00454D59">
      <w:pPr>
        <w:overflowPunct w:val="0"/>
        <w:autoSpaceDE w:val="0"/>
        <w:autoSpaceDN w:val="0"/>
        <w:adjustRightInd w:val="0"/>
        <w:ind w:left="709"/>
        <w:rPr>
          <w:lang w:val="en-GB"/>
        </w:rPr>
      </w:pPr>
    </w:p>
    <w:p w:rsidR="003C3C64" w:rsidRPr="002B07FF" w:rsidRDefault="003C3C64" w:rsidP="00454D59">
      <w:pPr>
        <w:pStyle w:val="ListParagraph"/>
        <w:numPr>
          <w:ilvl w:val="0"/>
          <w:numId w:val="94"/>
        </w:numPr>
        <w:overflowPunct w:val="0"/>
        <w:autoSpaceDE w:val="0"/>
        <w:autoSpaceDN w:val="0"/>
        <w:adjustRightInd w:val="0"/>
        <w:ind w:left="709"/>
      </w:pPr>
      <w:r>
        <w:t>es importante que las propuestas legislativas relativas a las empresas, la economía y el mercado interior no estén homologadas, rechazando una fórmula única para todos y valorizando en su lugar la «biodiversidad empresarial»;</w:t>
      </w:r>
    </w:p>
    <w:p w:rsidR="00454D59" w:rsidRPr="002B07FF" w:rsidRDefault="00454D59" w:rsidP="00454D59">
      <w:pPr>
        <w:overflowPunct w:val="0"/>
        <w:autoSpaceDE w:val="0"/>
        <w:autoSpaceDN w:val="0"/>
        <w:adjustRightInd w:val="0"/>
        <w:ind w:left="709"/>
        <w:rPr>
          <w:lang w:val="en-GB"/>
        </w:rPr>
      </w:pPr>
    </w:p>
    <w:p w:rsidR="003C3C64" w:rsidRPr="002B07FF" w:rsidRDefault="003C3C64" w:rsidP="00454D59">
      <w:pPr>
        <w:pStyle w:val="ListParagraph"/>
        <w:numPr>
          <w:ilvl w:val="0"/>
          <w:numId w:val="94"/>
        </w:numPr>
        <w:overflowPunct w:val="0"/>
        <w:autoSpaceDE w:val="0"/>
        <w:autoSpaceDN w:val="0"/>
        <w:adjustRightInd w:val="0"/>
        <w:ind w:left="709"/>
      </w:pPr>
      <w:r>
        <w:t>resulta fundamental que las instituciones europeas apoyen el desarrollo de la inteligencia artificial y el uso correcto de los macrodatos;</w:t>
      </w:r>
    </w:p>
    <w:p w:rsidR="00454D59" w:rsidRPr="002B07FF" w:rsidRDefault="00454D59" w:rsidP="00454D59">
      <w:pPr>
        <w:overflowPunct w:val="0"/>
        <w:autoSpaceDE w:val="0"/>
        <w:autoSpaceDN w:val="0"/>
        <w:adjustRightInd w:val="0"/>
        <w:ind w:left="709"/>
        <w:rPr>
          <w:lang w:val="en-GB"/>
        </w:rPr>
      </w:pPr>
    </w:p>
    <w:p w:rsidR="003C3C64" w:rsidRPr="002B07FF" w:rsidRDefault="003C3C64" w:rsidP="00454D59">
      <w:pPr>
        <w:pStyle w:val="ListParagraph"/>
        <w:numPr>
          <w:ilvl w:val="0"/>
          <w:numId w:val="94"/>
        </w:numPr>
        <w:overflowPunct w:val="0"/>
        <w:autoSpaceDE w:val="0"/>
        <w:autoSpaceDN w:val="0"/>
        <w:adjustRightInd w:val="0"/>
        <w:ind w:left="709"/>
      </w:pPr>
      <w:r>
        <w:t>es importante que los cambios en los procesos productivos y en la economía en general tengan lugar en un marco de provechoso diálogo social y que respeten los derechos y la calidad de vida de los trabajadores;</w:t>
      </w:r>
    </w:p>
    <w:p w:rsidR="00454D59" w:rsidRPr="002B07FF" w:rsidRDefault="00454D59" w:rsidP="00454D59">
      <w:pPr>
        <w:overflowPunct w:val="0"/>
        <w:autoSpaceDE w:val="0"/>
        <w:autoSpaceDN w:val="0"/>
        <w:adjustRightInd w:val="0"/>
        <w:ind w:left="709"/>
        <w:rPr>
          <w:lang w:val="en-GB"/>
        </w:rPr>
      </w:pPr>
    </w:p>
    <w:p w:rsidR="003C3C64" w:rsidRPr="002B07FF" w:rsidRDefault="003C3C64" w:rsidP="00454D59">
      <w:pPr>
        <w:pStyle w:val="ListParagraph"/>
        <w:numPr>
          <w:ilvl w:val="0"/>
          <w:numId w:val="94"/>
        </w:numPr>
        <w:overflowPunct w:val="0"/>
        <w:autoSpaceDE w:val="0"/>
        <w:autoSpaceDN w:val="0"/>
        <w:adjustRightInd w:val="0"/>
        <w:ind w:left="709"/>
      </w:pPr>
      <w:r>
        <w:t>la necesidad de garantizar la cohesión y la equidad social a una población europea cada vez más envejecida y menos numerosa evidencia el papel que las empresas sociales y mutualidades podrán adoptar en el futuro.</w:t>
      </w:r>
    </w:p>
    <w:p w:rsidR="003C3C64" w:rsidRPr="002B07FF" w:rsidRDefault="003C3C64" w:rsidP="003C3C64">
      <w:pPr>
        <w:rPr>
          <w:b/>
          <w:highlight w:val="lightGray"/>
          <w:lang w:val="en-GB"/>
        </w:rPr>
      </w:pPr>
    </w:p>
    <w:p w:rsidR="003C3C64" w:rsidRPr="002B07FF" w:rsidRDefault="003C3C64" w:rsidP="00454D59">
      <w:pPr>
        <w:tabs>
          <w:tab w:val="left" w:pos="1701"/>
        </w:tabs>
        <w:rPr>
          <w:i/>
        </w:rPr>
      </w:pPr>
      <w:r>
        <w:rPr>
          <w:b/>
          <w:i/>
        </w:rPr>
        <w:t>Contacto</w:t>
      </w:r>
      <w:r>
        <w:t>:</w:t>
      </w:r>
      <w:r>
        <w:tab/>
      </w:r>
      <w:r>
        <w:rPr>
          <w:i/>
        </w:rPr>
        <w:t>Claudia Drewes-Wran</w:t>
      </w:r>
    </w:p>
    <w:p w:rsidR="00E052DD" w:rsidRPr="002B07FF" w:rsidRDefault="00454D59" w:rsidP="00C604EE">
      <w:pPr>
        <w:tabs>
          <w:tab w:val="left" w:pos="1701"/>
        </w:tabs>
        <w:ind w:left="1701"/>
        <w:jc w:val="left"/>
        <w:rPr>
          <w:i/>
        </w:rPr>
      </w:pPr>
      <w:r>
        <w:rPr>
          <w:i/>
        </w:rPr>
        <w:t xml:space="preserve">(Tel.: 00 32 2 546 80 67 – correo electrónico: </w:t>
      </w:r>
      <w:hyperlink r:id="rId27" w:history="1">
        <w:r>
          <w:rPr>
            <w:rStyle w:val="Hyperlink"/>
            <w:i/>
          </w:rPr>
          <w:t>claudia.drewes-wran@eesc.europa.eu</w:t>
        </w:r>
      </w:hyperlink>
      <w:r>
        <w:rPr>
          <w:i/>
        </w:rPr>
        <w:t>)</w:t>
      </w:r>
    </w:p>
    <w:p w:rsidR="00E052DD" w:rsidRPr="002B07FF" w:rsidRDefault="00E052DD" w:rsidP="003C3C64">
      <w:pPr>
        <w:tabs>
          <w:tab w:val="left" w:pos="1701"/>
        </w:tabs>
        <w:jc w:val="left"/>
        <w:rPr>
          <w:i/>
          <w:lang w:val="en-GB"/>
        </w:rPr>
      </w:pPr>
    </w:p>
    <w:p w:rsidR="00E052DD" w:rsidRPr="002B07FF" w:rsidRDefault="00E052DD" w:rsidP="003C3C64">
      <w:pPr>
        <w:tabs>
          <w:tab w:val="left" w:pos="1701"/>
        </w:tabs>
        <w:jc w:val="left"/>
      </w:pPr>
      <w:r>
        <w:rPr>
          <w:b/>
          <w:u w:val="single"/>
        </w:rPr>
        <w:t>INT/882</w:t>
      </w:r>
    </w:p>
    <w:p w:rsidR="00E052DD" w:rsidRPr="002B07FF" w:rsidRDefault="00E052DD" w:rsidP="003C3C64">
      <w:pPr>
        <w:tabs>
          <w:tab w:val="left" w:pos="1701"/>
        </w:tabs>
        <w:jc w:val="left"/>
        <w:rPr>
          <w:lang w:val="en-GB"/>
        </w:rPr>
      </w:pPr>
    </w:p>
    <w:p w:rsidR="00E052DD" w:rsidRPr="002B07FF" w:rsidRDefault="001B783D" w:rsidP="00E052DD">
      <w:pPr>
        <w:widowControl w:val="0"/>
        <w:numPr>
          <w:ilvl w:val="0"/>
          <w:numId w:val="36"/>
        </w:numPr>
        <w:overflowPunct w:val="0"/>
        <w:autoSpaceDE w:val="0"/>
        <w:autoSpaceDN w:val="0"/>
        <w:adjustRightInd w:val="0"/>
        <w:ind w:hanging="567"/>
        <w:rPr>
          <w:sz w:val="24"/>
          <w:szCs w:val="24"/>
        </w:rPr>
      </w:pPr>
      <w:r>
        <w:rPr>
          <w:b/>
          <w:i/>
          <w:sz w:val="28"/>
          <w:szCs w:val="28"/>
        </w:rPr>
        <w:t>Los consumidores en la economía circular</w:t>
      </w:r>
    </w:p>
    <w:p w:rsidR="00E052DD" w:rsidRPr="002B07FF" w:rsidRDefault="00E052DD" w:rsidP="00E052DD">
      <w:pPr>
        <w:tabs>
          <w:tab w:val="center" w:pos="284"/>
        </w:tabs>
        <w:ind w:left="266" w:hanging="266"/>
        <w:rPr>
          <w:b/>
          <w:szCs w:val="20"/>
          <w:lang w:val="en-GB"/>
        </w:rPr>
      </w:pPr>
    </w:p>
    <w:p w:rsidR="00E052DD" w:rsidRPr="002B07FF" w:rsidRDefault="00E052DD" w:rsidP="001B783D">
      <w:pPr>
        <w:tabs>
          <w:tab w:val="left" w:pos="1701"/>
        </w:tabs>
        <w:rPr>
          <w:highlight w:val="lightGray"/>
        </w:rPr>
      </w:pPr>
      <w:r>
        <w:rPr>
          <w:b/>
        </w:rPr>
        <w:t>Ponente:</w:t>
      </w:r>
      <w:r>
        <w:t xml:space="preserve"> </w:t>
      </w:r>
      <w:r>
        <w:tab/>
        <w:t>Carlos TRIAS PINTÓ (Grupo Diversidad Europa – ES)</w:t>
      </w:r>
    </w:p>
    <w:p w:rsidR="001B783D" w:rsidRPr="002B07FF" w:rsidRDefault="001B783D" w:rsidP="001B783D">
      <w:pPr>
        <w:tabs>
          <w:tab w:val="center" w:pos="284"/>
          <w:tab w:val="left" w:pos="1701"/>
        </w:tabs>
        <w:ind w:left="266" w:hanging="266"/>
        <w:rPr>
          <w:b/>
          <w:lang w:val="en-GB"/>
        </w:rPr>
      </w:pPr>
    </w:p>
    <w:p w:rsidR="00E052DD" w:rsidRPr="002B07FF" w:rsidRDefault="001B783D" w:rsidP="001B783D">
      <w:pPr>
        <w:tabs>
          <w:tab w:val="center" w:pos="284"/>
          <w:tab w:val="left" w:pos="1701"/>
        </w:tabs>
        <w:ind w:left="266" w:hanging="266"/>
      </w:pPr>
      <w:r>
        <w:rPr>
          <w:b/>
        </w:rPr>
        <w:t>Referencia:</w:t>
      </w:r>
      <w:r>
        <w:tab/>
        <w:t>Dictamen de iniciativa</w:t>
      </w:r>
    </w:p>
    <w:p w:rsidR="00E052DD" w:rsidRPr="002B07FF" w:rsidRDefault="00E052DD" w:rsidP="00C604EE">
      <w:pPr>
        <w:ind w:left="1701"/>
      </w:pPr>
      <w:r>
        <w:t>EESC-2019-01026-00-00-AC</w:t>
      </w:r>
    </w:p>
    <w:p w:rsidR="00E052DD" w:rsidRPr="002B07FF" w:rsidRDefault="00E052DD" w:rsidP="00E052DD">
      <w:pPr>
        <w:tabs>
          <w:tab w:val="center" w:pos="284"/>
        </w:tabs>
        <w:ind w:left="266" w:hanging="266"/>
        <w:rPr>
          <w:szCs w:val="20"/>
          <w:lang w:val="en-GB"/>
        </w:rPr>
      </w:pPr>
    </w:p>
    <w:p w:rsidR="001B783D" w:rsidRPr="002B07FF" w:rsidRDefault="001B783D" w:rsidP="00E052DD">
      <w:pPr>
        <w:tabs>
          <w:tab w:val="left" w:pos="1701"/>
        </w:tabs>
        <w:jc w:val="left"/>
      </w:pPr>
      <w:r>
        <w:rPr>
          <w:b/>
        </w:rPr>
        <w:t>Puntos clave</w:t>
      </w:r>
    </w:p>
    <w:p w:rsidR="00BB6F7D" w:rsidRPr="002B07FF" w:rsidRDefault="00BB6F7D" w:rsidP="001B783D">
      <w:pPr>
        <w:rPr>
          <w:lang w:val="en-GB"/>
        </w:rPr>
      </w:pPr>
    </w:p>
    <w:p w:rsidR="001B783D" w:rsidRPr="002B07FF" w:rsidRDefault="001B783D" w:rsidP="001B783D">
      <w:r>
        <w:t>El CESE:</w:t>
      </w:r>
    </w:p>
    <w:p w:rsidR="001B783D" w:rsidRPr="002B07FF" w:rsidRDefault="001B783D" w:rsidP="001B783D">
      <w:pPr>
        <w:ind w:left="709" w:hanging="425"/>
        <w:rPr>
          <w:lang w:val="en-GB"/>
        </w:rPr>
      </w:pPr>
    </w:p>
    <w:p w:rsidR="001B783D" w:rsidRPr="002B07FF" w:rsidRDefault="001B783D" w:rsidP="001B783D">
      <w:pPr>
        <w:pStyle w:val="ListParagraph"/>
        <w:numPr>
          <w:ilvl w:val="0"/>
          <w:numId w:val="50"/>
        </w:numPr>
        <w:overflowPunct w:val="0"/>
        <w:autoSpaceDE w:val="0"/>
        <w:autoSpaceDN w:val="0"/>
        <w:adjustRightInd w:val="0"/>
      </w:pPr>
      <w:r>
        <w:t>aboga por una reorientación estratégica en todos los niveles que promueva sólidamente nuevos modelos de circularidad, no solo potenciando la alineación de todos los actores, sino también situando a los consumidores en el centro de las políticas públicas. Es preciso implantar la educación, la formación y el autoaprendizaje a lo largo de toda la vida, e informar con la mayor objetividad al consumidor;</w:t>
      </w:r>
    </w:p>
    <w:p w:rsidR="001B783D" w:rsidRPr="002B07FF" w:rsidRDefault="001B783D" w:rsidP="001B783D">
      <w:pPr>
        <w:overflowPunct w:val="0"/>
        <w:autoSpaceDE w:val="0"/>
        <w:autoSpaceDN w:val="0"/>
        <w:adjustRightInd w:val="0"/>
        <w:rPr>
          <w:lang w:val="en-GB"/>
        </w:rPr>
      </w:pPr>
    </w:p>
    <w:p w:rsidR="001B783D" w:rsidRPr="002B07FF" w:rsidRDefault="001B783D" w:rsidP="001B783D">
      <w:pPr>
        <w:pStyle w:val="ListParagraph"/>
        <w:numPr>
          <w:ilvl w:val="0"/>
          <w:numId w:val="50"/>
        </w:numPr>
        <w:overflowPunct w:val="0"/>
        <w:autoSpaceDE w:val="0"/>
        <w:autoSpaceDN w:val="0"/>
        <w:adjustRightInd w:val="0"/>
      </w:pPr>
      <w:r>
        <w:t>alienta el etiquetado voluntario, como tránsito al etiquetado obligatorio, y remarca la urgencia de mejorar el ecodiseño;</w:t>
      </w:r>
    </w:p>
    <w:p w:rsidR="001B783D" w:rsidRPr="002B07FF" w:rsidRDefault="001B783D" w:rsidP="001B783D">
      <w:pPr>
        <w:overflowPunct w:val="0"/>
        <w:autoSpaceDE w:val="0"/>
        <w:autoSpaceDN w:val="0"/>
        <w:adjustRightInd w:val="0"/>
        <w:rPr>
          <w:lang w:val="en-GB"/>
        </w:rPr>
      </w:pPr>
    </w:p>
    <w:p w:rsidR="001B783D" w:rsidRPr="002B07FF" w:rsidRDefault="001B783D" w:rsidP="001B783D">
      <w:pPr>
        <w:pStyle w:val="ListParagraph"/>
        <w:numPr>
          <w:ilvl w:val="0"/>
          <w:numId w:val="50"/>
        </w:numPr>
        <w:overflowPunct w:val="0"/>
        <w:autoSpaceDE w:val="0"/>
        <w:autoSpaceDN w:val="0"/>
        <w:adjustRightInd w:val="0"/>
      </w:pPr>
      <w:r>
        <w:t>pide que el cálculo social y ambiental de las huellas de los productos se efectúe mediante indicadores de impacto fiables, comparables y verificables, en particular los que se refieren a los materiales químicos;</w:t>
      </w:r>
    </w:p>
    <w:p w:rsidR="001B783D" w:rsidRPr="002B07FF" w:rsidRDefault="001B783D" w:rsidP="001B783D">
      <w:pPr>
        <w:overflowPunct w:val="0"/>
        <w:autoSpaceDE w:val="0"/>
        <w:autoSpaceDN w:val="0"/>
        <w:adjustRightInd w:val="0"/>
        <w:rPr>
          <w:lang w:val="en-GB"/>
        </w:rPr>
      </w:pPr>
    </w:p>
    <w:p w:rsidR="001B783D" w:rsidRPr="002B07FF" w:rsidRDefault="001B783D" w:rsidP="001B783D">
      <w:pPr>
        <w:pStyle w:val="ListParagraph"/>
        <w:numPr>
          <w:ilvl w:val="0"/>
          <w:numId w:val="50"/>
        </w:numPr>
        <w:overflowPunct w:val="0"/>
        <w:autoSpaceDE w:val="0"/>
        <w:autoSpaceDN w:val="0"/>
        <w:adjustRightInd w:val="0"/>
      </w:pPr>
      <w:r>
        <w:t>considera que el liderazgo que exhibe Europa en la economía circular debe corresponderse con un entorno empresarial que propicie la internacionalización de bienes y servicios de la economía circular;</w:t>
      </w:r>
    </w:p>
    <w:p w:rsidR="001B783D" w:rsidRPr="002B07FF" w:rsidRDefault="001B783D" w:rsidP="001B783D">
      <w:pPr>
        <w:overflowPunct w:val="0"/>
        <w:autoSpaceDE w:val="0"/>
        <w:autoSpaceDN w:val="0"/>
        <w:adjustRightInd w:val="0"/>
        <w:rPr>
          <w:lang w:val="en-GB"/>
        </w:rPr>
      </w:pPr>
    </w:p>
    <w:p w:rsidR="001B783D" w:rsidRPr="002B07FF" w:rsidRDefault="001B783D" w:rsidP="00BB6F7D">
      <w:pPr>
        <w:pStyle w:val="ListParagraph"/>
        <w:keepNext/>
        <w:keepLines/>
        <w:numPr>
          <w:ilvl w:val="0"/>
          <w:numId w:val="50"/>
        </w:numPr>
        <w:overflowPunct w:val="0"/>
        <w:autoSpaceDE w:val="0"/>
        <w:autoSpaceDN w:val="0"/>
        <w:adjustRightInd w:val="0"/>
      </w:pPr>
      <w:r>
        <w:t>considera que la fiscalidad y la compra pública responsable se erigen como las herramientas eficaces para engranar el modelo de recompensas hacia la producción y el consumo responsables, en el marco de una paulatina estandarización de productos y servicios.</w:t>
      </w:r>
    </w:p>
    <w:p w:rsidR="001B783D" w:rsidRPr="002B07FF" w:rsidRDefault="001B783D" w:rsidP="00BB6F7D">
      <w:pPr>
        <w:keepNext/>
        <w:keepLines/>
        <w:rPr>
          <w:b/>
          <w:highlight w:val="lightGray"/>
          <w:lang w:val="en-GB"/>
        </w:rPr>
      </w:pPr>
    </w:p>
    <w:p w:rsidR="001B783D" w:rsidRPr="002B07FF" w:rsidRDefault="001B783D" w:rsidP="00BB6F7D">
      <w:pPr>
        <w:keepNext/>
        <w:keepLines/>
        <w:tabs>
          <w:tab w:val="left" w:pos="1701"/>
        </w:tabs>
        <w:rPr>
          <w:i/>
        </w:rPr>
      </w:pPr>
      <w:r>
        <w:rPr>
          <w:b/>
          <w:i/>
        </w:rPr>
        <w:t>Contacto</w:t>
      </w:r>
      <w:r>
        <w:t>:</w:t>
      </w:r>
      <w:r>
        <w:tab/>
      </w:r>
      <w:r>
        <w:rPr>
          <w:i/>
        </w:rPr>
        <w:t>Janine Borg</w:t>
      </w:r>
    </w:p>
    <w:p w:rsidR="009535BE" w:rsidRPr="002B07FF" w:rsidRDefault="006C1926" w:rsidP="00C604EE">
      <w:pPr>
        <w:keepNext/>
        <w:keepLines/>
        <w:tabs>
          <w:tab w:val="left" w:pos="1701"/>
        </w:tabs>
        <w:ind w:left="1701"/>
        <w:jc w:val="left"/>
        <w:rPr>
          <w:rStyle w:val="Hyperlink"/>
          <w:i/>
        </w:rPr>
      </w:pPr>
      <w:r>
        <w:rPr>
          <w:i/>
        </w:rPr>
        <w:t xml:space="preserve">(Tel.: 00 32 2 546 88 79 – correo electrónico: </w:t>
      </w:r>
      <w:hyperlink r:id="rId28" w:history="1">
        <w:r>
          <w:rPr>
            <w:rStyle w:val="Hyperlink"/>
            <w:i/>
          </w:rPr>
          <w:t>janine.borg@eesc.europa.eu</w:t>
        </w:r>
      </w:hyperlink>
      <w:r w:rsidR="00483C93">
        <w:rPr>
          <w:i/>
        </w:rPr>
        <w:t>)</w:t>
      </w:r>
    </w:p>
    <w:p w:rsidR="004154C1" w:rsidRPr="002B07FF" w:rsidRDefault="004154C1" w:rsidP="00C604EE">
      <w:pPr>
        <w:pStyle w:val="Heading7"/>
        <w:numPr>
          <w:ilvl w:val="0"/>
          <w:numId w:val="0"/>
        </w:numPr>
        <w:tabs>
          <w:tab w:val="left" w:pos="1701"/>
        </w:tabs>
        <w:ind w:left="1701"/>
        <w:rPr>
          <w:rStyle w:val="Hyperlink"/>
          <w:i/>
          <w:lang w:val="en-GB"/>
        </w:rPr>
      </w:pPr>
    </w:p>
    <w:p w:rsidR="004B6B4A" w:rsidRPr="004F4081" w:rsidRDefault="004B6B4A">
      <w:pPr>
        <w:spacing w:line="240" w:lineRule="auto"/>
        <w:jc w:val="left"/>
        <w:rPr>
          <w:b/>
          <w:caps/>
          <w:kern w:val="28"/>
        </w:rPr>
      </w:pPr>
      <w:bookmarkStart w:id="6" w:name="_Toc8218613"/>
      <w:r>
        <w:br w:type="page"/>
      </w:r>
    </w:p>
    <w:p w:rsidR="001E5FEE" w:rsidRPr="004F4081" w:rsidRDefault="001E5FEE" w:rsidP="00AE0E21">
      <w:pPr>
        <w:pStyle w:val="Heading1"/>
        <w:keepNext/>
        <w:keepLines/>
        <w:numPr>
          <w:ilvl w:val="0"/>
          <w:numId w:val="101"/>
        </w:numPr>
        <w:ind w:left="567" w:hanging="567"/>
        <w:rPr>
          <w:b/>
          <w:caps/>
        </w:rPr>
      </w:pPr>
      <w:bookmarkStart w:id="7" w:name="_Toc15401465"/>
      <w:r>
        <w:rPr>
          <w:b/>
          <w:caps/>
        </w:rPr>
        <w:lastRenderedPageBreak/>
        <w:t>Transporte, Energía, Infraestructuras y Sociedad de la Información</w:t>
      </w:r>
      <w:bookmarkEnd w:id="6"/>
      <w:bookmarkEnd w:id="7"/>
    </w:p>
    <w:p w:rsidR="001E5FEE" w:rsidRPr="004F4081" w:rsidRDefault="001E5FEE" w:rsidP="005D56C1">
      <w:pPr>
        <w:keepNext/>
        <w:keepLines/>
        <w:rPr>
          <w:lang w:val="en-GB"/>
        </w:rPr>
      </w:pPr>
    </w:p>
    <w:p w:rsidR="001E5FEE" w:rsidRPr="004F4081" w:rsidRDefault="001E5FEE">
      <w:r>
        <w:rPr>
          <w:b/>
          <w:u w:val="single"/>
        </w:rPr>
        <w:t>TEN/691</w:t>
      </w:r>
    </w:p>
    <w:p w:rsidR="001E5FEE" w:rsidRPr="004F4081" w:rsidRDefault="001E5FEE">
      <w:pPr>
        <w:rPr>
          <w:lang w:val="en-GB"/>
        </w:rPr>
      </w:pPr>
    </w:p>
    <w:p w:rsidR="001E5FEE" w:rsidRPr="004F4081" w:rsidRDefault="00CA3114" w:rsidP="005D56C1">
      <w:pPr>
        <w:widowControl w:val="0"/>
        <w:numPr>
          <w:ilvl w:val="0"/>
          <w:numId w:val="12"/>
        </w:numPr>
        <w:overflowPunct w:val="0"/>
        <w:autoSpaceDE w:val="0"/>
        <w:autoSpaceDN w:val="0"/>
        <w:adjustRightInd w:val="0"/>
        <w:ind w:left="567" w:hanging="567"/>
        <w:textAlignment w:val="baseline"/>
        <w:rPr>
          <w:bCs/>
          <w:i/>
          <w:sz w:val="28"/>
          <w:szCs w:val="28"/>
        </w:rPr>
      </w:pPr>
      <w:r>
        <w:rPr>
          <w:b/>
          <w:bCs/>
          <w:i/>
          <w:sz w:val="28"/>
          <w:szCs w:val="28"/>
        </w:rPr>
        <w:t>Transporte, energía y servicios de interés general como motores del crecimiento sostenible en Europa a través de la revolución digital</w:t>
      </w:r>
    </w:p>
    <w:p w:rsidR="001E5FEE" w:rsidRPr="004F4081" w:rsidRDefault="001E5FEE" w:rsidP="005D56C1">
      <w:pPr>
        <w:widowControl w:val="0"/>
        <w:rPr>
          <w:bCs/>
          <w:lang w:val="en-GB"/>
        </w:rPr>
      </w:pPr>
    </w:p>
    <w:p w:rsidR="00CA3114" w:rsidRPr="004F4081" w:rsidRDefault="00CA3114" w:rsidP="0010098E">
      <w:pPr>
        <w:tabs>
          <w:tab w:val="left" w:pos="1701"/>
        </w:tabs>
      </w:pPr>
      <w:r>
        <w:rPr>
          <w:b/>
        </w:rPr>
        <w:t>Ponente:</w:t>
      </w:r>
      <w:r w:rsidR="0010098E">
        <w:rPr>
          <w:b/>
        </w:rPr>
        <w:tab/>
      </w:r>
      <w:r>
        <w:t>Alberto MAZZOLA (Grupo de Empresarios – IT)</w:t>
      </w:r>
    </w:p>
    <w:p w:rsidR="00CA3114" w:rsidRPr="004F4081" w:rsidRDefault="00CA3114" w:rsidP="00CA3114">
      <w:pPr>
        <w:tabs>
          <w:tab w:val="left" w:pos="1701"/>
        </w:tabs>
      </w:pPr>
      <w:r>
        <w:rPr>
          <w:b/>
        </w:rPr>
        <w:t>Coponente</w:t>
      </w:r>
      <w:r>
        <w:t xml:space="preserve">: </w:t>
      </w:r>
      <w:r>
        <w:tab/>
        <w:t>Evangelia KEKELEKI (Grupo Diversidad Europa – EL)</w:t>
      </w:r>
    </w:p>
    <w:p w:rsidR="00CA3114" w:rsidRPr="004F4081" w:rsidRDefault="00CA3114" w:rsidP="00CA3114">
      <w:pPr>
        <w:rPr>
          <w:b/>
          <w:lang w:val="en-GB"/>
        </w:rPr>
      </w:pPr>
    </w:p>
    <w:p w:rsidR="00CA3114" w:rsidRPr="004F4081" w:rsidRDefault="00CA3114" w:rsidP="00CA3114">
      <w:r>
        <w:rPr>
          <w:b/>
        </w:rPr>
        <w:t>Referencia:</w:t>
      </w:r>
      <w:r>
        <w:t xml:space="preserve"> </w:t>
      </w:r>
      <w:r>
        <w:tab/>
        <w:t>Dictamen de iniciativa</w:t>
      </w:r>
    </w:p>
    <w:p w:rsidR="00CA3114" w:rsidRPr="004F4081" w:rsidRDefault="00CA3114" w:rsidP="00C604EE">
      <w:pPr>
        <w:tabs>
          <w:tab w:val="left" w:pos="1701"/>
        </w:tabs>
        <w:ind w:left="1701"/>
      </w:pPr>
      <w:r>
        <w:t>EESC-2019-01070-00-00-AC</w:t>
      </w:r>
    </w:p>
    <w:p w:rsidR="00CA3114" w:rsidRPr="004F4081" w:rsidRDefault="00CA3114" w:rsidP="00CA3114">
      <w:pPr>
        <w:tabs>
          <w:tab w:val="num" w:pos="550"/>
        </w:tabs>
        <w:rPr>
          <w:b/>
          <w:highlight w:val="green"/>
          <w:lang w:val="en-GB"/>
        </w:rPr>
      </w:pPr>
    </w:p>
    <w:p w:rsidR="00821A9F" w:rsidRPr="004F4081" w:rsidRDefault="00CA3114" w:rsidP="00CA3114">
      <w:pPr>
        <w:rPr>
          <w:b/>
        </w:rPr>
      </w:pPr>
      <w:r>
        <w:rPr>
          <w:b/>
        </w:rPr>
        <w:t>Puntos clave</w:t>
      </w:r>
    </w:p>
    <w:p w:rsidR="00AE56D2" w:rsidRPr="004F4081" w:rsidRDefault="00AE56D2" w:rsidP="00CA3114">
      <w:pPr>
        <w:rPr>
          <w:b/>
          <w:lang w:val="en-GB"/>
        </w:rPr>
      </w:pPr>
    </w:p>
    <w:p w:rsidR="00AE56D2" w:rsidRPr="004F4081" w:rsidRDefault="00AE56D2" w:rsidP="00CA3114">
      <w:r>
        <w:t>El CESE:</w:t>
      </w:r>
    </w:p>
    <w:p w:rsidR="00AE56D2" w:rsidRPr="004F4081" w:rsidRDefault="00AE56D2" w:rsidP="00CA3114">
      <w:pPr>
        <w:rPr>
          <w:b/>
          <w:lang w:val="en-GB"/>
        </w:rPr>
      </w:pPr>
    </w:p>
    <w:p w:rsidR="00CA3114" w:rsidRPr="004F4081" w:rsidRDefault="00993678" w:rsidP="00AE56D2">
      <w:pPr>
        <w:pStyle w:val="ListParagraph"/>
        <w:numPr>
          <w:ilvl w:val="0"/>
          <w:numId w:val="98"/>
        </w:numPr>
      </w:pPr>
      <w:r>
        <w:t>considera que la solidez de los sistemas europeos de transporte, energía y servicios de interés general es vital para lograr un continente plenamente integrado que aborde los retos globales del crecimiento sostenible competitivo en un entorno moderno, digitalizado e inteligente. La participación y el compromiso activos de los ciudadanos de la UE deben situarse, de acuerdo con el CESE, en el núcleo de las opciones y acciones políticas;</w:t>
      </w:r>
    </w:p>
    <w:p w:rsidR="00993678" w:rsidRPr="004F4081" w:rsidRDefault="00993678" w:rsidP="00993678">
      <w:pPr>
        <w:rPr>
          <w:lang w:val="en-GB"/>
        </w:rPr>
      </w:pPr>
    </w:p>
    <w:p w:rsidR="00993678" w:rsidRPr="004F4081" w:rsidRDefault="00993678" w:rsidP="00993678">
      <w:pPr>
        <w:pStyle w:val="ListParagraph"/>
        <w:numPr>
          <w:ilvl w:val="0"/>
          <w:numId w:val="98"/>
        </w:numPr>
      </w:pPr>
      <w:r>
        <w:t>se muestra firmemente convencido de que la culminación del mercado único de la UE continúa siendo el pilar más importante para reforzar el crecimiento digital europeo. El CESE pide a la Comisión y a los Estados miembros que asignen recursos y competencias suficientes para supervisar y aplicar de manera eficiente la legislación en vigor. El CESE insta asimismo a las instituciones y los Estados miembros de la UE a culminar el Mercado Único Digital, desarrollando también capacidades para integrar y utilizar los servicios 5G, a fin de defender y mejorar la competitividad de las industrias europeas. El CESE sugiere adoptar una política europea que exija que cada país disponga como mínimo de dos proveedores 5G, al menos uno de ellos europeo. Para financiar enormes inversiones, el CESE recomienda promover un entorno favorable a la inversión, incluida la aplicación de la «regla de oro de la inversión», así como nuevos regímenes de financiación a través de los instrumentos de cohesión, el BEI, el MCE e InvestEU, Horizonte Europa y las iniciativas conjuntas públicas y privadas. El flujo libre de datos es esencial. Por consiguiente, el CESE pide soluciones eficaces que eliminen los problemas asociados a la accesibilidad, interoperabilidad y transferencia de los datos, asegurando al mismo tiempo una protección y privacidad de datos adecuadas, una competencia leal y una mayor elección para el consumidor;</w:t>
      </w:r>
    </w:p>
    <w:p w:rsidR="00993678" w:rsidRPr="004F4081" w:rsidRDefault="00993678" w:rsidP="00993678">
      <w:pPr>
        <w:rPr>
          <w:lang w:val="en-GB"/>
        </w:rPr>
      </w:pPr>
    </w:p>
    <w:p w:rsidR="00993678" w:rsidRPr="004F4081" w:rsidRDefault="00993678" w:rsidP="00AE56D2">
      <w:pPr>
        <w:pStyle w:val="ListParagraph"/>
        <w:numPr>
          <w:ilvl w:val="0"/>
          <w:numId w:val="98"/>
        </w:numPr>
      </w:pPr>
      <w:r>
        <w:t xml:space="preserve">solicita a la Comisión que revise las normas en materia de seguros y responsabilidad por los productos para adaptarlas a una situación en la que el </w:t>
      </w:r>
      <w:r>
        <w:rPr>
          <w:i/>
        </w:rPr>
        <w:t>software</w:t>
      </w:r>
      <w:r>
        <w:t xml:space="preserve"> tomará cada vez más decisiones. Los principios de seguridad por diseño y seguridad por defecto deben aplicarse sistemáticamente para imprimir mayor confianza a la hora de adoptar de estas tecnologías;</w:t>
      </w:r>
    </w:p>
    <w:p w:rsidR="00993678" w:rsidRPr="004F4081" w:rsidRDefault="00993678" w:rsidP="00993678">
      <w:pPr>
        <w:rPr>
          <w:b/>
          <w:lang w:val="en-GB"/>
        </w:rPr>
      </w:pPr>
    </w:p>
    <w:p w:rsidR="00CA3114" w:rsidRPr="004F4081" w:rsidRDefault="00993678" w:rsidP="00AE56D2">
      <w:pPr>
        <w:pStyle w:val="ListParagraph"/>
        <w:keepNext/>
        <w:keepLines/>
        <w:numPr>
          <w:ilvl w:val="0"/>
          <w:numId w:val="98"/>
        </w:numPr>
        <w:rPr>
          <w:i/>
        </w:rPr>
      </w:pPr>
      <w:r>
        <w:t>solicita asimismo a los Estados miembros que adopten con prontitud la propuesta de la Comisión de un régimen de recurso colectivo de la UE.</w:t>
      </w:r>
    </w:p>
    <w:p w:rsidR="001E5FEE" w:rsidRPr="004F4081" w:rsidRDefault="001E5FEE" w:rsidP="00AE56D2">
      <w:pPr>
        <w:keepNext/>
        <w:keepLines/>
        <w:rPr>
          <w:lang w:val="en-GB"/>
        </w:rPr>
      </w:pPr>
    </w:p>
    <w:p w:rsidR="00993678" w:rsidRPr="004F4081" w:rsidRDefault="00993678" w:rsidP="00AE56D2">
      <w:pPr>
        <w:keepNext/>
        <w:keepLines/>
        <w:tabs>
          <w:tab w:val="left" w:pos="1701"/>
        </w:tabs>
        <w:rPr>
          <w:i/>
        </w:rPr>
      </w:pPr>
      <w:r>
        <w:rPr>
          <w:b/>
          <w:i/>
        </w:rPr>
        <w:t>Contacto:</w:t>
      </w:r>
      <w:r>
        <w:rPr>
          <w:i/>
        </w:rPr>
        <w:tab/>
        <w:t>Maja R</w:t>
      </w:r>
      <w:r w:rsidR="00483C93">
        <w:rPr>
          <w:i/>
        </w:rPr>
        <w:t>adman</w:t>
      </w:r>
    </w:p>
    <w:p w:rsidR="00993678" w:rsidRPr="004F4081" w:rsidRDefault="00993678" w:rsidP="00C604EE">
      <w:pPr>
        <w:keepNext/>
        <w:keepLines/>
        <w:tabs>
          <w:tab w:val="left" w:pos="1701"/>
        </w:tabs>
        <w:ind w:left="1701"/>
      </w:pPr>
      <w:r>
        <w:rPr>
          <w:i/>
        </w:rPr>
        <w:t xml:space="preserve">(Tel.: 00 32 2 546 9051 - correo electrónico: </w:t>
      </w:r>
      <w:hyperlink r:id="rId29" w:history="1">
        <w:r>
          <w:rPr>
            <w:rStyle w:val="Hyperlink"/>
            <w:i/>
          </w:rPr>
          <w:t>Maja.Radman@eesc.europa.eu</w:t>
        </w:r>
      </w:hyperlink>
      <w:r>
        <w:rPr>
          <w:i/>
        </w:rPr>
        <w:t>)</w:t>
      </w:r>
    </w:p>
    <w:p w:rsidR="007B28CF" w:rsidRPr="004F4081" w:rsidRDefault="007B28CF" w:rsidP="005D56C1">
      <w:pPr>
        <w:jc w:val="left"/>
        <w:rPr>
          <w:lang w:val="en-GB"/>
        </w:rPr>
      </w:pPr>
    </w:p>
    <w:p w:rsidR="007B28CF" w:rsidRPr="004F4081" w:rsidRDefault="007B28CF" w:rsidP="00AE56D2">
      <w:pPr>
        <w:keepNext/>
        <w:keepLines/>
        <w:jc w:val="left"/>
      </w:pPr>
      <w:r>
        <w:rPr>
          <w:b/>
          <w:u w:val="single"/>
        </w:rPr>
        <w:t>TEN/695</w:t>
      </w:r>
    </w:p>
    <w:p w:rsidR="007B28CF" w:rsidRPr="004F4081" w:rsidRDefault="007B28CF" w:rsidP="00AE56D2">
      <w:pPr>
        <w:keepNext/>
        <w:keepLines/>
        <w:jc w:val="left"/>
        <w:rPr>
          <w:lang w:val="en-GB"/>
        </w:rPr>
      </w:pPr>
    </w:p>
    <w:p w:rsidR="007B28CF" w:rsidRPr="004F4081" w:rsidRDefault="007B28CF" w:rsidP="00AE56D2">
      <w:pPr>
        <w:keepNext/>
        <w:keepLines/>
        <w:widowControl w:val="0"/>
        <w:numPr>
          <w:ilvl w:val="0"/>
          <w:numId w:val="12"/>
        </w:numPr>
        <w:overflowPunct w:val="0"/>
        <w:autoSpaceDE w:val="0"/>
        <w:autoSpaceDN w:val="0"/>
        <w:adjustRightInd w:val="0"/>
        <w:spacing w:line="240" w:lineRule="auto"/>
        <w:ind w:left="567" w:hanging="567"/>
        <w:textAlignment w:val="baseline"/>
        <w:rPr>
          <w:bCs/>
          <w:i/>
        </w:rPr>
      </w:pPr>
      <w:r>
        <w:rPr>
          <w:b/>
          <w:i/>
          <w:sz w:val="28"/>
          <w:szCs w:val="28"/>
        </w:rPr>
        <w:t>Estado de la Unión de la Energía 2018</w:t>
      </w:r>
    </w:p>
    <w:p w:rsidR="007B28CF" w:rsidRPr="004F4081" w:rsidRDefault="007B28CF" w:rsidP="007B28CF">
      <w:pPr>
        <w:widowControl w:val="0"/>
        <w:spacing w:line="240" w:lineRule="auto"/>
        <w:rPr>
          <w:bCs/>
          <w:lang w:val="en-GB"/>
        </w:rPr>
      </w:pPr>
    </w:p>
    <w:p w:rsidR="007B28CF" w:rsidRPr="004F4081" w:rsidRDefault="007B28CF" w:rsidP="007B28CF">
      <w:pPr>
        <w:widowControl w:val="0"/>
        <w:spacing w:line="240" w:lineRule="auto"/>
        <w:rPr>
          <w:bCs/>
          <w:highlight w:val="green"/>
          <w:lang w:val="en-GB"/>
        </w:rPr>
      </w:pPr>
    </w:p>
    <w:p w:rsidR="007B28CF" w:rsidRPr="004F4081" w:rsidRDefault="007B28CF" w:rsidP="007B28CF">
      <w:pPr>
        <w:tabs>
          <w:tab w:val="left" w:pos="1701"/>
        </w:tabs>
      </w:pPr>
      <w:r>
        <w:rPr>
          <w:b/>
        </w:rPr>
        <w:t>Ponente:</w:t>
      </w:r>
      <w:r w:rsidR="0010098E">
        <w:rPr>
          <w:b/>
        </w:rPr>
        <w:tab/>
      </w:r>
      <w:r>
        <w:t>Christophe QUAREZ (Grupo de Trabajadores – FR)</w:t>
      </w:r>
    </w:p>
    <w:p w:rsidR="007B28CF" w:rsidRPr="004F4081" w:rsidRDefault="007B28CF" w:rsidP="007B28CF">
      <w:pPr>
        <w:rPr>
          <w:b/>
          <w:lang w:val="en-GB"/>
        </w:rPr>
      </w:pPr>
    </w:p>
    <w:p w:rsidR="007B28CF" w:rsidRPr="002B07FF" w:rsidRDefault="007B28CF" w:rsidP="007B28CF">
      <w:r>
        <w:rPr>
          <w:b/>
        </w:rPr>
        <w:t>Referencia:</w:t>
      </w:r>
      <w:r>
        <w:t xml:space="preserve">  </w:t>
      </w:r>
      <w:r>
        <w:tab/>
        <w:t>COM(2019) 175 final</w:t>
      </w:r>
    </w:p>
    <w:p w:rsidR="007B28CF" w:rsidRPr="004F4081" w:rsidRDefault="007B28CF" w:rsidP="00C604EE">
      <w:pPr>
        <w:tabs>
          <w:tab w:val="left" w:pos="1701"/>
        </w:tabs>
        <w:ind w:left="1701"/>
      </w:pPr>
      <w:r>
        <w:t>EESC-2019-01938-00-00-AC</w:t>
      </w:r>
    </w:p>
    <w:p w:rsidR="007B28CF" w:rsidRPr="004F4081" w:rsidRDefault="007B28CF" w:rsidP="007B28CF">
      <w:pPr>
        <w:tabs>
          <w:tab w:val="num" w:pos="550"/>
        </w:tabs>
        <w:rPr>
          <w:b/>
          <w:highlight w:val="green"/>
          <w:lang w:val="en-GB"/>
        </w:rPr>
      </w:pPr>
    </w:p>
    <w:p w:rsidR="007B28CF" w:rsidRPr="004F4081" w:rsidRDefault="007B28CF" w:rsidP="007B28CF">
      <w:pPr>
        <w:jc w:val="left"/>
        <w:rPr>
          <w:b/>
        </w:rPr>
      </w:pPr>
      <w:r>
        <w:rPr>
          <w:b/>
        </w:rPr>
        <w:t>Puntos clave</w:t>
      </w:r>
    </w:p>
    <w:p w:rsidR="00AE56D2" w:rsidRPr="004F4081" w:rsidRDefault="00AE56D2" w:rsidP="007B28CF">
      <w:pPr>
        <w:jc w:val="left"/>
        <w:rPr>
          <w:b/>
          <w:lang w:val="en-GB"/>
        </w:rPr>
      </w:pPr>
    </w:p>
    <w:p w:rsidR="00AE56D2" w:rsidRPr="004F4081" w:rsidRDefault="00AE56D2" w:rsidP="007B28CF">
      <w:pPr>
        <w:jc w:val="left"/>
      </w:pPr>
      <w:r>
        <w:t>El CESE:</w:t>
      </w:r>
    </w:p>
    <w:p w:rsidR="00AE56D2" w:rsidRPr="004F4081" w:rsidRDefault="00AE56D2" w:rsidP="007B28CF">
      <w:pPr>
        <w:jc w:val="left"/>
        <w:rPr>
          <w:b/>
          <w:lang w:val="en-GB"/>
        </w:rPr>
      </w:pPr>
    </w:p>
    <w:p w:rsidR="007B28CF" w:rsidRPr="004F4081" w:rsidRDefault="007B28CF" w:rsidP="00AE56D2">
      <w:pPr>
        <w:pStyle w:val="ListParagraph"/>
        <w:numPr>
          <w:ilvl w:val="0"/>
          <w:numId w:val="97"/>
        </w:numPr>
      </w:pPr>
      <w:r>
        <w:t>toma nota del Cuarto Informe sobre el estado de la Unión de la Energía, respalda los objetivos de la Unión de la Energía y celebra que se haga hincapié en el compromiso y la movilización de la sociedad de la UE para que haga plenamente suya la Unión de la Energía;</w:t>
      </w:r>
    </w:p>
    <w:p w:rsidR="00AE56D2" w:rsidRPr="004F4081" w:rsidRDefault="00AE56D2" w:rsidP="007B28CF">
      <w:pPr>
        <w:rPr>
          <w:lang w:val="en-GB"/>
        </w:rPr>
      </w:pPr>
    </w:p>
    <w:p w:rsidR="007B28CF" w:rsidRPr="004F4081" w:rsidRDefault="007B28CF" w:rsidP="00AE56D2">
      <w:pPr>
        <w:pStyle w:val="ListParagraph"/>
        <w:numPr>
          <w:ilvl w:val="0"/>
          <w:numId w:val="97"/>
        </w:numPr>
      </w:pPr>
      <w:r>
        <w:t>expresa su sorpresa por la declaración de la Comisión Europea de que «la Unión de la Energía es una realidad». La Unión de la Energía puede ser una realidad en cuanto a decisiones políticas de la UE, pero todavía no es una realidad en la vida cotidiana de los ciudadanos europeos. El CESE pide a la Comisión Europea que haga un mayor uso de sus competencias, incluidas las jurídicas, para garantizar que los Estados miembros respetan la legislación de la UE sobre energía, incluidos los objetivos en materia de clima y energía para 2020;</w:t>
      </w:r>
    </w:p>
    <w:p w:rsidR="00AE56D2" w:rsidRPr="004F4081" w:rsidRDefault="00AE56D2" w:rsidP="007B28CF">
      <w:pPr>
        <w:rPr>
          <w:lang w:val="en-GB"/>
        </w:rPr>
      </w:pPr>
    </w:p>
    <w:p w:rsidR="007B28CF" w:rsidRPr="004F4081" w:rsidRDefault="007B28CF" w:rsidP="00AE56D2">
      <w:pPr>
        <w:pStyle w:val="ListParagraph"/>
        <w:numPr>
          <w:ilvl w:val="0"/>
          <w:numId w:val="97"/>
        </w:numPr>
      </w:pPr>
      <w:r>
        <w:t>reitera que Europa necesita un «pacto social para una transición energética liderada por los ciudadanos», que deberán acordar la UE, los Estados miembros, las regiones, las ciudades, los interlocutores sociales y la sociedad civil organizada, a fin de garantizar que la transición no excluya a nadie. El pacto debe convertirse en la sexta dimensión de la Unión de la Energía y cubrir todos los aspectos sociales, incluida la creación de empleos de calidad, la formación profesional, la educación y formación de los consumidores, la protección social, la elaboración de planes específicos para las regiones en transición cuando se pierden puestos de trabajo, la salud y la pobreza energética. Esta iniciativa debe formar parte del pilar europeo de derechos sociales.</w:t>
      </w:r>
    </w:p>
    <w:p w:rsidR="007B28CF" w:rsidRPr="004F4081" w:rsidRDefault="007B28CF" w:rsidP="007B28CF">
      <w:pPr>
        <w:rPr>
          <w:lang w:val="en-GB"/>
        </w:rPr>
      </w:pPr>
    </w:p>
    <w:p w:rsidR="007B28CF" w:rsidRPr="004F4081" w:rsidRDefault="007B28CF" w:rsidP="007B28CF">
      <w:pPr>
        <w:tabs>
          <w:tab w:val="left" w:pos="1701"/>
        </w:tabs>
        <w:rPr>
          <w:i/>
        </w:rPr>
      </w:pPr>
      <w:r>
        <w:rPr>
          <w:b/>
          <w:i/>
        </w:rPr>
        <w:t>Contacto:</w:t>
      </w:r>
      <w:r>
        <w:rPr>
          <w:i/>
        </w:rPr>
        <w:tab/>
        <w:t>Kristian K</w:t>
      </w:r>
      <w:r w:rsidR="00483C93">
        <w:rPr>
          <w:i/>
        </w:rPr>
        <w:t>rieger</w:t>
      </w:r>
    </w:p>
    <w:p w:rsidR="007B28CF" w:rsidRPr="004F4081" w:rsidRDefault="007B28CF" w:rsidP="00C604EE">
      <w:pPr>
        <w:tabs>
          <w:tab w:val="left" w:pos="1701"/>
        </w:tabs>
        <w:ind w:left="1701"/>
        <w:rPr>
          <w:i/>
        </w:rPr>
      </w:pPr>
      <w:r>
        <w:rPr>
          <w:i/>
        </w:rPr>
        <w:t xml:space="preserve">(Tel.: 00 32 2 546 8921 - correo electrónico: </w:t>
      </w:r>
      <w:hyperlink r:id="rId30" w:history="1">
        <w:r>
          <w:rPr>
            <w:rStyle w:val="Hyperlink"/>
            <w:i/>
          </w:rPr>
          <w:t>Kristian.Krieger@eesc.europa.eu</w:t>
        </w:r>
      </w:hyperlink>
      <w:r>
        <w:rPr>
          <w:i/>
        </w:rPr>
        <w:t>)</w:t>
      </w:r>
    </w:p>
    <w:p w:rsidR="007B28CF" w:rsidRPr="004F4081" w:rsidRDefault="007B28CF" w:rsidP="007B28CF">
      <w:pPr>
        <w:tabs>
          <w:tab w:val="left" w:pos="1701"/>
        </w:tabs>
        <w:rPr>
          <w:i/>
          <w:lang w:val="en-GB"/>
        </w:rPr>
      </w:pPr>
    </w:p>
    <w:p w:rsidR="007B28CF" w:rsidRPr="004F4081" w:rsidRDefault="007B28CF" w:rsidP="00AE56D2">
      <w:pPr>
        <w:keepNext/>
        <w:keepLines/>
        <w:tabs>
          <w:tab w:val="left" w:pos="1701"/>
        </w:tabs>
      </w:pPr>
      <w:r>
        <w:rPr>
          <w:b/>
          <w:u w:val="single"/>
        </w:rPr>
        <w:lastRenderedPageBreak/>
        <w:t>TEN/696</w:t>
      </w:r>
    </w:p>
    <w:p w:rsidR="007B28CF" w:rsidRPr="004F4081" w:rsidRDefault="007B28CF" w:rsidP="00AE56D2">
      <w:pPr>
        <w:keepNext/>
        <w:keepLines/>
        <w:tabs>
          <w:tab w:val="left" w:pos="1701"/>
        </w:tabs>
        <w:rPr>
          <w:lang w:val="en-GB"/>
        </w:rPr>
      </w:pPr>
    </w:p>
    <w:p w:rsidR="007B28CF" w:rsidRPr="004F4081" w:rsidRDefault="007B28CF" w:rsidP="00AE56D2">
      <w:pPr>
        <w:keepNext/>
        <w:keepLines/>
        <w:widowControl w:val="0"/>
        <w:numPr>
          <w:ilvl w:val="0"/>
          <w:numId w:val="12"/>
        </w:numPr>
        <w:overflowPunct w:val="0"/>
        <w:autoSpaceDE w:val="0"/>
        <w:autoSpaceDN w:val="0"/>
        <w:adjustRightInd w:val="0"/>
        <w:spacing w:line="240" w:lineRule="auto"/>
        <w:ind w:left="567" w:hanging="567"/>
        <w:textAlignment w:val="baseline"/>
        <w:rPr>
          <w:bCs/>
          <w:i/>
        </w:rPr>
      </w:pPr>
      <w:r>
        <w:rPr>
          <w:b/>
          <w:i/>
          <w:sz w:val="28"/>
          <w:szCs w:val="28"/>
        </w:rPr>
        <w:t>Plan de acción estratégico para las baterías</w:t>
      </w:r>
    </w:p>
    <w:p w:rsidR="007B28CF" w:rsidRPr="004F4081" w:rsidRDefault="007B28CF" w:rsidP="00AE56D2">
      <w:pPr>
        <w:keepNext/>
        <w:keepLines/>
        <w:widowControl w:val="0"/>
        <w:spacing w:line="240" w:lineRule="auto"/>
        <w:rPr>
          <w:bCs/>
          <w:lang w:val="en-GB"/>
        </w:rPr>
      </w:pPr>
    </w:p>
    <w:p w:rsidR="007B28CF" w:rsidRPr="004F4081" w:rsidRDefault="007B28CF" w:rsidP="00AE56D2">
      <w:pPr>
        <w:keepNext/>
        <w:keepLines/>
        <w:widowControl w:val="0"/>
        <w:spacing w:line="240" w:lineRule="auto"/>
        <w:rPr>
          <w:bCs/>
          <w:highlight w:val="green"/>
          <w:lang w:val="en-GB"/>
        </w:rPr>
      </w:pPr>
    </w:p>
    <w:p w:rsidR="007B28CF" w:rsidRPr="004F4081" w:rsidRDefault="007B28CF" w:rsidP="00AE56D2">
      <w:pPr>
        <w:keepNext/>
        <w:keepLines/>
        <w:tabs>
          <w:tab w:val="left" w:pos="1701"/>
        </w:tabs>
      </w:pPr>
      <w:r>
        <w:rPr>
          <w:b/>
        </w:rPr>
        <w:t>Ponente:</w:t>
      </w:r>
      <w:r w:rsidR="0010098E">
        <w:rPr>
          <w:b/>
        </w:rPr>
        <w:tab/>
      </w:r>
      <w:r>
        <w:t>Colin LUSTENHOUWER (Grupo de Empresarios – NL)</w:t>
      </w:r>
    </w:p>
    <w:p w:rsidR="007B28CF" w:rsidRPr="004F4081" w:rsidRDefault="007B28CF" w:rsidP="00AE56D2">
      <w:pPr>
        <w:keepNext/>
        <w:keepLines/>
        <w:rPr>
          <w:b/>
          <w:lang w:val="en-GB"/>
        </w:rPr>
      </w:pPr>
    </w:p>
    <w:p w:rsidR="007B28CF" w:rsidRPr="002B07FF" w:rsidRDefault="007B28CF" w:rsidP="00AE56D2">
      <w:pPr>
        <w:keepNext/>
        <w:keepLines/>
      </w:pPr>
      <w:r>
        <w:rPr>
          <w:b/>
        </w:rPr>
        <w:t>Referencia:</w:t>
      </w:r>
      <w:r>
        <w:t xml:space="preserve">  </w:t>
      </w:r>
      <w:r>
        <w:tab/>
        <w:t>COM(2019) 176 final</w:t>
      </w:r>
    </w:p>
    <w:p w:rsidR="007B28CF" w:rsidRPr="004F4081" w:rsidRDefault="007B28CF" w:rsidP="00C604EE">
      <w:pPr>
        <w:keepNext/>
        <w:keepLines/>
        <w:tabs>
          <w:tab w:val="left" w:pos="1701"/>
        </w:tabs>
        <w:ind w:left="1701"/>
      </w:pPr>
      <w:r>
        <w:t>EESC-2019-01700-00-00-AC</w:t>
      </w:r>
    </w:p>
    <w:p w:rsidR="007B28CF" w:rsidRPr="004F4081" w:rsidRDefault="007B28CF" w:rsidP="00AE56D2">
      <w:pPr>
        <w:keepNext/>
        <w:keepLines/>
        <w:tabs>
          <w:tab w:val="num" w:pos="550"/>
        </w:tabs>
        <w:rPr>
          <w:b/>
          <w:highlight w:val="green"/>
          <w:lang w:val="en-GB"/>
        </w:rPr>
      </w:pPr>
    </w:p>
    <w:p w:rsidR="007B28CF" w:rsidRPr="004F4081" w:rsidRDefault="007B28CF" w:rsidP="00AE56D2">
      <w:pPr>
        <w:keepNext/>
        <w:keepLines/>
        <w:tabs>
          <w:tab w:val="left" w:pos="1701"/>
        </w:tabs>
        <w:rPr>
          <w:b/>
        </w:rPr>
      </w:pPr>
      <w:r>
        <w:rPr>
          <w:b/>
        </w:rPr>
        <w:t>Puntos clave</w:t>
      </w:r>
    </w:p>
    <w:p w:rsidR="00AE56D2" w:rsidRPr="004F4081" w:rsidRDefault="00AE56D2" w:rsidP="00AE56D2">
      <w:pPr>
        <w:keepNext/>
        <w:keepLines/>
        <w:tabs>
          <w:tab w:val="left" w:pos="1701"/>
        </w:tabs>
        <w:rPr>
          <w:color w:val="000000"/>
          <w:lang w:val="en-GB"/>
        </w:rPr>
      </w:pPr>
    </w:p>
    <w:p w:rsidR="007B28CF" w:rsidRPr="004F4081" w:rsidRDefault="00D1546E" w:rsidP="00AE56D2">
      <w:pPr>
        <w:keepNext/>
        <w:keepLines/>
        <w:tabs>
          <w:tab w:val="left" w:pos="1701"/>
        </w:tabs>
        <w:rPr>
          <w:color w:val="000000"/>
        </w:rPr>
      </w:pPr>
      <w:r>
        <w:rPr>
          <w:color w:val="000000"/>
        </w:rPr>
        <w:t>El primer informe de situación de la Comisión Europea sobre la ejecución del Plan de acción estratégico para las baterías señala que se han puesto en marcha numerosas medidas para garantizar que la Unión Europea cuente con una importante industria de baterías. Aunque todavía es pronto para extraer conclusiones definitivas, el CESE apoya las iniciativas que la Comisión ha tomado ya y las que tiene previsto tomar al objeto de romper la dependencia de Europa con respecto a terceros países, en particular países asiáticos, en colaboración con los Estados miembros y la comunidad empresarial europea. Aún queda mucho por hacer en los próximos años para que los conocimientos tecnológicos de la UE alcancen el nivel necesario, para garantizar que el suministro des materias primas necesarias procedentes de terceros países y de fuentes de la UE y para garantizar que el reciclado de las baterías se lleve a cabo de manera adecuada y segura. En este sentido, la inversión en recursos humanos es una responsabilidad compartida entre las autoridades públicas y las empresas.</w:t>
      </w:r>
    </w:p>
    <w:p w:rsidR="00D1546E" w:rsidRPr="004F4081" w:rsidRDefault="00D1546E" w:rsidP="007B28CF">
      <w:pPr>
        <w:tabs>
          <w:tab w:val="left" w:pos="1701"/>
        </w:tabs>
        <w:rPr>
          <w:color w:val="000000"/>
          <w:lang w:val="en-GB"/>
        </w:rPr>
      </w:pPr>
    </w:p>
    <w:p w:rsidR="00D1546E" w:rsidRPr="004F4081" w:rsidRDefault="00D1546E" w:rsidP="00D1546E">
      <w:pPr>
        <w:tabs>
          <w:tab w:val="left" w:pos="1701"/>
        </w:tabs>
        <w:rPr>
          <w:i/>
        </w:rPr>
      </w:pPr>
      <w:r>
        <w:rPr>
          <w:b/>
          <w:i/>
        </w:rPr>
        <w:t>Contacto:</w:t>
      </w:r>
      <w:r>
        <w:rPr>
          <w:i/>
        </w:rPr>
        <w:tab/>
        <w:t>Alessandro R</w:t>
      </w:r>
      <w:r w:rsidR="00483C93">
        <w:rPr>
          <w:i/>
        </w:rPr>
        <w:t>izzi</w:t>
      </w:r>
    </w:p>
    <w:p w:rsidR="00D1546E" w:rsidRPr="004F4081" w:rsidRDefault="00D1546E" w:rsidP="00C604EE">
      <w:pPr>
        <w:tabs>
          <w:tab w:val="left" w:pos="1701"/>
        </w:tabs>
        <w:ind w:left="1701"/>
        <w:rPr>
          <w:b/>
        </w:rPr>
      </w:pPr>
      <w:r>
        <w:rPr>
          <w:i/>
        </w:rPr>
        <w:t xml:space="preserve">(Tel.: 00 32 2 546 8679 - correo electrónico: </w:t>
      </w:r>
      <w:hyperlink r:id="rId31" w:history="1">
        <w:r>
          <w:rPr>
            <w:rStyle w:val="Hyperlink"/>
            <w:i/>
          </w:rPr>
          <w:t>Alessandro.Rizzi@eesc.europa.eu</w:t>
        </w:r>
      </w:hyperlink>
      <w:r w:rsidR="00483C93">
        <w:rPr>
          <w:i/>
        </w:rPr>
        <w:t>)</w:t>
      </w:r>
    </w:p>
    <w:p w:rsidR="007B28CF" w:rsidRPr="004F4081" w:rsidRDefault="007B28CF" w:rsidP="007B28CF">
      <w:pPr>
        <w:tabs>
          <w:tab w:val="left" w:pos="1701"/>
        </w:tabs>
        <w:rPr>
          <w:lang w:val="en-GB"/>
        </w:rPr>
      </w:pPr>
    </w:p>
    <w:p w:rsidR="004154C1" w:rsidRPr="004F4081" w:rsidRDefault="004154C1" w:rsidP="00C604EE">
      <w:pPr>
        <w:tabs>
          <w:tab w:val="left" w:pos="1701"/>
        </w:tabs>
        <w:ind w:left="1701"/>
        <w:jc w:val="left"/>
        <w:rPr>
          <w:i/>
          <w:lang w:val="en-GB"/>
        </w:rPr>
      </w:pPr>
    </w:p>
    <w:p w:rsidR="001E5FEE" w:rsidRPr="004F4081" w:rsidRDefault="001E5FEE" w:rsidP="00C604EE">
      <w:pPr>
        <w:tabs>
          <w:tab w:val="left" w:pos="1701"/>
        </w:tabs>
        <w:ind w:left="1701"/>
        <w:jc w:val="left"/>
        <w:rPr>
          <w:kern w:val="28"/>
        </w:rPr>
      </w:pPr>
      <w:r>
        <w:br w:type="page"/>
      </w:r>
    </w:p>
    <w:p w:rsidR="008262D3" w:rsidRPr="004F4081" w:rsidRDefault="008A2BDE" w:rsidP="00AE0E21">
      <w:pPr>
        <w:pStyle w:val="Heading1"/>
        <w:keepNext/>
        <w:keepLines/>
        <w:numPr>
          <w:ilvl w:val="0"/>
          <w:numId w:val="102"/>
        </w:numPr>
        <w:tabs>
          <w:tab w:val="left" w:pos="567"/>
        </w:tabs>
        <w:rPr>
          <w:b/>
        </w:rPr>
      </w:pPr>
      <w:bookmarkStart w:id="8" w:name="_Toc15401466"/>
      <w:r>
        <w:rPr>
          <w:b/>
        </w:rPr>
        <w:lastRenderedPageBreak/>
        <w:t>AGRICULTURA, DESARROLLO RURAL Y MEDIO AMBIENTE</w:t>
      </w:r>
      <w:bookmarkEnd w:id="8"/>
    </w:p>
    <w:p w:rsidR="008A2BDE" w:rsidRPr="004F4081" w:rsidRDefault="008A2BDE" w:rsidP="005D56C1">
      <w:pPr>
        <w:keepNext/>
        <w:keepLines/>
        <w:jc w:val="left"/>
        <w:rPr>
          <w:iCs/>
          <w:lang w:val="en-GB"/>
        </w:rPr>
      </w:pPr>
    </w:p>
    <w:p w:rsidR="008A2BDE" w:rsidRPr="004F4081" w:rsidRDefault="008A2BDE">
      <w:pPr>
        <w:jc w:val="left"/>
        <w:rPr>
          <w:iCs/>
        </w:rPr>
      </w:pPr>
      <w:r>
        <w:rPr>
          <w:b/>
          <w:iCs/>
          <w:u w:val="single"/>
        </w:rPr>
        <w:t>NAT/763</w:t>
      </w:r>
    </w:p>
    <w:p w:rsidR="008A2BDE" w:rsidRPr="004F4081" w:rsidRDefault="008A2BDE">
      <w:pPr>
        <w:jc w:val="left"/>
        <w:rPr>
          <w:iCs/>
          <w:lang w:val="en-GB"/>
        </w:rPr>
      </w:pPr>
    </w:p>
    <w:p w:rsidR="008A2BDE" w:rsidRPr="004F4081" w:rsidRDefault="00B46A6D">
      <w:pPr>
        <w:pStyle w:val="ListParagraph"/>
        <w:numPr>
          <w:ilvl w:val="0"/>
          <w:numId w:val="22"/>
        </w:numPr>
        <w:ind w:left="567" w:hanging="567"/>
        <w:rPr>
          <w:b/>
          <w:bCs/>
          <w:i/>
          <w:iCs/>
          <w:sz w:val="28"/>
          <w:szCs w:val="28"/>
        </w:rPr>
      </w:pPr>
      <w:r>
        <w:rPr>
          <w:b/>
          <w:bCs/>
          <w:i/>
          <w:iCs/>
          <w:sz w:val="28"/>
          <w:szCs w:val="28"/>
        </w:rPr>
        <w:t>Promoción de cadenas cortas y alternativas de distribución de alimentos en la UE: el papel de la agroecología</w:t>
      </w:r>
    </w:p>
    <w:p w:rsidR="008A2BDE" w:rsidRPr="004F4081" w:rsidRDefault="008A2BDE">
      <w:pPr>
        <w:pStyle w:val="ListParagraph"/>
        <w:ind w:left="567"/>
        <w:rPr>
          <w:b/>
          <w:bCs/>
          <w:i/>
          <w:iCs/>
          <w:sz w:val="28"/>
          <w:szCs w:val="28"/>
          <w:lang w:val="en-GB"/>
        </w:rPr>
      </w:pPr>
    </w:p>
    <w:p w:rsidR="008A2BDE" w:rsidRPr="004F4081" w:rsidRDefault="008A2BDE">
      <w:r>
        <w:rPr>
          <w:b/>
        </w:rPr>
        <w:t>Ponente:</w:t>
      </w:r>
      <w:r>
        <w:tab/>
      </w:r>
      <w:r w:rsidR="0010098E">
        <w:tab/>
      </w:r>
      <w:r>
        <w:t>Geneviève SAVIGNY (Grupo Diversidad Europa – FR)</w:t>
      </w:r>
    </w:p>
    <w:p w:rsidR="008A2BDE" w:rsidRPr="004F4081" w:rsidRDefault="008A2BDE">
      <w:pPr>
        <w:rPr>
          <w:lang w:val="en-GB"/>
        </w:rPr>
      </w:pPr>
    </w:p>
    <w:p w:rsidR="008A2BDE" w:rsidRPr="004F4081" w:rsidRDefault="008A2BDE">
      <w:pPr>
        <w:ind w:left="-5"/>
        <w:rPr>
          <w:bCs/>
        </w:rPr>
      </w:pPr>
      <w:r>
        <w:rPr>
          <w:b/>
          <w:bCs/>
        </w:rPr>
        <w:t>Referencia:</w:t>
      </w:r>
      <w:r w:rsidR="0010098E">
        <w:rPr>
          <w:b/>
          <w:bCs/>
        </w:rPr>
        <w:tab/>
      </w:r>
      <w:r w:rsidR="0010098E">
        <w:rPr>
          <w:b/>
          <w:bCs/>
        </w:rPr>
        <w:tab/>
      </w:r>
      <w:r>
        <w:t>Dictamen de iniciativa</w:t>
      </w:r>
    </w:p>
    <w:p w:rsidR="008A2BDE" w:rsidRPr="002B07FF" w:rsidRDefault="00B46A6D">
      <w:pPr>
        <w:ind w:left="1701"/>
      </w:pPr>
      <w:r>
        <w:t>EESC-2019-01463-00-00-AC</w:t>
      </w:r>
    </w:p>
    <w:p w:rsidR="008A2BDE" w:rsidRPr="004F4081" w:rsidRDefault="008A2BDE">
      <w:pPr>
        <w:ind w:left="-5"/>
      </w:pPr>
      <w:r>
        <w:tab/>
      </w:r>
    </w:p>
    <w:p w:rsidR="008A2BDE" w:rsidRPr="004F4081" w:rsidRDefault="008A2BDE">
      <w:pPr>
        <w:rPr>
          <w:b/>
        </w:rPr>
      </w:pPr>
      <w:r>
        <w:rPr>
          <w:b/>
        </w:rPr>
        <w:t>Puntos clave</w:t>
      </w:r>
    </w:p>
    <w:p w:rsidR="0089059E" w:rsidRPr="004F4081" w:rsidRDefault="0089059E">
      <w:pPr>
        <w:rPr>
          <w:b/>
          <w:lang w:val="en-GB"/>
        </w:rPr>
      </w:pPr>
    </w:p>
    <w:p w:rsidR="0043704F" w:rsidRPr="002B07FF" w:rsidRDefault="0043704F" w:rsidP="0043704F">
      <w:pPr>
        <w:outlineLvl w:val="1"/>
      </w:pPr>
      <w:r>
        <w:t>En el presente Dictamen, el CESE subraya que las cadenas cortas de distribución y la agroecología son los nuevos horizontes para las agriculturas europeas.</w:t>
      </w:r>
    </w:p>
    <w:p w:rsidR="0043704F" w:rsidRPr="002B07FF" w:rsidRDefault="0043704F" w:rsidP="0043704F">
      <w:pPr>
        <w:ind w:left="567" w:hanging="567"/>
        <w:rPr>
          <w:lang w:val="fr-FR"/>
        </w:rPr>
      </w:pPr>
    </w:p>
    <w:p w:rsidR="0043704F" w:rsidRPr="002B07FF" w:rsidRDefault="0043704F" w:rsidP="0043704F">
      <w:pPr>
        <w:outlineLvl w:val="1"/>
      </w:pPr>
      <w:r>
        <w:t>La venta en cadena corta constituye una oportunidad real para las pequeñas empresas de aumentar el valor añadido y la rentabilidad de las explotaciones. Esta relocalización genera empleo y dinamismo local, con una fuerte implicación de los agricultores que la practican. Para los consumidores, representa una fuente de productos frescos y de buena calidad, que reconoce el valor de la historia y las relaciones humanas, y que constituye una manera de interesarse y educarse en la alimentación y el valor de los productos.</w:t>
      </w:r>
    </w:p>
    <w:p w:rsidR="0043704F" w:rsidRPr="002B07FF" w:rsidRDefault="0043704F" w:rsidP="0043704F">
      <w:pPr>
        <w:ind w:left="567" w:hanging="567"/>
        <w:rPr>
          <w:lang w:val="fr-FR"/>
        </w:rPr>
      </w:pPr>
    </w:p>
    <w:p w:rsidR="0043704F" w:rsidRPr="002B07FF" w:rsidRDefault="0043704F" w:rsidP="0043704F">
      <w:pPr>
        <w:outlineLvl w:val="1"/>
      </w:pPr>
      <w:r>
        <w:t>En este contexto, el CESE considera la emergencia de la agroecología como un nuevo paradigma alimentario y agrícola.</w:t>
      </w:r>
    </w:p>
    <w:p w:rsidR="0043704F" w:rsidRPr="002B07FF" w:rsidRDefault="0043704F" w:rsidP="0043704F">
      <w:pPr>
        <w:ind w:left="567" w:hanging="567"/>
        <w:rPr>
          <w:lang w:val="fr-FR"/>
        </w:rPr>
      </w:pPr>
    </w:p>
    <w:p w:rsidR="0043704F" w:rsidRPr="002B07FF" w:rsidRDefault="0043704F" w:rsidP="0043704F">
      <w:pPr>
        <w:outlineLvl w:val="1"/>
      </w:pPr>
      <w:r>
        <w:t>El CESE considera que la agroecología constituye el horizonte hacia el cual debe tender la agricultura europea, que depende intrínsecamente de la conservación de los recursos naturales para su desarrollo.</w:t>
      </w:r>
    </w:p>
    <w:p w:rsidR="0043704F" w:rsidRPr="002B07FF" w:rsidRDefault="0043704F" w:rsidP="0043704F">
      <w:pPr>
        <w:ind w:left="567" w:hanging="567"/>
        <w:rPr>
          <w:lang w:val="fr-FR"/>
        </w:rPr>
      </w:pPr>
    </w:p>
    <w:p w:rsidR="0043704F" w:rsidRPr="002B07FF" w:rsidRDefault="0043704F" w:rsidP="0043704F">
      <w:pPr>
        <w:outlineLvl w:val="1"/>
      </w:pPr>
      <w:r>
        <w:t>El CESE desea que el proyecto agroecológico se despliegue a escala de la UE y se apoye en un plan de acción estructurado con ayuda de diferentes herramientas, a escala local, regional y europea. Entre las medidas importantes, cabe mencionar:</w:t>
      </w:r>
    </w:p>
    <w:p w:rsidR="0043704F" w:rsidRPr="002B07FF" w:rsidRDefault="0043704F" w:rsidP="0043704F">
      <w:pPr>
        <w:numPr>
          <w:ilvl w:val="0"/>
          <w:numId w:val="95"/>
        </w:numPr>
        <w:ind w:left="851" w:hanging="284"/>
        <w:outlineLvl w:val="1"/>
      </w:pPr>
      <w:r>
        <w:t>hacer accesible la financiación para la instalación de los equipos necesarios, individuales o colectivos (segundo pilar de la PAC);</w:t>
      </w:r>
    </w:p>
    <w:p w:rsidR="0043704F" w:rsidRPr="002B07FF" w:rsidRDefault="0043704F" w:rsidP="0043704F">
      <w:pPr>
        <w:numPr>
          <w:ilvl w:val="0"/>
          <w:numId w:val="95"/>
        </w:numPr>
        <w:ind w:left="851" w:hanging="284"/>
        <w:outlineLvl w:val="1"/>
      </w:pPr>
      <w:r>
        <w:t>aplicar la legislación alimentaria de forma adaptada a los pequeños productores, con flexibilidad para las producciones a pequeña escala, así como para los requisitos en materia de etiquetado, etc.;</w:t>
      </w:r>
    </w:p>
    <w:p w:rsidR="0043704F" w:rsidRPr="002B07FF" w:rsidRDefault="0043704F" w:rsidP="0043704F">
      <w:pPr>
        <w:numPr>
          <w:ilvl w:val="0"/>
          <w:numId w:val="95"/>
        </w:numPr>
        <w:ind w:left="851" w:hanging="284"/>
        <w:outlineLvl w:val="1"/>
      </w:pPr>
      <w:r>
        <w:t>establecer o reforzar servicios de educación y de asesoramiento adecuados para la transformación, la venta directa y la agroecología;</w:t>
      </w:r>
    </w:p>
    <w:p w:rsidR="0043704F" w:rsidRPr="002B07FF" w:rsidRDefault="0043704F" w:rsidP="0043704F">
      <w:pPr>
        <w:numPr>
          <w:ilvl w:val="0"/>
          <w:numId w:val="95"/>
        </w:numPr>
        <w:ind w:left="851" w:hanging="284"/>
        <w:outlineLvl w:val="1"/>
      </w:pPr>
      <w:r>
        <w:t>favorecer las redes de intercambio entre agricultores;</w:t>
      </w:r>
    </w:p>
    <w:p w:rsidR="0043704F" w:rsidRPr="002B07FF" w:rsidRDefault="0043704F" w:rsidP="0043704F">
      <w:pPr>
        <w:numPr>
          <w:ilvl w:val="0"/>
          <w:numId w:val="95"/>
        </w:numPr>
        <w:ind w:left="851" w:hanging="284"/>
        <w:outlineLvl w:val="1"/>
      </w:pPr>
      <w:r>
        <w:t>orientar la investigación hacia la agroecología y las necesidades de los productores en cadenas cortas de distribución.</w:t>
      </w:r>
    </w:p>
    <w:p w:rsidR="0043704F" w:rsidRPr="002B07FF" w:rsidRDefault="0043704F" w:rsidP="0043704F">
      <w:pPr>
        <w:tabs>
          <w:tab w:val="left" w:pos="851"/>
        </w:tabs>
        <w:outlineLvl w:val="1"/>
        <w:rPr>
          <w:lang w:val="fr-FR"/>
        </w:rPr>
      </w:pPr>
    </w:p>
    <w:p w:rsidR="0043704F" w:rsidRPr="002B07FF" w:rsidRDefault="0043704F" w:rsidP="0089059E">
      <w:pPr>
        <w:keepNext/>
        <w:keepLines/>
        <w:tabs>
          <w:tab w:val="left" w:pos="851"/>
        </w:tabs>
        <w:outlineLvl w:val="1"/>
      </w:pPr>
      <w:r>
        <w:lastRenderedPageBreak/>
        <w:t>A nivel de los territorios: deben adoptarse normas adaptadas de competencia para facilitar el abastecimiento de la restauración colectiva en cadenas cortas y locales.</w:t>
      </w:r>
    </w:p>
    <w:p w:rsidR="0043704F" w:rsidRPr="004F4081" w:rsidRDefault="0043704F" w:rsidP="0089059E">
      <w:pPr>
        <w:keepNext/>
        <w:keepLines/>
        <w:ind w:left="-567"/>
        <w:rPr>
          <w:b/>
          <w:iCs/>
          <w:highlight w:val="yellow"/>
          <w:u w:val="single"/>
          <w:lang w:val="en-GB"/>
        </w:rPr>
      </w:pPr>
    </w:p>
    <w:p w:rsidR="0043704F" w:rsidRPr="002B07FF" w:rsidRDefault="0043704F" w:rsidP="0089059E">
      <w:pPr>
        <w:keepNext/>
        <w:keepLines/>
        <w:tabs>
          <w:tab w:val="left" w:pos="1701"/>
        </w:tabs>
        <w:rPr>
          <w:i/>
          <w:iCs/>
        </w:rPr>
      </w:pPr>
      <w:r>
        <w:rPr>
          <w:b/>
          <w:bCs/>
          <w:i/>
          <w:iCs/>
        </w:rPr>
        <w:t>Contacto:</w:t>
      </w:r>
      <w:r w:rsidR="0010098E">
        <w:rPr>
          <w:b/>
          <w:bCs/>
          <w:i/>
          <w:iCs/>
        </w:rPr>
        <w:tab/>
      </w:r>
      <w:r>
        <w:rPr>
          <w:i/>
        </w:rPr>
        <w:t>Arturo Íñiguez</w:t>
      </w:r>
    </w:p>
    <w:p w:rsidR="008A2BDE" w:rsidRPr="004F4081" w:rsidRDefault="0043704F" w:rsidP="00C604EE">
      <w:pPr>
        <w:keepNext/>
        <w:keepLines/>
        <w:tabs>
          <w:tab w:val="left" w:pos="1701"/>
        </w:tabs>
        <w:ind w:left="1701"/>
        <w:rPr>
          <w:b/>
          <w:iCs/>
          <w:highlight w:val="yellow"/>
          <w:u w:val="single"/>
        </w:rPr>
      </w:pPr>
      <w:r>
        <w:rPr>
          <w:i/>
          <w:iCs/>
        </w:rPr>
        <w:t xml:space="preserve">(Tel.: 00 32 2 546 87 68 – correo electrónico: </w:t>
      </w:r>
      <w:hyperlink r:id="rId32" w:history="1">
        <w:r>
          <w:rPr>
            <w:rStyle w:val="Hyperlink"/>
            <w:i/>
            <w:iCs/>
          </w:rPr>
          <w:t>Arturo.Iniguez@eesc.europa.eu</w:t>
        </w:r>
      </w:hyperlink>
      <w:r>
        <w:rPr>
          <w:i/>
          <w:iCs/>
        </w:rPr>
        <w:t>)</w:t>
      </w:r>
    </w:p>
    <w:p w:rsidR="008A2BDE" w:rsidRPr="002B07FF" w:rsidRDefault="008A2BDE" w:rsidP="0043704F">
      <w:pPr>
        <w:tabs>
          <w:tab w:val="left" w:pos="770"/>
        </w:tabs>
        <w:rPr>
          <w:i/>
          <w:iCs/>
          <w:lang w:val="en-GB"/>
        </w:rPr>
      </w:pPr>
    </w:p>
    <w:p w:rsidR="00B5252F" w:rsidRPr="002B07FF" w:rsidRDefault="0043704F">
      <w:pPr>
        <w:tabs>
          <w:tab w:val="left" w:pos="770"/>
        </w:tabs>
        <w:ind w:left="1430" w:hanging="1430"/>
        <w:rPr>
          <w:iCs/>
        </w:rPr>
      </w:pPr>
      <w:r>
        <w:rPr>
          <w:b/>
          <w:iCs/>
          <w:u w:val="single"/>
        </w:rPr>
        <w:t>NAT/773</w:t>
      </w:r>
    </w:p>
    <w:p w:rsidR="0043704F" w:rsidRPr="002B07FF" w:rsidRDefault="0043704F">
      <w:pPr>
        <w:tabs>
          <w:tab w:val="left" w:pos="770"/>
        </w:tabs>
        <w:ind w:left="1430" w:hanging="1430"/>
        <w:rPr>
          <w:iCs/>
          <w:lang w:val="en-GB"/>
        </w:rPr>
      </w:pPr>
    </w:p>
    <w:p w:rsidR="0043704F" w:rsidRPr="004F4081" w:rsidRDefault="0043704F" w:rsidP="0043704F">
      <w:pPr>
        <w:pStyle w:val="ListParagraph"/>
        <w:numPr>
          <w:ilvl w:val="0"/>
          <w:numId w:val="22"/>
        </w:numPr>
        <w:rPr>
          <w:b/>
          <w:bCs/>
          <w:i/>
          <w:iCs/>
          <w:sz w:val="28"/>
          <w:szCs w:val="28"/>
        </w:rPr>
      </w:pPr>
      <w:r>
        <w:rPr>
          <w:b/>
          <w:bCs/>
          <w:i/>
          <w:iCs/>
          <w:sz w:val="28"/>
          <w:szCs w:val="28"/>
        </w:rPr>
        <w:t>La actividad agrícola y el reto de la rentabilidad</w:t>
      </w:r>
    </w:p>
    <w:p w:rsidR="0043704F" w:rsidRPr="004F4081" w:rsidRDefault="0043704F" w:rsidP="0043704F">
      <w:pPr>
        <w:pStyle w:val="ListParagraph"/>
        <w:ind w:left="567"/>
        <w:rPr>
          <w:b/>
          <w:bCs/>
          <w:i/>
          <w:iCs/>
          <w:sz w:val="28"/>
          <w:szCs w:val="28"/>
          <w:lang w:val="en-GB"/>
        </w:rPr>
      </w:pPr>
    </w:p>
    <w:p w:rsidR="0043704F" w:rsidRPr="004F4081" w:rsidRDefault="0043704F" w:rsidP="00D85B0D">
      <w:pPr>
        <w:tabs>
          <w:tab w:val="left" w:pos="1701"/>
        </w:tabs>
      </w:pPr>
      <w:r>
        <w:rPr>
          <w:b/>
        </w:rPr>
        <w:t>Ponente:</w:t>
      </w:r>
      <w:r>
        <w:tab/>
        <w:t>Arnold PUECH D'ALISSAC (Grupo de Empresarios – FR)</w:t>
      </w:r>
    </w:p>
    <w:p w:rsidR="0043704F" w:rsidRPr="004F4081" w:rsidRDefault="0043704F" w:rsidP="0043704F">
      <w:pPr>
        <w:rPr>
          <w:lang w:val="en-GB"/>
        </w:rPr>
      </w:pPr>
    </w:p>
    <w:p w:rsidR="0043704F" w:rsidRPr="004F4081" w:rsidRDefault="0043704F" w:rsidP="0043704F">
      <w:pPr>
        <w:ind w:left="-5"/>
        <w:rPr>
          <w:bCs/>
        </w:rPr>
      </w:pPr>
      <w:r>
        <w:rPr>
          <w:b/>
          <w:bCs/>
        </w:rPr>
        <w:t>Referencia:</w:t>
      </w:r>
      <w:r w:rsidR="0010098E">
        <w:rPr>
          <w:b/>
          <w:bCs/>
        </w:rPr>
        <w:tab/>
      </w:r>
      <w:r w:rsidR="0010098E">
        <w:rPr>
          <w:b/>
          <w:bCs/>
        </w:rPr>
        <w:tab/>
      </w:r>
      <w:r>
        <w:t>Dictamen de iniciativa</w:t>
      </w:r>
    </w:p>
    <w:p w:rsidR="0043704F" w:rsidRPr="004F4081" w:rsidRDefault="0043704F" w:rsidP="00C604EE">
      <w:pPr>
        <w:ind w:left="1701"/>
      </w:pPr>
      <w:r>
        <w:t>EESC-2018-02022-00-01-AC</w:t>
      </w:r>
    </w:p>
    <w:p w:rsidR="00D85B0D" w:rsidRPr="004F4081" w:rsidRDefault="00D85B0D" w:rsidP="0043704F">
      <w:pPr>
        <w:tabs>
          <w:tab w:val="left" w:pos="770"/>
        </w:tabs>
        <w:ind w:left="1430" w:hanging="1430"/>
        <w:rPr>
          <w:b/>
          <w:lang w:val="en-GB"/>
        </w:rPr>
      </w:pPr>
    </w:p>
    <w:p w:rsidR="0043704F" w:rsidRPr="004F4081" w:rsidRDefault="0043704F" w:rsidP="0043704F">
      <w:pPr>
        <w:tabs>
          <w:tab w:val="left" w:pos="770"/>
        </w:tabs>
        <w:ind w:left="1430" w:hanging="1430"/>
        <w:rPr>
          <w:b/>
        </w:rPr>
      </w:pPr>
      <w:r>
        <w:rPr>
          <w:b/>
        </w:rPr>
        <w:t>Puntos clave</w:t>
      </w:r>
    </w:p>
    <w:p w:rsidR="0089059E" w:rsidRPr="004F4081" w:rsidRDefault="0089059E" w:rsidP="0043704F">
      <w:pPr>
        <w:tabs>
          <w:tab w:val="left" w:pos="770"/>
        </w:tabs>
        <w:ind w:left="1430" w:hanging="1430"/>
        <w:rPr>
          <w:b/>
          <w:lang w:val="en-GB"/>
        </w:rPr>
      </w:pPr>
    </w:p>
    <w:p w:rsidR="00D85B0D" w:rsidRPr="002B07FF" w:rsidRDefault="00D85B0D" w:rsidP="00D85B0D">
      <w:pPr>
        <w:tabs>
          <w:tab w:val="left" w:pos="770"/>
        </w:tabs>
      </w:pPr>
      <w:r>
        <w:t>La rentabilidad y la viabilidad económica de la agricultura son un tema importante en la UE, donde la renta de un agricultor equivale, de media, a tan solo el 46,5 % de la de otros sectores económicos. La UE necesita una cadena alimentaria justa, transparente, equitativa y que funcione correctamente, esto es, una cadena beneficiosa para los agricultores y para todas las partes interesadas, incluidos los transformadores, los distribuidores y, ante todo, los consumidores. A nivel nacional, debe considerarse la posibilidad de un enfoque inverso de negociación en el mercado a través de la creación de cadenas de valor al objeto de ofrecer a los agricultores unos ingresos mensuales que dupliquen el salario mínimo.</w:t>
      </w:r>
    </w:p>
    <w:p w:rsidR="00D85B0D" w:rsidRPr="002B07FF" w:rsidRDefault="00D85B0D" w:rsidP="00D85B0D">
      <w:pPr>
        <w:tabs>
          <w:tab w:val="left" w:pos="770"/>
        </w:tabs>
        <w:rPr>
          <w:lang w:val="en-GB"/>
        </w:rPr>
      </w:pPr>
    </w:p>
    <w:p w:rsidR="00D85B0D" w:rsidRPr="002B07FF" w:rsidRDefault="00D85B0D" w:rsidP="00D85B0D">
      <w:pPr>
        <w:tabs>
          <w:tab w:val="left" w:pos="1701"/>
        </w:tabs>
        <w:rPr>
          <w:i/>
          <w:iCs/>
        </w:rPr>
      </w:pPr>
      <w:r>
        <w:rPr>
          <w:b/>
          <w:bCs/>
          <w:i/>
          <w:iCs/>
        </w:rPr>
        <w:t>Contacto:</w:t>
      </w:r>
      <w:r w:rsidR="0010098E">
        <w:rPr>
          <w:b/>
          <w:bCs/>
          <w:i/>
          <w:iCs/>
        </w:rPr>
        <w:tab/>
      </w:r>
      <w:r>
        <w:rPr>
          <w:i/>
        </w:rPr>
        <w:t>Arturo Íñiguez</w:t>
      </w:r>
    </w:p>
    <w:p w:rsidR="00D85B0D" w:rsidRPr="002B07FF" w:rsidRDefault="00D85B0D" w:rsidP="00C604EE">
      <w:pPr>
        <w:tabs>
          <w:tab w:val="left" w:pos="770"/>
          <w:tab w:val="left" w:pos="1701"/>
        </w:tabs>
        <w:ind w:left="1701"/>
        <w:rPr>
          <w:iCs/>
        </w:rPr>
      </w:pPr>
      <w:r>
        <w:rPr>
          <w:i/>
          <w:iCs/>
        </w:rPr>
        <w:t>(Tel.: 00 32 2 546 87 68 – correo electrónico:</w:t>
      </w:r>
      <w:r>
        <w:t xml:space="preserve"> </w:t>
      </w:r>
      <w:hyperlink r:id="rId33" w:history="1">
        <w:r>
          <w:rPr>
            <w:rStyle w:val="Hyperlink"/>
            <w:i/>
            <w:iCs/>
          </w:rPr>
          <w:t>Arturo.Iniguez@eesc.europa.eu</w:t>
        </w:r>
      </w:hyperlink>
      <w:r>
        <w:rPr>
          <w:i/>
          <w:iCs/>
        </w:rPr>
        <w:t>)</w:t>
      </w:r>
    </w:p>
    <w:p w:rsidR="00B5252F" w:rsidRPr="002B07FF" w:rsidRDefault="00B5252F">
      <w:pPr>
        <w:tabs>
          <w:tab w:val="left" w:pos="770"/>
        </w:tabs>
        <w:ind w:left="1430" w:firstLine="271"/>
        <w:rPr>
          <w:i/>
          <w:iCs/>
          <w:lang w:val="en-GB"/>
        </w:rPr>
      </w:pPr>
    </w:p>
    <w:p w:rsidR="00B5252F" w:rsidRPr="002B07FF" w:rsidRDefault="00B5252F">
      <w:pPr>
        <w:tabs>
          <w:tab w:val="left" w:pos="770"/>
        </w:tabs>
        <w:ind w:left="1430" w:hanging="1430"/>
        <w:rPr>
          <w:iCs/>
          <w:lang w:val="en-GB"/>
        </w:rPr>
      </w:pPr>
    </w:p>
    <w:p w:rsidR="00B15573" w:rsidRPr="004F4081" w:rsidRDefault="00B15573">
      <w:pPr>
        <w:jc w:val="left"/>
        <w:rPr>
          <w:iCs/>
        </w:rPr>
      </w:pPr>
      <w:r>
        <w:br w:type="page"/>
      </w:r>
    </w:p>
    <w:p w:rsidR="00387229" w:rsidRPr="004F4081" w:rsidRDefault="00E46EC4" w:rsidP="00AE0E21">
      <w:pPr>
        <w:pStyle w:val="Heading1"/>
        <w:keepNext/>
        <w:keepLines/>
        <w:tabs>
          <w:tab w:val="left" w:pos="567"/>
        </w:tabs>
        <w:rPr>
          <w:b/>
        </w:rPr>
      </w:pPr>
      <w:bookmarkStart w:id="9" w:name="_Toc514234507"/>
      <w:bookmarkStart w:id="10" w:name="_Toc514234754"/>
      <w:bookmarkStart w:id="11" w:name="_Toc514235001"/>
      <w:bookmarkStart w:id="12" w:name="_Toc514235125"/>
      <w:bookmarkStart w:id="13" w:name="_Toc514235248"/>
      <w:bookmarkStart w:id="14" w:name="_Toc514235368"/>
      <w:bookmarkStart w:id="15" w:name="_Toc514235486"/>
      <w:bookmarkStart w:id="16" w:name="_Toc514235604"/>
      <w:bookmarkStart w:id="17" w:name="_Toc514235720"/>
      <w:bookmarkStart w:id="18" w:name="_Toc514234508"/>
      <w:bookmarkStart w:id="19" w:name="_Toc514234755"/>
      <w:bookmarkStart w:id="20" w:name="_Toc514235002"/>
      <w:bookmarkStart w:id="21" w:name="_Toc514235126"/>
      <w:bookmarkStart w:id="22" w:name="_Toc514235249"/>
      <w:bookmarkStart w:id="23" w:name="_Toc514235369"/>
      <w:bookmarkStart w:id="24" w:name="_Toc514235487"/>
      <w:bookmarkStart w:id="25" w:name="_Toc514235605"/>
      <w:bookmarkStart w:id="26" w:name="_Toc514235721"/>
      <w:bookmarkStart w:id="27" w:name="_Toc514234509"/>
      <w:bookmarkStart w:id="28" w:name="_Toc514234756"/>
      <w:bookmarkStart w:id="29" w:name="_Toc514235003"/>
      <w:bookmarkStart w:id="30" w:name="_Toc514235127"/>
      <w:bookmarkStart w:id="31" w:name="_Toc514235250"/>
      <w:bookmarkStart w:id="32" w:name="_Toc514235370"/>
      <w:bookmarkStart w:id="33" w:name="_Toc514235488"/>
      <w:bookmarkStart w:id="34" w:name="_Toc514235606"/>
      <w:bookmarkStart w:id="35" w:name="_Toc514235722"/>
      <w:bookmarkStart w:id="36" w:name="_Toc514234510"/>
      <w:bookmarkStart w:id="37" w:name="_Toc514234757"/>
      <w:bookmarkStart w:id="38" w:name="_Toc514235004"/>
      <w:bookmarkStart w:id="39" w:name="_Toc514235128"/>
      <w:bookmarkStart w:id="40" w:name="_Toc514235251"/>
      <w:bookmarkStart w:id="41" w:name="_Toc514235371"/>
      <w:bookmarkStart w:id="42" w:name="_Toc514235489"/>
      <w:bookmarkStart w:id="43" w:name="_Toc514235607"/>
      <w:bookmarkStart w:id="44" w:name="_Toc514235723"/>
      <w:bookmarkStart w:id="45" w:name="_Toc514234511"/>
      <w:bookmarkStart w:id="46" w:name="_Toc514234758"/>
      <w:bookmarkStart w:id="47" w:name="_Toc514235005"/>
      <w:bookmarkStart w:id="48" w:name="_Toc514235129"/>
      <w:bookmarkStart w:id="49" w:name="_Toc514235252"/>
      <w:bookmarkStart w:id="50" w:name="_Toc514235372"/>
      <w:bookmarkStart w:id="51" w:name="_Toc514235490"/>
      <w:bookmarkStart w:id="52" w:name="_Toc514235608"/>
      <w:bookmarkStart w:id="53" w:name="_Toc514235724"/>
      <w:bookmarkStart w:id="54" w:name="_Toc514234512"/>
      <w:bookmarkStart w:id="55" w:name="_Toc514234759"/>
      <w:bookmarkStart w:id="56" w:name="_Toc514235006"/>
      <w:bookmarkStart w:id="57" w:name="_Toc514235130"/>
      <w:bookmarkStart w:id="58" w:name="_Toc514235253"/>
      <w:bookmarkStart w:id="59" w:name="_Toc514235373"/>
      <w:bookmarkStart w:id="60" w:name="_Toc514235491"/>
      <w:bookmarkStart w:id="61" w:name="_Toc514235609"/>
      <w:bookmarkStart w:id="62" w:name="_Toc514235725"/>
      <w:bookmarkStart w:id="63" w:name="_Toc514234513"/>
      <w:bookmarkStart w:id="64" w:name="_Toc514234760"/>
      <w:bookmarkStart w:id="65" w:name="_Toc514235007"/>
      <w:bookmarkStart w:id="66" w:name="_Toc514235131"/>
      <w:bookmarkStart w:id="67" w:name="_Toc514235254"/>
      <w:bookmarkStart w:id="68" w:name="_Toc514235374"/>
      <w:bookmarkStart w:id="69" w:name="_Toc514235492"/>
      <w:bookmarkStart w:id="70" w:name="_Toc514235610"/>
      <w:bookmarkStart w:id="71" w:name="_Toc514235726"/>
      <w:bookmarkStart w:id="72" w:name="_Toc514234514"/>
      <w:bookmarkStart w:id="73" w:name="_Toc514234761"/>
      <w:bookmarkStart w:id="74" w:name="_Toc514235008"/>
      <w:bookmarkStart w:id="75" w:name="_Toc514235132"/>
      <w:bookmarkStart w:id="76" w:name="_Toc514235255"/>
      <w:bookmarkStart w:id="77" w:name="_Toc514235375"/>
      <w:bookmarkStart w:id="78" w:name="_Toc514235493"/>
      <w:bookmarkStart w:id="79" w:name="_Toc514235611"/>
      <w:bookmarkStart w:id="80" w:name="_Toc514235727"/>
      <w:bookmarkStart w:id="81" w:name="_Toc514234515"/>
      <w:bookmarkStart w:id="82" w:name="_Toc514234762"/>
      <w:bookmarkStart w:id="83" w:name="_Toc514235009"/>
      <w:bookmarkStart w:id="84" w:name="_Toc514235133"/>
      <w:bookmarkStart w:id="85" w:name="_Toc514235256"/>
      <w:bookmarkStart w:id="86" w:name="_Toc514235376"/>
      <w:bookmarkStart w:id="87" w:name="_Toc514235494"/>
      <w:bookmarkStart w:id="88" w:name="_Toc514235612"/>
      <w:bookmarkStart w:id="89" w:name="_Toc514235728"/>
      <w:bookmarkStart w:id="90" w:name="_Toc514234516"/>
      <w:bookmarkStart w:id="91" w:name="_Toc514234763"/>
      <w:bookmarkStart w:id="92" w:name="_Toc514235010"/>
      <w:bookmarkStart w:id="93" w:name="_Toc514235134"/>
      <w:bookmarkStart w:id="94" w:name="_Toc514235257"/>
      <w:bookmarkStart w:id="95" w:name="_Toc514235377"/>
      <w:bookmarkStart w:id="96" w:name="_Toc514235495"/>
      <w:bookmarkStart w:id="97" w:name="_Toc514235613"/>
      <w:bookmarkStart w:id="98" w:name="_Toc514235729"/>
      <w:bookmarkStart w:id="99" w:name="_Toc514234517"/>
      <w:bookmarkStart w:id="100" w:name="_Toc514234764"/>
      <w:bookmarkStart w:id="101" w:name="_Toc514235011"/>
      <w:bookmarkStart w:id="102" w:name="_Toc514235135"/>
      <w:bookmarkStart w:id="103" w:name="_Toc514235258"/>
      <w:bookmarkStart w:id="104" w:name="_Toc514235378"/>
      <w:bookmarkStart w:id="105" w:name="_Toc514235496"/>
      <w:bookmarkStart w:id="106" w:name="_Toc514235614"/>
      <w:bookmarkStart w:id="107" w:name="_Toc514235730"/>
      <w:bookmarkStart w:id="108" w:name="_Toc514234518"/>
      <w:bookmarkStart w:id="109" w:name="_Toc514234765"/>
      <w:bookmarkStart w:id="110" w:name="_Toc514235012"/>
      <w:bookmarkStart w:id="111" w:name="_Toc514235136"/>
      <w:bookmarkStart w:id="112" w:name="_Toc514235259"/>
      <w:bookmarkStart w:id="113" w:name="_Toc514235379"/>
      <w:bookmarkStart w:id="114" w:name="_Toc514235497"/>
      <w:bookmarkStart w:id="115" w:name="_Toc514235615"/>
      <w:bookmarkStart w:id="116" w:name="_Toc514235731"/>
      <w:bookmarkStart w:id="117" w:name="_Toc514234519"/>
      <w:bookmarkStart w:id="118" w:name="_Toc514234766"/>
      <w:bookmarkStart w:id="119" w:name="_Toc514235013"/>
      <w:bookmarkStart w:id="120" w:name="_Toc514235137"/>
      <w:bookmarkStart w:id="121" w:name="_Toc514235260"/>
      <w:bookmarkStart w:id="122" w:name="_Toc514235380"/>
      <w:bookmarkStart w:id="123" w:name="_Toc514235498"/>
      <w:bookmarkStart w:id="124" w:name="_Toc514235616"/>
      <w:bookmarkStart w:id="125" w:name="_Toc514235732"/>
      <w:bookmarkStart w:id="126" w:name="_Toc514234520"/>
      <w:bookmarkStart w:id="127" w:name="_Toc514234767"/>
      <w:bookmarkStart w:id="128" w:name="_Toc514235014"/>
      <w:bookmarkStart w:id="129" w:name="_Toc514235138"/>
      <w:bookmarkStart w:id="130" w:name="_Toc514235261"/>
      <w:bookmarkStart w:id="131" w:name="_Toc514235381"/>
      <w:bookmarkStart w:id="132" w:name="_Toc514235499"/>
      <w:bookmarkStart w:id="133" w:name="_Toc514235617"/>
      <w:bookmarkStart w:id="134" w:name="_Toc514235733"/>
      <w:bookmarkStart w:id="135" w:name="_Toc514234521"/>
      <w:bookmarkStart w:id="136" w:name="_Toc514234768"/>
      <w:bookmarkStart w:id="137" w:name="_Toc514235015"/>
      <w:bookmarkStart w:id="138" w:name="_Toc514235139"/>
      <w:bookmarkStart w:id="139" w:name="_Toc514235262"/>
      <w:bookmarkStart w:id="140" w:name="_Toc514235382"/>
      <w:bookmarkStart w:id="141" w:name="_Toc514235500"/>
      <w:bookmarkStart w:id="142" w:name="_Toc514235618"/>
      <w:bookmarkStart w:id="143" w:name="_Toc514235734"/>
      <w:bookmarkStart w:id="144" w:name="_Toc514234522"/>
      <w:bookmarkStart w:id="145" w:name="_Toc514234769"/>
      <w:bookmarkStart w:id="146" w:name="_Toc514235016"/>
      <w:bookmarkStart w:id="147" w:name="_Toc514235140"/>
      <w:bookmarkStart w:id="148" w:name="_Toc514235263"/>
      <w:bookmarkStart w:id="149" w:name="_Toc514235383"/>
      <w:bookmarkStart w:id="150" w:name="_Toc514235501"/>
      <w:bookmarkStart w:id="151" w:name="_Toc514235619"/>
      <w:bookmarkStart w:id="152" w:name="_Toc514235735"/>
      <w:bookmarkStart w:id="153" w:name="_Toc514234523"/>
      <w:bookmarkStart w:id="154" w:name="_Toc514234770"/>
      <w:bookmarkStart w:id="155" w:name="_Toc514235017"/>
      <w:bookmarkStart w:id="156" w:name="_Toc514235141"/>
      <w:bookmarkStart w:id="157" w:name="_Toc514235264"/>
      <w:bookmarkStart w:id="158" w:name="_Toc514235384"/>
      <w:bookmarkStart w:id="159" w:name="_Toc514235502"/>
      <w:bookmarkStart w:id="160" w:name="_Toc514235620"/>
      <w:bookmarkStart w:id="161" w:name="_Toc514235736"/>
      <w:bookmarkStart w:id="162" w:name="_Toc514234524"/>
      <w:bookmarkStart w:id="163" w:name="_Toc514234771"/>
      <w:bookmarkStart w:id="164" w:name="_Toc514235018"/>
      <w:bookmarkStart w:id="165" w:name="_Toc514235142"/>
      <w:bookmarkStart w:id="166" w:name="_Toc514235265"/>
      <w:bookmarkStart w:id="167" w:name="_Toc514235385"/>
      <w:bookmarkStart w:id="168" w:name="_Toc514235503"/>
      <w:bookmarkStart w:id="169" w:name="_Toc514235621"/>
      <w:bookmarkStart w:id="170" w:name="_Toc514235737"/>
      <w:bookmarkStart w:id="171" w:name="_Toc1540146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b/>
        </w:rPr>
        <w:lastRenderedPageBreak/>
        <w:t>EMPLEO, ASUNTOS SOCIALES Y CIUDADANÍA</w:t>
      </w:r>
      <w:bookmarkEnd w:id="171"/>
    </w:p>
    <w:p w:rsidR="008262D3" w:rsidRPr="004F4081" w:rsidRDefault="008262D3" w:rsidP="005D56C1">
      <w:pPr>
        <w:keepNext/>
        <w:keepLines/>
        <w:rPr>
          <w:lang w:val="en-GB"/>
        </w:rPr>
      </w:pPr>
    </w:p>
    <w:p w:rsidR="008262D3" w:rsidRPr="004F4081" w:rsidRDefault="00CE5FE3">
      <w:pPr>
        <w:rPr>
          <w:b/>
          <w:u w:val="single"/>
        </w:rPr>
      </w:pPr>
      <w:r>
        <w:rPr>
          <w:b/>
          <w:u w:val="single"/>
        </w:rPr>
        <w:t>SOC/620</w:t>
      </w:r>
    </w:p>
    <w:p w:rsidR="008262D3" w:rsidRPr="004F4081" w:rsidRDefault="008262D3">
      <w:pPr>
        <w:rPr>
          <w:lang w:val="en-GB"/>
        </w:rPr>
      </w:pPr>
    </w:p>
    <w:p w:rsidR="00CA77C7" w:rsidRPr="002B07FF" w:rsidRDefault="00CA77C7" w:rsidP="00CA77C7">
      <w:pPr>
        <w:pStyle w:val="ListParagraph"/>
        <w:numPr>
          <w:ilvl w:val="0"/>
          <w:numId w:val="23"/>
        </w:numPr>
        <w:ind w:left="567" w:hanging="567"/>
        <w:rPr>
          <w:b/>
          <w:i/>
          <w:sz w:val="28"/>
          <w:szCs w:val="28"/>
        </w:rPr>
      </w:pPr>
      <w:r>
        <w:rPr>
          <w:b/>
          <w:i/>
          <w:sz w:val="28"/>
          <w:szCs w:val="28"/>
        </w:rPr>
        <w:t>El nuevo papel de los servicios públicos de empleo (SPE) en el contexto de la aplicación del pilar europeo de los derechos sociales</w:t>
      </w:r>
    </w:p>
    <w:p w:rsidR="00CA77C7" w:rsidRPr="002B07FF" w:rsidRDefault="00CA77C7" w:rsidP="00CA77C7">
      <w:pPr>
        <w:rPr>
          <w:lang w:val="en-GB"/>
        </w:rPr>
      </w:pPr>
    </w:p>
    <w:p w:rsidR="00CA77C7" w:rsidRPr="002B07FF" w:rsidRDefault="00CA77C7" w:rsidP="00CA77C7">
      <w:pPr>
        <w:tabs>
          <w:tab w:val="left" w:pos="1701"/>
        </w:tabs>
        <w:overflowPunct w:val="0"/>
        <w:autoSpaceDE w:val="0"/>
        <w:autoSpaceDN w:val="0"/>
        <w:adjustRightInd w:val="0"/>
        <w:textAlignment w:val="baseline"/>
        <w:rPr>
          <w:b/>
          <w:szCs w:val="20"/>
        </w:rPr>
      </w:pPr>
      <w:r>
        <w:rPr>
          <w:b/>
          <w:szCs w:val="20"/>
        </w:rPr>
        <w:t>Ponente:</w:t>
      </w:r>
      <w:r w:rsidR="0010098E">
        <w:rPr>
          <w:b/>
          <w:szCs w:val="20"/>
        </w:rPr>
        <w:tab/>
      </w:r>
      <w:r>
        <w:t>Vladimíra DRBALOVÁ (Grupo de Empresarios – CZ)</w:t>
      </w:r>
    </w:p>
    <w:p w:rsidR="00CA77C7" w:rsidRPr="002B07FF" w:rsidRDefault="00CA77C7" w:rsidP="00CA77C7">
      <w:pPr>
        <w:ind w:left="-5"/>
        <w:jc w:val="left"/>
        <w:rPr>
          <w:b/>
          <w:szCs w:val="20"/>
          <w:lang w:val="en-GB"/>
        </w:rPr>
      </w:pPr>
    </w:p>
    <w:p w:rsidR="00CA77C7" w:rsidRPr="002B07FF" w:rsidRDefault="00CA77C7" w:rsidP="00CA77C7">
      <w:pPr>
        <w:tabs>
          <w:tab w:val="left" w:pos="1701"/>
        </w:tabs>
        <w:ind w:left="-5"/>
        <w:jc w:val="left"/>
      </w:pPr>
      <w:r>
        <w:rPr>
          <w:b/>
          <w:szCs w:val="20"/>
        </w:rPr>
        <w:t>Referencia:</w:t>
      </w:r>
      <w:r w:rsidR="0010098E">
        <w:rPr>
          <w:b/>
          <w:szCs w:val="20"/>
        </w:rPr>
        <w:tab/>
      </w:r>
      <w:r>
        <w:t>Dictamen de iniciativa</w:t>
      </w:r>
    </w:p>
    <w:p w:rsidR="00CE5FE3" w:rsidRPr="002B07FF" w:rsidRDefault="00CA77C7" w:rsidP="00C604EE">
      <w:pPr>
        <w:tabs>
          <w:tab w:val="left" w:pos="1701"/>
        </w:tabs>
        <w:ind w:left="1701"/>
        <w:jc w:val="left"/>
      </w:pPr>
      <w:r>
        <w:t>EESC-2019-01656-00-00-AC</w:t>
      </w:r>
    </w:p>
    <w:p w:rsidR="00CA77C7" w:rsidRPr="002B07FF" w:rsidRDefault="00CA77C7">
      <w:pPr>
        <w:spacing w:line="240" w:lineRule="auto"/>
        <w:jc w:val="left"/>
        <w:rPr>
          <w:lang w:val="en-GB"/>
        </w:rPr>
      </w:pPr>
    </w:p>
    <w:p w:rsidR="00CA77C7" w:rsidRPr="002B07FF" w:rsidRDefault="00CA77C7">
      <w:pPr>
        <w:spacing w:line="240" w:lineRule="auto"/>
        <w:jc w:val="left"/>
      </w:pPr>
      <w:r>
        <w:rPr>
          <w:b/>
        </w:rPr>
        <w:t>Puntos clave</w:t>
      </w:r>
    </w:p>
    <w:p w:rsidR="0089059E" w:rsidRPr="002B07FF" w:rsidRDefault="0089059E" w:rsidP="00CA77C7">
      <w:pPr>
        <w:rPr>
          <w:lang w:val="en-GB"/>
        </w:rPr>
      </w:pPr>
    </w:p>
    <w:p w:rsidR="00CA77C7" w:rsidRPr="002B07FF" w:rsidRDefault="00CA77C7" w:rsidP="00CA77C7">
      <w:r>
        <w:t>El CESE:</w:t>
      </w:r>
    </w:p>
    <w:p w:rsidR="00CA77C7" w:rsidRPr="002B07FF" w:rsidRDefault="00CA77C7" w:rsidP="00CA77C7">
      <w:pPr>
        <w:rPr>
          <w:lang w:val="en-GB"/>
        </w:rPr>
      </w:pPr>
    </w:p>
    <w:p w:rsidR="00CA77C7" w:rsidRPr="002B07FF" w:rsidRDefault="00CA77C7" w:rsidP="00CA77C7">
      <w:pPr>
        <w:pStyle w:val="ListParagraph"/>
        <w:numPr>
          <w:ilvl w:val="0"/>
          <w:numId w:val="56"/>
        </w:numPr>
        <w:rPr>
          <w:bCs/>
        </w:rPr>
      </w:pPr>
      <w:r>
        <w:t>aprecia la contribución de la Red Europea de Servicios Públicos de Empleo a la modernización y el refuerzo de los servicios públicos de empleo, y pide sinergia entre su estrategia actualizada a partir de 2020 y los principios del pilar europeo de los derechos sociales;</w:t>
      </w:r>
    </w:p>
    <w:p w:rsidR="00CA77C7" w:rsidRPr="002B07FF" w:rsidRDefault="00CA77C7" w:rsidP="00CA77C7">
      <w:pPr>
        <w:pStyle w:val="ListParagraph"/>
        <w:rPr>
          <w:bCs/>
          <w:lang w:val="en-GB"/>
        </w:rPr>
      </w:pPr>
    </w:p>
    <w:p w:rsidR="00CA77C7" w:rsidRPr="002B07FF" w:rsidRDefault="00CA77C7" w:rsidP="00CA77C7">
      <w:pPr>
        <w:pStyle w:val="ListParagraph"/>
        <w:numPr>
          <w:ilvl w:val="0"/>
          <w:numId w:val="56"/>
        </w:numPr>
        <w:rPr>
          <w:bCs/>
        </w:rPr>
      </w:pPr>
      <w:r>
        <w:t>ha detectado algunos ámbitos en los que es preciso mostrar mayor ahínco basándose en la asociación con todas las partes interesadas, los interlocutores sociales, las organizaciones de la sociedad civil, las empresas y los servicios privados de empleo a fin de aunar esfuerzos para lograr una mejor integración de los solicitantes de empleo en el mercado laboral;</w:t>
      </w:r>
    </w:p>
    <w:p w:rsidR="00CA77C7" w:rsidRPr="002B07FF" w:rsidRDefault="00CA77C7" w:rsidP="00CA77C7">
      <w:pPr>
        <w:pStyle w:val="ListParagraph"/>
        <w:rPr>
          <w:bCs/>
          <w:lang w:val="en-GB"/>
        </w:rPr>
      </w:pPr>
    </w:p>
    <w:p w:rsidR="00CA77C7" w:rsidRPr="002B07FF" w:rsidRDefault="00CA77C7" w:rsidP="00CA77C7">
      <w:pPr>
        <w:pStyle w:val="ListParagraph"/>
        <w:numPr>
          <w:ilvl w:val="0"/>
          <w:numId w:val="56"/>
        </w:numPr>
        <w:rPr>
          <w:bCs/>
        </w:rPr>
      </w:pPr>
      <w:r>
        <w:t>destaca que las autoridades nacionales deben respaldar debidamente y conferir un papel innovador a los servicios públicos de empleo al aplicar las políticas nacionales de empleo y las políticas del mercado de trabajo y garantizar unos servicios más eficaces destinados a las empresas, proporcionando capacidad suficiente, personal cualificado, equipos informáticos y técnicos pertinentes para la digitalización de la sociedad, y apoyo financiero;</w:t>
      </w:r>
    </w:p>
    <w:p w:rsidR="00CA77C7" w:rsidRPr="002B07FF" w:rsidRDefault="00CA77C7" w:rsidP="00CA77C7">
      <w:pPr>
        <w:pStyle w:val="ListParagraph"/>
        <w:rPr>
          <w:bCs/>
          <w:lang w:val="en-GB"/>
        </w:rPr>
      </w:pPr>
    </w:p>
    <w:p w:rsidR="00CA77C7" w:rsidRPr="002B07FF" w:rsidRDefault="00CA77C7" w:rsidP="00CA77C7">
      <w:pPr>
        <w:pStyle w:val="ListParagraph"/>
        <w:numPr>
          <w:ilvl w:val="0"/>
          <w:numId w:val="56"/>
        </w:numPr>
        <w:rPr>
          <w:bCs/>
        </w:rPr>
      </w:pPr>
      <w:r>
        <w:t>pide una cooperación más sistemática y estructural entre los servicios públicos de empleo y otros proveedores de servicios en los ámbitos social y laboral para abordar los múltiples obstáculos que afrontan los solicitantes de empleo cuando intentan acceder al mercado laboral. La participación activa y regular de los interlocutores sociales en las actividades de los servicios públicos de empleo es fundamental para inventariar las oportunidades locales de empleo y ayudar a corregir los desajustes del mercado laboral;</w:t>
      </w:r>
    </w:p>
    <w:p w:rsidR="00CA77C7" w:rsidRPr="002B07FF" w:rsidRDefault="00CA77C7" w:rsidP="00CA77C7">
      <w:pPr>
        <w:pStyle w:val="ListParagraph"/>
        <w:rPr>
          <w:bCs/>
          <w:lang w:val="en-GB"/>
        </w:rPr>
      </w:pPr>
    </w:p>
    <w:p w:rsidR="00CA77C7" w:rsidRPr="002B07FF" w:rsidRDefault="00DE623E" w:rsidP="00CA77C7">
      <w:pPr>
        <w:pStyle w:val="ListParagraph"/>
        <w:numPr>
          <w:ilvl w:val="0"/>
          <w:numId w:val="56"/>
        </w:numPr>
        <w:rPr>
          <w:bCs/>
        </w:rPr>
      </w:pPr>
      <w:r>
        <w:t>pide mayores sinergias entre los servicios públicos de empleo y los sistemas de prestaciones e infraestructuras sociales, a fin de reforzar la asistencia prestada a los desempleados en su búsqueda de empleo y evitar que quienes buscan un empleo se vean penalizados cuando se reincorporen al mercado laboral;</w:t>
      </w:r>
    </w:p>
    <w:p w:rsidR="00CA77C7" w:rsidRPr="002B07FF" w:rsidRDefault="00CA77C7" w:rsidP="00CA77C7">
      <w:pPr>
        <w:pStyle w:val="ListParagraph"/>
        <w:rPr>
          <w:bCs/>
          <w:lang w:val="en-GB"/>
        </w:rPr>
      </w:pPr>
    </w:p>
    <w:p w:rsidR="00CA77C7" w:rsidRPr="002B07FF" w:rsidRDefault="00CA77C7" w:rsidP="00CA77C7">
      <w:pPr>
        <w:pStyle w:val="ListParagraph"/>
        <w:numPr>
          <w:ilvl w:val="0"/>
          <w:numId w:val="56"/>
        </w:numPr>
        <w:rPr>
          <w:bCs/>
        </w:rPr>
      </w:pPr>
      <w:r>
        <w:lastRenderedPageBreak/>
        <w:t>solicita mayor apoyo financiero para los Estados miembros y confía en que el Fondo Social Europeo Plus se convierta en un instrumento genuino de la UE para invertir en las personas y aplicar el pilar europeo de los derechos sociales;</w:t>
      </w:r>
    </w:p>
    <w:p w:rsidR="00CA77C7" w:rsidRPr="002B07FF" w:rsidRDefault="00CA77C7" w:rsidP="00CA77C7">
      <w:pPr>
        <w:pStyle w:val="ListParagraph"/>
        <w:rPr>
          <w:bCs/>
          <w:lang w:val="en-GB"/>
        </w:rPr>
      </w:pPr>
    </w:p>
    <w:p w:rsidR="00CA77C7" w:rsidRPr="002B07FF" w:rsidRDefault="00CA77C7" w:rsidP="00CA77C7">
      <w:pPr>
        <w:pStyle w:val="ListParagraph"/>
        <w:numPr>
          <w:ilvl w:val="0"/>
          <w:numId w:val="56"/>
        </w:numPr>
        <w:rPr>
          <w:bCs/>
        </w:rPr>
      </w:pPr>
      <w:r>
        <w:t>considera que deben redoblarse los esfuerzos por supervisar, evaluar y comparar los servicios públicos de empleo con vistas a medir la eficacia de estos servicios a la hora de ayudar a los solicitantes de empleo a acceder al mercado laboral;</w:t>
      </w:r>
    </w:p>
    <w:p w:rsidR="00CA77C7" w:rsidRPr="002B07FF" w:rsidRDefault="00CA77C7" w:rsidP="00CA77C7">
      <w:pPr>
        <w:pStyle w:val="ListParagraph"/>
        <w:rPr>
          <w:bCs/>
          <w:lang w:val="en-GB"/>
        </w:rPr>
      </w:pPr>
    </w:p>
    <w:p w:rsidR="00CA77C7" w:rsidRPr="002B07FF" w:rsidRDefault="00CA77C7" w:rsidP="00CA77C7">
      <w:pPr>
        <w:pStyle w:val="ListParagraph"/>
        <w:numPr>
          <w:ilvl w:val="0"/>
          <w:numId w:val="56"/>
        </w:numPr>
      </w:pPr>
      <w:r>
        <w:t>pide que se modifiquen las disposiciones existentes para evaluar los resultados de los programas de trabajo de los servicios públicos de empleo, a fin de garantizar que los servicios beneficien a todas las categorías de personas, especialmente a las que sufren múltiples problemas.</w:t>
      </w:r>
    </w:p>
    <w:p w:rsidR="00CA77C7" w:rsidRPr="002B07FF" w:rsidRDefault="00CA77C7" w:rsidP="00CA77C7">
      <w:pPr>
        <w:rPr>
          <w:lang w:val="en-GB"/>
        </w:rPr>
      </w:pPr>
    </w:p>
    <w:p w:rsidR="00CA77C7" w:rsidRPr="002B07FF" w:rsidRDefault="00CA77C7" w:rsidP="00CA77C7">
      <w:pPr>
        <w:tabs>
          <w:tab w:val="left" w:pos="1701"/>
        </w:tabs>
        <w:overflowPunct w:val="0"/>
        <w:autoSpaceDE w:val="0"/>
        <w:autoSpaceDN w:val="0"/>
        <w:adjustRightInd w:val="0"/>
        <w:spacing w:line="240" w:lineRule="exact"/>
        <w:textAlignment w:val="baseline"/>
        <w:rPr>
          <w:i/>
          <w:szCs w:val="20"/>
        </w:rPr>
      </w:pPr>
      <w:r>
        <w:rPr>
          <w:b/>
          <w:i/>
          <w:szCs w:val="20"/>
        </w:rPr>
        <w:t>Contacto</w:t>
      </w:r>
      <w:r>
        <w:t>:</w:t>
      </w:r>
      <w:r>
        <w:rPr>
          <w:i/>
          <w:szCs w:val="20"/>
        </w:rPr>
        <w:t xml:space="preserve"> </w:t>
      </w:r>
      <w:r>
        <w:rPr>
          <w:i/>
          <w:szCs w:val="20"/>
        </w:rPr>
        <w:tab/>
        <w:t>Triin Aasmaa</w:t>
      </w:r>
    </w:p>
    <w:p w:rsidR="0054280D" w:rsidRPr="002B07FF" w:rsidRDefault="00CA77C7" w:rsidP="00C604EE">
      <w:pPr>
        <w:tabs>
          <w:tab w:val="left" w:pos="1701"/>
        </w:tabs>
        <w:spacing w:line="240" w:lineRule="auto"/>
        <w:ind w:left="1701"/>
        <w:jc w:val="left"/>
        <w:rPr>
          <w:i/>
          <w:szCs w:val="20"/>
        </w:rPr>
      </w:pPr>
      <w:r>
        <w:rPr>
          <w:i/>
          <w:szCs w:val="20"/>
        </w:rPr>
        <w:t xml:space="preserve">(Tel.: 00 32 2 546 95 24 – correo electrónico: </w:t>
      </w:r>
      <w:hyperlink r:id="rId34" w:history="1">
        <w:r>
          <w:rPr>
            <w:rStyle w:val="Hyperlink"/>
            <w:i/>
          </w:rPr>
          <w:t>Triin.Aasmaa@eesc.europa.eu</w:t>
        </w:r>
      </w:hyperlink>
      <w:r>
        <w:rPr>
          <w:i/>
          <w:szCs w:val="20"/>
        </w:rPr>
        <w:t>)</w:t>
      </w:r>
    </w:p>
    <w:p w:rsidR="0054280D" w:rsidRPr="002B07FF" w:rsidRDefault="0054280D" w:rsidP="00CA77C7">
      <w:pPr>
        <w:tabs>
          <w:tab w:val="left" w:pos="1701"/>
        </w:tabs>
        <w:spacing w:line="240" w:lineRule="auto"/>
        <w:jc w:val="left"/>
        <w:rPr>
          <w:i/>
          <w:szCs w:val="20"/>
          <w:lang w:val="en-GB"/>
        </w:rPr>
      </w:pPr>
    </w:p>
    <w:p w:rsidR="0054280D" w:rsidRPr="002B07FF" w:rsidRDefault="0054280D" w:rsidP="00CA77C7">
      <w:pPr>
        <w:tabs>
          <w:tab w:val="left" w:pos="1701"/>
        </w:tabs>
        <w:spacing w:line="240" w:lineRule="auto"/>
        <w:jc w:val="left"/>
        <w:rPr>
          <w:szCs w:val="20"/>
        </w:rPr>
      </w:pPr>
      <w:r>
        <w:rPr>
          <w:b/>
          <w:szCs w:val="20"/>
          <w:u w:val="single"/>
        </w:rPr>
        <w:t>SOC/621</w:t>
      </w:r>
    </w:p>
    <w:p w:rsidR="0054280D" w:rsidRPr="002B07FF" w:rsidRDefault="0054280D" w:rsidP="00CA77C7">
      <w:pPr>
        <w:tabs>
          <w:tab w:val="left" w:pos="1701"/>
        </w:tabs>
        <w:spacing w:line="240" w:lineRule="auto"/>
        <w:jc w:val="left"/>
        <w:rPr>
          <w:szCs w:val="20"/>
          <w:lang w:val="en-GB"/>
        </w:rPr>
      </w:pPr>
    </w:p>
    <w:p w:rsidR="007608EA" w:rsidRPr="002B07FF" w:rsidRDefault="0054280D" w:rsidP="0054280D">
      <w:pPr>
        <w:pStyle w:val="ListParagraph"/>
        <w:numPr>
          <w:ilvl w:val="0"/>
          <w:numId w:val="96"/>
        </w:numPr>
        <w:tabs>
          <w:tab w:val="left" w:pos="1701"/>
        </w:tabs>
        <w:spacing w:line="240" w:lineRule="auto"/>
        <w:ind w:left="567" w:hanging="567"/>
        <w:jc w:val="left"/>
      </w:pPr>
      <w:r>
        <w:rPr>
          <w:b/>
          <w:i/>
          <w:sz w:val="28"/>
          <w:szCs w:val="28"/>
        </w:rPr>
        <w:t>Enseñar Europa: desarrollo de herramientas para centros escolares</w:t>
      </w:r>
    </w:p>
    <w:p w:rsidR="007608EA" w:rsidRPr="002B07FF" w:rsidRDefault="007608EA" w:rsidP="007608EA">
      <w:pPr>
        <w:tabs>
          <w:tab w:val="left" w:pos="1701"/>
        </w:tabs>
        <w:spacing w:line="240" w:lineRule="auto"/>
        <w:jc w:val="left"/>
        <w:rPr>
          <w:lang w:val="en-GB"/>
        </w:rPr>
      </w:pPr>
    </w:p>
    <w:p w:rsidR="007608EA" w:rsidRPr="004F4081" w:rsidRDefault="007608EA" w:rsidP="007608EA">
      <w:pPr>
        <w:tabs>
          <w:tab w:val="left" w:pos="1701"/>
        </w:tabs>
      </w:pPr>
      <w:r>
        <w:rPr>
          <w:b/>
        </w:rPr>
        <w:t>Ponente:</w:t>
      </w:r>
      <w:r>
        <w:tab/>
        <w:t>Gerhard RIEMER (Grupo de Empresarios – AT)</w:t>
      </w:r>
    </w:p>
    <w:p w:rsidR="007608EA" w:rsidRPr="004F4081" w:rsidRDefault="007608EA" w:rsidP="007608EA">
      <w:pPr>
        <w:rPr>
          <w:lang w:val="en-GB"/>
        </w:rPr>
      </w:pPr>
    </w:p>
    <w:p w:rsidR="007608EA" w:rsidRPr="004F4081" w:rsidRDefault="007608EA" w:rsidP="007608EA">
      <w:pPr>
        <w:tabs>
          <w:tab w:val="left" w:pos="1701"/>
        </w:tabs>
      </w:pPr>
      <w:r>
        <w:rPr>
          <w:b/>
        </w:rPr>
        <w:t>Referencia:</w:t>
      </w:r>
      <w:r>
        <w:tab/>
        <w:t>Dictamen de iniciativa</w:t>
      </w:r>
    </w:p>
    <w:p w:rsidR="007608EA" w:rsidRPr="004F4081" w:rsidRDefault="007608EA" w:rsidP="007608EA">
      <w:pPr>
        <w:tabs>
          <w:tab w:val="left" w:pos="1701"/>
        </w:tabs>
        <w:ind w:left="1701"/>
      </w:pPr>
      <w:r>
        <w:t>EESC-2019-01831-00-00-AC</w:t>
      </w:r>
    </w:p>
    <w:p w:rsidR="007608EA" w:rsidRPr="004F4081" w:rsidRDefault="007608EA" w:rsidP="007608EA">
      <w:pPr>
        <w:rPr>
          <w:b/>
          <w:lang w:val="en-GB"/>
        </w:rPr>
      </w:pPr>
    </w:p>
    <w:p w:rsidR="007608EA" w:rsidRPr="004F4081" w:rsidRDefault="007608EA" w:rsidP="007608EA">
      <w:pPr>
        <w:tabs>
          <w:tab w:val="left" w:pos="1701"/>
        </w:tabs>
        <w:spacing w:line="240" w:lineRule="auto"/>
        <w:jc w:val="left"/>
        <w:rPr>
          <w:b/>
        </w:rPr>
      </w:pPr>
      <w:r>
        <w:rPr>
          <w:b/>
        </w:rPr>
        <w:t>Puntos clave</w:t>
      </w:r>
    </w:p>
    <w:p w:rsidR="002059A2" w:rsidRPr="004F4081" w:rsidRDefault="002059A2" w:rsidP="007608EA">
      <w:pPr>
        <w:spacing w:line="240" w:lineRule="auto"/>
        <w:rPr>
          <w:lang w:val="en-GB"/>
        </w:rPr>
      </w:pPr>
    </w:p>
    <w:p w:rsidR="007608EA" w:rsidRPr="004F4081" w:rsidRDefault="007608EA" w:rsidP="007608EA">
      <w:pPr>
        <w:spacing w:line="240" w:lineRule="auto"/>
      </w:pPr>
      <w:r>
        <w:t>El CESE:</w:t>
      </w:r>
    </w:p>
    <w:p w:rsidR="007608EA" w:rsidRPr="004F4081" w:rsidRDefault="007608EA" w:rsidP="007608EA">
      <w:pPr>
        <w:spacing w:line="240" w:lineRule="auto"/>
        <w:rPr>
          <w:lang w:val="en-GB"/>
        </w:rPr>
      </w:pPr>
    </w:p>
    <w:p w:rsidR="007608EA" w:rsidRPr="002B07FF" w:rsidRDefault="007608EA" w:rsidP="007608EA">
      <w:pPr>
        <w:pStyle w:val="ListParagraph"/>
        <w:numPr>
          <w:ilvl w:val="0"/>
          <w:numId w:val="69"/>
        </w:numPr>
        <w:overflowPunct w:val="0"/>
        <w:autoSpaceDE w:val="0"/>
        <w:autoSpaceDN w:val="0"/>
        <w:adjustRightInd w:val="0"/>
        <w:textAlignment w:val="baseline"/>
      </w:pPr>
      <w:r>
        <w:t>considera que la Declaración de París de 2015 y la Recomendación del Consejo de 2018 constituyen el nuevo punto de partida para la promoción de una dimensión europea de la enseñanza y el apoyo necesario al personal docente; estima que existe una laguna de información en el sector educativo por lo que respecta a la comprensión del papel de la UE y el impacto que tienen sus políticas en la vida de los ciudadanos europeos; por consiguiente, hace hincapié específicamente en la educación sobre la UE destinada a los jóvenes a fin de impulsar el desarrollo de una ciudadanía europea.</w:t>
      </w:r>
    </w:p>
    <w:p w:rsidR="007608EA" w:rsidRPr="004F4081" w:rsidRDefault="007608EA" w:rsidP="007608EA">
      <w:pPr>
        <w:rPr>
          <w:lang w:val="en-GB"/>
        </w:rPr>
      </w:pPr>
    </w:p>
    <w:p w:rsidR="007608EA" w:rsidRPr="002B07FF" w:rsidRDefault="007608EA" w:rsidP="007608EA">
      <w:pPr>
        <w:pStyle w:val="ListParagraph"/>
        <w:numPr>
          <w:ilvl w:val="0"/>
          <w:numId w:val="69"/>
        </w:numPr>
        <w:overflowPunct w:val="0"/>
        <w:autoSpaceDE w:val="0"/>
        <w:autoSpaceDN w:val="0"/>
        <w:adjustRightInd w:val="0"/>
        <w:textAlignment w:val="baseline"/>
      </w:pPr>
      <w:r>
        <w:t>Como seguimiento del Dictamen «La educación sobre la Unión Europea» (SOC/612), este Dictamen pretende hacer más hincapié en la educación sobre la UE en general y, en concreto, en enseñar Europa en los centros escolares;</w:t>
      </w:r>
    </w:p>
    <w:p w:rsidR="007608EA" w:rsidRPr="004F4081" w:rsidRDefault="007608EA" w:rsidP="007608EA">
      <w:pPr>
        <w:rPr>
          <w:lang w:val="en-GB"/>
        </w:rPr>
      </w:pPr>
    </w:p>
    <w:p w:rsidR="007608EA" w:rsidRPr="002B07FF" w:rsidRDefault="007608EA" w:rsidP="007608EA">
      <w:pPr>
        <w:pStyle w:val="ListParagraph"/>
        <w:numPr>
          <w:ilvl w:val="0"/>
          <w:numId w:val="69"/>
        </w:numPr>
        <w:overflowPunct w:val="0"/>
        <w:autoSpaceDE w:val="0"/>
        <w:autoSpaceDN w:val="0"/>
        <w:adjustRightInd w:val="0"/>
        <w:textAlignment w:val="baseline"/>
      </w:pPr>
      <w:r>
        <w:t>aunque reconoce que ya se han adoptado varias medidas a escala de la UE y los Estados miembros y que se dispone ya de excelentes recursos en los dos niveles, pide que se aclare y mejore la calidad de la información sobre el material del que se dispone; por lo tanto, la acción debería centrarse en la adaptación y mejora de las herramientas existentes;</w:t>
      </w:r>
    </w:p>
    <w:p w:rsidR="007608EA" w:rsidRPr="004F4081" w:rsidRDefault="007608EA" w:rsidP="007608EA">
      <w:pPr>
        <w:rPr>
          <w:lang w:val="en-GB"/>
        </w:rPr>
      </w:pPr>
    </w:p>
    <w:p w:rsidR="007608EA" w:rsidRPr="002B07FF" w:rsidRDefault="007608EA" w:rsidP="007608EA">
      <w:pPr>
        <w:pStyle w:val="ListParagraph"/>
        <w:numPr>
          <w:ilvl w:val="0"/>
          <w:numId w:val="69"/>
        </w:numPr>
        <w:overflowPunct w:val="0"/>
        <w:autoSpaceDE w:val="0"/>
        <w:autoSpaceDN w:val="0"/>
        <w:adjustRightInd w:val="0"/>
        <w:textAlignment w:val="baseline"/>
      </w:pPr>
      <w:r>
        <w:lastRenderedPageBreak/>
        <w:t>pide que se adopten varias medidas para mejorar la accesibilidad de los recursos en el ámbito de la educación sobre la UE, entre las que cabe incluir una investigación crítica sobre la situación en los Estados miembros de la educación sobre la UE en los centros escolares y la formación del profesorado; un inventario de los materiales de enseñanza y aprendizaje resultantes de los principales proyectos financiados por la UE; un pequeño conjunto de herramientas para alumnos y profesores en cada escuela; y la creación de un grupo de expertos de alto nivel sobre la «Enseñanza de Europa»;</w:t>
      </w:r>
    </w:p>
    <w:p w:rsidR="007608EA" w:rsidRPr="002B07FF" w:rsidRDefault="007608EA" w:rsidP="007608EA">
      <w:pPr>
        <w:pStyle w:val="ListParagraph"/>
        <w:rPr>
          <w:lang w:val="en-GB"/>
        </w:rPr>
      </w:pPr>
    </w:p>
    <w:p w:rsidR="007608EA" w:rsidRPr="002B07FF" w:rsidRDefault="007608EA" w:rsidP="007608EA">
      <w:pPr>
        <w:pStyle w:val="ListParagraph"/>
        <w:numPr>
          <w:ilvl w:val="0"/>
          <w:numId w:val="69"/>
        </w:numPr>
        <w:overflowPunct w:val="0"/>
        <w:autoSpaceDE w:val="0"/>
        <w:autoSpaceDN w:val="0"/>
        <w:adjustRightInd w:val="0"/>
        <w:textAlignment w:val="baseline"/>
      </w:pPr>
      <w:r>
        <w:t>subraya que los profesores desempeñan un papel fundamental en este ámbito y que deberían recibir apoyo mediante la concentración de esfuerzos en la formación del profesorado a escala de la UE y de los Estados miembros; cree asimismo que los jóvenes deberían adquirir cierta «cultura sobre la UE» antes de finalizar su etapa escolar;</w:t>
      </w:r>
    </w:p>
    <w:p w:rsidR="007608EA" w:rsidRPr="004F4081" w:rsidRDefault="007608EA" w:rsidP="007608EA">
      <w:pPr>
        <w:rPr>
          <w:lang w:val="en-GB"/>
        </w:rPr>
      </w:pPr>
    </w:p>
    <w:p w:rsidR="007608EA" w:rsidRPr="002B07FF" w:rsidRDefault="007608EA" w:rsidP="007608EA">
      <w:pPr>
        <w:pStyle w:val="ListParagraph"/>
        <w:numPr>
          <w:ilvl w:val="0"/>
          <w:numId w:val="69"/>
        </w:numPr>
        <w:overflowPunct w:val="0"/>
        <w:autoSpaceDE w:val="0"/>
        <w:autoSpaceDN w:val="0"/>
        <w:adjustRightInd w:val="0"/>
        <w:textAlignment w:val="baseline"/>
      </w:pPr>
      <w:r>
        <w:t>considera que la renovación del Parlamento Europeo y de la Comisión Europea, y especialmente el nuevo comisario de Educación, Cultura, Juventud y Deporte, constituyen una oportunidad excelente para llamar la atención sobre la enseñanza de Europa en los centros escolares.</w:t>
      </w:r>
    </w:p>
    <w:p w:rsidR="007608EA" w:rsidRPr="004F4081" w:rsidRDefault="007608EA" w:rsidP="007608EA">
      <w:pPr>
        <w:rPr>
          <w:lang w:val="en-GB"/>
        </w:rPr>
      </w:pPr>
    </w:p>
    <w:p w:rsidR="007608EA" w:rsidRPr="002B07FF" w:rsidRDefault="007608EA" w:rsidP="007608EA">
      <w:pPr>
        <w:pStyle w:val="ListParagraph"/>
        <w:numPr>
          <w:ilvl w:val="0"/>
          <w:numId w:val="69"/>
        </w:numPr>
        <w:overflowPunct w:val="0"/>
        <w:autoSpaceDE w:val="0"/>
        <w:autoSpaceDN w:val="0"/>
        <w:adjustRightInd w:val="0"/>
        <w:textAlignment w:val="baseline"/>
      </w:pPr>
      <w:r>
        <w:t>reconoce que la responsabilidad principal de la educación recae en los Estados miembros, pero señala que la Unión Europea podría tener un papel más preponderante a la hora de proponer medidas para mejorar los conocimientos generales sobre la UE;</w:t>
      </w:r>
    </w:p>
    <w:p w:rsidR="007608EA" w:rsidRPr="004F4081" w:rsidRDefault="007608EA" w:rsidP="007608EA">
      <w:pPr>
        <w:rPr>
          <w:lang w:val="en-GB"/>
        </w:rPr>
      </w:pPr>
    </w:p>
    <w:p w:rsidR="007608EA" w:rsidRPr="002B07FF" w:rsidRDefault="007608EA" w:rsidP="007608EA">
      <w:pPr>
        <w:pStyle w:val="ListParagraph"/>
        <w:numPr>
          <w:ilvl w:val="0"/>
          <w:numId w:val="69"/>
        </w:numPr>
        <w:overflowPunct w:val="0"/>
        <w:autoSpaceDE w:val="0"/>
        <w:autoSpaceDN w:val="0"/>
        <w:adjustRightInd w:val="0"/>
        <w:textAlignment w:val="baseline"/>
      </w:pPr>
      <w:r>
        <w:t>respalda las iniciativas del PE y de la Comisión, como la iniciativa «Adquisición de conocimientos acerca de la Unión Europea en la escuela», puesta en marcha por la Comisión a petición del Parlamento Europeo en 2011-2013, y la Resolución del Parlamento Europeo titulada «Adquisición de conocimientos acerca de la Unión Europea en la escuela» de 2016, y confía en que esta iniciativa del CESE dé un impulso firme en este sentido;</w:t>
      </w:r>
    </w:p>
    <w:p w:rsidR="007608EA" w:rsidRPr="002B07FF" w:rsidRDefault="007608EA" w:rsidP="007608EA">
      <w:pPr>
        <w:pStyle w:val="ListParagraph"/>
        <w:rPr>
          <w:lang w:val="en-GB"/>
        </w:rPr>
      </w:pPr>
    </w:p>
    <w:p w:rsidR="007608EA" w:rsidRPr="002B07FF" w:rsidRDefault="007608EA" w:rsidP="007608EA">
      <w:pPr>
        <w:pStyle w:val="ListParagraph"/>
        <w:numPr>
          <w:ilvl w:val="0"/>
          <w:numId w:val="69"/>
        </w:numPr>
        <w:overflowPunct w:val="0"/>
        <w:autoSpaceDE w:val="0"/>
        <w:autoSpaceDN w:val="0"/>
        <w:adjustRightInd w:val="0"/>
        <w:textAlignment w:val="baseline"/>
      </w:pPr>
      <w:r>
        <w:t>subraya el papel fundamental de los profesores y la importancia de que haya un programa especial para ellos, que tenga en cuenta las necesidades específicas de los Estados miembros, y hace hincapié en la importancia de que la información sea accesible también para el público en general.</w:t>
      </w:r>
    </w:p>
    <w:p w:rsidR="007608EA" w:rsidRPr="004F4081" w:rsidRDefault="007608EA" w:rsidP="007608EA">
      <w:pPr>
        <w:ind w:left="-567"/>
        <w:rPr>
          <w:highlight w:val="yellow"/>
          <w:lang w:val="en-GB"/>
        </w:rPr>
      </w:pPr>
    </w:p>
    <w:p w:rsidR="007608EA" w:rsidRPr="004F4081" w:rsidRDefault="007608EA" w:rsidP="007608EA">
      <w:pPr>
        <w:tabs>
          <w:tab w:val="left" w:pos="1701"/>
        </w:tabs>
        <w:spacing w:line="276" w:lineRule="auto"/>
        <w:ind w:left="567"/>
        <w:rPr>
          <w:i/>
        </w:rPr>
      </w:pPr>
      <w:r>
        <w:rPr>
          <w:b/>
          <w:i/>
        </w:rPr>
        <w:t>Contacto:</w:t>
      </w:r>
      <w:r>
        <w:tab/>
      </w:r>
      <w:r>
        <w:rPr>
          <w:i/>
        </w:rPr>
        <w:t>Sophie Zimmer</w:t>
      </w:r>
    </w:p>
    <w:p w:rsidR="004154C1" w:rsidRPr="004F4081" w:rsidRDefault="007608EA" w:rsidP="00C604EE">
      <w:pPr>
        <w:tabs>
          <w:tab w:val="left" w:pos="1701"/>
        </w:tabs>
        <w:spacing w:line="240" w:lineRule="auto"/>
        <w:ind w:left="1701"/>
        <w:jc w:val="left"/>
        <w:rPr>
          <w:i/>
        </w:rPr>
      </w:pPr>
      <w:r>
        <w:rPr>
          <w:i/>
        </w:rPr>
        <w:t xml:space="preserve">(Tel.: 00 32 2 546 9564 – correo electrónico: </w:t>
      </w:r>
      <w:hyperlink r:id="rId35" w:history="1">
        <w:r>
          <w:rPr>
            <w:rStyle w:val="Hyperlink"/>
            <w:i/>
          </w:rPr>
          <w:t>sophie.zimmer@eesc.europa.eu</w:t>
        </w:r>
      </w:hyperlink>
      <w:r>
        <w:rPr>
          <w:i/>
        </w:rPr>
        <w:t>)</w:t>
      </w:r>
    </w:p>
    <w:p w:rsidR="004154C1" w:rsidRPr="004F4081" w:rsidRDefault="004154C1" w:rsidP="00C604EE">
      <w:pPr>
        <w:tabs>
          <w:tab w:val="left" w:pos="1701"/>
        </w:tabs>
        <w:spacing w:line="240" w:lineRule="auto"/>
        <w:ind w:left="1701"/>
        <w:jc w:val="left"/>
        <w:rPr>
          <w:i/>
          <w:lang w:val="en-GB"/>
        </w:rPr>
      </w:pPr>
    </w:p>
    <w:p w:rsidR="00CA77C7" w:rsidRPr="002B07FF" w:rsidRDefault="00CA77C7" w:rsidP="00C604EE">
      <w:pPr>
        <w:tabs>
          <w:tab w:val="left" w:pos="1701"/>
        </w:tabs>
        <w:spacing w:line="240" w:lineRule="auto"/>
        <w:ind w:left="1701"/>
        <w:jc w:val="left"/>
      </w:pPr>
      <w:r>
        <w:br w:type="page"/>
      </w:r>
    </w:p>
    <w:p w:rsidR="00D73110" w:rsidRPr="002B07FF" w:rsidRDefault="0077760B" w:rsidP="00AE0E21">
      <w:pPr>
        <w:pStyle w:val="Heading1"/>
        <w:tabs>
          <w:tab w:val="left" w:pos="567"/>
        </w:tabs>
        <w:rPr>
          <w:b/>
        </w:rPr>
      </w:pPr>
      <w:bookmarkStart w:id="172" w:name="_Toc15401468"/>
      <w:r>
        <w:rPr>
          <w:b/>
        </w:rPr>
        <w:lastRenderedPageBreak/>
        <w:t>COMISIÓN CONSULTIVA DE LAS TRANSFORMACIONES INDUSTRIALES</w:t>
      </w:r>
      <w:bookmarkEnd w:id="172"/>
    </w:p>
    <w:p w:rsidR="00D73110" w:rsidRPr="002B07FF" w:rsidRDefault="00D73110">
      <w:pPr>
        <w:tabs>
          <w:tab w:val="left" w:pos="1701"/>
        </w:tabs>
        <w:jc w:val="center"/>
        <w:rPr>
          <w:i/>
          <w:szCs w:val="20"/>
          <w:lang w:val="en-GB"/>
        </w:rPr>
      </w:pPr>
    </w:p>
    <w:p w:rsidR="00D73110" w:rsidRPr="002B07FF" w:rsidRDefault="006E7FEF" w:rsidP="00D73110">
      <w:pPr>
        <w:tabs>
          <w:tab w:val="left" w:pos="770"/>
        </w:tabs>
        <w:ind w:left="1430" w:hanging="1430"/>
        <w:rPr>
          <w:iCs/>
        </w:rPr>
      </w:pPr>
      <w:r>
        <w:rPr>
          <w:b/>
          <w:iCs/>
          <w:u w:val="single"/>
        </w:rPr>
        <w:t>CCMI/167</w:t>
      </w:r>
    </w:p>
    <w:p w:rsidR="00D73110" w:rsidRPr="002B07FF" w:rsidRDefault="00D73110" w:rsidP="00D73110">
      <w:pPr>
        <w:tabs>
          <w:tab w:val="left" w:pos="770"/>
        </w:tabs>
        <w:ind w:left="1430" w:hanging="1430"/>
        <w:rPr>
          <w:iCs/>
          <w:lang w:val="en-GB"/>
        </w:rPr>
      </w:pPr>
    </w:p>
    <w:p w:rsidR="00D73110" w:rsidRPr="004F4081" w:rsidRDefault="006E7FEF" w:rsidP="00D73110">
      <w:pPr>
        <w:pStyle w:val="ListParagraph"/>
        <w:numPr>
          <w:ilvl w:val="0"/>
          <w:numId w:val="22"/>
        </w:numPr>
        <w:ind w:left="567" w:hanging="567"/>
        <w:rPr>
          <w:b/>
          <w:bCs/>
          <w:i/>
          <w:iCs/>
          <w:sz w:val="28"/>
          <w:szCs w:val="28"/>
        </w:rPr>
      </w:pPr>
      <w:r>
        <w:rPr>
          <w:b/>
          <w:i/>
          <w:sz w:val="28"/>
          <w:szCs w:val="28"/>
        </w:rPr>
        <w:t>La perspectiva industrial sectorial de conciliar las políticas climática y energética</w:t>
      </w:r>
    </w:p>
    <w:p w:rsidR="00D73110" w:rsidRPr="004F4081" w:rsidRDefault="00D73110" w:rsidP="00D73110">
      <w:pPr>
        <w:pStyle w:val="ListParagraph"/>
        <w:ind w:left="567"/>
        <w:rPr>
          <w:b/>
          <w:bCs/>
          <w:i/>
          <w:iCs/>
          <w:lang w:val="en-GB"/>
        </w:rPr>
      </w:pPr>
    </w:p>
    <w:p w:rsidR="00D73110" w:rsidRPr="004F4081" w:rsidRDefault="00D73110" w:rsidP="00D73110">
      <w:r>
        <w:rPr>
          <w:b/>
        </w:rPr>
        <w:t>Ponente:</w:t>
      </w:r>
      <w:r>
        <w:tab/>
      </w:r>
      <w:r w:rsidR="0010098E">
        <w:tab/>
      </w:r>
      <w:r>
        <w:t>Aurel Laurenţiu PLOSCEANU (Grupo de Empresarios – RO)</w:t>
      </w:r>
    </w:p>
    <w:p w:rsidR="00D73110" w:rsidRPr="004F4081" w:rsidRDefault="00D73110" w:rsidP="00D73110">
      <w:r>
        <w:rPr>
          <w:b/>
        </w:rPr>
        <w:t>Coponente:</w:t>
      </w:r>
      <w:r>
        <w:tab/>
      </w:r>
      <w:r w:rsidR="0010098E">
        <w:tab/>
      </w:r>
      <w:r>
        <w:t>Enrico GIBELLIERI (Cat. 2 – IT)</w:t>
      </w:r>
    </w:p>
    <w:p w:rsidR="00D73110" w:rsidRPr="004F4081" w:rsidRDefault="00D73110" w:rsidP="00D73110">
      <w:pPr>
        <w:rPr>
          <w:lang w:val="en-GB"/>
        </w:rPr>
      </w:pPr>
    </w:p>
    <w:p w:rsidR="00D73110" w:rsidRPr="004F4081" w:rsidRDefault="00D73110" w:rsidP="00D73110">
      <w:pPr>
        <w:ind w:left="-5"/>
        <w:rPr>
          <w:bCs/>
        </w:rPr>
      </w:pPr>
      <w:r>
        <w:rPr>
          <w:b/>
          <w:bCs/>
        </w:rPr>
        <w:t>Referencia:</w:t>
      </w:r>
      <w:r w:rsidR="0010098E">
        <w:rPr>
          <w:b/>
          <w:bCs/>
        </w:rPr>
        <w:tab/>
      </w:r>
      <w:r w:rsidR="0010098E">
        <w:rPr>
          <w:b/>
          <w:bCs/>
        </w:rPr>
        <w:tab/>
      </w:r>
      <w:r>
        <w:t>Dictamen de iniciativa</w:t>
      </w:r>
    </w:p>
    <w:p w:rsidR="00D73110" w:rsidRPr="002B07FF" w:rsidRDefault="00D53714" w:rsidP="00D73110">
      <w:pPr>
        <w:ind w:left="1701"/>
      </w:pPr>
      <w:r>
        <w:t>EESC-2019-00927-00-01-AC</w:t>
      </w:r>
    </w:p>
    <w:p w:rsidR="00D73110" w:rsidRPr="004F4081" w:rsidRDefault="00D73110" w:rsidP="00D73110">
      <w:pPr>
        <w:ind w:left="-5"/>
        <w:rPr>
          <w:lang w:val="en-GB"/>
        </w:rPr>
      </w:pPr>
    </w:p>
    <w:p w:rsidR="00D73110" w:rsidRPr="004F4081" w:rsidRDefault="00D73110" w:rsidP="00D73110">
      <w:pPr>
        <w:rPr>
          <w:b/>
        </w:rPr>
      </w:pPr>
      <w:r>
        <w:rPr>
          <w:b/>
        </w:rPr>
        <w:t>Puntos clave</w:t>
      </w:r>
    </w:p>
    <w:p w:rsidR="00D73110" w:rsidRDefault="00D73110" w:rsidP="00D73110">
      <w:pPr>
        <w:rPr>
          <w:b/>
          <w:iCs/>
          <w:highlight w:val="yellow"/>
          <w:u w:val="single"/>
          <w:lang w:val="en-GB"/>
        </w:rPr>
      </w:pPr>
    </w:p>
    <w:p w:rsidR="000313AE" w:rsidRDefault="000313AE" w:rsidP="000313AE">
      <w:r>
        <w:t>Al CESE le preocupa el riesgo de fuga de carbono o de inversiones en las industrias con gran intensidad de energía y recursos así como la consiguiente pérdida de empleo, en el actual contexto de distintos precios para las emisiones de gases de efecto invernadero en los mercados mundiales.</w:t>
      </w:r>
    </w:p>
    <w:p w:rsidR="000313AE" w:rsidRDefault="000313AE" w:rsidP="000313AE"/>
    <w:p w:rsidR="000313AE" w:rsidRDefault="000313AE" w:rsidP="000313AE">
      <w:r>
        <w:t>El CESE considera esencial conciliar las políticas industrial y energética con la climática, con el fin de movilizar las enormes inversiones que requiere la transición hacia un modelo económico de cero emisiones de carbono para las industrias con gran intensidad de energía y recursos, que debería ser una «transición justa», en cuya definición y aplicación participen activamente los interlocutores sociales.</w:t>
      </w:r>
    </w:p>
    <w:p w:rsidR="000313AE" w:rsidRDefault="000313AE" w:rsidP="000313AE"/>
    <w:p w:rsidR="000313AE" w:rsidRDefault="000313AE" w:rsidP="000313AE">
      <w:r>
        <w:t>Las inversiones de la UE y de los Estados miembros deberían repercutir en la I+D+i y en el despliegue de tecnologías con emisiones de carbono bajas o nulas para las industrias con gran intensidad de energía y recursos, incluida la producción adicional de energía eléctrica que requieren, así como la educación y la formación de su mano de obra. En el próximo marco financiero plurianual 2021-2027 debería incrementarse la financiación prevista a tal efecto en la propuesta de la Comisión para el programa InvestEU y para los demás programas de inversión que vayan a asociarse a él.</w:t>
      </w:r>
    </w:p>
    <w:p w:rsidR="000313AE" w:rsidRDefault="000313AE" w:rsidP="000313AE"/>
    <w:p w:rsidR="000313AE" w:rsidRDefault="000313AE" w:rsidP="000313AE">
      <w:r>
        <w:t>En su Dictamen de iniciativa, el CESE tiene previsto contribuir a la reflexión sobre la estrategia industrial a largo plazo que ha preconizado el Consejo Europeo</w:t>
      </w:r>
      <w:r w:rsidR="004151CF" w:rsidRPr="002B07FF">
        <w:rPr>
          <w:rStyle w:val="FootnoteReference"/>
          <w:lang w:val="en-GB"/>
        </w:rPr>
        <w:footnoteReference w:id="2"/>
      </w:r>
      <w:r>
        <w:t>, estudiando la viabilidad técnica y jurídica de una de las muchas opciones políticas que actualmente se contemplan en la esfera pública: la implantación de medidas de ajuste en las fronteras para el precio interior de las emisiones de gases de efecto invernadero, sobre la base del contenido de emisiones de gases de efecto invernadero de los materiales, sustancias químicas y metales básicos incorporados en los productos industriales.</w:t>
      </w:r>
    </w:p>
    <w:p w:rsidR="000313AE" w:rsidRDefault="000313AE" w:rsidP="000313AE"/>
    <w:p w:rsidR="000313AE" w:rsidRDefault="000313AE" w:rsidP="000313AE">
      <w:r>
        <w:t>El CESE recomienda a la Comisión que profundice en sus reflexiones sobre esta y otras opciones políticas —como la reforma del RCDE, el ajuste en frontera de las emisiones de carbono o un tipo de IVA ajustado a la intensidad del carbono— y que las compare en términos de impacto en la fuga de carbono y de inversiones, seguridad jurídica respecto de su conformidad con las normas de la OMC, aceptabilidad por los socios comerciales y viabilidad técnica.</w:t>
      </w:r>
    </w:p>
    <w:p w:rsidR="000313AE" w:rsidRDefault="000313AE" w:rsidP="000313AE"/>
    <w:p w:rsidR="000313AE" w:rsidRDefault="000313AE" w:rsidP="000313AE">
      <w:r>
        <w:t>El CESE también recomienda a la Comisión que entable cuanto antes consultas con los principales socios comerciales de la UE para conocer su opinión sobre las opciones que se plantean.</w:t>
      </w:r>
    </w:p>
    <w:p w:rsidR="000313AE" w:rsidRPr="000313AE" w:rsidRDefault="000313AE" w:rsidP="00D73110">
      <w:pPr>
        <w:rPr>
          <w:iCs/>
          <w:highlight w:val="yellow"/>
          <w:u w:val="single"/>
          <w:lang w:val="en-GB"/>
        </w:rPr>
      </w:pPr>
    </w:p>
    <w:p w:rsidR="00D73110" w:rsidRPr="002B07FF" w:rsidRDefault="00D73110" w:rsidP="00D53714">
      <w:pPr>
        <w:keepNext/>
        <w:tabs>
          <w:tab w:val="left" w:pos="1701"/>
        </w:tabs>
        <w:rPr>
          <w:i/>
          <w:iCs/>
        </w:rPr>
      </w:pPr>
      <w:r>
        <w:rPr>
          <w:b/>
          <w:bCs/>
          <w:i/>
          <w:iCs/>
        </w:rPr>
        <w:t>Contacto:</w:t>
      </w:r>
      <w:r w:rsidR="0010098E">
        <w:rPr>
          <w:b/>
          <w:bCs/>
          <w:i/>
          <w:iCs/>
        </w:rPr>
        <w:tab/>
      </w:r>
      <w:r>
        <w:rPr>
          <w:i/>
        </w:rPr>
        <w:t>Cedric Cabanne</w:t>
      </w:r>
    </w:p>
    <w:p w:rsidR="00D73110" w:rsidRPr="002B07FF" w:rsidRDefault="00D53714" w:rsidP="00C604EE">
      <w:pPr>
        <w:keepNext/>
        <w:tabs>
          <w:tab w:val="left" w:pos="1701"/>
        </w:tabs>
        <w:ind w:left="1701"/>
        <w:rPr>
          <w:i/>
          <w:iCs/>
        </w:rPr>
      </w:pPr>
      <w:r>
        <w:rPr>
          <w:i/>
        </w:rPr>
        <w:t xml:space="preserve">(Tel.: 00 32 2 546 9355 – correo electrónico: </w:t>
      </w:r>
      <w:hyperlink r:id="rId36" w:history="1">
        <w:r>
          <w:rPr>
            <w:rStyle w:val="Hyperlink"/>
            <w:i/>
          </w:rPr>
          <w:t>Cedric.Cabanne@eesc.europa.eu</w:t>
        </w:r>
      </w:hyperlink>
      <w:r>
        <w:rPr>
          <w:i/>
        </w:rPr>
        <w:t>)</w:t>
      </w:r>
    </w:p>
    <w:p w:rsidR="00EC6A6B" w:rsidRDefault="00EC6A6B" w:rsidP="00EC6A6B">
      <w:pPr>
        <w:tabs>
          <w:tab w:val="left" w:pos="0"/>
        </w:tabs>
        <w:jc w:val="center"/>
        <w:rPr>
          <w:i/>
          <w:szCs w:val="20"/>
          <w:lang w:val="en-GB"/>
        </w:rPr>
      </w:pPr>
    </w:p>
    <w:p w:rsidR="0010098E" w:rsidRPr="002B07FF" w:rsidRDefault="0010098E" w:rsidP="00EC6A6B">
      <w:pPr>
        <w:tabs>
          <w:tab w:val="left" w:pos="0"/>
        </w:tabs>
        <w:jc w:val="center"/>
        <w:rPr>
          <w:i/>
          <w:szCs w:val="20"/>
          <w:lang w:val="en-GB"/>
        </w:rPr>
      </w:pPr>
    </w:p>
    <w:p w:rsidR="00C71FF0" w:rsidRPr="004F4081" w:rsidRDefault="00C71FF0" w:rsidP="00D73110">
      <w:pPr>
        <w:tabs>
          <w:tab w:val="left" w:pos="1701"/>
        </w:tabs>
        <w:jc w:val="center"/>
        <w:rPr>
          <w:i/>
          <w:szCs w:val="20"/>
        </w:rPr>
      </w:pPr>
      <w:r>
        <w:rPr>
          <w:i/>
          <w:szCs w:val="20"/>
        </w:rPr>
        <w:t>____________</w:t>
      </w:r>
    </w:p>
    <w:sectPr w:rsidR="00C71FF0" w:rsidRPr="004F4081" w:rsidSect="004F4081">
      <w:headerReference w:type="even" r:id="rId37"/>
      <w:headerReference w:type="default" r:id="rId38"/>
      <w:footerReference w:type="even" r:id="rId39"/>
      <w:footerReference w:type="default" r:id="rId40"/>
      <w:headerReference w:type="first" r:id="rId41"/>
      <w:footerReference w:type="first" r:id="rId4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5F5" w:rsidRDefault="004B05F5" w:rsidP="003B283B">
      <w:pPr>
        <w:spacing w:line="240" w:lineRule="auto"/>
      </w:pPr>
      <w:r>
        <w:separator/>
      </w:r>
    </w:p>
  </w:endnote>
  <w:endnote w:type="continuationSeparator" w:id="0">
    <w:p w:rsidR="004B05F5" w:rsidRDefault="004B05F5" w:rsidP="003B283B">
      <w:pPr>
        <w:spacing w:line="240" w:lineRule="auto"/>
      </w:pPr>
      <w:r>
        <w:continuationSeparator/>
      </w:r>
    </w:p>
  </w:endnote>
  <w:endnote w:type="continuationNotice" w:id="1">
    <w:p w:rsidR="004B05F5" w:rsidRDefault="004B05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081" w:rsidRPr="004F4081" w:rsidRDefault="004F4081" w:rsidP="004F4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5F5" w:rsidRPr="004F4081" w:rsidRDefault="004F4081" w:rsidP="004F4081">
    <w:pPr>
      <w:pStyle w:val="Footer"/>
    </w:pPr>
    <w:r>
      <w:t xml:space="preserve">EESC-2019-03134-01-02-TCD-TRA (EN/FR) </w:t>
    </w:r>
    <w:r>
      <w:fldChar w:fldCharType="begin"/>
    </w:r>
    <w:r>
      <w:instrText xml:space="preserve"> PAGE  \* Arabic  \* MERGEFORMAT </w:instrText>
    </w:r>
    <w:r>
      <w:fldChar w:fldCharType="separate"/>
    </w:r>
    <w:r w:rsidR="006D34BE">
      <w:rPr>
        <w:noProof/>
      </w:rPr>
      <w:t>1</w:t>
    </w:r>
    <w:r>
      <w:fldChar w:fldCharType="end"/>
    </w:r>
    <w:r>
      <w:t>/</w:t>
    </w:r>
    <w:fldSimple w:instr=" NUMPAGES ">
      <w:r w:rsidR="006D34BE">
        <w:rPr>
          <w:noProof/>
        </w:rPr>
        <w:t>22</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081" w:rsidRPr="004F4081" w:rsidRDefault="004F4081" w:rsidP="004F40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5F5" w:rsidRPr="004F4081" w:rsidRDefault="004B05F5" w:rsidP="004F40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5F5" w:rsidRPr="004F4081" w:rsidRDefault="004F4081" w:rsidP="004F4081">
    <w:pPr>
      <w:pStyle w:val="Footer"/>
    </w:pPr>
    <w:r>
      <w:t xml:space="preserve">EESC-2019-03134-01-02-TCD-TRA (EN/FR) </w:t>
    </w:r>
    <w:r>
      <w:fldChar w:fldCharType="begin"/>
    </w:r>
    <w:r>
      <w:instrText xml:space="preserve"> PAGE  \* Arabic  \* MERGEFORMAT </w:instrText>
    </w:r>
    <w:r>
      <w:fldChar w:fldCharType="separate"/>
    </w:r>
    <w:r w:rsidR="006D34BE">
      <w:rPr>
        <w:noProof/>
      </w:rPr>
      <w:t>21</w:t>
    </w:r>
    <w:r>
      <w:fldChar w:fldCharType="end"/>
    </w:r>
    <w:r>
      <w:t>/</w:t>
    </w:r>
    <w:fldSimple w:instr=" NUMPAGES ">
      <w:r w:rsidR="006D34BE">
        <w:rPr>
          <w:noProof/>
        </w:rPr>
        <w:t>22</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5F5" w:rsidRPr="004F4081" w:rsidRDefault="004B05F5" w:rsidP="004F4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5F5" w:rsidRDefault="004B05F5" w:rsidP="003B283B">
      <w:pPr>
        <w:spacing w:line="240" w:lineRule="auto"/>
      </w:pPr>
      <w:r>
        <w:separator/>
      </w:r>
    </w:p>
  </w:footnote>
  <w:footnote w:type="continuationSeparator" w:id="0">
    <w:p w:rsidR="004B05F5" w:rsidRDefault="004B05F5" w:rsidP="003B283B">
      <w:pPr>
        <w:spacing w:line="240" w:lineRule="auto"/>
      </w:pPr>
      <w:r>
        <w:continuationSeparator/>
      </w:r>
    </w:p>
  </w:footnote>
  <w:footnote w:type="continuationNotice" w:id="1">
    <w:p w:rsidR="004B05F5" w:rsidRPr="00377A77" w:rsidRDefault="004B05F5">
      <w:pPr>
        <w:spacing w:line="240" w:lineRule="auto"/>
        <w:rPr>
          <w:sz w:val="2"/>
          <w:szCs w:val="2"/>
        </w:rPr>
      </w:pPr>
    </w:p>
  </w:footnote>
  <w:footnote w:id="2">
    <w:p w:rsidR="004151CF" w:rsidRPr="00626938" w:rsidRDefault="004151CF" w:rsidP="004151CF">
      <w:pPr>
        <w:pStyle w:val="FootnoteText"/>
      </w:pPr>
      <w:r>
        <w:rPr>
          <w:rStyle w:val="FootnoteReference"/>
        </w:rPr>
        <w:footnoteRef/>
      </w:r>
      <w:r>
        <w:tab/>
        <w:t>Conclusiones del Consejo Europeo de 22 de marzo de 2019, EUCO 1/19.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081" w:rsidRPr="004F4081" w:rsidRDefault="004F4081" w:rsidP="004F40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081" w:rsidRPr="004F4081" w:rsidRDefault="004F4081" w:rsidP="004F40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081" w:rsidRPr="004F4081" w:rsidRDefault="004F4081" w:rsidP="004F40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5F5" w:rsidRPr="004F4081" w:rsidRDefault="004B05F5" w:rsidP="004F40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5F5" w:rsidRPr="004F4081" w:rsidRDefault="004B05F5" w:rsidP="004F408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5F5" w:rsidRPr="004F4081" w:rsidRDefault="004B05F5" w:rsidP="004F4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24C785A"/>
    <w:lvl w:ilvl="0">
      <w:start w:val="1"/>
      <w:numFmt w:val="decimal"/>
      <w:pStyle w:val="Heading1"/>
      <w:lvlText w:val="%1."/>
      <w:lvlJc w:val="left"/>
      <w:pPr>
        <w:ind w:left="0" w:firstLine="0"/>
      </w:pPr>
      <w:rPr>
        <w:rFonts w:hint="default"/>
        <w:b w:val="0"/>
        <w:i w: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02D5B16"/>
    <w:multiLevelType w:val="hybridMultilevel"/>
    <w:tmpl w:val="3F44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490CD2"/>
    <w:multiLevelType w:val="hybridMultilevel"/>
    <w:tmpl w:val="1EEA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6A641A"/>
    <w:multiLevelType w:val="hybridMultilevel"/>
    <w:tmpl w:val="FBAA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C0125A"/>
    <w:multiLevelType w:val="hybridMultilevel"/>
    <w:tmpl w:val="BE28A054"/>
    <w:lvl w:ilvl="0" w:tplc="4134EED8">
      <w:start w:val="3"/>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9873857"/>
    <w:multiLevelType w:val="hybridMultilevel"/>
    <w:tmpl w:val="6A2473B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0A5E725B"/>
    <w:multiLevelType w:val="hybridMultilevel"/>
    <w:tmpl w:val="DA1E63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AF342A2"/>
    <w:multiLevelType w:val="hybridMultilevel"/>
    <w:tmpl w:val="23E445E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D93C44"/>
    <w:multiLevelType w:val="hybridMultilevel"/>
    <w:tmpl w:val="B1A0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DE02DC"/>
    <w:multiLevelType w:val="hybridMultilevel"/>
    <w:tmpl w:val="E1A6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0A3AA5"/>
    <w:multiLevelType w:val="hybridMultilevel"/>
    <w:tmpl w:val="B22252D0"/>
    <w:lvl w:ilvl="0" w:tplc="7BE6920E">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2C82D17"/>
    <w:multiLevelType w:val="hybridMultilevel"/>
    <w:tmpl w:val="A48A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662F14"/>
    <w:multiLevelType w:val="hybridMultilevel"/>
    <w:tmpl w:val="ABD47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341B4B"/>
    <w:multiLevelType w:val="hybridMultilevel"/>
    <w:tmpl w:val="663683AE"/>
    <w:lvl w:ilvl="0" w:tplc="3F6C8E8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6417DCE"/>
    <w:multiLevelType w:val="hybridMultilevel"/>
    <w:tmpl w:val="193C6C8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8" w15:restartNumberingAfterBreak="0">
    <w:nsid w:val="16851769"/>
    <w:multiLevelType w:val="hybridMultilevel"/>
    <w:tmpl w:val="96642946"/>
    <w:lvl w:ilvl="0" w:tplc="C054D6C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A06112"/>
    <w:multiLevelType w:val="hybridMultilevel"/>
    <w:tmpl w:val="CE0A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814F41"/>
    <w:multiLevelType w:val="hybridMultilevel"/>
    <w:tmpl w:val="A20AC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1E663E"/>
    <w:multiLevelType w:val="hybridMultilevel"/>
    <w:tmpl w:val="3EA0F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C68BF"/>
    <w:multiLevelType w:val="singleLevel"/>
    <w:tmpl w:val="A8C2A524"/>
    <w:lvl w:ilvl="0">
      <w:numFmt w:val="decimal"/>
      <w:lvlText w:val="*"/>
      <w:lvlJc w:val="left"/>
    </w:lvl>
  </w:abstractNum>
  <w:abstractNum w:abstractNumId="23" w15:restartNumberingAfterBreak="0">
    <w:nsid w:val="1EA55B9F"/>
    <w:multiLevelType w:val="multilevel"/>
    <w:tmpl w:val="3CB0B50E"/>
    <w:lvl w:ilvl="0">
      <w:start w:val="1"/>
      <w:numFmt w:val="decimal"/>
      <w:lvlText w:val="%1."/>
      <w:lvlJc w:val="left"/>
      <w:pPr>
        <w:ind w:left="432" w:hanging="432"/>
      </w:pPr>
      <w:rPr>
        <w:b w:val="0"/>
      </w:r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1EC1153A"/>
    <w:multiLevelType w:val="hybridMultilevel"/>
    <w:tmpl w:val="FD4ACC8C"/>
    <w:lvl w:ilvl="0" w:tplc="61B85C28">
      <w:start w:val="1"/>
      <w:numFmt w:val="bullet"/>
      <w:lvlText w:val=""/>
      <w:lvlJc w:val="left"/>
      <w:pPr>
        <w:ind w:left="720" w:hanging="360"/>
      </w:pPr>
      <w:rPr>
        <w:rFonts w:ascii="Symbol" w:hAnsi="Symbol" w:hint="default"/>
      </w:rPr>
    </w:lvl>
    <w:lvl w:ilvl="1" w:tplc="B4966CD6">
      <w:numFmt w:val="bullet"/>
      <w:lvlText w:val="-"/>
      <w:lvlJc w:val="left"/>
      <w:pPr>
        <w:ind w:left="1815" w:hanging="735"/>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6B5B87"/>
    <w:multiLevelType w:val="hybridMultilevel"/>
    <w:tmpl w:val="F876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A75A83"/>
    <w:multiLevelType w:val="singleLevel"/>
    <w:tmpl w:val="A8C2A524"/>
    <w:lvl w:ilvl="0">
      <w:numFmt w:val="decimal"/>
      <w:lvlText w:val="*"/>
      <w:lvlJc w:val="left"/>
    </w:lvl>
  </w:abstractNum>
  <w:abstractNum w:abstractNumId="27" w15:restartNumberingAfterBreak="0">
    <w:nsid w:val="21BE217C"/>
    <w:multiLevelType w:val="hybridMultilevel"/>
    <w:tmpl w:val="8D6C0BF8"/>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8" w15:restartNumberingAfterBreak="0">
    <w:nsid w:val="227770BB"/>
    <w:multiLevelType w:val="hybridMultilevel"/>
    <w:tmpl w:val="1676FB26"/>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32759E7"/>
    <w:multiLevelType w:val="hybridMultilevel"/>
    <w:tmpl w:val="76B0A4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C66BBF"/>
    <w:multiLevelType w:val="hybridMultilevel"/>
    <w:tmpl w:val="5D18BC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25206626"/>
    <w:multiLevelType w:val="hybridMultilevel"/>
    <w:tmpl w:val="F26CD33E"/>
    <w:lvl w:ilvl="0" w:tplc="76CA932C">
      <w:start w:val="1"/>
      <w:numFmt w:val="lowerRoman"/>
      <w:lvlText w:val="%1."/>
      <w:lvlJc w:val="righ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5310698"/>
    <w:multiLevelType w:val="hybridMultilevel"/>
    <w:tmpl w:val="5E5A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B372032"/>
    <w:multiLevelType w:val="hybridMultilevel"/>
    <w:tmpl w:val="A6E0887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C642E45"/>
    <w:multiLevelType w:val="hybridMultilevel"/>
    <w:tmpl w:val="0012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F52127E"/>
    <w:multiLevelType w:val="hybridMultilevel"/>
    <w:tmpl w:val="2200C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33D10551"/>
    <w:multiLevelType w:val="hybridMultilevel"/>
    <w:tmpl w:val="7F58B884"/>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8" w15:restartNumberingAfterBreak="0">
    <w:nsid w:val="343109B8"/>
    <w:multiLevelType w:val="hybridMultilevel"/>
    <w:tmpl w:val="1E6C6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5F82EB0"/>
    <w:multiLevelType w:val="hybridMultilevel"/>
    <w:tmpl w:val="37A64B36"/>
    <w:lvl w:ilvl="0" w:tplc="080C0001">
      <w:start w:val="1"/>
      <w:numFmt w:val="bullet"/>
      <w:lvlText w:val=""/>
      <w:lvlJc w:val="left"/>
      <w:pPr>
        <w:ind w:left="770" w:hanging="360"/>
      </w:pPr>
      <w:rPr>
        <w:rFonts w:ascii="Symbol" w:hAnsi="Symbol" w:hint="default"/>
      </w:rPr>
    </w:lvl>
    <w:lvl w:ilvl="1" w:tplc="080C0003">
      <w:start w:val="1"/>
      <w:numFmt w:val="bullet"/>
      <w:lvlText w:val="o"/>
      <w:lvlJc w:val="left"/>
      <w:pPr>
        <w:ind w:left="1490" w:hanging="360"/>
      </w:pPr>
      <w:rPr>
        <w:rFonts w:ascii="Courier New" w:hAnsi="Courier New" w:cs="Courier New" w:hint="default"/>
      </w:rPr>
    </w:lvl>
    <w:lvl w:ilvl="2" w:tplc="080C0005">
      <w:start w:val="1"/>
      <w:numFmt w:val="bullet"/>
      <w:lvlText w:val=""/>
      <w:lvlJc w:val="left"/>
      <w:pPr>
        <w:ind w:left="2210" w:hanging="360"/>
      </w:pPr>
      <w:rPr>
        <w:rFonts w:ascii="Wingdings" w:hAnsi="Wingdings" w:hint="default"/>
      </w:rPr>
    </w:lvl>
    <w:lvl w:ilvl="3" w:tplc="080C0001">
      <w:start w:val="1"/>
      <w:numFmt w:val="bullet"/>
      <w:lvlText w:val=""/>
      <w:lvlJc w:val="left"/>
      <w:pPr>
        <w:ind w:left="2930" w:hanging="360"/>
      </w:pPr>
      <w:rPr>
        <w:rFonts w:ascii="Symbol" w:hAnsi="Symbol" w:hint="default"/>
      </w:rPr>
    </w:lvl>
    <w:lvl w:ilvl="4" w:tplc="080C0003">
      <w:start w:val="1"/>
      <w:numFmt w:val="bullet"/>
      <w:lvlText w:val="o"/>
      <w:lvlJc w:val="left"/>
      <w:pPr>
        <w:ind w:left="3650" w:hanging="360"/>
      </w:pPr>
      <w:rPr>
        <w:rFonts w:ascii="Courier New" w:hAnsi="Courier New" w:cs="Courier New" w:hint="default"/>
      </w:rPr>
    </w:lvl>
    <w:lvl w:ilvl="5" w:tplc="080C0005">
      <w:start w:val="1"/>
      <w:numFmt w:val="bullet"/>
      <w:lvlText w:val=""/>
      <w:lvlJc w:val="left"/>
      <w:pPr>
        <w:ind w:left="4370" w:hanging="360"/>
      </w:pPr>
      <w:rPr>
        <w:rFonts w:ascii="Wingdings" w:hAnsi="Wingdings" w:hint="default"/>
      </w:rPr>
    </w:lvl>
    <w:lvl w:ilvl="6" w:tplc="080C0001">
      <w:start w:val="1"/>
      <w:numFmt w:val="bullet"/>
      <w:lvlText w:val=""/>
      <w:lvlJc w:val="left"/>
      <w:pPr>
        <w:ind w:left="5090" w:hanging="360"/>
      </w:pPr>
      <w:rPr>
        <w:rFonts w:ascii="Symbol" w:hAnsi="Symbol" w:hint="default"/>
      </w:rPr>
    </w:lvl>
    <w:lvl w:ilvl="7" w:tplc="080C0003">
      <w:start w:val="1"/>
      <w:numFmt w:val="bullet"/>
      <w:lvlText w:val="o"/>
      <w:lvlJc w:val="left"/>
      <w:pPr>
        <w:ind w:left="5810" w:hanging="360"/>
      </w:pPr>
      <w:rPr>
        <w:rFonts w:ascii="Courier New" w:hAnsi="Courier New" w:cs="Courier New" w:hint="default"/>
      </w:rPr>
    </w:lvl>
    <w:lvl w:ilvl="8" w:tplc="080C0005">
      <w:start w:val="1"/>
      <w:numFmt w:val="bullet"/>
      <w:lvlText w:val=""/>
      <w:lvlJc w:val="left"/>
      <w:pPr>
        <w:ind w:left="6530" w:hanging="360"/>
      </w:pPr>
      <w:rPr>
        <w:rFonts w:ascii="Wingdings" w:hAnsi="Wingdings" w:hint="default"/>
      </w:rPr>
    </w:lvl>
  </w:abstractNum>
  <w:abstractNum w:abstractNumId="40" w15:restartNumberingAfterBreak="0">
    <w:nsid w:val="36965773"/>
    <w:multiLevelType w:val="hybridMultilevel"/>
    <w:tmpl w:val="78EC9A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36B864E7"/>
    <w:multiLevelType w:val="hybridMultilevel"/>
    <w:tmpl w:val="9192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60197D"/>
    <w:multiLevelType w:val="hybridMultilevel"/>
    <w:tmpl w:val="085AAC5A"/>
    <w:lvl w:ilvl="0" w:tplc="DDD0367C">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4A389D"/>
    <w:multiLevelType w:val="hybridMultilevel"/>
    <w:tmpl w:val="DBAC093E"/>
    <w:lvl w:ilvl="0" w:tplc="F6CA3752">
      <w:start w:val="3"/>
      <w:numFmt w:val="lowerRoman"/>
      <w:lvlText w:val="%1."/>
      <w:lvlJc w:val="right"/>
      <w:pPr>
        <w:ind w:left="1134" w:hanging="360"/>
      </w:pPr>
      <w:rPr>
        <w:rFonts w:hint="default"/>
        <w:i w:val="0"/>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44" w15:restartNumberingAfterBreak="0">
    <w:nsid w:val="3C2636AA"/>
    <w:multiLevelType w:val="hybridMultilevel"/>
    <w:tmpl w:val="097C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1D125E"/>
    <w:multiLevelType w:val="hybridMultilevel"/>
    <w:tmpl w:val="F4FAC0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40900C70"/>
    <w:multiLevelType w:val="hybridMultilevel"/>
    <w:tmpl w:val="D14E41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41E64B3D"/>
    <w:multiLevelType w:val="hybridMultilevel"/>
    <w:tmpl w:val="6B36873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428B03CE"/>
    <w:multiLevelType w:val="hybridMultilevel"/>
    <w:tmpl w:val="4B8A6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57F57F8"/>
    <w:multiLevelType w:val="hybridMultilevel"/>
    <w:tmpl w:val="2F86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6074C52"/>
    <w:multiLevelType w:val="hybridMultilevel"/>
    <w:tmpl w:val="74566A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46630AEF"/>
    <w:multiLevelType w:val="hybridMultilevel"/>
    <w:tmpl w:val="42EE1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C760C21"/>
    <w:multiLevelType w:val="hybridMultilevel"/>
    <w:tmpl w:val="1A62A8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3" w15:restartNumberingAfterBreak="0">
    <w:nsid w:val="4CC90B6E"/>
    <w:multiLevelType w:val="hybridMultilevel"/>
    <w:tmpl w:val="82D476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4" w15:restartNumberingAfterBreak="0">
    <w:nsid w:val="4D18670D"/>
    <w:multiLevelType w:val="hybridMultilevel"/>
    <w:tmpl w:val="5C4EA392"/>
    <w:lvl w:ilvl="0" w:tplc="AF92E200">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DD53CBB"/>
    <w:multiLevelType w:val="hybridMultilevel"/>
    <w:tmpl w:val="5BA0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FA82E26"/>
    <w:multiLevelType w:val="hybridMultilevel"/>
    <w:tmpl w:val="DAD8151C"/>
    <w:lvl w:ilvl="0" w:tplc="3864C3BA">
      <w:start w:val="1"/>
      <w:numFmt w:val="lowerRoman"/>
      <w:lvlText w:val="%1."/>
      <w:lvlJc w:val="right"/>
      <w:pPr>
        <w:ind w:left="1430" w:hanging="360"/>
      </w:pPr>
      <w:rPr>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57" w15:restartNumberingAfterBreak="0">
    <w:nsid w:val="50772D8A"/>
    <w:multiLevelType w:val="hybridMultilevel"/>
    <w:tmpl w:val="69E4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07A1770"/>
    <w:multiLevelType w:val="hybridMultilevel"/>
    <w:tmpl w:val="0034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2A836BB"/>
    <w:multiLevelType w:val="hybridMultilevel"/>
    <w:tmpl w:val="7D58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2DE4E8E"/>
    <w:multiLevelType w:val="hybridMultilevel"/>
    <w:tmpl w:val="671E5C1E"/>
    <w:lvl w:ilvl="0" w:tplc="7FCE8A1C">
      <w:start w:val="2"/>
      <w:numFmt w:val="lowerRoman"/>
      <w:lvlText w:val="%1."/>
      <w:lvlJc w:val="righ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63" w15:restartNumberingAfterBreak="0">
    <w:nsid w:val="54B312FA"/>
    <w:multiLevelType w:val="hybridMultilevel"/>
    <w:tmpl w:val="BE2ADDC4"/>
    <w:lvl w:ilvl="0" w:tplc="080C0001">
      <w:start w:val="1"/>
      <w:numFmt w:val="bullet"/>
      <w:lvlText w:val=""/>
      <w:lvlJc w:val="left"/>
      <w:pPr>
        <w:ind w:left="1480" w:hanging="360"/>
      </w:pPr>
      <w:rPr>
        <w:rFonts w:ascii="Symbol" w:hAnsi="Symbol" w:hint="default"/>
      </w:rPr>
    </w:lvl>
    <w:lvl w:ilvl="1" w:tplc="080C0003" w:tentative="1">
      <w:start w:val="1"/>
      <w:numFmt w:val="bullet"/>
      <w:lvlText w:val="o"/>
      <w:lvlJc w:val="left"/>
      <w:pPr>
        <w:ind w:left="2200" w:hanging="360"/>
      </w:pPr>
      <w:rPr>
        <w:rFonts w:ascii="Courier New" w:hAnsi="Courier New" w:cs="Courier New" w:hint="default"/>
      </w:rPr>
    </w:lvl>
    <w:lvl w:ilvl="2" w:tplc="080C0005" w:tentative="1">
      <w:start w:val="1"/>
      <w:numFmt w:val="bullet"/>
      <w:lvlText w:val=""/>
      <w:lvlJc w:val="left"/>
      <w:pPr>
        <w:ind w:left="2920" w:hanging="360"/>
      </w:pPr>
      <w:rPr>
        <w:rFonts w:ascii="Wingdings" w:hAnsi="Wingdings" w:hint="default"/>
      </w:rPr>
    </w:lvl>
    <w:lvl w:ilvl="3" w:tplc="080C0001" w:tentative="1">
      <w:start w:val="1"/>
      <w:numFmt w:val="bullet"/>
      <w:lvlText w:val=""/>
      <w:lvlJc w:val="left"/>
      <w:pPr>
        <w:ind w:left="3640" w:hanging="360"/>
      </w:pPr>
      <w:rPr>
        <w:rFonts w:ascii="Symbol" w:hAnsi="Symbol" w:hint="default"/>
      </w:rPr>
    </w:lvl>
    <w:lvl w:ilvl="4" w:tplc="080C0003" w:tentative="1">
      <w:start w:val="1"/>
      <w:numFmt w:val="bullet"/>
      <w:lvlText w:val="o"/>
      <w:lvlJc w:val="left"/>
      <w:pPr>
        <w:ind w:left="4360" w:hanging="360"/>
      </w:pPr>
      <w:rPr>
        <w:rFonts w:ascii="Courier New" w:hAnsi="Courier New" w:cs="Courier New" w:hint="default"/>
      </w:rPr>
    </w:lvl>
    <w:lvl w:ilvl="5" w:tplc="080C0005" w:tentative="1">
      <w:start w:val="1"/>
      <w:numFmt w:val="bullet"/>
      <w:lvlText w:val=""/>
      <w:lvlJc w:val="left"/>
      <w:pPr>
        <w:ind w:left="5080" w:hanging="360"/>
      </w:pPr>
      <w:rPr>
        <w:rFonts w:ascii="Wingdings" w:hAnsi="Wingdings" w:hint="default"/>
      </w:rPr>
    </w:lvl>
    <w:lvl w:ilvl="6" w:tplc="080C0001" w:tentative="1">
      <w:start w:val="1"/>
      <w:numFmt w:val="bullet"/>
      <w:lvlText w:val=""/>
      <w:lvlJc w:val="left"/>
      <w:pPr>
        <w:ind w:left="5800" w:hanging="360"/>
      </w:pPr>
      <w:rPr>
        <w:rFonts w:ascii="Symbol" w:hAnsi="Symbol" w:hint="default"/>
      </w:rPr>
    </w:lvl>
    <w:lvl w:ilvl="7" w:tplc="080C0003" w:tentative="1">
      <w:start w:val="1"/>
      <w:numFmt w:val="bullet"/>
      <w:lvlText w:val="o"/>
      <w:lvlJc w:val="left"/>
      <w:pPr>
        <w:ind w:left="6520" w:hanging="360"/>
      </w:pPr>
      <w:rPr>
        <w:rFonts w:ascii="Courier New" w:hAnsi="Courier New" w:cs="Courier New" w:hint="default"/>
      </w:rPr>
    </w:lvl>
    <w:lvl w:ilvl="8" w:tplc="080C0005" w:tentative="1">
      <w:start w:val="1"/>
      <w:numFmt w:val="bullet"/>
      <w:lvlText w:val=""/>
      <w:lvlJc w:val="left"/>
      <w:pPr>
        <w:ind w:left="7240" w:hanging="360"/>
      </w:pPr>
      <w:rPr>
        <w:rFonts w:ascii="Wingdings" w:hAnsi="Wingdings" w:hint="default"/>
      </w:rPr>
    </w:lvl>
  </w:abstractNum>
  <w:abstractNum w:abstractNumId="64" w15:restartNumberingAfterBreak="0">
    <w:nsid w:val="554A3300"/>
    <w:multiLevelType w:val="hybridMultilevel"/>
    <w:tmpl w:val="13FC3342"/>
    <w:lvl w:ilvl="0" w:tplc="AF92E200">
      <w:start w:val="1"/>
      <w:numFmt w:val="bullet"/>
      <w:lvlRestart w:val="0"/>
      <w:lvlText w:val=""/>
      <w:lvlJc w:val="left"/>
      <w:pPr>
        <w:tabs>
          <w:tab w:val="num" w:pos="0"/>
        </w:tabs>
        <w:ind w:left="283" w:hanging="283"/>
      </w:pPr>
      <w:rPr>
        <w:rFonts w:ascii="Symbol" w:hAnsi="Symbol"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61B120B"/>
    <w:multiLevelType w:val="hybridMultilevel"/>
    <w:tmpl w:val="60E4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8667743"/>
    <w:multiLevelType w:val="hybridMultilevel"/>
    <w:tmpl w:val="2BF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8B97CD5"/>
    <w:multiLevelType w:val="hybridMultilevel"/>
    <w:tmpl w:val="A61C0992"/>
    <w:lvl w:ilvl="0" w:tplc="AB6022DE">
      <w:start w:val="4"/>
      <w:numFmt w:val="lowerRoman"/>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9642BBD"/>
    <w:multiLevelType w:val="hybridMultilevel"/>
    <w:tmpl w:val="D616BF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15:restartNumberingAfterBreak="0">
    <w:nsid w:val="5B0E6B92"/>
    <w:multiLevelType w:val="hybridMultilevel"/>
    <w:tmpl w:val="1E0C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C364CF2"/>
    <w:multiLevelType w:val="multilevel"/>
    <w:tmpl w:val="379476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C5A3F49"/>
    <w:multiLevelType w:val="hybridMultilevel"/>
    <w:tmpl w:val="04E4E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5E52280E"/>
    <w:multiLevelType w:val="hybridMultilevel"/>
    <w:tmpl w:val="8954FEE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73" w15:restartNumberingAfterBreak="0">
    <w:nsid w:val="5F1F7805"/>
    <w:multiLevelType w:val="hybridMultilevel"/>
    <w:tmpl w:val="E37A7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75" w15:restartNumberingAfterBreak="0">
    <w:nsid w:val="618F08AA"/>
    <w:multiLevelType w:val="hybridMultilevel"/>
    <w:tmpl w:val="40D80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64E27CC3"/>
    <w:multiLevelType w:val="hybridMultilevel"/>
    <w:tmpl w:val="131680B6"/>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4E856C8"/>
    <w:multiLevelType w:val="hybridMultilevel"/>
    <w:tmpl w:val="36444436"/>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78" w15:restartNumberingAfterBreak="0">
    <w:nsid w:val="656E07C8"/>
    <w:multiLevelType w:val="hybridMultilevel"/>
    <w:tmpl w:val="7A2A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63849A3"/>
    <w:multiLevelType w:val="hybridMultilevel"/>
    <w:tmpl w:val="76948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66813B1D"/>
    <w:multiLevelType w:val="hybridMultilevel"/>
    <w:tmpl w:val="F0B4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7AC7EB4"/>
    <w:multiLevelType w:val="hybridMultilevel"/>
    <w:tmpl w:val="5E928CB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2" w15:restartNumberingAfterBreak="0">
    <w:nsid w:val="68C80F41"/>
    <w:multiLevelType w:val="hybridMultilevel"/>
    <w:tmpl w:val="AF4473CA"/>
    <w:lvl w:ilvl="0" w:tplc="3F6C8E8C">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3" w15:restartNumberingAfterBreak="0">
    <w:nsid w:val="6904041B"/>
    <w:multiLevelType w:val="hybridMultilevel"/>
    <w:tmpl w:val="CBB8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932743B"/>
    <w:multiLevelType w:val="hybridMultilevel"/>
    <w:tmpl w:val="A31CE3B2"/>
    <w:lvl w:ilvl="0" w:tplc="DDD0367C">
      <w:start w:val="1"/>
      <w:numFmt w:val="decimal"/>
      <w:lvlText w:val="%1.2."/>
      <w:lvlJc w:val="left"/>
      <w:pPr>
        <w:ind w:left="681" w:hanging="360"/>
      </w:pPr>
      <w:rPr>
        <w:rFonts w:hint="default"/>
      </w:rPr>
    </w:lvl>
    <w:lvl w:ilvl="1" w:tplc="04090019" w:tentative="1">
      <w:start w:val="1"/>
      <w:numFmt w:val="lowerLetter"/>
      <w:lvlText w:val="%2."/>
      <w:lvlJc w:val="left"/>
      <w:pPr>
        <w:ind w:left="1401" w:hanging="360"/>
      </w:pPr>
    </w:lvl>
    <w:lvl w:ilvl="2" w:tplc="0409001B" w:tentative="1">
      <w:start w:val="1"/>
      <w:numFmt w:val="lowerRoman"/>
      <w:lvlText w:val="%3."/>
      <w:lvlJc w:val="right"/>
      <w:pPr>
        <w:ind w:left="2121" w:hanging="180"/>
      </w:pPr>
    </w:lvl>
    <w:lvl w:ilvl="3" w:tplc="0409000F" w:tentative="1">
      <w:start w:val="1"/>
      <w:numFmt w:val="decimal"/>
      <w:lvlText w:val="%4."/>
      <w:lvlJc w:val="left"/>
      <w:pPr>
        <w:ind w:left="2841" w:hanging="360"/>
      </w:pPr>
    </w:lvl>
    <w:lvl w:ilvl="4" w:tplc="04090019" w:tentative="1">
      <w:start w:val="1"/>
      <w:numFmt w:val="lowerLetter"/>
      <w:lvlText w:val="%5."/>
      <w:lvlJc w:val="left"/>
      <w:pPr>
        <w:ind w:left="3561" w:hanging="360"/>
      </w:pPr>
    </w:lvl>
    <w:lvl w:ilvl="5" w:tplc="0409001B" w:tentative="1">
      <w:start w:val="1"/>
      <w:numFmt w:val="lowerRoman"/>
      <w:lvlText w:val="%6."/>
      <w:lvlJc w:val="right"/>
      <w:pPr>
        <w:ind w:left="4281" w:hanging="180"/>
      </w:pPr>
    </w:lvl>
    <w:lvl w:ilvl="6" w:tplc="0409000F" w:tentative="1">
      <w:start w:val="1"/>
      <w:numFmt w:val="decimal"/>
      <w:lvlText w:val="%7."/>
      <w:lvlJc w:val="left"/>
      <w:pPr>
        <w:ind w:left="5001" w:hanging="360"/>
      </w:pPr>
    </w:lvl>
    <w:lvl w:ilvl="7" w:tplc="04090019" w:tentative="1">
      <w:start w:val="1"/>
      <w:numFmt w:val="lowerLetter"/>
      <w:lvlText w:val="%8."/>
      <w:lvlJc w:val="left"/>
      <w:pPr>
        <w:ind w:left="5721" w:hanging="360"/>
      </w:pPr>
    </w:lvl>
    <w:lvl w:ilvl="8" w:tplc="0409001B" w:tentative="1">
      <w:start w:val="1"/>
      <w:numFmt w:val="lowerRoman"/>
      <w:lvlText w:val="%9."/>
      <w:lvlJc w:val="right"/>
      <w:pPr>
        <w:ind w:left="6441" w:hanging="180"/>
      </w:pPr>
    </w:lvl>
  </w:abstractNum>
  <w:abstractNum w:abstractNumId="85" w15:restartNumberingAfterBreak="0">
    <w:nsid w:val="6967682A"/>
    <w:multiLevelType w:val="hybridMultilevel"/>
    <w:tmpl w:val="6EE2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C425D10"/>
    <w:multiLevelType w:val="hybridMultilevel"/>
    <w:tmpl w:val="B254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D09496C"/>
    <w:multiLevelType w:val="hybridMultilevel"/>
    <w:tmpl w:val="F4E496A0"/>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D97154E"/>
    <w:multiLevelType w:val="hybridMultilevel"/>
    <w:tmpl w:val="AD22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DE35B8F"/>
    <w:multiLevelType w:val="hybridMultilevel"/>
    <w:tmpl w:val="AC70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01B1407"/>
    <w:multiLevelType w:val="multilevel"/>
    <w:tmpl w:val="85462CFA"/>
    <w:lvl w:ilvl="0">
      <w:start w:val="1"/>
      <w:numFmt w:val="decimal"/>
      <w:lvlText w:val="%1."/>
      <w:legacy w:legacy="1" w:legacySpace="0" w:legacyIndent="0"/>
      <w:lvlJc w:val="left"/>
    </w:lvl>
    <w:lvl w:ilvl="1">
      <w:start w:val="1"/>
      <w:numFmt w:val="bullet"/>
      <w:lvlText w:val=""/>
      <w:lvlJc w:val="left"/>
      <w:rPr>
        <w:rFonts w:ascii="Symbol" w:hAnsi="Symbol" w:hint="default"/>
        <w:b w:val="0"/>
        <w:i w:val="0"/>
        <w:sz w:val="22"/>
      </w:rPr>
    </w:lvl>
    <w:lvl w:ilvl="2">
      <w:start w:val="1"/>
      <w:numFmt w:val="bullet"/>
      <w:lvlText w:val=""/>
      <w:lvlJc w:val="left"/>
      <w:rPr>
        <w:rFonts w:ascii="Symbol" w:hAnsi="Symbol" w:hint="default"/>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91"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10222D9"/>
    <w:multiLevelType w:val="hybridMultilevel"/>
    <w:tmpl w:val="1FEC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4261786"/>
    <w:multiLevelType w:val="hybridMultilevel"/>
    <w:tmpl w:val="A4B2D4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4" w15:restartNumberingAfterBreak="0">
    <w:nsid w:val="76B9697B"/>
    <w:multiLevelType w:val="hybridMultilevel"/>
    <w:tmpl w:val="757EBC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5" w15:restartNumberingAfterBreak="0">
    <w:nsid w:val="77B417C9"/>
    <w:multiLevelType w:val="hybridMultilevel"/>
    <w:tmpl w:val="D5FE1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78C6083E"/>
    <w:multiLevelType w:val="hybridMultilevel"/>
    <w:tmpl w:val="A3A2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BB08C3"/>
    <w:multiLevelType w:val="hybridMultilevel"/>
    <w:tmpl w:val="C2A27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8" w15:restartNumberingAfterBreak="0">
    <w:nsid w:val="7DDF150E"/>
    <w:multiLevelType w:val="hybridMultilevel"/>
    <w:tmpl w:val="DB2A95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9" w15:restartNumberingAfterBreak="0">
    <w:nsid w:val="7E9B4A57"/>
    <w:multiLevelType w:val="hybridMultilevel"/>
    <w:tmpl w:val="67A813EE"/>
    <w:lvl w:ilvl="0" w:tplc="080C0001">
      <w:start w:val="1"/>
      <w:numFmt w:val="bullet"/>
      <w:lvlText w:val=""/>
      <w:lvlJc w:val="left"/>
      <w:pPr>
        <w:ind w:left="108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0" w15:restartNumberingAfterBreak="0">
    <w:nsid w:val="7EE97CF1"/>
    <w:multiLevelType w:val="hybridMultilevel"/>
    <w:tmpl w:val="0BBC7E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90"/>
  </w:num>
  <w:num w:numId="4">
    <w:abstractNumId w:val="78"/>
  </w:num>
  <w:num w:numId="5">
    <w:abstractNumId w:val="13"/>
  </w:num>
  <w:num w:numId="6">
    <w:abstractNumId w:val="44"/>
  </w:num>
  <w:num w:numId="7">
    <w:abstractNumId w:val="20"/>
  </w:num>
  <w:num w:numId="8">
    <w:abstractNumId w:val="46"/>
  </w:num>
  <w:num w:numId="9">
    <w:abstractNumId w:val="99"/>
  </w:num>
  <w:num w:numId="10">
    <w:abstractNumId w:val="63"/>
  </w:num>
  <w:num w:numId="11">
    <w:abstractNumId w:val="57"/>
  </w:num>
  <w:num w:numId="12">
    <w:abstractNumId w:val="74"/>
  </w:num>
  <w:num w:numId="13">
    <w:abstractNumId w:val="1"/>
    <w:lvlOverride w:ilvl="0">
      <w:lvl w:ilvl="0">
        <w:start w:val="1"/>
        <w:numFmt w:val="bullet"/>
        <w:lvlText w:val=""/>
        <w:lvlJc w:val="left"/>
        <w:pPr>
          <w:ind w:left="720" w:hanging="360"/>
        </w:pPr>
        <w:rPr>
          <w:rFonts w:ascii="Symbol" w:hAnsi="Symbol" w:hint="default"/>
        </w:rPr>
      </w:lvl>
    </w:lvlOverride>
  </w:num>
  <w:num w:numId="14">
    <w:abstractNumId w:val="4"/>
  </w:num>
  <w:num w:numId="15">
    <w:abstractNumId w:val="66"/>
  </w:num>
  <w:num w:numId="16">
    <w:abstractNumId w:val="25"/>
  </w:num>
  <w:num w:numId="17">
    <w:abstractNumId w:val="53"/>
  </w:num>
  <w:num w:numId="18">
    <w:abstractNumId w:val="72"/>
  </w:num>
  <w:num w:numId="19">
    <w:abstractNumId w:val="94"/>
  </w:num>
  <w:num w:numId="20">
    <w:abstractNumId w:val="29"/>
  </w:num>
  <w:num w:numId="21">
    <w:abstractNumId w:val="36"/>
  </w:num>
  <w:num w:numId="22">
    <w:abstractNumId w:val="61"/>
  </w:num>
  <w:num w:numId="23">
    <w:abstractNumId w:val="91"/>
  </w:num>
  <w:num w:numId="24">
    <w:abstractNumId w:val="55"/>
  </w:num>
  <w:num w:numId="25">
    <w:abstractNumId w:val="96"/>
  </w:num>
  <w:num w:numId="26">
    <w:abstractNumId w:val="93"/>
  </w:num>
  <w:num w:numId="27">
    <w:abstractNumId w:val="92"/>
  </w:num>
  <w:num w:numId="28">
    <w:abstractNumId w:val="87"/>
  </w:num>
  <w:num w:numId="29">
    <w:abstractNumId w:val="10"/>
  </w:num>
  <w:num w:numId="30">
    <w:abstractNumId w:val="12"/>
  </w:num>
  <w:num w:numId="31">
    <w:abstractNumId w:val="21"/>
  </w:num>
  <w:num w:numId="32">
    <w:abstractNumId w:val="86"/>
  </w:num>
  <w:num w:numId="33">
    <w:abstractNumId w:val="11"/>
  </w:num>
  <w:num w:numId="34">
    <w:abstractNumId w:val="89"/>
  </w:num>
  <w:num w:numId="35">
    <w:abstractNumId w:val="81"/>
  </w:num>
  <w:num w:numId="36">
    <w:abstractNumId w:val="1"/>
    <w:lvlOverride w:ilvl="0">
      <w:lvl w:ilvl="0">
        <w:numFmt w:val="bullet"/>
        <w:lvlText w:val=""/>
        <w:legacy w:legacy="1" w:legacySpace="0" w:legacyIndent="283"/>
        <w:lvlJc w:val="left"/>
        <w:pPr>
          <w:ind w:left="567" w:hanging="283"/>
        </w:pPr>
        <w:rPr>
          <w:rFonts w:ascii="Symbol" w:hAnsi="Symbol" w:hint="default"/>
        </w:rPr>
      </w:lvl>
    </w:lvlOverride>
  </w:num>
  <w:num w:numId="37">
    <w:abstractNumId w:val="35"/>
  </w:num>
  <w:num w:numId="38">
    <w:abstractNumId w:val="33"/>
  </w:num>
  <w:num w:numId="39">
    <w:abstractNumId w:val="1"/>
    <w:lvlOverride w:ilvl="0">
      <w:lvl w:ilvl="0">
        <w:start w:val="1"/>
        <w:numFmt w:val="bullet"/>
        <w:lvlText w:val=""/>
        <w:lvlJc w:val="left"/>
        <w:pPr>
          <w:ind w:left="720" w:hanging="360"/>
        </w:pPr>
        <w:rPr>
          <w:rFonts w:ascii="Symbol" w:hAnsi="Symbol" w:hint="default"/>
        </w:rPr>
      </w:lvl>
    </w:lvlOverride>
  </w:num>
  <w:num w:numId="40">
    <w:abstractNumId w:val="40"/>
  </w:num>
  <w:num w:numId="41">
    <w:abstractNumId w:val="26"/>
  </w:num>
  <w:num w:numId="42">
    <w:abstractNumId w:val="88"/>
  </w:num>
  <w:num w:numId="43">
    <w:abstractNumId w:val="59"/>
  </w:num>
  <w:num w:numId="44">
    <w:abstractNumId w:val="38"/>
  </w:num>
  <w:num w:numId="45">
    <w:abstractNumId w:val="51"/>
  </w:num>
  <w:num w:numId="46">
    <w:abstractNumId w:val="15"/>
  </w:num>
  <w:num w:numId="47">
    <w:abstractNumId w:val="18"/>
  </w:num>
  <w:num w:numId="48">
    <w:abstractNumId w:val="83"/>
  </w:num>
  <w:num w:numId="49">
    <w:abstractNumId w:val="65"/>
  </w:num>
  <w:num w:numId="50">
    <w:abstractNumId w:val="58"/>
  </w:num>
  <w:num w:numId="51">
    <w:abstractNumId w:val="39"/>
  </w:num>
  <w:num w:numId="52">
    <w:abstractNumId w:val="76"/>
  </w:num>
  <w:num w:numId="53">
    <w:abstractNumId w:val="64"/>
  </w:num>
  <w:num w:numId="54">
    <w:abstractNumId w:val="70"/>
  </w:num>
  <w:num w:numId="55">
    <w:abstractNumId w:val="50"/>
  </w:num>
  <w:num w:numId="56">
    <w:abstractNumId w:val="6"/>
  </w:num>
  <w:num w:numId="57">
    <w:abstractNumId w:val="54"/>
  </w:num>
  <w:num w:numId="58">
    <w:abstractNumId w:val="23"/>
  </w:num>
  <w:num w:numId="59">
    <w:abstractNumId w:val="45"/>
  </w:num>
  <w:num w:numId="60">
    <w:abstractNumId w:val="68"/>
  </w:num>
  <w:num w:numId="61">
    <w:abstractNumId w:val="95"/>
  </w:num>
  <w:num w:numId="62">
    <w:abstractNumId w:val="97"/>
  </w:num>
  <w:num w:numId="63">
    <w:abstractNumId w:val="80"/>
  </w:num>
  <w:num w:numId="64">
    <w:abstractNumId w:val="37"/>
  </w:num>
  <w:num w:numId="65">
    <w:abstractNumId w:val="77"/>
  </w:num>
  <w:num w:numId="66">
    <w:abstractNumId w:val="17"/>
  </w:num>
  <w:num w:numId="67">
    <w:abstractNumId w:val="22"/>
  </w:num>
  <w:num w:numId="68">
    <w:abstractNumId w:val="2"/>
  </w:num>
  <w:num w:numId="69">
    <w:abstractNumId w:val="30"/>
  </w:num>
  <w:num w:numId="70">
    <w:abstractNumId w:val="48"/>
  </w:num>
  <w:num w:numId="71">
    <w:abstractNumId w:val="3"/>
  </w:num>
  <w:num w:numId="72">
    <w:abstractNumId w:val="84"/>
  </w:num>
  <w:num w:numId="73">
    <w:abstractNumId w:val="42"/>
  </w:num>
  <w:num w:numId="74">
    <w:abstractNumId w:val="41"/>
  </w:num>
  <w:num w:numId="75">
    <w:abstractNumId w:val="98"/>
  </w:num>
  <w:num w:numId="76">
    <w:abstractNumId w:val="9"/>
  </w:num>
  <w:num w:numId="77">
    <w:abstractNumId w:val="75"/>
  </w:num>
  <w:num w:numId="78">
    <w:abstractNumId w:val="73"/>
  </w:num>
  <w:num w:numId="79">
    <w:abstractNumId w:val="71"/>
  </w:num>
  <w:num w:numId="80">
    <w:abstractNumId w:val="16"/>
  </w:num>
  <w:num w:numId="81">
    <w:abstractNumId w:val="100"/>
  </w:num>
  <w:num w:numId="82">
    <w:abstractNumId w:val="79"/>
  </w:num>
  <w:num w:numId="83">
    <w:abstractNumId w:val="31"/>
  </w:num>
  <w:num w:numId="84">
    <w:abstractNumId w:val="69"/>
  </w:num>
  <w:num w:numId="85">
    <w:abstractNumId w:val="27"/>
  </w:num>
  <w:num w:numId="86">
    <w:abstractNumId w:val="52"/>
  </w:num>
  <w:num w:numId="87">
    <w:abstractNumId w:val="34"/>
  </w:num>
  <w:num w:numId="88">
    <w:abstractNumId w:val="28"/>
  </w:num>
  <w:num w:numId="89">
    <w:abstractNumId w:val="32"/>
  </w:num>
  <w:num w:numId="90">
    <w:abstractNumId w:val="56"/>
  </w:num>
  <w:num w:numId="91">
    <w:abstractNumId w:val="60"/>
  </w:num>
  <w:num w:numId="92">
    <w:abstractNumId w:val="43"/>
  </w:num>
  <w:num w:numId="93">
    <w:abstractNumId w:val="67"/>
  </w:num>
  <w:num w:numId="94">
    <w:abstractNumId w:val="8"/>
  </w:num>
  <w:num w:numId="95">
    <w:abstractNumId w:val="24"/>
  </w:num>
  <w:num w:numId="96">
    <w:abstractNumId w:val="5"/>
  </w:num>
  <w:num w:numId="97">
    <w:abstractNumId w:val="19"/>
  </w:num>
  <w:num w:numId="98">
    <w:abstractNumId w:val="85"/>
  </w:num>
  <w:num w:numId="99">
    <w:abstractNumId w:val="49"/>
  </w:num>
  <w:num w:numId="100">
    <w:abstractNumId w:val="47"/>
  </w:num>
  <w:num w:numId="101">
    <w:abstractNumId w:val="7"/>
  </w:num>
  <w:num w:numId="10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4D0F"/>
    <w:rsid w:val="00005800"/>
    <w:rsid w:val="00005B0A"/>
    <w:rsid w:val="0000685F"/>
    <w:rsid w:val="00007617"/>
    <w:rsid w:val="00007B94"/>
    <w:rsid w:val="000102A1"/>
    <w:rsid w:val="000104CB"/>
    <w:rsid w:val="000115A9"/>
    <w:rsid w:val="00012842"/>
    <w:rsid w:val="00012B39"/>
    <w:rsid w:val="00013610"/>
    <w:rsid w:val="000138A1"/>
    <w:rsid w:val="0001686B"/>
    <w:rsid w:val="00017703"/>
    <w:rsid w:val="000201DF"/>
    <w:rsid w:val="00020A28"/>
    <w:rsid w:val="00020D86"/>
    <w:rsid w:val="000215A9"/>
    <w:rsid w:val="00022AA4"/>
    <w:rsid w:val="00022B6C"/>
    <w:rsid w:val="000240FE"/>
    <w:rsid w:val="000244F9"/>
    <w:rsid w:val="0002476C"/>
    <w:rsid w:val="00024FEF"/>
    <w:rsid w:val="0002595E"/>
    <w:rsid w:val="00025D27"/>
    <w:rsid w:val="00026116"/>
    <w:rsid w:val="00026BD2"/>
    <w:rsid w:val="00026FDD"/>
    <w:rsid w:val="00027A22"/>
    <w:rsid w:val="00030B04"/>
    <w:rsid w:val="0003128F"/>
    <w:rsid w:val="000313AE"/>
    <w:rsid w:val="000316FF"/>
    <w:rsid w:val="00031C70"/>
    <w:rsid w:val="00032E3A"/>
    <w:rsid w:val="000338E8"/>
    <w:rsid w:val="00033C6E"/>
    <w:rsid w:val="00033DA8"/>
    <w:rsid w:val="00034832"/>
    <w:rsid w:val="000349EE"/>
    <w:rsid w:val="00034A75"/>
    <w:rsid w:val="00034F66"/>
    <w:rsid w:val="00035B58"/>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32D1"/>
    <w:rsid w:val="000444BB"/>
    <w:rsid w:val="00044DCB"/>
    <w:rsid w:val="00045054"/>
    <w:rsid w:val="000451B3"/>
    <w:rsid w:val="00045B31"/>
    <w:rsid w:val="0005077B"/>
    <w:rsid w:val="00051C81"/>
    <w:rsid w:val="0005250A"/>
    <w:rsid w:val="000529F2"/>
    <w:rsid w:val="00054BA6"/>
    <w:rsid w:val="00054BE0"/>
    <w:rsid w:val="00054E26"/>
    <w:rsid w:val="00055735"/>
    <w:rsid w:val="000557CE"/>
    <w:rsid w:val="000559BE"/>
    <w:rsid w:val="000562AF"/>
    <w:rsid w:val="000571C2"/>
    <w:rsid w:val="00060853"/>
    <w:rsid w:val="00060E5C"/>
    <w:rsid w:val="00061952"/>
    <w:rsid w:val="00062214"/>
    <w:rsid w:val="00065751"/>
    <w:rsid w:val="00066490"/>
    <w:rsid w:val="00067189"/>
    <w:rsid w:val="00067BC4"/>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053"/>
    <w:rsid w:val="000807B6"/>
    <w:rsid w:val="000814F6"/>
    <w:rsid w:val="00081813"/>
    <w:rsid w:val="000818D4"/>
    <w:rsid w:val="000821ED"/>
    <w:rsid w:val="00082546"/>
    <w:rsid w:val="000836FE"/>
    <w:rsid w:val="00083F57"/>
    <w:rsid w:val="00085624"/>
    <w:rsid w:val="000868DE"/>
    <w:rsid w:val="00086D04"/>
    <w:rsid w:val="00086E67"/>
    <w:rsid w:val="00087AE9"/>
    <w:rsid w:val="00087F38"/>
    <w:rsid w:val="00092CB2"/>
    <w:rsid w:val="00092FC0"/>
    <w:rsid w:val="00093786"/>
    <w:rsid w:val="00094645"/>
    <w:rsid w:val="00095A1C"/>
    <w:rsid w:val="000967CA"/>
    <w:rsid w:val="00096999"/>
    <w:rsid w:val="000974BF"/>
    <w:rsid w:val="00097F0D"/>
    <w:rsid w:val="000A2809"/>
    <w:rsid w:val="000A4202"/>
    <w:rsid w:val="000A62E2"/>
    <w:rsid w:val="000A63F9"/>
    <w:rsid w:val="000A7A22"/>
    <w:rsid w:val="000B0103"/>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0D3"/>
    <w:rsid w:val="000F5381"/>
    <w:rsid w:val="000F558D"/>
    <w:rsid w:val="000F55B5"/>
    <w:rsid w:val="000F5ED9"/>
    <w:rsid w:val="000F77C3"/>
    <w:rsid w:val="000F7B4B"/>
    <w:rsid w:val="0010098E"/>
    <w:rsid w:val="00101551"/>
    <w:rsid w:val="0010339F"/>
    <w:rsid w:val="001036E0"/>
    <w:rsid w:val="0010391E"/>
    <w:rsid w:val="00103CC0"/>
    <w:rsid w:val="00104975"/>
    <w:rsid w:val="001052AF"/>
    <w:rsid w:val="001053BA"/>
    <w:rsid w:val="001055E6"/>
    <w:rsid w:val="00105ACC"/>
    <w:rsid w:val="001063E3"/>
    <w:rsid w:val="0010786D"/>
    <w:rsid w:val="00110344"/>
    <w:rsid w:val="00111024"/>
    <w:rsid w:val="001126F6"/>
    <w:rsid w:val="001127C6"/>
    <w:rsid w:val="00113882"/>
    <w:rsid w:val="001138AF"/>
    <w:rsid w:val="001138B0"/>
    <w:rsid w:val="00114829"/>
    <w:rsid w:val="00114E69"/>
    <w:rsid w:val="001158DF"/>
    <w:rsid w:val="00115AA0"/>
    <w:rsid w:val="0011671D"/>
    <w:rsid w:val="00116CFB"/>
    <w:rsid w:val="00120CC5"/>
    <w:rsid w:val="00122BBC"/>
    <w:rsid w:val="00125DFA"/>
    <w:rsid w:val="0012647C"/>
    <w:rsid w:val="00126A7F"/>
    <w:rsid w:val="00127660"/>
    <w:rsid w:val="00130B18"/>
    <w:rsid w:val="00131042"/>
    <w:rsid w:val="0013146D"/>
    <w:rsid w:val="00132AD0"/>
    <w:rsid w:val="00134B0D"/>
    <w:rsid w:val="001355B2"/>
    <w:rsid w:val="00135611"/>
    <w:rsid w:val="00135E41"/>
    <w:rsid w:val="00136F53"/>
    <w:rsid w:val="00136FA8"/>
    <w:rsid w:val="001376AC"/>
    <w:rsid w:val="001400DB"/>
    <w:rsid w:val="00140F03"/>
    <w:rsid w:val="0014104C"/>
    <w:rsid w:val="00141052"/>
    <w:rsid w:val="0014175F"/>
    <w:rsid w:val="00141D4F"/>
    <w:rsid w:val="00142A4E"/>
    <w:rsid w:val="0014464E"/>
    <w:rsid w:val="00144A1D"/>
    <w:rsid w:val="00144DCE"/>
    <w:rsid w:val="00144E69"/>
    <w:rsid w:val="00145081"/>
    <w:rsid w:val="00145167"/>
    <w:rsid w:val="00146875"/>
    <w:rsid w:val="00146F91"/>
    <w:rsid w:val="001509A7"/>
    <w:rsid w:val="00153199"/>
    <w:rsid w:val="001540D3"/>
    <w:rsid w:val="001545B6"/>
    <w:rsid w:val="00154B90"/>
    <w:rsid w:val="00155138"/>
    <w:rsid w:val="00155FD0"/>
    <w:rsid w:val="0015678C"/>
    <w:rsid w:val="00156950"/>
    <w:rsid w:val="00157649"/>
    <w:rsid w:val="00160DCC"/>
    <w:rsid w:val="00160DD6"/>
    <w:rsid w:val="001636EC"/>
    <w:rsid w:val="001657F4"/>
    <w:rsid w:val="00166FCB"/>
    <w:rsid w:val="0017001D"/>
    <w:rsid w:val="0017241F"/>
    <w:rsid w:val="0017333F"/>
    <w:rsid w:val="001737B7"/>
    <w:rsid w:val="00174675"/>
    <w:rsid w:val="0017469D"/>
    <w:rsid w:val="00175D41"/>
    <w:rsid w:val="001762F4"/>
    <w:rsid w:val="001764F7"/>
    <w:rsid w:val="001768E2"/>
    <w:rsid w:val="0018061D"/>
    <w:rsid w:val="00180A82"/>
    <w:rsid w:val="001811FF"/>
    <w:rsid w:val="00182B42"/>
    <w:rsid w:val="00182D03"/>
    <w:rsid w:val="00182F75"/>
    <w:rsid w:val="00183FC7"/>
    <w:rsid w:val="00184AE4"/>
    <w:rsid w:val="00184C46"/>
    <w:rsid w:val="00186D96"/>
    <w:rsid w:val="001901B3"/>
    <w:rsid w:val="00191C0B"/>
    <w:rsid w:val="00192485"/>
    <w:rsid w:val="00192F9E"/>
    <w:rsid w:val="001940FA"/>
    <w:rsid w:val="00194447"/>
    <w:rsid w:val="0019516A"/>
    <w:rsid w:val="00195479"/>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2E87"/>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69DD"/>
    <w:rsid w:val="001D6C48"/>
    <w:rsid w:val="001D74DC"/>
    <w:rsid w:val="001E0C2F"/>
    <w:rsid w:val="001E0E97"/>
    <w:rsid w:val="001E17D8"/>
    <w:rsid w:val="001E2338"/>
    <w:rsid w:val="001E558F"/>
    <w:rsid w:val="001E5961"/>
    <w:rsid w:val="001E5FEE"/>
    <w:rsid w:val="001E717B"/>
    <w:rsid w:val="001E74A2"/>
    <w:rsid w:val="001E76FC"/>
    <w:rsid w:val="001F0BC4"/>
    <w:rsid w:val="001F1D17"/>
    <w:rsid w:val="001F1F3D"/>
    <w:rsid w:val="001F4D66"/>
    <w:rsid w:val="001F4DA7"/>
    <w:rsid w:val="001F50B6"/>
    <w:rsid w:val="001F5414"/>
    <w:rsid w:val="001F59A5"/>
    <w:rsid w:val="001F689E"/>
    <w:rsid w:val="0020089C"/>
    <w:rsid w:val="00200F03"/>
    <w:rsid w:val="002013C3"/>
    <w:rsid w:val="002022AD"/>
    <w:rsid w:val="00202634"/>
    <w:rsid w:val="00203A8F"/>
    <w:rsid w:val="00203B47"/>
    <w:rsid w:val="00203D01"/>
    <w:rsid w:val="00204864"/>
    <w:rsid w:val="0020498A"/>
    <w:rsid w:val="002052D8"/>
    <w:rsid w:val="002059A2"/>
    <w:rsid w:val="00205EFC"/>
    <w:rsid w:val="00210810"/>
    <w:rsid w:val="00211393"/>
    <w:rsid w:val="00211FAE"/>
    <w:rsid w:val="00211FF4"/>
    <w:rsid w:val="00212787"/>
    <w:rsid w:val="00212C0D"/>
    <w:rsid w:val="002138A9"/>
    <w:rsid w:val="00214451"/>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7D5"/>
    <w:rsid w:val="002327E9"/>
    <w:rsid w:val="00232F54"/>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A4C"/>
    <w:rsid w:val="00242B03"/>
    <w:rsid w:val="00243514"/>
    <w:rsid w:val="00244ABF"/>
    <w:rsid w:val="00244C35"/>
    <w:rsid w:val="002469F7"/>
    <w:rsid w:val="00247F50"/>
    <w:rsid w:val="00250267"/>
    <w:rsid w:val="00252542"/>
    <w:rsid w:val="002532B5"/>
    <w:rsid w:val="002539A1"/>
    <w:rsid w:val="00253B72"/>
    <w:rsid w:val="002542CC"/>
    <w:rsid w:val="002559A2"/>
    <w:rsid w:val="002563ED"/>
    <w:rsid w:val="00256406"/>
    <w:rsid w:val="00257C87"/>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18E"/>
    <w:rsid w:val="0027451C"/>
    <w:rsid w:val="00274585"/>
    <w:rsid w:val="00274E55"/>
    <w:rsid w:val="00275122"/>
    <w:rsid w:val="002751DD"/>
    <w:rsid w:val="00275FFD"/>
    <w:rsid w:val="00276777"/>
    <w:rsid w:val="00276ED9"/>
    <w:rsid w:val="0028043D"/>
    <w:rsid w:val="00280FDA"/>
    <w:rsid w:val="0028136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701D"/>
    <w:rsid w:val="00297AF8"/>
    <w:rsid w:val="002A0707"/>
    <w:rsid w:val="002A17C4"/>
    <w:rsid w:val="002A2B5D"/>
    <w:rsid w:val="002A349B"/>
    <w:rsid w:val="002A3665"/>
    <w:rsid w:val="002A3BAB"/>
    <w:rsid w:val="002A48AF"/>
    <w:rsid w:val="002A4A76"/>
    <w:rsid w:val="002A5E72"/>
    <w:rsid w:val="002A5F58"/>
    <w:rsid w:val="002B0640"/>
    <w:rsid w:val="002B07FF"/>
    <w:rsid w:val="002B10EE"/>
    <w:rsid w:val="002B2798"/>
    <w:rsid w:val="002B4372"/>
    <w:rsid w:val="002B445D"/>
    <w:rsid w:val="002B4C96"/>
    <w:rsid w:val="002B5973"/>
    <w:rsid w:val="002B73D3"/>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29D8"/>
    <w:rsid w:val="00302FF6"/>
    <w:rsid w:val="003033EF"/>
    <w:rsid w:val="00303C59"/>
    <w:rsid w:val="00304E98"/>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799"/>
    <w:rsid w:val="0034052F"/>
    <w:rsid w:val="003415D2"/>
    <w:rsid w:val="00342579"/>
    <w:rsid w:val="00342715"/>
    <w:rsid w:val="003439F8"/>
    <w:rsid w:val="003440A3"/>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270"/>
    <w:rsid w:val="00360D02"/>
    <w:rsid w:val="00361007"/>
    <w:rsid w:val="00361CF3"/>
    <w:rsid w:val="003627DD"/>
    <w:rsid w:val="00362B7F"/>
    <w:rsid w:val="00363067"/>
    <w:rsid w:val="00363EFA"/>
    <w:rsid w:val="00364BAB"/>
    <w:rsid w:val="00364C54"/>
    <w:rsid w:val="00364D74"/>
    <w:rsid w:val="00364D95"/>
    <w:rsid w:val="00365049"/>
    <w:rsid w:val="0036522E"/>
    <w:rsid w:val="003656EC"/>
    <w:rsid w:val="00367133"/>
    <w:rsid w:val="00367A90"/>
    <w:rsid w:val="00371609"/>
    <w:rsid w:val="00371671"/>
    <w:rsid w:val="0037202C"/>
    <w:rsid w:val="00372D96"/>
    <w:rsid w:val="00374124"/>
    <w:rsid w:val="003749A0"/>
    <w:rsid w:val="00374C3D"/>
    <w:rsid w:val="003759AE"/>
    <w:rsid w:val="00377A77"/>
    <w:rsid w:val="003803A1"/>
    <w:rsid w:val="00380A9A"/>
    <w:rsid w:val="003819D7"/>
    <w:rsid w:val="0038274D"/>
    <w:rsid w:val="00382847"/>
    <w:rsid w:val="003833E4"/>
    <w:rsid w:val="00383700"/>
    <w:rsid w:val="00383AB0"/>
    <w:rsid w:val="0038496B"/>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EC"/>
    <w:rsid w:val="00397A66"/>
    <w:rsid w:val="00397C0A"/>
    <w:rsid w:val="003A2297"/>
    <w:rsid w:val="003A29B6"/>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1D70"/>
    <w:rsid w:val="003C2DB1"/>
    <w:rsid w:val="003C3C64"/>
    <w:rsid w:val="003C4AF5"/>
    <w:rsid w:val="003C4E8F"/>
    <w:rsid w:val="003C4EF8"/>
    <w:rsid w:val="003C5357"/>
    <w:rsid w:val="003D05FE"/>
    <w:rsid w:val="003D210F"/>
    <w:rsid w:val="003D35EF"/>
    <w:rsid w:val="003D3B49"/>
    <w:rsid w:val="003D3D9E"/>
    <w:rsid w:val="003D55BE"/>
    <w:rsid w:val="003D5DE9"/>
    <w:rsid w:val="003D5F81"/>
    <w:rsid w:val="003D6EEB"/>
    <w:rsid w:val="003D7FA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2423"/>
    <w:rsid w:val="00402CA2"/>
    <w:rsid w:val="0040578C"/>
    <w:rsid w:val="004079A9"/>
    <w:rsid w:val="00407AA7"/>
    <w:rsid w:val="00410363"/>
    <w:rsid w:val="004107E8"/>
    <w:rsid w:val="004114DB"/>
    <w:rsid w:val="00411755"/>
    <w:rsid w:val="0041385B"/>
    <w:rsid w:val="00413CA9"/>
    <w:rsid w:val="00413EED"/>
    <w:rsid w:val="00414A4C"/>
    <w:rsid w:val="00414CA3"/>
    <w:rsid w:val="004151CF"/>
    <w:rsid w:val="004154C1"/>
    <w:rsid w:val="00415AAD"/>
    <w:rsid w:val="0041623F"/>
    <w:rsid w:val="0041728F"/>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229E"/>
    <w:rsid w:val="004331FF"/>
    <w:rsid w:val="004335DE"/>
    <w:rsid w:val="00433EDC"/>
    <w:rsid w:val="00434AB9"/>
    <w:rsid w:val="00434C77"/>
    <w:rsid w:val="004366A9"/>
    <w:rsid w:val="0043704F"/>
    <w:rsid w:val="00440808"/>
    <w:rsid w:val="00441BAD"/>
    <w:rsid w:val="0044310C"/>
    <w:rsid w:val="00443153"/>
    <w:rsid w:val="00443771"/>
    <w:rsid w:val="0044401F"/>
    <w:rsid w:val="004444F8"/>
    <w:rsid w:val="00444C4C"/>
    <w:rsid w:val="00444D44"/>
    <w:rsid w:val="00445275"/>
    <w:rsid w:val="004452E3"/>
    <w:rsid w:val="004460B4"/>
    <w:rsid w:val="00446146"/>
    <w:rsid w:val="00450993"/>
    <w:rsid w:val="004513D7"/>
    <w:rsid w:val="004520DF"/>
    <w:rsid w:val="0045436B"/>
    <w:rsid w:val="00454D59"/>
    <w:rsid w:val="00455A5C"/>
    <w:rsid w:val="00456257"/>
    <w:rsid w:val="00456D45"/>
    <w:rsid w:val="00460A6B"/>
    <w:rsid w:val="00460CCB"/>
    <w:rsid w:val="00460D3F"/>
    <w:rsid w:val="00461E3E"/>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B6A"/>
    <w:rsid w:val="0047016B"/>
    <w:rsid w:val="00470409"/>
    <w:rsid w:val="004719F8"/>
    <w:rsid w:val="00471A72"/>
    <w:rsid w:val="0047306F"/>
    <w:rsid w:val="004733C2"/>
    <w:rsid w:val="0047355F"/>
    <w:rsid w:val="0047417A"/>
    <w:rsid w:val="00475489"/>
    <w:rsid w:val="004764CC"/>
    <w:rsid w:val="00477B4B"/>
    <w:rsid w:val="00477C1C"/>
    <w:rsid w:val="0048090F"/>
    <w:rsid w:val="00480C50"/>
    <w:rsid w:val="00481E81"/>
    <w:rsid w:val="0048396C"/>
    <w:rsid w:val="00483C93"/>
    <w:rsid w:val="00484993"/>
    <w:rsid w:val="00486144"/>
    <w:rsid w:val="00486C20"/>
    <w:rsid w:val="00486F07"/>
    <w:rsid w:val="00491D54"/>
    <w:rsid w:val="004929C8"/>
    <w:rsid w:val="00492EDB"/>
    <w:rsid w:val="00494E1A"/>
    <w:rsid w:val="00495606"/>
    <w:rsid w:val="00496EBA"/>
    <w:rsid w:val="00497493"/>
    <w:rsid w:val="00497BC6"/>
    <w:rsid w:val="004A1166"/>
    <w:rsid w:val="004A58D1"/>
    <w:rsid w:val="004A58E6"/>
    <w:rsid w:val="004A7356"/>
    <w:rsid w:val="004A737C"/>
    <w:rsid w:val="004A7AEE"/>
    <w:rsid w:val="004A7C3A"/>
    <w:rsid w:val="004A7E85"/>
    <w:rsid w:val="004B03FA"/>
    <w:rsid w:val="004B05F5"/>
    <w:rsid w:val="004B0633"/>
    <w:rsid w:val="004B13AA"/>
    <w:rsid w:val="004B14C0"/>
    <w:rsid w:val="004B2B81"/>
    <w:rsid w:val="004B41EE"/>
    <w:rsid w:val="004B4C64"/>
    <w:rsid w:val="004B5BBE"/>
    <w:rsid w:val="004B6415"/>
    <w:rsid w:val="004B6441"/>
    <w:rsid w:val="004B6B4A"/>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115"/>
    <w:rsid w:val="004F2819"/>
    <w:rsid w:val="004F3783"/>
    <w:rsid w:val="004F4081"/>
    <w:rsid w:val="004F4E76"/>
    <w:rsid w:val="004F61B4"/>
    <w:rsid w:val="004F694B"/>
    <w:rsid w:val="004F70F9"/>
    <w:rsid w:val="004F7A13"/>
    <w:rsid w:val="005003A6"/>
    <w:rsid w:val="00501FA4"/>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710"/>
    <w:rsid w:val="005127A0"/>
    <w:rsid w:val="00514A9A"/>
    <w:rsid w:val="00514E2E"/>
    <w:rsid w:val="0051572F"/>
    <w:rsid w:val="00515A67"/>
    <w:rsid w:val="00515BC0"/>
    <w:rsid w:val="00516F22"/>
    <w:rsid w:val="005207E3"/>
    <w:rsid w:val="00520A8A"/>
    <w:rsid w:val="00522152"/>
    <w:rsid w:val="00523686"/>
    <w:rsid w:val="00523996"/>
    <w:rsid w:val="00525911"/>
    <w:rsid w:val="00527F54"/>
    <w:rsid w:val="00530AAB"/>
    <w:rsid w:val="00531900"/>
    <w:rsid w:val="005329D4"/>
    <w:rsid w:val="00532E20"/>
    <w:rsid w:val="00534CC2"/>
    <w:rsid w:val="005359C0"/>
    <w:rsid w:val="00535FFB"/>
    <w:rsid w:val="00537288"/>
    <w:rsid w:val="0054017F"/>
    <w:rsid w:val="0054168C"/>
    <w:rsid w:val="0054280D"/>
    <w:rsid w:val="005434EE"/>
    <w:rsid w:val="00543C6C"/>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1104"/>
    <w:rsid w:val="005828CD"/>
    <w:rsid w:val="00583D31"/>
    <w:rsid w:val="00584150"/>
    <w:rsid w:val="00584D4C"/>
    <w:rsid w:val="00584ECF"/>
    <w:rsid w:val="00585A11"/>
    <w:rsid w:val="00586CCC"/>
    <w:rsid w:val="00587329"/>
    <w:rsid w:val="005876F8"/>
    <w:rsid w:val="00590A97"/>
    <w:rsid w:val="0059142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49CF"/>
    <w:rsid w:val="005A68CF"/>
    <w:rsid w:val="005A6CB1"/>
    <w:rsid w:val="005A71E9"/>
    <w:rsid w:val="005A7585"/>
    <w:rsid w:val="005B04CB"/>
    <w:rsid w:val="005B0683"/>
    <w:rsid w:val="005B0D29"/>
    <w:rsid w:val="005B0DE3"/>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2896"/>
    <w:rsid w:val="005D40E1"/>
    <w:rsid w:val="005D460E"/>
    <w:rsid w:val="005D4846"/>
    <w:rsid w:val="005D4877"/>
    <w:rsid w:val="005D56C1"/>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787"/>
    <w:rsid w:val="00600B60"/>
    <w:rsid w:val="006028AC"/>
    <w:rsid w:val="00603D56"/>
    <w:rsid w:val="006043AA"/>
    <w:rsid w:val="00606054"/>
    <w:rsid w:val="00607C32"/>
    <w:rsid w:val="00607F1C"/>
    <w:rsid w:val="00610CDE"/>
    <w:rsid w:val="0061108D"/>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09A"/>
    <w:rsid w:val="00623940"/>
    <w:rsid w:val="00626B1D"/>
    <w:rsid w:val="00630BE1"/>
    <w:rsid w:val="00630FCB"/>
    <w:rsid w:val="00632738"/>
    <w:rsid w:val="00633E90"/>
    <w:rsid w:val="0063400F"/>
    <w:rsid w:val="00635200"/>
    <w:rsid w:val="00635D71"/>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22A0"/>
    <w:rsid w:val="00653919"/>
    <w:rsid w:val="00654258"/>
    <w:rsid w:val="0065504C"/>
    <w:rsid w:val="006552FD"/>
    <w:rsid w:val="0065609C"/>
    <w:rsid w:val="006579F9"/>
    <w:rsid w:val="00657F8D"/>
    <w:rsid w:val="006600DC"/>
    <w:rsid w:val="00660B1B"/>
    <w:rsid w:val="00661E13"/>
    <w:rsid w:val="00662B40"/>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86B1B"/>
    <w:rsid w:val="00690AFD"/>
    <w:rsid w:val="0069185E"/>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20CB"/>
    <w:rsid w:val="006A2764"/>
    <w:rsid w:val="006A31EB"/>
    <w:rsid w:val="006A416D"/>
    <w:rsid w:val="006A41F5"/>
    <w:rsid w:val="006A4EAA"/>
    <w:rsid w:val="006A5519"/>
    <w:rsid w:val="006A5BE8"/>
    <w:rsid w:val="006A6090"/>
    <w:rsid w:val="006A645E"/>
    <w:rsid w:val="006A64C3"/>
    <w:rsid w:val="006A65F0"/>
    <w:rsid w:val="006A6F27"/>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1926"/>
    <w:rsid w:val="006C28DC"/>
    <w:rsid w:val="006C29F2"/>
    <w:rsid w:val="006C4634"/>
    <w:rsid w:val="006C4809"/>
    <w:rsid w:val="006C7E77"/>
    <w:rsid w:val="006D03D8"/>
    <w:rsid w:val="006D0DD1"/>
    <w:rsid w:val="006D1BB9"/>
    <w:rsid w:val="006D1FFF"/>
    <w:rsid w:val="006D2114"/>
    <w:rsid w:val="006D2D8D"/>
    <w:rsid w:val="006D30A4"/>
    <w:rsid w:val="006D311D"/>
    <w:rsid w:val="006D3206"/>
    <w:rsid w:val="006D34BE"/>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489D"/>
    <w:rsid w:val="00744C63"/>
    <w:rsid w:val="0074514B"/>
    <w:rsid w:val="007456DC"/>
    <w:rsid w:val="00745F83"/>
    <w:rsid w:val="007460DB"/>
    <w:rsid w:val="0074642F"/>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CF0"/>
    <w:rsid w:val="0076029C"/>
    <w:rsid w:val="007605C0"/>
    <w:rsid w:val="007608EA"/>
    <w:rsid w:val="00760E25"/>
    <w:rsid w:val="007611F0"/>
    <w:rsid w:val="00761F77"/>
    <w:rsid w:val="00763B53"/>
    <w:rsid w:val="007647C3"/>
    <w:rsid w:val="00765C42"/>
    <w:rsid w:val="00765F1B"/>
    <w:rsid w:val="00766201"/>
    <w:rsid w:val="0076772E"/>
    <w:rsid w:val="007700AF"/>
    <w:rsid w:val="0077094B"/>
    <w:rsid w:val="00770D5C"/>
    <w:rsid w:val="00771B7B"/>
    <w:rsid w:val="007720EE"/>
    <w:rsid w:val="007727B7"/>
    <w:rsid w:val="00772D4D"/>
    <w:rsid w:val="007738AC"/>
    <w:rsid w:val="00773CCB"/>
    <w:rsid w:val="0077423A"/>
    <w:rsid w:val="00774A10"/>
    <w:rsid w:val="00774ED8"/>
    <w:rsid w:val="00776E35"/>
    <w:rsid w:val="0077760B"/>
    <w:rsid w:val="00780E20"/>
    <w:rsid w:val="0078178B"/>
    <w:rsid w:val="0078187B"/>
    <w:rsid w:val="007818AB"/>
    <w:rsid w:val="00781CA3"/>
    <w:rsid w:val="00782FDA"/>
    <w:rsid w:val="00785399"/>
    <w:rsid w:val="00785B79"/>
    <w:rsid w:val="00785D32"/>
    <w:rsid w:val="00786406"/>
    <w:rsid w:val="00786F0E"/>
    <w:rsid w:val="00787B80"/>
    <w:rsid w:val="00790145"/>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A7FE9"/>
    <w:rsid w:val="007B28CF"/>
    <w:rsid w:val="007B31B6"/>
    <w:rsid w:val="007B3529"/>
    <w:rsid w:val="007B5211"/>
    <w:rsid w:val="007C0787"/>
    <w:rsid w:val="007C07C5"/>
    <w:rsid w:val="007C2CBF"/>
    <w:rsid w:val="007C2D6B"/>
    <w:rsid w:val="007C3321"/>
    <w:rsid w:val="007C3593"/>
    <w:rsid w:val="007C3B0A"/>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8A1"/>
    <w:rsid w:val="007D4B5F"/>
    <w:rsid w:val="007D5306"/>
    <w:rsid w:val="007D5D0A"/>
    <w:rsid w:val="007D64BB"/>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B34"/>
    <w:rsid w:val="00811B49"/>
    <w:rsid w:val="00811CDA"/>
    <w:rsid w:val="008140C2"/>
    <w:rsid w:val="00814D3F"/>
    <w:rsid w:val="00815415"/>
    <w:rsid w:val="008157C9"/>
    <w:rsid w:val="008169EC"/>
    <w:rsid w:val="0082010F"/>
    <w:rsid w:val="008212B0"/>
    <w:rsid w:val="00821A37"/>
    <w:rsid w:val="00821A9F"/>
    <w:rsid w:val="00821C94"/>
    <w:rsid w:val="00822E71"/>
    <w:rsid w:val="00822F86"/>
    <w:rsid w:val="0082399B"/>
    <w:rsid w:val="00824BEE"/>
    <w:rsid w:val="00825193"/>
    <w:rsid w:val="00825C09"/>
    <w:rsid w:val="00826076"/>
    <w:rsid w:val="00826273"/>
    <w:rsid w:val="008262D3"/>
    <w:rsid w:val="00826DBC"/>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618B"/>
    <w:rsid w:val="008367AC"/>
    <w:rsid w:val="00837647"/>
    <w:rsid w:val="008405A0"/>
    <w:rsid w:val="00840A6E"/>
    <w:rsid w:val="00841454"/>
    <w:rsid w:val="008429E8"/>
    <w:rsid w:val="00843690"/>
    <w:rsid w:val="00843DF6"/>
    <w:rsid w:val="00845BBE"/>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41C"/>
    <w:rsid w:val="0088450B"/>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6A63"/>
    <w:rsid w:val="008A6D95"/>
    <w:rsid w:val="008A6EC0"/>
    <w:rsid w:val="008B0290"/>
    <w:rsid w:val="008B09D3"/>
    <w:rsid w:val="008B1171"/>
    <w:rsid w:val="008B3BFA"/>
    <w:rsid w:val="008B48E2"/>
    <w:rsid w:val="008B5152"/>
    <w:rsid w:val="008B5BAB"/>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6470"/>
    <w:rsid w:val="008C670E"/>
    <w:rsid w:val="008C7465"/>
    <w:rsid w:val="008D00A6"/>
    <w:rsid w:val="008D10DE"/>
    <w:rsid w:val="008D2C9C"/>
    <w:rsid w:val="008D3DE9"/>
    <w:rsid w:val="008D444C"/>
    <w:rsid w:val="008D54FE"/>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A9D"/>
    <w:rsid w:val="008F1CB0"/>
    <w:rsid w:val="008F1D0A"/>
    <w:rsid w:val="008F1EF7"/>
    <w:rsid w:val="008F25E8"/>
    <w:rsid w:val="008F3933"/>
    <w:rsid w:val="008F405E"/>
    <w:rsid w:val="008F663E"/>
    <w:rsid w:val="008F6AB1"/>
    <w:rsid w:val="008F7791"/>
    <w:rsid w:val="00900EA0"/>
    <w:rsid w:val="00901B7F"/>
    <w:rsid w:val="009022ED"/>
    <w:rsid w:val="00902891"/>
    <w:rsid w:val="00903118"/>
    <w:rsid w:val="009031A2"/>
    <w:rsid w:val="0090367E"/>
    <w:rsid w:val="00903E49"/>
    <w:rsid w:val="00903EBB"/>
    <w:rsid w:val="009046F9"/>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1D3"/>
    <w:rsid w:val="009249E5"/>
    <w:rsid w:val="00924DDF"/>
    <w:rsid w:val="00925D18"/>
    <w:rsid w:val="00927AA9"/>
    <w:rsid w:val="00927B5B"/>
    <w:rsid w:val="00930D55"/>
    <w:rsid w:val="00932F5A"/>
    <w:rsid w:val="00933610"/>
    <w:rsid w:val="00933B07"/>
    <w:rsid w:val="00933E29"/>
    <w:rsid w:val="00934561"/>
    <w:rsid w:val="00935826"/>
    <w:rsid w:val="009358CE"/>
    <w:rsid w:val="00941C63"/>
    <w:rsid w:val="0094406C"/>
    <w:rsid w:val="00944F28"/>
    <w:rsid w:val="009459A6"/>
    <w:rsid w:val="00945FB7"/>
    <w:rsid w:val="00946CC3"/>
    <w:rsid w:val="00947A7A"/>
    <w:rsid w:val="009523E9"/>
    <w:rsid w:val="009535BE"/>
    <w:rsid w:val="009539C8"/>
    <w:rsid w:val="00953BD4"/>
    <w:rsid w:val="00953DE1"/>
    <w:rsid w:val="00954447"/>
    <w:rsid w:val="00954C4D"/>
    <w:rsid w:val="00954C6C"/>
    <w:rsid w:val="00955259"/>
    <w:rsid w:val="00955D18"/>
    <w:rsid w:val="00956AC9"/>
    <w:rsid w:val="00960E94"/>
    <w:rsid w:val="009619CC"/>
    <w:rsid w:val="009628CB"/>
    <w:rsid w:val="00962AB9"/>
    <w:rsid w:val="00963089"/>
    <w:rsid w:val="0096362C"/>
    <w:rsid w:val="00963FE9"/>
    <w:rsid w:val="009650BD"/>
    <w:rsid w:val="00965DFD"/>
    <w:rsid w:val="00966084"/>
    <w:rsid w:val="009661A6"/>
    <w:rsid w:val="00966E9D"/>
    <w:rsid w:val="0096761F"/>
    <w:rsid w:val="00967A30"/>
    <w:rsid w:val="00967E69"/>
    <w:rsid w:val="00973A8E"/>
    <w:rsid w:val="00974757"/>
    <w:rsid w:val="00974AD2"/>
    <w:rsid w:val="00974EA5"/>
    <w:rsid w:val="00974ED0"/>
    <w:rsid w:val="00975645"/>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678"/>
    <w:rsid w:val="00993A83"/>
    <w:rsid w:val="0099413E"/>
    <w:rsid w:val="009941C8"/>
    <w:rsid w:val="0099424C"/>
    <w:rsid w:val="00994BA0"/>
    <w:rsid w:val="009952BF"/>
    <w:rsid w:val="0099587F"/>
    <w:rsid w:val="00995B30"/>
    <w:rsid w:val="009967CB"/>
    <w:rsid w:val="009967EB"/>
    <w:rsid w:val="009A0B29"/>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B79A1"/>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C1F"/>
    <w:rsid w:val="009E6BE9"/>
    <w:rsid w:val="009E7175"/>
    <w:rsid w:val="009F01E3"/>
    <w:rsid w:val="009F02EC"/>
    <w:rsid w:val="009F036B"/>
    <w:rsid w:val="009F05CF"/>
    <w:rsid w:val="009F09F1"/>
    <w:rsid w:val="009F1077"/>
    <w:rsid w:val="009F40CA"/>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4950"/>
    <w:rsid w:val="00A166A9"/>
    <w:rsid w:val="00A16EE4"/>
    <w:rsid w:val="00A1766C"/>
    <w:rsid w:val="00A17F1A"/>
    <w:rsid w:val="00A2140A"/>
    <w:rsid w:val="00A219E7"/>
    <w:rsid w:val="00A21D98"/>
    <w:rsid w:val="00A22001"/>
    <w:rsid w:val="00A221D0"/>
    <w:rsid w:val="00A222A7"/>
    <w:rsid w:val="00A244AE"/>
    <w:rsid w:val="00A244B5"/>
    <w:rsid w:val="00A24AFA"/>
    <w:rsid w:val="00A25130"/>
    <w:rsid w:val="00A25446"/>
    <w:rsid w:val="00A25599"/>
    <w:rsid w:val="00A25D87"/>
    <w:rsid w:val="00A26386"/>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405B"/>
    <w:rsid w:val="00A44AE9"/>
    <w:rsid w:val="00A45CD8"/>
    <w:rsid w:val="00A45EE9"/>
    <w:rsid w:val="00A46863"/>
    <w:rsid w:val="00A4696A"/>
    <w:rsid w:val="00A51CAA"/>
    <w:rsid w:val="00A53343"/>
    <w:rsid w:val="00A54ACB"/>
    <w:rsid w:val="00A55ABB"/>
    <w:rsid w:val="00A55FF8"/>
    <w:rsid w:val="00A56055"/>
    <w:rsid w:val="00A56B6D"/>
    <w:rsid w:val="00A57F27"/>
    <w:rsid w:val="00A60027"/>
    <w:rsid w:val="00A61E8F"/>
    <w:rsid w:val="00A62004"/>
    <w:rsid w:val="00A6266F"/>
    <w:rsid w:val="00A63F16"/>
    <w:rsid w:val="00A64A3B"/>
    <w:rsid w:val="00A65DD2"/>
    <w:rsid w:val="00A66866"/>
    <w:rsid w:val="00A679BC"/>
    <w:rsid w:val="00A70063"/>
    <w:rsid w:val="00A7009D"/>
    <w:rsid w:val="00A7080D"/>
    <w:rsid w:val="00A71703"/>
    <w:rsid w:val="00A71A8D"/>
    <w:rsid w:val="00A71EF4"/>
    <w:rsid w:val="00A7232D"/>
    <w:rsid w:val="00A72D7A"/>
    <w:rsid w:val="00A72E3F"/>
    <w:rsid w:val="00A74327"/>
    <w:rsid w:val="00A7436E"/>
    <w:rsid w:val="00A76812"/>
    <w:rsid w:val="00A76B23"/>
    <w:rsid w:val="00A80AAC"/>
    <w:rsid w:val="00A81584"/>
    <w:rsid w:val="00A81894"/>
    <w:rsid w:val="00A81BDA"/>
    <w:rsid w:val="00A84BEB"/>
    <w:rsid w:val="00A86A1B"/>
    <w:rsid w:val="00A86D47"/>
    <w:rsid w:val="00A91E1F"/>
    <w:rsid w:val="00A92296"/>
    <w:rsid w:val="00A9340A"/>
    <w:rsid w:val="00A9427C"/>
    <w:rsid w:val="00A944F3"/>
    <w:rsid w:val="00A96E05"/>
    <w:rsid w:val="00A97896"/>
    <w:rsid w:val="00A97E15"/>
    <w:rsid w:val="00AA08A0"/>
    <w:rsid w:val="00AA0BA5"/>
    <w:rsid w:val="00AA164C"/>
    <w:rsid w:val="00AA179C"/>
    <w:rsid w:val="00AA18AE"/>
    <w:rsid w:val="00AA19B0"/>
    <w:rsid w:val="00AA2776"/>
    <w:rsid w:val="00AA3306"/>
    <w:rsid w:val="00AA4125"/>
    <w:rsid w:val="00AA4AA6"/>
    <w:rsid w:val="00AA57F0"/>
    <w:rsid w:val="00AA5DB4"/>
    <w:rsid w:val="00AB16BF"/>
    <w:rsid w:val="00AB1FBE"/>
    <w:rsid w:val="00AB24C8"/>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F72"/>
    <w:rsid w:val="00AD12EE"/>
    <w:rsid w:val="00AD173D"/>
    <w:rsid w:val="00AD2465"/>
    <w:rsid w:val="00AD442D"/>
    <w:rsid w:val="00AD6373"/>
    <w:rsid w:val="00AD6554"/>
    <w:rsid w:val="00AD7EE7"/>
    <w:rsid w:val="00AE0A04"/>
    <w:rsid w:val="00AE0E21"/>
    <w:rsid w:val="00AE14F3"/>
    <w:rsid w:val="00AE20D3"/>
    <w:rsid w:val="00AE22F2"/>
    <w:rsid w:val="00AE2392"/>
    <w:rsid w:val="00AE24DF"/>
    <w:rsid w:val="00AE3428"/>
    <w:rsid w:val="00AE46CA"/>
    <w:rsid w:val="00AE52EA"/>
    <w:rsid w:val="00AE56D2"/>
    <w:rsid w:val="00AE5B1E"/>
    <w:rsid w:val="00AE79CA"/>
    <w:rsid w:val="00AF1968"/>
    <w:rsid w:val="00AF310D"/>
    <w:rsid w:val="00AF328F"/>
    <w:rsid w:val="00AF4582"/>
    <w:rsid w:val="00AF4F04"/>
    <w:rsid w:val="00AF6B3D"/>
    <w:rsid w:val="00AF6F3E"/>
    <w:rsid w:val="00AF7639"/>
    <w:rsid w:val="00AF7B0E"/>
    <w:rsid w:val="00AF7B73"/>
    <w:rsid w:val="00AF7DE5"/>
    <w:rsid w:val="00B01399"/>
    <w:rsid w:val="00B01C44"/>
    <w:rsid w:val="00B0277E"/>
    <w:rsid w:val="00B03922"/>
    <w:rsid w:val="00B04ACF"/>
    <w:rsid w:val="00B04D0C"/>
    <w:rsid w:val="00B053C6"/>
    <w:rsid w:val="00B05746"/>
    <w:rsid w:val="00B062B6"/>
    <w:rsid w:val="00B07386"/>
    <w:rsid w:val="00B10030"/>
    <w:rsid w:val="00B104E7"/>
    <w:rsid w:val="00B108E3"/>
    <w:rsid w:val="00B10DE9"/>
    <w:rsid w:val="00B1175C"/>
    <w:rsid w:val="00B14DAA"/>
    <w:rsid w:val="00B15573"/>
    <w:rsid w:val="00B158FE"/>
    <w:rsid w:val="00B163C8"/>
    <w:rsid w:val="00B16E28"/>
    <w:rsid w:val="00B16E80"/>
    <w:rsid w:val="00B1749D"/>
    <w:rsid w:val="00B17D6B"/>
    <w:rsid w:val="00B209D1"/>
    <w:rsid w:val="00B227CB"/>
    <w:rsid w:val="00B234E3"/>
    <w:rsid w:val="00B23945"/>
    <w:rsid w:val="00B24A09"/>
    <w:rsid w:val="00B256F0"/>
    <w:rsid w:val="00B26A6C"/>
    <w:rsid w:val="00B274CC"/>
    <w:rsid w:val="00B27D22"/>
    <w:rsid w:val="00B31E79"/>
    <w:rsid w:val="00B32641"/>
    <w:rsid w:val="00B33A06"/>
    <w:rsid w:val="00B34AF2"/>
    <w:rsid w:val="00B35253"/>
    <w:rsid w:val="00B36427"/>
    <w:rsid w:val="00B40107"/>
    <w:rsid w:val="00B4093A"/>
    <w:rsid w:val="00B40D05"/>
    <w:rsid w:val="00B40DAA"/>
    <w:rsid w:val="00B419F8"/>
    <w:rsid w:val="00B4246E"/>
    <w:rsid w:val="00B43B74"/>
    <w:rsid w:val="00B43C8B"/>
    <w:rsid w:val="00B44286"/>
    <w:rsid w:val="00B44DE2"/>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0B4"/>
    <w:rsid w:val="00B758A2"/>
    <w:rsid w:val="00B75A56"/>
    <w:rsid w:val="00B75A7B"/>
    <w:rsid w:val="00B77130"/>
    <w:rsid w:val="00B77B0A"/>
    <w:rsid w:val="00B77E9D"/>
    <w:rsid w:val="00B77EB1"/>
    <w:rsid w:val="00B811E0"/>
    <w:rsid w:val="00B811EC"/>
    <w:rsid w:val="00B81ED2"/>
    <w:rsid w:val="00B820D4"/>
    <w:rsid w:val="00B822F3"/>
    <w:rsid w:val="00B82F3D"/>
    <w:rsid w:val="00B83060"/>
    <w:rsid w:val="00B832BA"/>
    <w:rsid w:val="00B83530"/>
    <w:rsid w:val="00B84123"/>
    <w:rsid w:val="00B85972"/>
    <w:rsid w:val="00B87120"/>
    <w:rsid w:val="00B901EB"/>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C1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2362"/>
    <w:rsid w:val="00BC2853"/>
    <w:rsid w:val="00BC33D4"/>
    <w:rsid w:val="00BC4431"/>
    <w:rsid w:val="00BC4B7F"/>
    <w:rsid w:val="00BC5473"/>
    <w:rsid w:val="00BC6E2E"/>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483"/>
    <w:rsid w:val="00BE6F98"/>
    <w:rsid w:val="00BF00D9"/>
    <w:rsid w:val="00BF15FD"/>
    <w:rsid w:val="00BF1785"/>
    <w:rsid w:val="00BF1CFD"/>
    <w:rsid w:val="00BF2010"/>
    <w:rsid w:val="00BF2365"/>
    <w:rsid w:val="00BF27A1"/>
    <w:rsid w:val="00BF2E5D"/>
    <w:rsid w:val="00BF384C"/>
    <w:rsid w:val="00BF4496"/>
    <w:rsid w:val="00BF4BCD"/>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FF"/>
    <w:rsid w:val="00C22360"/>
    <w:rsid w:val="00C227AD"/>
    <w:rsid w:val="00C22825"/>
    <w:rsid w:val="00C23BA1"/>
    <w:rsid w:val="00C23DF7"/>
    <w:rsid w:val="00C253D7"/>
    <w:rsid w:val="00C25B4D"/>
    <w:rsid w:val="00C26DEE"/>
    <w:rsid w:val="00C274F6"/>
    <w:rsid w:val="00C27846"/>
    <w:rsid w:val="00C27BFD"/>
    <w:rsid w:val="00C303D0"/>
    <w:rsid w:val="00C30474"/>
    <w:rsid w:val="00C3053E"/>
    <w:rsid w:val="00C31597"/>
    <w:rsid w:val="00C3190C"/>
    <w:rsid w:val="00C34991"/>
    <w:rsid w:val="00C363DF"/>
    <w:rsid w:val="00C373A2"/>
    <w:rsid w:val="00C37F29"/>
    <w:rsid w:val="00C4067A"/>
    <w:rsid w:val="00C41BC5"/>
    <w:rsid w:val="00C44FB9"/>
    <w:rsid w:val="00C454C8"/>
    <w:rsid w:val="00C45A67"/>
    <w:rsid w:val="00C46454"/>
    <w:rsid w:val="00C47D9F"/>
    <w:rsid w:val="00C5077D"/>
    <w:rsid w:val="00C5106A"/>
    <w:rsid w:val="00C515E0"/>
    <w:rsid w:val="00C5183B"/>
    <w:rsid w:val="00C522C9"/>
    <w:rsid w:val="00C540BC"/>
    <w:rsid w:val="00C546D9"/>
    <w:rsid w:val="00C57333"/>
    <w:rsid w:val="00C57A19"/>
    <w:rsid w:val="00C604EE"/>
    <w:rsid w:val="00C61462"/>
    <w:rsid w:val="00C61790"/>
    <w:rsid w:val="00C624F8"/>
    <w:rsid w:val="00C62955"/>
    <w:rsid w:val="00C64256"/>
    <w:rsid w:val="00C64815"/>
    <w:rsid w:val="00C64A18"/>
    <w:rsid w:val="00C64C12"/>
    <w:rsid w:val="00C64DB4"/>
    <w:rsid w:val="00C66947"/>
    <w:rsid w:val="00C67814"/>
    <w:rsid w:val="00C67DF9"/>
    <w:rsid w:val="00C67E59"/>
    <w:rsid w:val="00C703D4"/>
    <w:rsid w:val="00C7096C"/>
    <w:rsid w:val="00C70A83"/>
    <w:rsid w:val="00C71FF0"/>
    <w:rsid w:val="00C725E7"/>
    <w:rsid w:val="00C726AA"/>
    <w:rsid w:val="00C72F05"/>
    <w:rsid w:val="00C732DD"/>
    <w:rsid w:val="00C73A82"/>
    <w:rsid w:val="00C73B44"/>
    <w:rsid w:val="00C73BEF"/>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647E"/>
    <w:rsid w:val="00C9666D"/>
    <w:rsid w:val="00C97992"/>
    <w:rsid w:val="00C97B34"/>
    <w:rsid w:val="00CA1241"/>
    <w:rsid w:val="00CA18F8"/>
    <w:rsid w:val="00CA1941"/>
    <w:rsid w:val="00CA3114"/>
    <w:rsid w:val="00CA3753"/>
    <w:rsid w:val="00CA3D9A"/>
    <w:rsid w:val="00CA4CE9"/>
    <w:rsid w:val="00CA77C7"/>
    <w:rsid w:val="00CB0AD7"/>
    <w:rsid w:val="00CB10E5"/>
    <w:rsid w:val="00CB1363"/>
    <w:rsid w:val="00CB1D32"/>
    <w:rsid w:val="00CB40EE"/>
    <w:rsid w:val="00CB4EF9"/>
    <w:rsid w:val="00CB4F00"/>
    <w:rsid w:val="00CB5CC4"/>
    <w:rsid w:val="00CB6A8A"/>
    <w:rsid w:val="00CB7A79"/>
    <w:rsid w:val="00CC0E6A"/>
    <w:rsid w:val="00CC3544"/>
    <w:rsid w:val="00CC3E39"/>
    <w:rsid w:val="00CC4171"/>
    <w:rsid w:val="00CC4385"/>
    <w:rsid w:val="00CC49A2"/>
    <w:rsid w:val="00CC57DC"/>
    <w:rsid w:val="00CC6783"/>
    <w:rsid w:val="00CC6A15"/>
    <w:rsid w:val="00CC6AD3"/>
    <w:rsid w:val="00CC734B"/>
    <w:rsid w:val="00CD06D2"/>
    <w:rsid w:val="00CD1811"/>
    <w:rsid w:val="00CD273E"/>
    <w:rsid w:val="00CD2E7B"/>
    <w:rsid w:val="00CD4639"/>
    <w:rsid w:val="00CD5F76"/>
    <w:rsid w:val="00CD6411"/>
    <w:rsid w:val="00CE24C9"/>
    <w:rsid w:val="00CE27BF"/>
    <w:rsid w:val="00CE2C06"/>
    <w:rsid w:val="00CE3E7C"/>
    <w:rsid w:val="00CE4BFB"/>
    <w:rsid w:val="00CE56C5"/>
    <w:rsid w:val="00CE5779"/>
    <w:rsid w:val="00CE5991"/>
    <w:rsid w:val="00CE5FE3"/>
    <w:rsid w:val="00CE63B6"/>
    <w:rsid w:val="00CE653A"/>
    <w:rsid w:val="00CE78F3"/>
    <w:rsid w:val="00CF2663"/>
    <w:rsid w:val="00CF35FC"/>
    <w:rsid w:val="00CF3BBF"/>
    <w:rsid w:val="00CF53C8"/>
    <w:rsid w:val="00CF5E85"/>
    <w:rsid w:val="00CF5F66"/>
    <w:rsid w:val="00CF635C"/>
    <w:rsid w:val="00CF63CB"/>
    <w:rsid w:val="00CF79ED"/>
    <w:rsid w:val="00CF7A15"/>
    <w:rsid w:val="00D00275"/>
    <w:rsid w:val="00D00B99"/>
    <w:rsid w:val="00D0129A"/>
    <w:rsid w:val="00D0261A"/>
    <w:rsid w:val="00D02C24"/>
    <w:rsid w:val="00D03123"/>
    <w:rsid w:val="00D033AB"/>
    <w:rsid w:val="00D0410B"/>
    <w:rsid w:val="00D0422F"/>
    <w:rsid w:val="00D046A8"/>
    <w:rsid w:val="00D054D9"/>
    <w:rsid w:val="00D057E1"/>
    <w:rsid w:val="00D05BB8"/>
    <w:rsid w:val="00D05EB9"/>
    <w:rsid w:val="00D06776"/>
    <w:rsid w:val="00D06A85"/>
    <w:rsid w:val="00D07A8B"/>
    <w:rsid w:val="00D13369"/>
    <w:rsid w:val="00D13F17"/>
    <w:rsid w:val="00D14053"/>
    <w:rsid w:val="00D14D46"/>
    <w:rsid w:val="00D15180"/>
    <w:rsid w:val="00D1518A"/>
    <w:rsid w:val="00D1546E"/>
    <w:rsid w:val="00D155F5"/>
    <w:rsid w:val="00D15664"/>
    <w:rsid w:val="00D158AD"/>
    <w:rsid w:val="00D160F1"/>
    <w:rsid w:val="00D16179"/>
    <w:rsid w:val="00D16D76"/>
    <w:rsid w:val="00D17D86"/>
    <w:rsid w:val="00D20AB2"/>
    <w:rsid w:val="00D20EEA"/>
    <w:rsid w:val="00D210FE"/>
    <w:rsid w:val="00D215F3"/>
    <w:rsid w:val="00D2288D"/>
    <w:rsid w:val="00D229C6"/>
    <w:rsid w:val="00D23740"/>
    <w:rsid w:val="00D238B9"/>
    <w:rsid w:val="00D23E3E"/>
    <w:rsid w:val="00D24F48"/>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78CF"/>
    <w:rsid w:val="00D502B8"/>
    <w:rsid w:val="00D504C3"/>
    <w:rsid w:val="00D508CE"/>
    <w:rsid w:val="00D51474"/>
    <w:rsid w:val="00D51A1E"/>
    <w:rsid w:val="00D51DCA"/>
    <w:rsid w:val="00D53714"/>
    <w:rsid w:val="00D538D3"/>
    <w:rsid w:val="00D56136"/>
    <w:rsid w:val="00D56D1A"/>
    <w:rsid w:val="00D57B64"/>
    <w:rsid w:val="00D601FC"/>
    <w:rsid w:val="00D606E2"/>
    <w:rsid w:val="00D61533"/>
    <w:rsid w:val="00D621E6"/>
    <w:rsid w:val="00D62387"/>
    <w:rsid w:val="00D62A5F"/>
    <w:rsid w:val="00D64CA3"/>
    <w:rsid w:val="00D64FE0"/>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BB"/>
    <w:rsid w:val="00D94EB7"/>
    <w:rsid w:val="00D95007"/>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23E"/>
    <w:rsid w:val="00DE6866"/>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D7D"/>
    <w:rsid w:val="00E07AE2"/>
    <w:rsid w:val="00E1002C"/>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6CE4"/>
    <w:rsid w:val="00E30A3C"/>
    <w:rsid w:val="00E30C86"/>
    <w:rsid w:val="00E312F6"/>
    <w:rsid w:val="00E316EF"/>
    <w:rsid w:val="00E32722"/>
    <w:rsid w:val="00E33B33"/>
    <w:rsid w:val="00E34658"/>
    <w:rsid w:val="00E3526B"/>
    <w:rsid w:val="00E35AA3"/>
    <w:rsid w:val="00E37047"/>
    <w:rsid w:val="00E370DE"/>
    <w:rsid w:val="00E37661"/>
    <w:rsid w:val="00E407DD"/>
    <w:rsid w:val="00E41308"/>
    <w:rsid w:val="00E41633"/>
    <w:rsid w:val="00E417E3"/>
    <w:rsid w:val="00E4346B"/>
    <w:rsid w:val="00E4347A"/>
    <w:rsid w:val="00E435F2"/>
    <w:rsid w:val="00E44AB4"/>
    <w:rsid w:val="00E44B09"/>
    <w:rsid w:val="00E44C79"/>
    <w:rsid w:val="00E45BEF"/>
    <w:rsid w:val="00E46012"/>
    <w:rsid w:val="00E4661C"/>
    <w:rsid w:val="00E46EC4"/>
    <w:rsid w:val="00E50405"/>
    <w:rsid w:val="00E516C1"/>
    <w:rsid w:val="00E51A34"/>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875E3"/>
    <w:rsid w:val="00E918FA"/>
    <w:rsid w:val="00E91973"/>
    <w:rsid w:val="00E91BD8"/>
    <w:rsid w:val="00E92596"/>
    <w:rsid w:val="00E94287"/>
    <w:rsid w:val="00E9483D"/>
    <w:rsid w:val="00E9527E"/>
    <w:rsid w:val="00E97693"/>
    <w:rsid w:val="00E97DE3"/>
    <w:rsid w:val="00E97ECB"/>
    <w:rsid w:val="00EA005D"/>
    <w:rsid w:val="00EA0C94"/>
    <w:rsid w:val="00EA0FAF"/>
    <w:rsid w:val="00EA275B"/>
    <w:rsid w:val="00EA2B80"/>
    <w:rsid w:val="00EA33A4"/>
    <w:rsid w:val="00EA3B47"/>
    <w:rsid w:val="00EA3BB2"/>
    <w:rsid w:val="00EA45D8"/>
    <w:rsid w:val="00EA48F0"/>
    <w:rsid w:val="00EA5358"/>
    <w:rsid w:val="00EA5C24"/>
    <w:rsid w:val="00EA5F81"/>
    <w:rsid w:val="00EA6E1D"/>
    <w:rsid w:val="00EA7311"/>
    <w:rsid w:val="00EA7B88"/>
    <w:rsid w:val="00EB44EE"/>
    <w:rsid w:val="00EB509D"/>
    <w:rsid w:val="00EB6E7A"/>
    <w:rsid w:val="00EC10E1"/>
    <w:rsid w:val="00EC13B7"/>
    <w:rsid w:val="00EC1BD8"/>
    <w:rsid w:val="00EC2AB1"/>
    <w:rsid w:val="00EC423F"/>
    <w:rsid w:val="00EC4C43"/>
    <w:rsid w:val="00EC5F04"/>
    <w:rsid w:val="00EC63E2"/>
    <w:rsid w:val="00EC69E1"/>
    <w:rsid w:val="00EC6A6B"/>
    <w:rsid w:val="00EC6D2D"/>
    <w:rsid w:val="00EC713A"/>
    <w:rsid w:val="00EC7796"/>
    <w:rsid w:val="00EC7FB1"/>
    <w:rsid w:val="00ED0D2F"/>
    <w:rsid w:val="00ED0F60"/>
    <w:rsid w:val="00ED143E"/>
    <w:rsid w:val="00ED2941"/>
    <w:rsid w:val="00ED65ED"/>
    <w:rsid w:val="00ED6A60"/>
    <w:rsid w:val="00ED6FD4"/>
    <w:rsid w:val="00ED70E2"/>
    <w:rsid w:val="00ED7F77"/>
    <w:rsid w:val="00EE0891"/>
    <w:rsid w:val="00EE140B"/>
    <w:rsid w:val="00EE1D81"/>
    <w:rsid w:val="00EE25F5"/>
    <w:rsid w:val="00EE278E"/>
    <w:rsid w:val="00EE3651"/>
    <w:rsid w:val="00EE3AEB"/>
    <w:rsid w:val="00EE4363"/>
    <w:rsid w:val="00EE4976"/>
    <w:rsid w:val="00EE5CC0"/>
    <w:rsid w:val="00EE5E88"/>
    <w:rsid w:val="00EE60A1"/>
    <w:rsid w:val="00EE6742"/>
    <w:rsid w:val="00EE74E4"/>
    <w:rsid w:val="00EF0733"/>
    <w:rsid w:val="00EF0FE0"/>
    <w:rsid w:val="00EF1FF3"/>
    <w:rsid w:val="00EF22C6"/>
    <w:rsid w:val="00EF2BED"/>
    <w:rsid w:val="00EF532E"/>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E0C"/>
    <w:rsid w:val="00FB7F26"/>
    <w:rsid w:val="00FC04F3"/>
    <w:rsid w:val="00FC0B2C"/>
    <w:rsid w:val="00FC1390"/>
    <w:rsid w:val="00FC3238"/>
    <w:rsid w:val="00FC3325"/>
    <w:rsid w:val="00FC3E18"/>
    <w:rsid w:val="00FC4239"/>
    <w:rsid w:val="00FC45F0"/>
    <w:rsid w:val="00FC4F4E"/>
    <w:rsid w:val="00FC5610"/>
    <w:rsid w:val="00FD067E"/>
    <w:rsid w:val="00FD126B"/>
    <w:rsid w:val="00FD183E"/>
    <w:rsid w:val="00FD1A59"/>
    <w:rsid w:val="00FD1EF9"/>
    <w:rsid w:val="00FD2974"/>
    <w:rsid w:val="00FD3802"/>
    <w:rsid w:val="00FD5998"/>
    <w:rsid w:val="00FD5BD5"/>
    <w:rsid w:val="00FD6793"/>
    <w:rsid w:val="00FD7243"/>
    <w:rsid w:val="00FD75DA"/>
    <w:rsid w:val="00FD7DA4"/>
    <w:rsid w:val="00FD7E01"/>
    <w:rsid w:val="00FE0210"/>
    <w:rsid w:val="00FE140C"/>
    <w:rsid w:val="00FE15E3"/>
    <w:rsid w:val="00FE16FC"/>
    <w:rsid w:val="00FE21A5"/>
    <w:rsid w:val="00FE2954"/>
    <w:rsid w:val="00FE2B7E"/>
    <w:rsid w:val="00FE33DE"/>
    <w:rsid w:val="00FE3C85"/>
    <w:rsid w:val="00FE5651"/>
    <w:rsid w:val="00FE57C9"/>
    <w:rsid w:val="00FE629F"/>
    <w:rsid w:val="00FE64BB"/>
    <w:rsid w:val="00FE6B66"/>
    <w:rsid w:val="00FE7485"/>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297E0C32"/>
  <w14:defaultImageDpi w14:val="96"/>
  <w15:docId w15:val="{955A28EE-9623-40B7-AD7D-C436104DFD2B}"/>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s-ES"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s-E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s-E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s-E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s-E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s-E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s-E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s-E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s-ES"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s-ES"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es-ES"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es-ES"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es-ES"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140F03"/>
    <w:pPr>
      <w:tabs>
        <w:tab w:val="right" w:leader="dot" w:pos="9063"/>
      </w:tabs>
      <w:spacing w:after="100"/>
      <w:ind w:left="567" w:hanging="567"/>
      <w:jc w:val="left"/>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es-ES"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es-ES"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es-ES"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es/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marie-laurence.drillon@eesc.europa.eu" TargetMode="External"/><Relationship Id="rId39" Type="http://schemas.openxmlformats.org/officeDocument/2006/relationships/footer" Target="footer4.xml"/><Relationship Id="rId21" Type="http://schemas.openxmlformats.org/officeDocument/2006/relationships/hyperlink" Target="mailto:%20Juri.Soosaar@eesc.europa.eu" TargetMode="External"/><Relationship Id="rId34" Type="http://schemas.openxmlformats.org/officeDocument/2006/relationships/hyperlink" Target="mailto:Triin.Aasmaa@eesc.europa.eu" TargetMode="External"/><Relationship Id="rId42" Type="http://schemas.openxmlformats.org/officeDocument/2006/relationships/footer" Target="footer6.xml"/><Relationship Id="rId47" Type="http://schemas.openxmlformats.org/officeDocument/2006/relationships/customXml" Target="../customXml/item3.xml"/><Relationship Id="rId7"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Maja.Radman@eesc.europa.eu" TargetMode="External"/><Relationship Id="rId41" Type="http://schemas.openxmlformats.org/officeDocument/2006/relationships/header" Target="header6.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lexander.alexandrov@eesc.europa.eu" TargetMode="External"/><Relationship Id="rId32" Type="http://schemas.openxmlformats.org/officeDocument/2006/relationships/hyperlink" Target="mailto:Arturo.Iniguez@eesc.europa.eu" TargetMode="External"/><Relationship Id="rId37" Type="http://schemas.openxmlformats.org/officeDocument/2006/relationships/header" Target="header4.xml"/><Relationship Id="rId40" Type="http://schemas.openxmlformats.org/officeDocument/2006/relationships/footer" Target="footer5.xml"/><Relationship Id="rId45" Type="http://schemas.openxmlformats.org/officeDocument/2006/relationships/customXml" Target="../customXml/item1.xml"/><Relationship Id="rId15" Type="http://schemas.openxmlformats.org/officeDocument/2006/relationships/header" Target="header1.xml"/><Relationship Id="rId23" Type="http://schemas.openxmlformats.org/officeDocument/2006/relationships/hyperlink" Target="mailto:gerald.klec@eesc.europa.eu" TargetMode="External"/><Relationship Id="rId28" Type="http://schemas.openxmlformats.org/officeDocument/2006/relationships/hyperlink" Target="file:///C:\Users\acfe\AppData\Local\Microsoft\Windows\INetCache\Content.Outlook\2FZQEFDQ\janine.borg@eesc.europa.eu" TargetMode="External"/><Relationship Id="rId36" Type="http://schemas.openxmlformats.org/officeDocument/2006/relationships/hyperlink" Target="mailto:Cedric.Cabanne@eesc.europa.eu"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Alessandro.Rizzi@eesc.europa.eu" TargetMode="External"/><Relationship Id="rId44"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gerald.klec@eesc.europa.eu" TargetMode="External"/><Relationship Id="rId27" Type="http://schemas.openxmlformats.org/officeDocument/2006/relationships/hyperlink" Target="mailto:claudia.drewes-wran@eesc.europa.eu" TargetMode="External"/><Relationship Id="rId30" Type="http://schemas.openxmlformats.org/officeDocument/2006/relationships/hyperlink" Target="mailto:Kristian.Krieger@eesc.europa.eu" TargetMode="External"/><Relationship Id="rId35" Type="http://schemas.openxmlformats.org/officeDocument/2006/relationships/hyperlink" Target="mailto:sophie.zimmer@eesc.europa.eu" TargetMode="External"/><Relationship Id="rId43" Type="http://schemas.openxmlformats.org/officeDocument/2006/relationships/fontTable" Target="fontTable.xml"/><Relationship Id="rId48" Type="http://schemas.openxmlformats.org/officeDocument/2006/relationships/customXml" Target="../customXml/item4.xml"/><Relationship Id="rId8"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susanne.johansson@eesc.europa.eu" TargetMode="External"/><Relationship Id="rId33" Type="http://schemas.openxmlformats.org/officeDocument/2006/relationships/hyperlink" Target="mailto:Arturo.Iniguez@eesc.europa.eu" TargetMode="External"/><Relationship Id="rId38" Type="http://schemas.openxmlformats.org/officeDocument/2006/relationships/header" Target="header5.xml"/><Relationship Id="rId46"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AD35D3BCF8F4544A8F08714FCE6E0FA1" ma:contentTypeVersion="4" ma:contentTypeDescription="Defines the documents for Document Manager V2" ma:contentTypeScope="" ma:versionID="32fa0bad10b3041c39328cc1de51cc7a">
  <xsd:schema xmlns:xsd="http://www.w3.org/2001/XMLSchema" xmlns:xs="http://www.w3.org/2001/XMLSchema" xmlns:p="http://schemas.microsoft.com/office/2006/metadata/properties" xmlns:ns2="bfc960a6-20da-4c94-8684-71380fca093b" xmlns:ns3="http://schemas.microsoft.com/sharepoint/v3/fields" xmlns:ns4="a69be8a7-9536-4706-a7cf-8bd1aed539a4" targetNamespace="http://schemas.microsoft.com/office/2006/metadata/properties" ma:root="true" ma:fieldsID="80ed43f531677b78d6727881f5bc703a" ns2:_="" ns3:_="" ns4:_="">
    <xsd:import namespace="bfc960a6-20da-4c94-8684-71380fca093b"/>
    <xsd:import namespace="http://schemas.microsoft.com/sharepoint/v3/fields"/>
    <xsd:import namespace="a69be8a7-9536-4706-a7cf-8bd1aed539a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be8a7-9536-4706-a7cf-8bd1aed539a4"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CTJJHAUHWN5E-318629884-2167</_dlc_DocId>
    <_dlc_DocIdUrl xmlns="bfc960a6-20da-4c94-8684-71380fca093b">
      <Url>http://dm2016/eesc/2019/_layouts/15/DocIdRedir.aspx?ID=CTJJHAUHWN5E-318629884-2167</Url>
      <Description>CTJJHAUHWN5E-318629884-2167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2019-07-31T12:00:00+00:00</ProductionDate>
    <FicheYear xmlns="bfc960a6-20da-4c94-8684-71380fca093b">2019</FicheYear>
    <DocumentNumber xmlns="a69be8a7-9536-4706-a7cf-8bd1aed539a4">3134</DocumentNumber>
    <DocumentVersion xmlns="bfc960a6-20da-4c94-8684-71380fca093b">2</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2019-09-25T12:00:00+00:00</MeetingDate>
    <TaxCatchAll xmlns="bfc960a6-20da-4c94-8684-71380fca093b">
      <Value>65</Value>
      <Value>64</Value>
      <Value>62</Value>
      <Value>60</Value>
      <Value>59</Value>
      <Value>58</Value>
      <Value>57</Value>
      <Value>56</Value>
      <Value>55</Value>
      <Value>52</Value>
      <Value>49</Value>
      <Value>48</Value>
      <Value>46</Value>
      <Value>45</Value>
      <Value>38</Value>
      <Value>31</Value>
      <Value>25</Value>
      <Value>21</Value>
      <Value>17</Value>
      <Value>16</Value>
      <Value>14</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8030</FicheNumber>
    <DocumentPart xmlns="bfc960a6-20da-4c94-8684-71380fca093b">1</DocumentPart>
    <AdoptionDate xmlns="bfc960a6-20da-4c94-8684-71380fca093b" xsi:nil="true"/>
    <RequestingService xmlns="bfc960a6-20da-4c94-8684-71380fca093b">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a69be8a7-9536-4706-a7cf-8bd1aed539a4">546</MeetingNumber>
    <DossierName_0 xmlns="http://schemas.microsoft.com/sharepoint/v3/fields">
      <Terms xmlns="http://schemas.microsoft.com/office/infopath/2007/PartnerControls"/>
    </DossierName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4CF9FF-B547-4172-9358-926636275DDB}"/>
</file>

<file path=customXml/itemProps2.xml><?xml version="1.0" encoding="utf-8"?>
<ds:datastoreItem xmlns:ds="http://schemas.openxmlformats.org/officeDocument/2006/customXml" ds:itemID="{F8175612-5C74-4504-B243-4DEA249C274D}"/>
</file>

<file path=customXml/itemProps3.xml><?xml version="1.0" encoding="utf-8"?>
<ds:datastoreItem xmlns:ds="http://schemas.openxmlformats.org/officeDocument/2006/customXml" ds:itemID="{AF8CE529-AD7E-4E87-9080-43EE981C05D4}"/>
</file>

<file path=customXml/itemProps4.xml><?xml version="1.0" encoding="utf-8"?>
<ds:datastoreItem xmlns:ds="http://schemas.openxmlformats.org/officeDocument/2006/customXml" ds:itemID="{8E22C663-818C-4AE2-BBDE-55FE0CA5E1C9}"/>
</file>

<file path=docProps/app.xml><?xml version="1.0" encoding="utf-8"?>
<Properties xmlns="http://schemas.openxmlformats.org/officeDocument/2006/extended-properties" xmlns:vt="http://schemas.openxmlformats.org/officeDocument/2006/docPropsVTypes">
  <Template>Styles.dotm</Template>
  <TotalTime>29</TotalTime>
  <Pages>22</Pages>
  <Words>6159</Words>
  <Characters>33880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39960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Síntesis de los dictámenes julio 2019</dc:title>
  <dc:subject>Trabajos consultivos/varios</dc:subject>
  <dc:creator>Marcos Jaime Tornin</dc:creator>
  <cp:keywords>EESC-2019-03134-01-02-TCD-TRA-EN</cp:keywords>
  <dc:description>Rapporteur:  - Original language: EN, FR - Date of document: 31/07/2019 - Date of meeting: 25/09/2019 - External documents:  - Administrator: Mme De Paepe Elke</dc:description>
  <cp:lastModifiedBy>szel</cp:lastModifiedBy>
  <cp:revision>19</cp:revision>
  <cp:lastPrinted>2019-07-22T13:40:00Z</cp:lastPrinted>
  <dcterms:created xsi:type="dcterms:W3CDTF">2019-07-30T14:12:00Z</dcterms:created>
  <dcterms:modified xsi:type="dcterms:W3CDTF">2019-07-31T08:32:00Z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30/07/2019, 23/07/2019, 19/07/2019, 27/06/2019, 05/06/2019, 03/05/2019, 13/12/2018, 09/11/2018, 12/07/2018, 23/05/2018, 13/03/2018, 26/02/2018, 14/02/2018, 24/01/2018, 16/01/2018, 19/12/2017, 01/12/2017, 16/11/2017, 15/11/2017, 17/10/2017, 13/09/2017, 03/</vt:lpwstr>
  </property>
  <property fmtid="{D5CDD505-2E9C-101B-9397-08002B2CF9AE}" pid="4" name="Pref_Time">
    <vt:lpwstr>16:12:45, 14:11:10, 11:32:00, 12:00:39, 16:39:54, 14:43:22, 11:27:48, 09:10:15, 14:45:38, 09:50:08, 13:54:15, 10:33:11, 11:57:02, 15:31:00, 09:45:52, 11:53:01, 15:00:14, 15:49:39, 15:47:16, 10:48:52, 11:23:50, 09:51:12, 14:43:57, 12:54:34, 12:22:33, 12:08</vt:lpwstr>
  </property>
  <property fmtid="{D5CDD505-2E9C-101B-9397-08002B2CF9AE}" pid="5" name="Pref_User">
    <vt:lpwstr>hnic, enied, enied, amett, amett, enied, enied, amett, enied, hnic, mreg, jhvi, mkop, hnic, mkop, amett, jhvi, amett, tvoc, tvoc, tvoc, amett, hnic, mreg, mreg, enied, mreg, jhvi, tvoc, htoo, mreg, tvoc, hnic, mreg, hnic, amett, nmcg, amett, enied, nmcg, </vt:lpwstr>
  </property>
  <property fmtid="{D5CDD505-2E9C-101B-9397-08002B2CF9AE}" pid="6" name="Pref_FileName">
    <vt:lpwstr>EESC-2019-03134-01-02-TCD-ORI.docx, EESC-2019-03134-01-01-TCD-ORI.docx, EESC-2019-03134-01-00-TCD-ORI.docx, EESC-2019-02484-00-00-TCD-ORI.docx, EESC-2019-01616-00-00-TCD-ORI.docx, EESC-2019-01082-00-00-TCD-ORI.docx, EESC-2018-05296-00-00-TCD-ORI.docx, EES</vt:lpwstr>
  </property>
  <property fmtid="{D5CDD505-2E9C-101B-9397-08002B2CF9AE}" pid="7" name="ContentTypeId">
    <vt:lpwstr>0x010100EA97B91038054C99906057A708A1480A00AD35D3BCF8F4544A8F08714FCE6E0FA1</vt:lpwstr>
  </property>
  <property fmtid="{D5CDD505-2E9C-101B-9397-08002B2CF9AE}" pid="8" name="_dlc_DocIdItemGuid">
    <vt:lpwstr>c2e25f2f-eeb5-414c-b129-b61fbb4162fc</vt:lpwstr>
  </property>
  <property fmtid="{D5CDD505-2E9C-101B-9397-08002B2CF9AE}" pid="9" name="AvailableTranslations">
    <vt:lpwstr>25;#SK|46d9fce0-ef79-4f71-b89b-cd6aa82426b8;#10;#FR|d2afafd3-4c81-4f60-8f52-ee33f2f54ff3;#59;#HR|2f555653-ed1a-4fe6-8362-9082d95989e5;#45;#NL|55c6556c-b4f4-441d-9acf-c498d4f838bd;#62;#FI|87606a43-d45f-42d6-b8c9-e1a3457db5b7;#14;#DE|f6b31e5a-26fa-4935-b661-318e46daf27e;#16;#PL|1e03da61-4678-4e07-b136-b5024ca9197b;#38;#SV|c2ed69e7-a339-43d7-8f22-d93680a92aa0;#49;#EL|6d4f4d51-af9b-4650-94b4-4276bee85c91;#46;#CS|72f9705b-0217-4fd3-bea2-cbc7ed80e26e;#57;#RO|feb747a2-64cd-4299-af12-4833ddc30497;#48;#LT|a7ff5ce7-6123-4f68-865a-a57c31810414;#58;#LV|46f7e311-5d9f-4663-b433-18aeccb7ace7;#64;#PT|50ccc04a-eadd-42ae-a0cb-acaf45f812ba;#55;#BG|1a1b3951-7821-4e6a-85f5-5673fc08bd2c;#65;#ET|ff6c3f4c-b02c-4c3c-ab07-2c37995a7a0a;#21;#IT|0774613c-01ed-4e5d-a25d-11d2388de825;#52;#DA|5d49c027-8956-412b-aa16-e85a0f96ad0e;#17;#ES|e7a6b05b-ae16-40c8-add9-68b64b03aeba;#60;#HU|6b229040-c589-4408-b4c1-4285663d20a8;#56;#SL|98a412ae-eb01-49e9-ae3d-585a81724cfc;#4;#EN|f2175f21-25d7-44a3-96da-d6a61b075e1b</vt:lpwstr>
  </property>
  <property fmtid="{D5CDD505-2E9C-101B-9397-08002B2CF9AE}" pid="10" name="DocumentType_0">
    <vt:lpwstr>TCD|cd9d6eb6-3f4f-424a-b2d1-57c9d450eaaf</vt:lpwstr>
  </property>
  <property fmtid="{D5CDD505-2E9C-101B-9397-08002B2CF9AE}" pid="11" name="MeetingNumber">
    <vt:i4>546</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3134</vt:i4>
  </property>
  <property fmtid="{D5CDD505-2E9C-101B-9397-08002B2CF9AE}" pid="15" name="FicheYear">
    <vt:i4>2019</vt:i4>
  </property>
  <property fmtid="{D5CDD505-2E9C-101B-9397-08002B2CF9AE}" pid="16" name="DocumentVersion">
    <vt:i4>2</vt:i4>
  </property>
  <property fmtid="{D5CDD505-2E9C-101B-9397-08002B2CF9AE}" pid="17" name="DocumentStatus">
    <vt:lpwstr>2;#TRA|150d2a88-1431-44e6-a8ca-0bb753ab8672</vt:lpwstr>
  </property>
  <property fmtid="{D5CDD505-2E9C-101B-9397-08002B2CF9AE}" pid="18" name="DocumentPart">
    <vt:i4>1</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4;#EN|f2175f21-25d7-44a3-96da-d6a61b075e1b;#10;#FR|d2afafd3-4c81-4f60-8f52-ee33f2f54ff3</vt:lpwstr>
  </property>
  <property fmtid="{D5CDD505-2E9C-101B-9397-08002B2CF9AE}" pid="28" name="MeetingName">
    <vt:lpwstr>31;#SPL-CES|32d8cb1f-c9ec-4365-95c7-8385a18618ac</vt:lpwstr>
  </property>
  <property fmtid="{D5CDD505-2E9C-101B-9397-08002B2CF9AE}" pid="29" name="MeetingDate">
    <vt:filetime>2019-09-25T12:00:00Z</vt:filetime>
  </property>
  <property fmtid="{D5CDD505-2E9C-101B-9397-08002B2CF9AE}" pid="30" name="AvailableTranslations_0">
    <vt:lpwstr>SK|46d9fce0-ef79-4f71-b89b-cd6aa82426b8;HR|2f555653-ed1a-4fe6-8362-9082d95989e5;NL|55c6556c-b4f4-441d-9acf-c498d4f838bd;FI|87606a43-d45f-42d6-b8c9-e1a3457db5b7;SV|c2ed69e7-a339-43d7-8f22-d93680a92aa0;EL|6d4f4d51-af9b-4650-94b4-4276bee85c91;CS|72f9705b-0217-4fd3-bea2-cbc7ed80e26e;RO|feb747a2-64cd-4299-af12-4833ddc30497;LT|a7ff5ce7-6123-4f68-865a-a57c31810414;LV|46f7e311-5d9f-4663-b433-18aeccb7ace7;PT|50ccc04a-eadd-42ae-a0cb-acaf45f812ba;IT|0774613c-01ed-4e5d-a25d-11d2388de825;DA|5d49c027-8956-412b-aa16-e85a0f96ad0e;HU|6b229040-c589-4408-b4c1-4285663d20a8;SL|98a412ae-eb01-49e9-ae3d-585a81724cfc;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EN|f2175f21-25d7-44a3-96da-d6a61b075e1b;FR|d2afafd3-4c81-4f60-8f52-ee33f2f54ff3</vt:lpwstr>
  </property>
  <property fmtid="{D5CDD505-2E9C-101B-9397-08002B2CF9AE}" pid="33" name="TaxCatchAll">
    <vt:lpwstr>31;#SPL-CES|32d8cb1f-c9ec-4365-95c7-8385a18618ac;#64;#PT|50ccc04a-eadd-42ae-a0cb-acaf45f812ba;#62;#FI|87606a43-d45f-42d6-b8c9-e1a3457db5b7;#38;#SV|c2ed69e7-a339-43d7-8f22-d93680a92aa0;#60;#HU|6b229040-c589-4408-b4c1-4285663d20a8;#59;#HR|2f555653-ed1a-4fe6-8362-9082d95989e5;#58;#LV|46f7e311-5d9f-4663-b433-18aeccb7ace7;#57;#RO|feb747a2-64cd-4299-af12-4833ddc30497;#56;#SL|98a412ae-eb01-49e9-ae3d-585a81724cfc;#45;#NL|55c6556c-b4f4-441d-9acf-c498d4f838bd;#21;#IT|0774613c-01ed-4e5d-a25d-11d2388de825;#49;#EL|6d4f4d51-af9b-4650-94b4-4276bee85c91;#48;#LT|a7ff5ce7-6123-4f68-865a-a57c31810414;#10;#FR|d2afafd3-4c81-4f60-8f52-ee33f2f54ff3;#46;#CS|72f9705b-0217-4fd3-bea2-cbc7ed80e26e;#8;#TCD|cd9d6eb6-3f4f-424a-b2d1-57c9d450eaaf;#7;#Final|ea5e6674-7b27-4bac-b091-73adbb394efe;#5;#Unrestricted|826e22d7-d029-4ec0-a450-0c28ff673572;#4;#EN|f2175f21-25d7-44a3-96da-d6a61b075e1b;#52;#DA|5d49c027-8956-412b-aa16-e85a0f96ad0e;#2;#TRA|150d2a88-1431-44e6-a8ca-0bb753ab8672;#1;#EESC|422833ec-8d7e-4e65-8e4e-8bed07ffb729;#25;#SK|46d9fce0-ef79-4f71-b89b-cd6aa82426b8</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Year">
    <vt:i4>2019</vt:i4>
  </property>
  <property fmtid="{D5CDD505-2E9C-101B-9397-08002B2CF9AE}" pid="37" name="FicheNumber">
    <vt:i4>8030</vt:i4>
  </property>
  <property fmtid="{D5CDD505-2E9C-101B-9397-08002B2CF9AE}" pid="38" name="DocumentLanguage">
    <vt:lpwstr>17;#ES|e7a6b05b-ae16-40c8-add9-68b64b03aeba</vt:lpwstr>
  </property>
</Properties>
</file>