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892202" w:rsidRDefault="006A08D5" w:rsidP="001F50B6">
      <w:pPr>
        <w:snapToGrid w:val="0"/>
        <w:jc w:val="center"/>
      </w:pPr>
      <w:r w:rsidRPr="00892202">
        <w:fldChar w:fldCharType="begin"/>
      </w:r>
      <w:r w:rsidRPr="00892202">
        <w:instrText xml:space="preserve">  </w:instrText>
      </w:r>
      <w:r w:rsidRPr="00892202">
        <w:fldChar w:fldCharType="end"/>
      </w:r>
      <w:r>
        <w:rPr>
          <w:noProof/>
          <w:lang w:val="en-GB" w:eastAsia="en-GB"/>
        </w:rPr>
        <w:drawing>
          <wp:inline distT="0" distB="0" distL="0" distR="0" wp14:anchorId="793793E5" wp14:editId="6431A223">
            <wp:extent cx="876300" cy="545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76300" cy="545792"/>
                    </a:xfrm>
                    <a:prstGeom prst="rect">
                      <a:avLst/>
                    </a:prstGeom>
                    <a:noFill/>
                    <a:ln>
                      <a:noFill/>
                    </a:ln>
                  </pic:spPr>
                </pic:pic>
              </a:graphicData>
            </a:graphic>
          </wp:inline>
        </w:drawing>
      </w:r>
      <w:r>
        <w:rPr>
          <w:noProof/>
          <w:sz w:val="20"/>
          <w:lang w:val="en-GB" w:eastAsia="en-GB"/>
        </w:rPr>
        <mc:AlternateContent>
          <mc:Choice Requires="wps">
            <w:drawing>
              <wp:anchor distT="0" distB="0" distL="114300" distR="114300" simplePos="0" relativeHeight="251659264" behindDoc="1" locked="0" layoutInCell="0" allowOverlap="1" wp14:anchorId="5F2612C5" wp14:editId="52AB0BA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9C5" w:rsidRPr="00260E65" w:rsidRDefault="002159C5">
                            <w:pPr>
                              <w:jc w:val="center"/>
                              <w:rPr>
                                <w:rFonts w:ascii="Arial" w:hAnsi="Arial" w:cs="Arial"/>
                                <w:b/>
                                <w:bCs/>
                                <w:sz w:val="48"/>
                              </w:rPr>
                            </w:pPr>
                            <w:r>
                              <w:rPr>
                                <w:rFonts w:ascii="Arial" w:hAnsi="Arial"/>
                                <w:b/>
                                <w:bCs/>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12C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2159C5" w:rsidRPr="00260E65" w:rsidRDefault="002159C5">
                      <w:pPr>
                        <w:jc w:val="center"/>
                        <w:rPr>
                          <w:rFonts w:ascii="Arial" w:hAnsi="Arial" w:cs="Arial"/>
                          <w:b/>
                          <w:bCs/>
                          <w:sz w:val="48"/>
                        </w:rPr>
                      </w:pPr>
                      <w:r>
                        <w:rPr>
                          <w:rFonts w:ascii="Arial" w:hAnsi="Arial"/>
                          <w:b/>
                          <w:bCs/>
                          <w:sz w:val="48"/>
                        </w:rPr>
                        <w:t>HU</w:t>
                      </w:r>
                    </w:p>
                  </w:txbxContent>
                </v:textbox>
                <w10:wrap anchorx="page" anchory="page"/>
              </v:shape>
            </w:pict>
          </mc:Fallback>
        </mc:AlternateContent>
      </w:r>
    </w:p>
    <w:p w:rsidR="008405A0" w:rsidRPr="00892202" w:rsidRDefault="00876D7B" w:rsidP="001F50B6">
      <w:pPr>
        <w:snapToGrid w:val="0"/>
        <w:jc w:val="center"/>
        <w:rPr>
          <w:rFonts w:ascii="Arial" w:eastAsia="MS Mincho" w:hAnsi="Arial" w:cs="Arial"/>
          <w:b/>
          <w:i/>
          <w:sz w:val="20"/>
        </w:rPr>
      </w:pPr>
      <w:r>
        <w:rPr>
          <w:rFonts w:ascii="Arial" w:hAnsi="Arial"/>
          <w:b/>
          <w:i/>
          <w:sz w:val="20"/>
        </w:rPr>
        <w:t>Európai Gazdasági és Szociális Bizottság</w:t>
      </w:r>
    </w:p>
    <w:p w:rsidR="008405A0" w:rsidRPr="00892202" w:rsidRDefault="008405A0" w:rsidP="001F50B6">
      <w:pPr>
        <w:snapToGrid w:val="0"/>
        <w:rPr>
          <w:lang w:val="en-GB"/>
        </w:rPr>
      </w:pPr>
    </w:p>
    <w:p w:rsidR="008405A0" w:rsidRPr="00892202" w:rsidRDefault="008405A0" w:rsidP="001F50B6">
      <w:pPr>
        <w:snapToGrid w:val="0"/>
        <w:rPr>
          <w:lang w:val="en-GB"/>
        </w:rPr>
      </w:pPr>
    </w:p>
    <w:p w:rsidR="008405A0" w:rsidRPr="00892202" w:rsidRDefault="00FC0B2C" w:rsidP="001F50B6">
      <w:pPr>
        <w:snapToGrid w:val="0"/>
        <w:jc w:val="right"/>
        <w:rPr>
          <w:rFonts w:eastAsia="MS Mincho"/>
        </w:rPr>
      </w:pPr>
      <w:r>
        <w:t>Brüsszel, 2019. június 25.</w:t>
      </w:r>
    </w:p>
    <w:p w:rsidR="008405A0" w:rsidRPr="00892202" w:rsidRDefault="008405A0" w:rsidP="001F50B6">
      <w:pPr>
        <w:snapToGrid w:val="0"/>
        <w:rPr>
          <w:lang w:val="en-GB"/>
        </w:rPr>
      </w:pPr>
    </w:p>
    <w:p w:rsidR="008405A0" w:rsidRPr="00892202" w:rsidRDefault="008405A0" w:rsidP="001F50B6">
      <w:pPr>
        <w:snapToGrid w:val="0"/>
        <w:rPr>
          <w:lang w:val="en-GB"/>
        </w:rPr>
      </w:pPr>
    </w:p>
    <w:p w:rsidR="00AF6F3E" w:rsidRPr="00892202" w:rsidRDefault="00AF6F3E" w:rsidP="001F50B6">
      <w:pPr>
        <w:snapToGrid w:val="0"/>
        <w:rPr>
          <w:lang w:val="en-GB"/>
        </w:rPr>
      </w:pPr>
    </w:p>
    <w:p w:rsidR="006819C8" w:rsidRPr="00892202" w:rsidRDefault="006819C8" w:rsidP="001F50B6">
      <w:pPr>
        <w:snapToGrid w:val="0"/>
        <w:rPr>
          <w:lang w:val="en-GB"/>
        </w:rPr>
      </w:pPr>
    </w:p>
    <w:tbl>
      <w:tblPr>
        <w:tblW w:w="0" w:type="auto"/>
        <w:tblLayout w:type="fixed"/>
        <w:tblLook w:val="0000" w:firstRow="0" w:lastRow="0" w:firstColumn="0" w:lastColumn="0" w:noHBand="0" w:noVBand="0"/>
      </w:tblPr>
      <w:tblGrid>
        <w:gridCol w:w="9289"/>
      </w:tblGrid>
      <w:tr w:rsidR="0040125F">
        <w:tc>
          <w:tcPr>
            <w:tcW w:w="9289" w:type="dxa"/>
            <w:tcBorders>
              <w:top w:val="nil"/>
              <w:left w:val="nil"/>
              <w:bottom w:val="double" w:sz="4" w:space="0" w:color="auto"/>
              <w:right w:val="nil"/>
            </w:tcBorders>
          </w:tcPr>
          <w:p w:rsidR="008405A0" w:rsidRPr="00892202" w:rsidRDefault="00B83060" w:rsidP="001F50B6">
            <w:pPr>
              <w:snapToGrid w:val="0"/>
              <w:jc w:val="center"/>
              <w:rPr>
                <w:rFonts w:eastAsia="MS Mincho"/>
                <w:b/>
                <w:sz w:val="32"/>
              </w:rPr>
            </w:pPr>
            <w:r>
              <w:rPr>
                <w:b/>
                <w:sz w:val="32"/>
              </w:rPr>
              <w:t>PLENÁRIS ÜLÉS</w:t>
            </w:r>
            <w:r>
              <w:rPr>
                <w:b/>
                <w:sz w:val="32"/>
              </w:rPr>
              <w:br/>
            </w:r>
            <w:r>
              <w:rPr>
                <w:b/>
                <w:sz w:val="32"/>
              </w:rPr>
              <w:br/>
              <w:t>2019. JÚNIUS 19–20.</w:t>
            </w:r>
            <w:r>
              <w:rPr>
                <w:b/>
                <w:sz w:val="32"/>
              </w:rPr>
              <w:br/>
            </w:r>
            <w:r>
              <w:rPr>
                <w:b/>
                <w:sz w:val="32"/>
              </w:rPr>
              <w:br/>
              <w:t>AZ ELFOGADOTT VÉLEMÉNYEK ÖSSZEFOGLALÁSA</w:t>
            </w:r>
          </w:p>
          <w:p w:rsidR="008405A0" w:rsidRPr="00892202" w:rsidRDefault="008405A0" w:rsidP="001F50B6">
            <w:pPr>
              <w:rPr>
                <w:lang w:val="en-GB"/>
              </w:rPr>
            </w:pPr>
          </w:p>
          <w:p w:rsidR="008405A0" w:rsidRPr="00892202" w:rsidRDefault="008405A0" w:rsidP="001F50B6">
            <w:pPr>
              <w:rPr>
                <w:lang w:val="en-GB"/>
              </w:rPr>
            </w:pPr>
          </w:p>
        </w:tc>
      </w:tr>
      <w:tr w:rsidR="0040125F">
        <w:tc>
          <w:tcPr>
            <w:tcW w:w="9289" w:type="dxa"/>
            <w:tcBorders>
              <w:top w:val="double" w:sz="4" w:space="0" w:color="auto"/>
              <w:left w:val="double" w:sz="4" w:space="0" w:color="auto"/>
              <w:bottom w:val="double" w:sz="4" w:space="0" w:color="auto"/>
              <w:right w:val="double" w:sz="4" w:space="0" w:color="auto"/>
            </w:tcBorders>
          </w:tcPr>
          <w:p w:rsidR="00FF15DA" w:rsidRPr="00892202" w:rsidRDefault="00FF15DA" w:rsidP="001F50B6">
            <w:pPr>
              <w:snapToGrid w:val="0"/>
              <w:jc w:val="center"/>
              <w:rPr>
                <w:b/>
                <w:lang w:val="en-GB"/>
              </w:rPr>
            </w:pPr>
          </w:p>
          <w:p w:rsidR="00FC0B2C" w:rsidRPr="00892202" w:rsidRDefault="00FC0B2C" w:rsidP="001F50B6">
            <w:pPr>
              <w:snapToGrid w:val="0"/>
              <w:jc w:val="center"/>
              <w:rPr>
                <w:rFonts w:eastAsia="MS Mincho"/>
                <w:b/>
              </w:rPr>
            </w:pPr>
            <w:r>
              <w:rPr>
                <w:b/>
              </w:rPr>
              <w:t>Ez a dokumentum a hivatalos nyelveken az EGSZB honlapjáról érhető el, a következő címen:</w:t>
            </w:r>
          </w:p>
          <w:p w:rsidR="00FC0B2C" w:rsidRPr="00892202" w:rsidRDefault="00FC0B2C" w:rsidP="001F50B6">
            <w:pPr>
              <w:snapToGrid w:val="0"/>
              <w:jc w:val="center"/>
              <w:rPr>
                <w:b/>
                <w:lang w:val="en-GB"/>
              </w:rPr>
            </w:pPr>
          </w:p>
          <w:p w:rsidR="00FC0B2C" w:rsidRPr="00892202" w:rsidRDefault="00821F23" w:rsidP="001F50B6">
            <w:pPr>
              <w:jc w:val="center"/>
              <w:rPr>
                <w:rStyle w:val="Hyperlink"/>
                <w:b/>
              </w:rPr>
            </w:pPr>
            <w:hyperlink r:id="rId12" w:history="1">
              <w:r w:rsidRPr="00410615">
                <w:rPr>
                  <w:rStyle w:val="Hyperlink"/>
                  <w:lang w:val="en-GB"/>
                </w:rPr>
                <w:t>https://www.eesc.europa.eu/en/our-work/opinions-information-reports/plenary-session-summaries</w:t>
              </w:r>
            </w:hyperlink>
          </w:p>
          <w:p w:rsidR="00FC0B2C" w:rsidRPr="00892202" w:rsidRDefault="00FC0B2C" w:rsidP="001F50B6">
            <w:pPr>
              <w:snapToGrid w:val="0"/>
              <w:jc w:val="center"/>
              <w:rPr>
                <w:b/>
                <w:lang w:val="en-GB"/>
              </w:rPr>
            </w:pPr>
          </w:p>
          <w:p w:rsidR="00FC0B2C" w:rsidRPr="00892202" w:rsidRDefault="00FC0B2C" w:rsidP="001F50B6">
            <w:pPr>
              <w:snapToGrid w:val="0"/>
              <w:jc w:val="center"/>
              <w:rPr>
                <w:rFonts w:eastAsia="SimSun"/>
                <w:b/>
                <w:lang w:val="en-GB"/>
              </w:rPr>
            </w:pPr>
          </w:p>
          <w:p w:rsidR="00FC0B2C" w:rsidRPr="00892202" w:rsidRDefault="00FC0B2C" w:rsidP="001F50B6">
            <w:pPr>
              <w:snapToGrid w:val="0"/>
              <w:jc w:val="center"/>
              <w:rPr>
                <w:rFonts w:eastAsia="MS Mincho"/>
                <w:b/>
              </w:rPr>
            </w:pPr>
            <w:r>
              <w:rPr>
                <w:b/>
              </w:rPr>
              <w:t>A felsorolt vélemények online az EGSZB keresőrendszerén keresztül érhetők el:</w:t>
            </w:r>
          </w:p>
          <w:p w:rsidR="00FC0B2C" w:rsidRPr="00892202" w:rsidRDefault="00FC0B2C" w:rsidP="001F50B6">
            <w:pPr>
              <w:snapToGrid w:val="0"/>
              <w:jc w:val="center"/>
              <w:rPr>
                <w:b/>
                <w:lang w:val="en-GB"/>
              </w:rPr>
            </w:pPr>
          </w:p>
          <w:p w:rsidR="00FC0B2C" w:rsidRPr="00892202" w:rsidRDefault="00821F23" w:rsidP="001F50B6">
            <w:pPr>
              <w:jc w:val="center"/>
              <w:rPr>
                <w:rStyle w:val="Hyperlink"/>
                <w:b/>
              </w:rPr>
            </w:pPr>
            <w:hyperlink r:id="rId13" w:history="1">
              <w:r w:rsidRPr="00B1673D">
                <w:rPr>
                  <w:rStyle w:val="Hyperlink"/>
                  <w:lang w:val="en-GB"/>
                </w:rPr>
                <w:t>https://dmsearch.eesc.europa.eu/search/opinion</w:t>
              </w:r>
            </w:hyperlink>
            <w:bookmarkStart w:id="0" w:name="_GoBack"/>
            <w:bookmarkEnd w:id="0"/>
          </w:p>
          <w:p w:rsidR="008405A0" w:rsidRPr="00892202" w:rsidRDefault="008405A0" w:rsidP="001F50B6">
            <w:pPr>
              <w:snapToGrid w:val="0"/>
              <w:jc w:val="center"/>
              <w:rPr>
                <w:b/>
                <w:bCs/>
                <w:lang w:val="en-GB"/>
              </w:rPr>
            </w:pPr>
          </w:p>
        </w:tc>
      </w:tr>
    </w:tbl>
    <w:p w:rsidR="008F7791" w:rsidRPr="00892202" w:rsidRDefault="008F7791" w:rsidP="001F50B6">
      <w:pPr>
        <w:rPr>
          <w:rFonts w:eastAsia="SimSun"/>
          <w:lang w:val="en-GB"/>
        </w:rPr>
      </w:pPr>
    </w:p>
    <w:p w:rsidR="00A9340A" w:rsidRPr="00892202" w:rsidRDefault="00A9340A" w:rsidP="001F50B6">
      <w:pPr>
        <w:rPr>
          <w:rFonts w:eastAsia="SimSun"/>
          <w:lang w:val="en-GB"/>
        </w:rPr>
        <w:sectPr w:rsidR="00A9340A" w:rsidRPr="00892202" w:rsidSect="00C41256">
          <w:footerReference w:type="default" r:id="rId14"/>
          <w:type w:val="continuous"/>
          <w:pgSz w:w="11907" w:h="16839"/>
          <w:pgMar w:top="1417" w:right="1417" w:bottom="1417" w:left="1417" w:header="709" w:footer="709" w:gutter="0"/>
          <w:pgNumType w:start="1"/>
          <w:cols w:space="708"/>
          <w:docGrid w:linePitch="299"/>
        </w:sectPr>
      </w:pPr>
    </w:p>
    <w:p w:rsidR="008405A0" w:rsidRPr="00892202" w:rsidRDefault="00876D7B" w:rsidP="001F50B6">
      <w:pPr>
        <w:snapToGrid w:val="0"/>
        <w:rPr>
          <w:b/>
        </w:rPr>
      </w:pPr>
      <w:r>
        <w:rPr>
          <w:b/>
        </w:rPr>
        <w:lastRenderedPageBreak/>
        <w:t>Tartalomjegyzék:</w:t>
      </w:r>
    </w:p>
    <w:p w:rsidR="00D16D76" w:rsidRPr="00892202" w:rsidRDefault="00D16D76" w:rsidP="001F50B6">
      <w:pPr>
        <w:rPr>
          <w:lang w:val="en-GB"/>
        </w:rPr>
      </w:pPr>
    </w:p>
    <w:p w:rsidR="00326E89" w:rsidRDefault="003353E8">
      <w:pPr>
        <w:pStyle w:val="TOC1"/>
        <w:rPr>
          <w:rFonts w:asciiTheme="minorHAnsi" w:eastAsiaTheme="minorEastAsia" w:hAnsiTheme="minorHAnsi" w:cstheme="minorBidi"/>
          <w:noProof/>
          <w:lang w:val="en-GB" w:eastAsia="en-GB"/>
        </w:rPr>
      </w:pPr>
      <w:r w:rsidRPr="005A7298">
        <w:fldChar w:fldCharType="begin"/>
      </w:r>
      <w:r w:rsidRPr="00892202">
        <w:instrText xml:space="preserve"> TOC \o "1-1" \h \z \u </w:instrText>
      </w:r>
      <w:r w:rsidRPr="005A7298">
        <w:fldChar w:fldCharType="separate"/>
      </w:r>
      <w:hyperlink w:anchor="_Toc13582824" w:history="1">
        <w:r w:rsidR="00326E89" w:rsidRPr="00BB1E1E">
          <w:rPr>
            <w:rStyle w:val="Hyperlink"/>
            <w:caps/>
            <w:noProof/>
          </w:rPr>
          <w:t>1.</w:t>
        </w:r>
        <w:r w:rsidR="00326E89">
          <w:rPr>
            <w:rFonts w:asciiTheme="minorHAnsi" w:eastAsiaTheme="minorEastAsia" w:hAnsiTheme="minorHAnsi" w:cstheme="minorBidi"/>
            <w:noProof/>
            <w:lang w:val="en-GB" w:eastAsia="en-GB"/>
          </w:rPr>
          <w:tab/>
        </w:r>
        <w:r w:rsidR="00326E89" w:rsidRPr="00BB1E1E">
          <w:rPr>
            <w:rStyle w:val="Hyperlink"/>
            <w:b/>
            <w:caps/>
            <w:noProof/>
          </w:rPr>
          <w:t>„Gazdasági és monetáris unió, gazdasági és szociális kohézió” szekció</w:t>
        </w:r>
        <w:r w:rsidR="00326E89">
          <w:rPr>
            <w:noProof/>
            <w:webHidden/>
          </w:rPr>
          <w:tab/>
        </w:r>
        <w:r w:rsidR="00326E89">
          <w:rPr>
            <w:noProof/>
            <w:webHidden/>
          </w:rPr>
          <w:fldChar w:fldCharType="begin"/>
        </w:r>
        <w:r w:rsidR="00326E89">
          <w:rPr>
            <w:noProof/>
            <w:webHidden/>
          </w:rPr>
          <w:instrText xml:space="preserve"> PAGEREF _Toc13582824 \h </w:instrText>
        </w:r>
        <w:r w:rsidR="00326E89">
          <w:rPr>
            <w:noProof/>
            <w:webHidden/>
          </w:rPr>
        </w:r>
        <w:r w:rsidR="00326E89">
          <w:rPr>
            <w:noProof/>
            <w:webHidden/>
          </w:rPr>
          <w:fldChar w:fldCharType="separate"/>
        </w:r>
        <w:r w:rsidR="00326E89">
          <w:rPr>
            <w:noProof/>
            <w:webHidden/>
          </w:rPr>
          <w:t>3</w:t>
        </w:r>
        <w:r w:rsidR="00326E89">
          <w:rPr>
            <w:noProof/>
            <w:webHidden/>
          </w:rPr>
          <w:fldChar w:fldCharType="end"/>
        </w:r>
      </w:hyperlink>
    </w:p>
    <w:p w:rsidR="00326E89" w:rsidRDefault="007E43A2">
      <w:pPr>
        <w:pStyle w:val="TOC1"/>
        <w:rPr>
          <w:rFonts w:asciiTheme="minorHAnsi" w:eastAsiaTheme="minorEastAsia" w:hAnsiTheme="minorHAnsi" w:cstheme="minorBidi"/>
          <w:noProof/>
          <w:lang w:val="en-GB" w:eastAsia="en-GB"/>
        </w:rPr>
      </w:pPr>
      <w:hyperlink w:anchor="_Toc13582825" w:history="1">
        <w:r w:rsidR="00326E89" w:rsidRPr="00BB1E1E">
          <w:rPr>
            <w:rStyle w:val="Hyperlink"/>
            <w:noProof/>
          </w:rPr>
          <w:t>2.</w:t>
        </w:r>
        <w:r w:rsidR="00326E89">
          <w:rPr>
            <w:rFonts w:asciiTheme="minorHAnsi" w:eastAsiaTheme="minorEastAsia" w:hAnsiTheme="minorHAnsi" w:cstheme="minorBidi"/>
            <w:noProof/>
            <w:lang w:val="en-GB" w:eastAsia="en-GB"/>
          </w:rPr>
          <w:tab/>
        </w:r>
        <w:r w:rsidR="00326E89" w:rsidRPr="00BB1E1E">
          <w:rPr>
            <w:rStyle w:val="Hyperlink"/>
            <w:b/>
            <w:noProof/>
          </w:rPr>
          <w:t>EGYSÉGES PIAC, TERMELÉS ÉS FOGYASZTÁS</w:t>
        </w:r>
        <w:r w:rsidR="00326E89">
          <w:rPr>
            <w:noProof/>
            <w:webHidden/>
          </w:rPr>
          <w:tab/>
        </w:r>
        <w:r w:rsidR="00326E89">
          <w:rPr>
            <w:noProof/>
            <w:webHidden/>
          </w:rPr>
          <w:fldChar w:fldCharType="begin"/>
        </w:r>
        <w:r w:rsidR="00326E89">
          <w:rPr>
            <w:noProof/>
            <w:webHidden/>
          </w:rPr>
          <w:instrText xml:space="preserve"> PAGEREF _Toc13582825 \h </w:instrText>
        </w:r>
        <w:r w:rsidR="00326E89">
          <w:rPr>
            <w:noProof/>
            <w:webHidden/>
          </w:rPr>
        </w:r>
        <w:r w:rsidR="00326E89">
          <w:rPr>
            <w:noProof/>
            <w:webHidden/>
          </w:rPr>
          <w:fldChar w:fldCharType="separate"/>
        </w:r>
        <w:r w:rsidR="00326E89">
          <w:rPr>
            <w:noProof/>
            <w:webHidden/>
          </w:rPr>
          <w:t>7</w:t>
        </w:r>
        <w:r w:rsidR="00326E89">
          <w:rPr>
            <w:noProof/>
            <w:webHidden/>
          </w:rPr>
          <w:fldChar w:fldCharType="end"/>
        </w:r>
      </w:hyperlink>
    </w:p>
    <w:p w:rsidR="00326E89" w:rsidRDefault="007E43A2">
      <w:pPr>
        <w:pStyle w:val="TOC1"/>
        <w:rPr>
          <w:rFonts w:asciiTheme="minorHAnsi" w:eastAsiaTheme="minorEastAsia" w:hAnsiTheme="minorHAnsi" w:cstheme="minorBidi"/>
          <w:noProof/>
          <w:lang w:val="en-GB" w:eastAsia="en-GB"/>
        </w:rPr>
      </w:pPr>
      <w:hyperlink w:anchor="_Toc13582826" w:history="1">
        <w:r w:rsidR="00326E89" w:rsidRPr="00BB1E1E">
          <w:rPr>
            <w:rStyle w:val="Hyperlink"/>
            <w:caps/>
            <w:noProof/>
          </w:rPr>
          <w:t>3.</w:t>
        </w:r>
        <w:r w:rsidR="00326E89">
          <w:rPr>
            <w:rFonts w:asciiTheme="minorHAnsi" w:eastAsiaTheme="minorEastAsia" w:hAnsiTheme="minorHAnsi" w:cstheme="minorBidi"/>
            <w:noProof/>
            <w:lang w:val="en-GB" w:eastAsia="en-GB"/>
          </w:rPr>
          <w:tab/>
        </w:r>
        <w:r w:rsidR="00326E89" w:rsidRPr="00BB1E1E">
          <w:rPr>
            <w:rStyle w:val="Hyperlink"/>
            <w:b/>
            <w:caps/>
            <w:noProof/>
          </w:rPr>
          <w:t>„Közlekedés, energia, infrastruktúra és információs társadalom” szekció</w:t>
        </w:r>
        <w:r w:rsidR="00326E89">
          <w:rPr>
            <w:noProof/>
            <w:webHidden/>
          </w:rPr>
          <w:tab/>
        </w:r>
        <w:r w:rsidR="00326E89">
          <w:rPr>
            <w:noProof/>
            <w:webHidden/>
          </w:rPr>
          <w:fldChar w:fldCharType="begin"/>
        </w:r>
        <w:r w:rsidR="00326E89">
          <w:rPr>
            <w:noProof/>
            <w:webHidden/>
          </w:rPr>
          <w:instrText xml:space="preserve"> PAGEREF _Toc13582826 \h </w:instrText>
        </w:r>
        <w:r w:rsidR="00326E89">
          <w:rPr>
            <w:noProof/>
            <w:webHidden/>
          </w:rPr>
        </w:r>
        <w:r w:rsidR="00326E89">
          <w:rPr>
            <w:noProof/>
            <w:webHidden/>
          </w:rPr>
          <w:fldChar w:fldCharType="separate"/>
        </w:r>
        <w:r w:rsidR="00326E89">
          <w:rPr>
            <w:noProof/>
            <w:webHidden/>
          </w:rPr>
          <w:t>8</w:t>
        </w:r>
        <w:r w:rsidR="00326E89">
          <w:rPr>
            <w:noProof/>
            <w:webHidden/>
          </w:rPr>
          <w:fldChar w:fldCharType="end"/>
        </w:r>
      </w:hyperlink>
    </w:p>
    <w:p w:rsidR="00326E89" w:rsidRDefault="007E43A2">
      <w:pPr>
        <w:pStyle w:val="TOC1"/>
        <w:rPr>
          <w:rFonts w:asciiTheme="minorHAnsi" w:eastAsiaTheme="minorEastAsia" w:hAnsiTheme="minorHAnsi" w:cstheme="minorBidi"/>
          <w:noProof/>
          <w:lang w:val="en-GB" w:eastAsia="en-GB"/>
        </w:rPr>
      </w:pPr>
      <w:hyperlink w:anchor="_Toc13582827" w:history="1">
        <w:r w:rsidR="00326E89" w:rsidRPr="00BB1E1E">
          <w:rPr>
            <w:rStyle w:val="Hyperlink"/>
            <w:noProof/>
          </w:rPr>
          <w:t>4.</w:t>
        </w:r>
        <w:r w:rsidR="00326E89">
          <w:rPr>
            <w:rFonts w:asciiTheme="minorHAnsi" w:eastAsiaTheme="minorEastAsia" w:hAnsiTheme="minorHAnsi" w:cstheme="minorBidi"/>
            <w:noProof/>
            <w:lang w:val="en-GB" w:eastAsia="en-GB"/>
          </w:rPr>
          <w:tab/>
        </w:r>
        <w:r w:rsidR="00326E89" w:rsidRPr="00BB1E1E">
          <w:rPr>
            <w:rStyle w:val="Hyperlink"/>
            <w:b/>
            <w:noProof/>
          </w:rPr>
          <w:t>MEZŐGAZDASÁG, VIDÉKFEJLESZTÉS ÉS KÖRNYEZETVÉDELEM</w:t>
        </w:r>
        <w:r w:rsidR="00326E89">
          <w:rPr>
            <w:noProof/>
            <w:webHidden/>
          </w:rPr>
          <w:tab/>
        </w:r>
        <w:r w:rsidR="00326E89">
          <w:rPr>
            <w:noProof/>
            <w:webHidden/>
          </w:rPr>
          <w:fldChar w:fldCharType="begin"/>
        </w:r>
        <w:r w:rsidR="00326E89">
          <w:rPr>
            <w:noProof/>
            <w:webHidden/>
          </w:rPr>
          <w:instrText xml:space="preserve"> PAGEREF _Toc13582827 \h </w:instrText>
        </w:r>
        <w:r w:rsidR="00326E89">
          <w:rPr>
            <w:noProof/>
            <w:webHidden/>
          </w:rPr>
        </w:r>
        <w:r w:rsidR="00326E89">
          <w:rPr>
            <w:noProof/>
            <w:webHidden/>
          </w:rPr>
          <w:fldChar w:fldCharType="separate"/>
        </w:r>
        <w:r w:rsidR="00326E89">
          <w:rPr>
            <w:noProof/>
            <w:webHidden/>
          </w:rPr>
          <w:t>9</w:t>
        </w:r>
        <w:r w:rsidR="00326E89">
          <w:rPr>
            <w:noProof/>
            <w:webHidden/>
          </w:rPr>
          <w:fldChar w:fldCharType="end"/>
        </w:r>
      </w:hyperlink>
    </w:p>
    <w:p w:rsidR="00326E89" w:rsidRDefault="007E43A2">
      <w:pPr>
        <w:pStyle w:val="TOC1"/>
        <w:rPr>
          <w:rFonts w:asciiTheme="minorHAnsi" w:eastAsiaTheme="minorEastAsia" w:hAnsiTheme="minorHAnsi" w:cstheme="minorBidi"/>
          <w:noProof/>
          <w:lang w:val="en-GB" w:eastAsia="en-GB"/>
        </w:rPr>
      </w:pPr>
      <w:hyperlink w:anchor="_Toc13582828" w:history="1">
        <w:r w:rsidR="00326E89" w:rsidRPr="00BB1E1E">
          <w:rPr>
            <w:rStyle w:val="Hyperlink"/>
            <w:noProof/>
          </w:rPr>
          <w:t>5.</w:t>
        </w:r>
        <w:r w:rsidR="00326E89">
          <w:rPr>
            <w:rFonts w:asciiTheme="minorHAnsi" w:eastAsiaTheme="minorEastAsia" w:hAnsiTheme="minorHAnsi" w:cstheme="minorBidi"/>
            <w:noProof/>
            <w:lang w:val="en-GB" w:eastAsia="en-GB"/>
          </w:rPr>
          <w:tab/>
        </w:r>
        <w:r w:rsidR="00326E89" w:rsidRPr="00BB1E1E">
          <w:rPr>
            <w:rStyle w:val="Hyperlink"/>
            <w:b/>
            <w:noProof/>
          </w:rPr>
          <w:t>FOGLALKOZTATÁS- ÉS SZOCIÁLPOLITIKA, UNIÓS POLGÁRSÁG</w:t>
        </w:r>
        <w:r w:rsidR="00326E89">
          <w:rPr>
            <w:noProof/>
            <w:webHidden/>
          </w:rPr>
          <w:tab/>
        </w:r>
        <w:r w:rsidR="00326E89">
          <w:rPr>
            <w:noProof/>
            <w:webHidden/>
          </w:rPr>
          <w:fldChar w:fldCharType="begin"/>
        </w:r>
        <w:r w:rsidR="00326E89">
          <w:rPr>
            <w:noProof/>
            <w:webHidden/>
          </w:rPr>
          <w:instrText xml:space="preserve"> PAGEREF _Toc13582828 \h </w:instrText>
        </w:r>
        <w:r w:rsidR="00326E89">
          <w:rPr>
            <w:noProof/>
            <w:webHidden/>
          </w:rPr>
        </w:r>
        <w:r w:rsidR="00326E89">
          <w:rPr>
            <w:noProof/>
            <w:webHidden/>
          </w:rPr>
          <w:fldChar w:fldCharType="separate"/>
        </w:r>
        <w:r w:rsidR="00326E89">
          <w:rPr>
            <w:noProof/>
            <w:webHidden/>
          </w:rPr>
          <w:t>10</w:t>
        </w:r>
        <w:r w:rsidR="00326E89">
          <w:rPr>
            <w:noProof/>
            <w:webHidden/>
          </w:rPr>
          <w:fldChar w:fldCharType="end"/>
        </w:r>
      </w:hyperlink>
    </w:p>
    <w:p w:rsidR="00326E89" w:rsidRDefault="007E43A2">
      <w:pPr>
        <w:pStyle w:val="TOC1"/>
        <w:rPr>
          <w:rFonts w:asciiTheme="minorHAnsi" w:eastAsiaTheme="minorEastAsia" w:hAnsiTheme="minorHAnsi" w:cstheme="minorBidi"/>
          <w:noProof/>
          <w:lang w:val="en-GB" w:eastAsia="en-GB"/>
        </w:rPr>
      </w:pPr>
      <w:hyperlink w:anchor="_Toc13582829" w:history="1">
        <w:r w:rsidR="00326E89" w:rsidRPr="00BB1E1E">
          <w:rPr>
            <w:rStyle w:val="Hyperlink"/>
            <w:noProof/>
          </w:rPr>
          <w:t>6.</w:t>
        </w:r>
        <w:r w:rsidR="00326E89">
          <w:rPr>
            <w:rFonts w:asciiTheme="minorHAnsi" w:eastAsiaTheme="minorEastAsia" w:hAnsiTheme="minorHAnsi" w:cstheme="minorBidi"/>
            <w:noProof/>
            <w:lang w:val="en-GB" w:eastAsia="en-GB"/>
          </w:rPr>
          <w:tab/>
        </w:r>
        <w:r w:rsidR="00326E89" w:rsidRPr="00BB1E1E">
          <w:rPr>
            <w:rStyle w:val="Hyperlink"/>
            <w:b/>
            <w:noProof/>
          </w:rPr>
          <w:t>AZ UNIÓS ÜVEGHÁZHATÁSÚGÁZ-KIBOCSÁTÁS CSÖKKENTÉSÉRE IRÁNYULÓ HOSSZÚ TÁVÚ STRATÉGIA</w:t>
        </w:r>
        <w:r w:rsidR="00326E89">
          <w:rPr>
            <w:noProof/>
            <w:webHidden/>
          </w:rPr>
          <w:tab/>
        </w:r>
        <w:r w:rsidR="00326E89">
          <w:rPr>
            <w:noProof/>
            <w:webHidden/>
          </w:rPr>
          <w:fldChar w:fldCharType="begin"/>
        </w:r>
        <w:r w:rsidR="00326E89">
          <w:rPr>
            <w:noProof/>
            <w:webHidden/>
          </w:rPr>
          <w:instrText xml:space="preserve"> PAGEREF _Toc13582829 \h </w:instrText>
        </w:r>
        <w:r w:rsidR="00326E89">
          <w:rPr>
            <w:noProof/>
            <w:webHidden/>
          </w:rPr>
        </w:r>
        <w:r w:rsidR="00326E89">
          <w:rPr>
            <w:noProof/>
            <w:webHidden/>
          </w:rPr>
          <w:fldChar w:fldCharType="separate"/>
        </w:r>
        <w:r w:rsidR="00326E89">
          <w:rPr>
            <w:noProof/>
            <w:webHidden/>
          </w:rPr>
          <w:t>13</w:t>
        </w:r>
        <w:r w:rsidR="00326E89">
          <w:rPr>
            <w:noProof/>
            <w:webHidden/>
          </w:rPr>
          <w:fldChar w:fldCharType="end"/>
        </w:r>
      </w:hyperlink>
    </w:p>
    <w:p w:rsidR="008405A0" w:rsidRPr="00892202" w:rsidRDefault="003353E8" w:rsidP="001F50B6">
      <w:pPr>
        <w:ind w:left="567" w:hanging="567"/>
      </w:pPr>
      <w:r w:rsidRPr="005A7298">
        <w:fldChar w:fldCharType="end"/>
      </w:r>
      <w:r>
        <w:br w:type="page"/>
      </w:r>
    </w:p>
    <w:p w:rsidR="00421682" w:rsidRPr="00892202" w:rsidRDefault="00AD7EE7" w:rsidP="001F50B6">
      <w:r>
        <w:lastRenderedPageBreak/>
        <w:t>A 2019. június 19–20-i plenáris ülésen elfogadott vélemények a következők:</w:t>
      </w:r>
    </w:p>
    <w:p w:rsidR="00A43397" w:rsidRPr="00892202" w:rsidRDefault="00A43397" w:rsidP="001F50B6">
      <w:pPr>
        <w:rPr>
          <w:lang w:val="en-GB"/>
        </w:rPr>
      </w:pPr>
    </w:p>
    <w:p w:rsidR="00A43397" w:rsidRPr="00892202" w:rsidRDefault="000C491C" w:rsidP="001F50B6">
      <w:pPr>
        <w:pStyle w:val="Heading1"/>
        <w:ind w:left="567" w:hanging="567"/>
        <w:rPr>
          <w:b/>
          <w:caps/>
        </w:rPr>
      </w:pPr>
      <w:bookmarkStart w:id="1" w:name="_Toc13582824"/>
      <w:r>
        <w:rPr>
          <w:b/>
          <w:caps/>
        </w:rPr>
        <w:t>„Gazdasági és monetáris unió, gazdasági és szociális kohézió” szekció</w:t>
      </w:r>
      <w:bookmarkEnd w:id="1"/>
    </w:p>
    <w:p w:rsidR="00026116" w:rsidRPr="00892202" w:rsidRDefault="00026116" w:rsidP="001F50B6">
      <w:pPr>
        <w:jc w:val="left"/>
        <w:rPr>
          <w:b/>
          <w:caps/>
          <w:kern w:val="28"/>
          <w:lang w:val="en-GB"/>
        </w:rPr>
      </w:pPr>
    </w:p>
    <w:p w:rsidR="008262D3" w:rsidRPr="00892202" w:rsidRDefault="007A7FE9" w:rsidP="001F50B6">
      <w:pPr>
        <w:jc w:val="left"/>
        <w:rPr>
          <w:b/>
          <w:caps/>
          <w:kern w:val="28"/>
        </w:rPr>
      </w:pPr>
      <w:r>
        <w:rPr>
          <w:b/>
          <w:caps/>
          <w:u w:val="single"/>
        </w:rPr>
        <w:t>ECO/479</w:t>
      </w:r>
    </w:p>
    <w:p w:rsidR="008262D3" w:rsidRPr="00892202" w:rsidRDefault="008262D3" w:rsidP="001F50B6">
      <w:pPr>
        <w:jc w:val="left"/>
        <w:rPr>
          <w:b/>
          <w:caps/>
          <w:kern w:val="28"/>
          <w:lang w:val="en-GB"/>
        </w:rPr>
      </w:pPr>
    </w:p>
    <w:p w:rsidR="00847378" w:rsidRPr="00892202" w:rsidRDefault="007A7FE9" w:rsidP="001F50B6">
      <w:pPr>
        <w:widowControl w:val="0"/>
        <w:numPr>
          <w:ilvl w:val="0"/>
          <w:numId w:val="13"/>
        </w:numPr>
        <w:overflowPunct w:val="0"/>
        <w:autoSpaceDE w:val="0"/>
        <w:autoSpaceDN w:val="0"/>
        <w:adjustRightInd w:val="0"/>
        <w:ind w:left="567" w:hanging="567"/>
        <w:textAlignment w:val="baseline"/>
        <w:rPr>
          <w:b/>
          <w:i/>
          <w:sz w:val="28"/>
          <w:szCs w:val="28"/>
        </w:rPr>
      </w:pPr>
      <w:r>
        <w:rPr>
          <w:b/>
          <w:i/>
          <w:sz w:val="28"/>
          <w:szCs w:val="28"/>
        </w:rPr>
        <w:t>Gazdasági konvergencia és versenyképesség az uniós makrorégiókban – transznacionális klaszterek</w:t>
      </w:r>
    </w:p>
    <w:p w:rsidR="00E97ECB" w:rsidRPr="00892202" w:rsidRDefault="00E97ECB" w:rsidP="001F50B6">
      <w:pPr>
        <w:tabs>
          <w:tab w:val="center" w:pos="284"/>
          <w:tab w:val="left" w:pos="1701"/>
        </w:tabs>
        <w:ind w:left="266" w:hanging="266"/>
        <w:rPr>
          <w:b/>
          <w:lang w:val="en-GB"/>
        </w:rPr>
      </w:pPr>
    </w:p>
    <w:p w:rsidR="00847378" w:rsidRPr="005A7298" w:rsidRDefault="00847378" w:rsidP="001F50B6">
      <w:pPr>
        <w:tabs>
          <w:tab w:val="center" w:pos="284"/>
          <w:tab w:val="left" w:pos="1701"/>
        </w:tabs>
        <w:ind w:left="266" w:hanging="266"/>
      </w:pPr>
      <w:r>
        <w:rPr>
          <w:b/>
        </w:rPr>
        <w:t>Előadó:</w:t>
      </w:r>
      <w:r>
        <w:tab/>
        <w:t>Dimitris DIMITRIADIS (Munkaadók/EL)</w:t>
      </w:r>
    </w:p>
    <w:p w:rsidR="00847378" w:rsidRPr="00892202" w:rsidRDefault="00847378" w:rsidP="001F50B6">
      <w:pPr>
        <w:tabs>
          <w:tab w:val="center" w:pos="284"/>
        </w:tabs>
        <w:ind w:left="266" w:hanging="266"/>
        <w:rPr>
          <w:lang w:val="en-GB"/>
        </w:rPr>
      </w:pPr>
    </w:p>
    <w:p w:rsidR="007A7FE9" w:rsidRPr="005A7298" w:rsidRDefault="00847378" w:rsidP="001F50B6">
      <w:pPr>
        <w:tabs>
          <w:tab w:val="center" w:pos="284"/>
        </w:tabs>
        <w:ind w:left="266" w:hanging="266"/>
      </w:pPr>
      <w:r>
        <w:rPr>
          <w:b/>
        </w:rPr>
        <w:t>Hivatkozás:</w:t>
      </w:r>
      <w:r w:rsidR="00326E89">
        <w:rPr>
          <w:b/>
        </w:rPr>
        <w:tab/>
      </w:r>
      <w:r w:rsidR="00326E89">
        <w:rPr>
          <w:b/>
        </w:rPr>
        <w:tab/>
      </w:r>
      <w:r>
        <w:t>Feltáró vélemény a román elnökség felkérésére</w:t>
      </w:r>
    </w:p>
    <w:p w:rsidR="00847378" w:rsidRPr="00892202" w:rsidRDefault="007A7FE9" w:rsidP="001F50B6">
      <w:pPr>
        <w:tabs>
          <w:tab w:val="center" w:pos="284"/>
        </w:tabs>
        <w:ind w:left="266" w:firstLine="1435"/>
      </w:pPr>
      <w:r>
        <w:t>EESC-2018-04910-00-00-AC</w:t>
      </w:r>
    </w:p>
    <w:p w:rsidR="00B15573" w:rsidRPr="00892202" w:rsidRDefault="00B15573">
      <w:pPr>
        <w:keepNext/>
        <w:keepLines/>
        <w:tabs>
          <w:tab w:val="center" w:pos="284"/>
        </w:tabs>
        <w:ind w:left="266" w:hanging="266"/>
        <w:rPr>
          <w:b/>
          <w:lang w:val="en-GB"/>
        </w:rPr>
      </w:pPr>
    </w:p>
    <w:p w:rsidR="00847378" w:rsidRPr="00892202" w:rsidRDefault="00AC6F72">
      <w:pPr>
        <w:keepNext/>
        <w:keepLines/>
        <w:tabs>
          <w:tab w:val="center" w:pos="284"/>
        </w:tabs>
        <w:ind w:left="266" w:hanging="266"/>
        <w:rPr>
          <w:b/>
        </w:rPr>
      </w:pPr>
      <w:r>
        <w:rPr>
          <w:b/>
        </w:rPr>
        <w:t>Főbb pontok:</w:t>
      </w:r>
    </w:p>
    <w:p w:rsidR="00B750B4" w:rsidRPr="005A7298" w:rsidRDefault="00B750B4">
      <w:pPr>
        <w:jc w:val="left"/>
        <w:rPr>
          <w:lang w:val="en-GB"/>
        </w:rPr>
      </w:pPr>
    </w:p>
    <w:p w:rsidR="007D48A1" w:rsidRPr="005A7298" w:rsidRDefault="007D48A1" w:rsidP="005D56C1">
      <w:pPr>
        <w:pStyle w:val="ListParagraph"/>
        <w:numPr>
          <w:ilvl w:val="0"/>
          <w:numId w:val="62"/>
        </w:numPr>
        <w:overflowPunct w:val="0"/>
        <w:autoSpaceDE w:val="0"/>
        <w:autoSpaceDN w:val="0"/>
        <w:adjustRightInd w:val="0"/>
        <w:ind w:left="709" w:hanging="283"/>
        <w:textAlignment w:val="baseline"/>
      </w:pPr>
      <w:r>
        <w:t>Az EGSZB elismeri, hogy a korábban létező társadalmi-gazdasági és kulturális kapcsolatokon alapuló régiók és nemzetek közötti együttműködés nem más, mint az Európai Unió gyors bővüléséből eredő kihívásokra szükségszerűen adott válasz. Nagyon fontos határokon átnyúló és ágazatokon átívelő összekapcsolt együttműködési rendszer létrehozása, valamint a tematikai területek stratégiai keretének kidolgozása a finanszírozó intézmények számára annak érdekében, hogy a makrorégiókban jól célzott projekteket lehessen végrehajtani.</w:t>
      </w:r>
    </w:p>
    <w:p w:rsidR="007D48A1" w:rsidRPr="005A7298" w:rsidRDefault="007D48A1">
      <w:pPr>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A négy makroregionális stratégia működése első tíz évében hasznos eszközként szolgált a kohéziós politikában, amit elsősorban az integráció és az együttműködés fokozásával, valamint a polgárokat és a régiókat érintő fontos fejlesztési folyamatok meghatározásával ért el.</w:t>
      </w:r>
    </w:p>
    <w:p w:rsidR="007D48A1" w:rsidRPr="005A7298" w:rsidRDefault="007D48A1" w:rsidP="005D56C1">
      <w:pPr>
        <w:pStyle w:val="ListParagraph"/>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Ugyanakkor az elért eredmények a társadalmi és területi egyenlőtlenségek csökkentésének és a környezeti fenntarthatóság növelésének tekintetében továbbra is szerények. Ennek oka a kormányzás és a kormányközi megállapodások bonyolultsága, a nagyfokú bürokrácia, a régiók közötti homogenitás hiánya, továbbá a szociális partnerek, a társadalmi-gazdasági szereplők és a civil társadalmi szervezetek elégtelen bevonása.</w:t>
      </w:r>
    </w:p>
    <w:p w:rsidR="007D48A1" w:rsidRPr="005A7298" w:rsidRDefault="007D48A1">
      <w:pPr>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Az EGSZB támogatja, hogy a makroregionális stratégiákat olyan laboratóriumoknak kell tekinteni, amelyek az európai társadalom és gazdaság előtt álló új kihívásokat igyekeznek egy alulról építkező megközelítés kidolgozásával megoldani.</w:t>
      </w:r>
    </w:p>
    <w:p w:rsidR="007D48A1" w:rsidRPr="005A7298" w:rsidRDefault="007D48A1" w:rsidP="005D56C1">
      <w:pPr>
        <w:pStyle w:val="ListParagraph"/>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A makroregionális stratégiák erősíthetik az európai integrációt, mivel a kohéziós és fenntarthatósági politika fő stratégiai keretét alkotják.</w:t>
      </w:r>
    </w:p>
    <w:p w:rsidR="007D48A1" w:rsidRPr="005A7298" w:rsidRDefault="007D48A1" w:rsidP="005D56C1">
      <w:pPr>
        <w:pStyle w:val="ListParagraph"/>
        <w:overflowPunct w:val="0"/>
        <w:autoSpaceDE w:val="0"/>
        <w:autoSpaceDN w:val="0"/>
        <w:adjustRightInd w:val="0"/>
        <w:ind w:left="709" w:hanging="283"/>
        <w:textAlignment w:val="baseline"/>
        <w:rPr>
          <w:lang w:val="en-GB"/>
        </w:rPr>
      </w:pPr>
    </w:p>
    <w:p w:rsidR="007D48A1" w:rsidRPr="005A7298" w:rsidRDefault="007D48A1" w:rsidP="005D56C1">
      <w:pPr>
        <w:pStyle w:val="ListParagraph"/>
        <w:numPr>
          <w:ilvl w:val="0"/>
          <w:numId w:val="62"/>
        </w:numPr>
        <w:overflowPunct w:val="0"/>
        <w:autoSpaceDE w:val="0"/>
        <w:autoSpaceDN w:val="0"/>
        <w:adjustRightInd w:val="0"/>
        <w:ind w:left="709"/>
        <w:textAlignment w:val="baseline"/>
      </w:pPr>
      <w:r>
        <w:t>Emellett a makroregionális stratégiáknak azokra a politikákra is irányulniuk kell, amelyeket az ENSZ 2030-ig tartó időszakra szóló (2015-ben elfogadott) fenntartható fejlődési menetrendje támogat.</w:t>
      </w:r>
    </w:p>
    <w:p w:rsidR="00A25599" w:rsidRPr="005A7298" w:rsidRDefault="007D48A1" w:rsidP="005D56C1">
      <w:pPr>
        <w:pStyle w:val="ListParagraph"/>
        <w:keepNext/>
        <w:keepLines/>
        <w:numPr>
          <w:ilvl w:val="0"/>
          <w:numId w:val="62"/>
        </w:numPr>
        <w:overflowPunct w:val="0"/>
        <w:autoSpaceDE w:val="0"/>
        <w:autoSpaceDN w:val="0"/>
        <w:adjustRightInd w:val="0"/>
        <w:ind w:left="709"/>
        <w:textAlignment w:val="baseline"/>
      </w:pPr>
      <w:r>
        <w:lastRenderedPageBreak/>
        <w:t>Az EGSZB egy sor konkrét szakpolitikai javaslatot sorol fel. Ezek az alábbiak szerint foglalhatók össze: a politikai beavatkozások megerősítésének szükségessége mellett csökkentenünk kell a bürokratikus terheket; a meglévő adatbázisok összekapcsolása és kezelése révén be kell vezetni egy működőképes hálózatot; előtérbe kell helyezni a szociális partnerek, a helyi társadalmi-gazdasági szereplők és a civil társadalmi szervezetek hálózatokba és klaszterekbe szervezését. A jövőben a makroregionális stratégiák jelentős előnyöket élveznek majd az oktatási tevékenységek hatékony hálózataiból.</w:t>
      </w:r>
    </w:p>
    <w:p w:rsidR="007D48A1" w:rsidRPr="005A7298" w:rsidRDefault="007D48A1" w:rsidP="005D56C1">
      <w:pPr>
        <w:keepNext/>
        <w:keepLines/>
        <w:overflowPunct w:val="0"/>
        <w:autoSpaceDE w:val="0"/>
        <w:autoSpaceDN w:val="0"/>
        <w:adjustRightInd w:val="0"/>
        <w:textAlignment w:val="baseline"/>
        <w:rPr>
          <w:lang w:val="en-GB"/>
        </w:rPr>
      </w:pPr>
    </w:p>
    <w:p w:rsidR="007D48A1" w:rsidRPr="005A7298" w:rsidRDefault="007D48A1" w:rsidP="005D56C1">
      <w:pPr>
        <w:pStyle w:val="ListParagraph"/>
        <w:numPr>
          <w:ilvl w:val="0"/>
          <w:numId w:val="62"/>
        </w:numPr>
        <w:ind w:left="709"/>
      </w:pPr>
      <w:r>
        <w:t>Az érdekelt feleknek szóló makroregionális kommunikációs stratégiák kidolgozása és végrehajtása erőteljes támogató szerepet játszik a láthatóság fokozásában, a hálózatépítés és a részvétel elősegítésében.</w:t>
      </w:r>
    </w:p>
    <w:p w:rsidR="007D48A1" w:rsidRPr="005A7298" w:rsidRDefault="007D48A1">
      <w:pPr>
        <w:rPr>
          <w:lang w:val="en-GB"/>
        </w:rPr>
      </w:pPr>
    </w:p>
    <w:p w:rsidR="007D48A1" w:rsidRPr="005A7298" w:rsidRDefault="007D48A1">
      <w:pPr>
        <w:tabs>
          <w:tab w:val="left" w:pos="0"/>
        </w:tabs>
        <w:ind w:left="1701" w:right="-141" w:hanging="1701"/>
        <w:rPr>
          <w:i/>
          <w:iCs/>
        </w:rPr>
      </w:pPr>
      <w:r>
        <w:rPr>
          <w:b/>
          <w:bCs/>
          <w:i/>
          <w:iCs/>
        </w:rPr>
        <w:t>Kapcsolattartó:</w:t>
      </w:r>
      <w:r w:rsidR="00326E89">
        <w:rPr>
          <w:b/>
          <w:bCs/>
          <w:i/>
          <w:iCs/>
        </w:rPr>
        <w:tab/>
      </w:r>
      <w:r>
        <w:rPr>
          <w:bCs/>
          <w:i/>
          <w:iCs/>
        </w:rPr>
        <w:t>Georgios Meleas</w:t>
      </w:r>
    </w:p>
    <w:p w:rsidR="007D48A1" w:rsidRPr="005A7298" w:rsidRDefault="007D48A1">
      <w:pPr>
        <w:tabs>
          <w:tab w:val="left" w:pos="142"/>
        </w:tabs>
        <w:ind w:left="1701" w:right="544"/>
        <w:rPr>
          <w:i/>
          <w:iCs/>
        </w:rPr>
      </w:pPr>
      <w:r>
        <w:rPr>
          <w:i/>
          <w:iCs/>
        </w:rPr>
        <w:t>(Tel.: 00 32 2 546 97 95 – e-mail:</w:t>
      </w:r>
      <w:r>
        <w:t xml:space="preserve"> </w:t>
      </w:r>
      <w:hyperlink r:id="rId15" w:history="1">
        <w:r>
          <w:rPr>
            <w:rStyle w:val="Hyperlink"/>
            <w:i/>
          </w:rPr>
          <w:t>georgios.meleas</w:t>
        </w:r>
        <w:r>
          <w:rPr>
            <w:rStyle w:val="Hyperlink"/>
            <w:i/>
            <w:iCs/>
          </w:rPr>
          <w:t>@eesc.europa.eu</w:t>
        </w:r>
      </w:hyperlink>
      <w:r>
        <w:rPr>
          <w:i/>
          <w:iCs/>
        </w:rPr>
        <w:t>)</w:t>
      </w:r>
    </w:p>
    <w:p w:rsidR="00085624" w:rsidRPr="00892202" w:rsidRDefault="00085624">
      <w:pPr>
        <w:jc w:val="left"/>
        <w:rPr>
          <w:b/>
          <w:caps/>
          <w:kern w:val="28"/>
          <w:u w:val="single"/>
          <w:lang w:val="en-GB"/>
        </w:rPr>
      </w:pPr>
    </w:p>
    <w:p w:rsidR="006D5DF2" w:rsidRPr="005A7298" w:rsidRDefault="006D5DF2" w:rsidP="005D56C1">
      <w:pPr>
        <w:jc w:val="left"/>
      </w:pPr>
      <w:r>
        <w:rPr>
          <w:b/>
          <w:u w:val="single"/>
        </w:rPr>
        <w:t>ECO/486</w:t>
      </w:r>
    </w:p>
    <w:p w:rsidR="006D5DF2" w:rsidRPr="005A7298" w:rsidRDefault="006D5DF2" w:rsidP="005D56C1">
      <w:pPr>
        <w:jc w:val="left"/>
        <w:rPr>
          <w:lang w:val="en-GB"/>
        </w:rPr>
      </w:pPr>
    </w:p>
    <w:p w:rsidR="006D5DF2" w:rsidRPr="005A7298" w:rsidRDefault="006D5DF2">
      <w:pPr>
        <w:widowControl w:val="0"/>
        <w:numPr>
          <w:ilvl w:val="0"/>
          <w:numId w:val="13"/>
        </w:numPr>
        <w:overflowPunct w:val="0"/>
        <w:autoSpaceDE w:val="0"/>
        <w:autoSpaceDN w:val="0"/>
        <w:adjustRightInd w:val="0"/>
        <w:ind w:left="567" w:hanging="567"/>
        <w:textAlignment w:val="baseline"/>
        <w:rPr>
          <w:b/>
          <w:i/>
          <w:sz w:val="28"/>
          <w:szCs w:val="28"/>
        </w:rPr>
      </w:pPr>
      <w:r>
        <w:rPr>
          <w:b/>
          <w:i/>
          <w:sz w:val="28"/>
          <w:szCs w:val="28"/>
        </w:rPr>
        <w:t>Európai beruházási terv: helyzetfelmérés és a következő lépések</w:t>
      </w:r>
    </w:p>
    <w:p w:rsidR="006D5DF2" w:rsidRPr="005A7298" w:rsidRDefault="006D5DF2">
      <w:pPr>
        <w:widowControl w:val="0"/>
        <w:overflowPunct w:val="0"/>
        <w:autoSpaceDE w:val="0"/>
        <w:autoSpaceDN w:val="0"/>
        <w:adjustRightInd w:val="0"/>
        <w:textAlignment w:val="baseline"/>
        <w:rPr>
          <w:b/>
          <w:i/>
          <w:lang w:val="en-GB"/>
        </w:rPr>
      </w:pPr>
    </w:p>
    <w:p w:rsidR="006D5DF2" w:rsidRPr="005A7298" w:rsidRDefault="006D5DF2">
      <w:pPr>
        <w:tabs>
          <w:tab w:val="center" w:pos="284"/>
        </w:tabs>
        <w:ind w:left="266" w:hanging="266"/>
      </w:pPr>
      <w:r>
        <w:rPr>
          <w:b/>
        </w:rPr>
        <w:t>Előadó:</w:t>
      </w:r>
      <w:r>
        <w:tab/>
      </w:r>
      <w:r w:rsidR="00326E89">
        <w:tab/>
      </w:r>
      <w:r>
        <w:t>Petr ZAHRADNÍK (Munkaadók csoportja/CZ)</w:t>
      </w:r>
    </w:p>
    <w:p w:rsidR="006D5DF2" w:rsidRPr="005A7298" w:rsidRDefault="006D5DF2">
      <w:pPr>
        <w:tabs>
          <w:tab w:val="center" w:pos="284"/>
        </w:tabs>
        <w:ind w:left="266" w:hanging="266"/>
      </w:pPr>
      <w:r>
        <w:rPr>
          <w:b/>
        </w:rPr>
        <w:t>Társelőadó:</w:t>
      </w:r>
      <w:r w:rsidR="00326E89">
        <w:rPr>
          <w:b/>
        </w:rPr>
        <w:tab/>
      </w:r>
      <w:r w:rsidR="00326E89">
        <w:rPr>
          <w:b/>
        </w:rPr>
        <w:tab/>
      </w:r>
      <w:r>
        <w:t>Javier DOZ ORRIT (Munkavállalók csoportja/ES)</w:t>
      </w:r>
    </w:p>
    <w:p w:rsidR="006D5DF2" w:rsidRPr="005A7298" w:rsidRDefault="006D5DF2">
      <w:pPr>
        <w:tabs>
          <w:tab w:val="center" w:pos="284"/>
        </w:tabs>
        <w:ind w:left="266" w:hanging="266"/>
        <w:rPr>
          <w:lang w:val="en-GB"/>
        </w:rPr>
      </w:pPr>
    </w:p>
    <w:p w:rsidR="006D5DF2" w:rsidRPr="005A7298" w:rsidRDefault="006D5DF2">
      <w:pPr>
        <w:tabs>
          <w:tab w:val="center" w:pos="284"/>
        </w:tabs>
        <w:ind w:left="266" w:hanging="266"/>
      </w:pPr>
      <w:r>
        <w:rPr>
          <w:b/>
        </w:rPr>
        <w:t>Hivatkozás:</w:t>
      </w:r>
      <w:r w:rsidR="00326E89">
        <w:rPr>
          <w:b/>
        </w:rPr>
        <w:tab/>
      </w:r>
      <w:r w:rsidR="00326E89">
        <w:rPr>
          <w:b/>
        </w:rPr>
        <w:tab/>
      </w:r>
      <w:r>
        <w:t>COM(2018) 771 final</w:t>
      </w:r>
    </w:p>
    <w:p w:rsidR="006D5DF2" w:rsidRPr="005A7298" w:rsidRDefault="006D5DF2">
      <w:pPr>
        <w:tabs>
          <w:tab w:val="center" w:pos="284"/>
        </w:tabs>
        <w:ind w:left="266" w:firstLine="1435"/>
      </w:pPr>
      <w:r>
        <w:t>EESC-2019-00069-00-00-AC</w:t>
      </w:r>
    </w:p>
    <w:p w:rsidR="006D5DF2" w:rsidRPr="005A7298" w:rsidRDefault="006D5DF2">
      <w:pPr>
        <w:tabs>
          <w:tab w:val="center" w:pos="284"/>
        </w:tabs>
        <w:ind w:left="266" w:hanging="266"/>
        <w:rPr>
          <w:lang w:val="en-GB"/>
        </w:rPr>
      </w:pPr>
    </w:p>
    <w:p w:rsidR="00786F0E" w:rsidRPr="005A7298" w:rsidRDefault="00786F0E">
      <w:pPr>
        <w:tabs>
          <w:tab w:val="center" w:pos="284"/>
        </w:tabs>
        <w:ind w:left="266" w:hanging="266"/>
        <w:rPr>
          <w:b/>
          <w:color w:val="000000" w:themeColor="text1"/>
        </w:rPr>
      </w:pPr>
      <w:r>
        <w:rPr>
          <w:b/>
          <w:color w:val="000000" w:themeColor="text1"/>
        </w:rPr>
        <w:t>Főbb pontok:</w:t>
      </w:r>
    </w:p>
    <w:p w:rsidR="00786F0E" w:rsidRPr="005A7298" w:rsidRDefault="00786F0E">
      <w:pPr>
        <w:tabs>
          <w:tab w:val="center" w:pos="284"/>
        </w:tabs>
        <w:ind w:left="266" w:hanging="266"/>
        <w:rPr>
          <w:color w:val="000000" w:themeColor="text1"/>
          <w:lang w:val="en-GB"/>
        </w:rPr>
      </w:pPr>
    </w:p>
    <w:p w:rsidR="006D5DF2" w:rsidRPr="005A7298" w:rsidRDefault="006D5DF2">
      <w:pPr>
        <w:tabs>
          <w:tab w:val="center" w:pos="284"/>
        </w:tabs>
        <w:ind w:left="266" w:hanging="266"/>
        <w:rPr>
          <w:color w:val="000000" w:themeColor="text1"/>
        </w:rPr>
      </w:pPr>
      <w:r>
        <w:rPr>
          <w:color w:val="000000" w:themeColor="text1"/>
        </w:rPr>
        <w:t>Az EGSZB:</w:t>
      </w:r>
    </w:p>
    <w:p w:rsidR="00786F0E" w:rsidRPr="005A7298" w:rsidRDefault="00786F0E">
      <w:pPr>
        <w:rPr>
          <w:color w:val="000000" w:themeColor="text1"/>
          <w:lang w:val="en-GB"/>
        </w:rPr>
      </w:pPr>
    </w:p>
    <w:p w:rsidR="00786F0E" w:rsidRPr="00892202" w:rsidRDefault="00786F0E" w:rsidP="005D56C1">
      <w:pPr>
        <w:pStyle w:val="Heading2"/>
        <w:numPr>
          <w:ilvl w:val="0"/>
          <w:numId w:val="63"/>
        </w:numPr>
      </w:pPr>
      <w:r>
        <w:t>üdvözli az európai beruházási tervet, mivel az egy új típusú uniós pénzügyi újraelosztásként hozzájárul az EU-ban történő beruházások ösztönzéséhez és a stratégiai jellegű páneurópai beruházások céljára rendelkezésre álló korlátozott pénzügyi források hatékonyabb kihasználásához;</w:t>
      </w:r>
    </w:p>
    <w:p w:rsidR="00786F0E" w:rsidRPr="005A7298" w:rsidRDefault="00786F0E">
      <w:pPr>
        <w:rPr>
          <w:lang w:val="en-GB"/>
        </w:rPr>
      </w:pPr>
    </w:p>
    <w:p w:rsidR="00786F0E" w:rsidRPr="00892202" w:rsidRDefault="00786F0E" w:rsidP="005D56C1">
      <w:pPr>
        <w:pStyle w:val="Heading2"/>
        <w:numPr>
          <w:ilvl w:val="0"/>
          <w:numId w:val="63"/>
        </w:numPr>
      </w:pPr>
      <w:r>
        <w:t>javasolja, hogy a hosszú távú, fenntartható beruházási politika egyik kritériumaként határozzanak meg az EU-ban egy beruházási célkitűzést;</w:t>
      </w:r>
    </w:p>
    <w:p w:rsidR="00786F0E" w:rsidRPr="00892202" w:rsidRDefault="00786F0E">
      <w:pPr>
        <w:pStyle w:val="Heading2"/>
        <w:numPr>
          <w:ilvl w:val="0"/>
          <w:numId w:val="0"/>
        </w:numPr>
        <w:ind w:left="567" w:hanging="567"/>
        <w:rPr>
          <w:lang w:val="en-GB"/>
        </w:rPr>
      </w:pPr>
    </w:p>
    <w:p w:rsidR="00786F0E" w:rsidRPr="00892202" w:rsidRDefault="00786F0E" w:rsidP="005D56C1">
      <w:pPr>
        <w:pStyle w:val="Heading2"/>
        <w:numPr>
          <w:ilvl w:val="0"/>
          <w:numId w:val="63"/>
        </w:numPr>
      </w:pPr>
      <w:r>
        <w:t>úgy véli, hogy további útmutatásra volna szükség a nagyobb földrajzi és ágazati egyensúly eléréséhez az európai beruházási terv és az InvestEU program stratégiai céljainak elérése tekintetében;</w:t>
      </w:r>
    </w:p>
    <w:p w:rsidR="00786F0E" w:rsidRPr="005A7298" w:rsidRDefault="00786F0E">
      <w:pPr>
        <w:rPr>
          <w:lang w:val="en-GB"/>
        </w:rPr>
      </w:pPr>
    </w:p>
    <w:p w:rsidR="00786F0E" w:rsidRPr="00892202" w:rsidRDefault="00786F0E" w:rsidP="005D56C1">
      <w:pPr>
        <w:pStyle w:val="Heading2"/>
        <w:numPr>
          <w:ilvl w:val="0"/>
          <w:numId w:val="63"/>
        </w:numPr>
      </w:pPr>
      <w:r>
        <w:t>fontosnak tartja a több program, illetve projekt kombinálására vonatkozó szabályozás egyszerűsítését;</w:t>
      </w:r>
    </w:p>
    <w:p w:rsidR="00786F0E" w:rsidRPr="005A7298" w:rsidRDefault="00786F0E">
      <w:pPr>
        <w:rPr>
          <w:lang w:val="en-GB"/>
        </w:rPr>
      </w:pPr>
    </w:p>
    <w:p w:rsidR="00786F0E" w:rsidRPr="00892202" w:rsidRDefault="00786F0E" w:rsidP="005D56C1">
      <w:pPr>
        <w:pStyle w:val="Heading2"/>
        <w:numPr>
          <w:ilvl w:val="0"/>
          <w:numId w:val="63"/>
        </w:numPr>
      </w:pPr>
      <w:r>
        <w:lastRenderedPageBreak/>
        <w:t>több erőfeszítést sürget annak érdekében, hogy rábírják a tagállamokat olyan nagy volumenű európai projektek, mint a SESAR, az ERTMS vagy az EU-beli intelligens energiahálózatok támogatására, mivel ez az InvestEU program egyik legfontosabb többletértéke;</w:t>
      </w:r>
    </w:p>
    <w:p w:rsidR="00786F0E" w:rsidRPr="005A7298" w:rsidRDefault="00786F0E">
      <w:pPr>
        <w:rPr>
          <w:lang w:val="en-GB"/>
        </w:rPr>
      </w:pPr>
    </w:p>
    <w:p w:rsidR="00786F0E" w:rsidRPr="00892202" w:rsidRDefault="00786F0E" w:rsidP="005D56C1">
      <w:pPr>
        <w:pStyle w:val="Heading2"/>
        <w:numPr>
          <w:ilvl w:val="0"/>
          <w:numId w:val="63"/>
        </w:numPr>
      </w:pPr>
      <w:r>
        <w:t>határozottan támogatja az Európai Bizottság arra irányuló erőfeszítéseit, hogy meghatározza, melyek a legfőbb akadályai a beruházási tevékenységek intenzívebbé tételének az egységes piaci környezet, az infrastruktúrák integrálása, az oktatási és készségbeli követelmények, valamint az állami támogatásra vonatkozó szabályok összehangolása terén;</w:t>
      </w:r>
    </w:p>
    <w:p w:rsidR="00786F0E" w:rsidRPr="005A7298" w:rsidRDefault="00786F0E">
      <w:pPr>
        <w:rPr>
          <w:lang w:val="en-GB"/>
        </w:rPr>
      </w:pPr>
    </w:p>
    <w:p w:rsidR="00786F0E" w:rsidRPr="00892202" w:rsidRDefault="00786F0E" w:rsidP="005D56C1">
      <w:pPr>
        <w:pStyle w:val="Heading2"/>
        <w:numPr>
          <w:ilvl w:val="0"/>
          <w:numId w:val="63"/>
        </w:numPr>
      </w:pPr>
      <w:r>
        <w:t>arra kéri az EU hatóságait, hogy a 2021–2027-es időszakra vonatkozó többéves pénzügyi kereten belül növeljék meg az InvestEU finanszírozási képességét;</w:t>
      </w:r>
    </w:p>
    <w:p w:rsidR="00786F0E" w:rsidRPr="005A7298" w:rsidRDefault="00786F0E">
      <w:pPr>
        <w:rPr>
          <w:lang w:val="en-GB"/>
        </w:rPr>
      </w:pPr>
    </w:p>
    <w:p w:rsidR="00786F0E" w:rsidRPr="00892202" w:rsidRDefault="00786F0E" w:rsidP="005D56C1">
      <w:pPr>
        <w:pStyle w:val="Heading2"/>
        <w:numPr>
          <w:ilvl w:val="0"/>
          <w:numId w:val="63"/>
        </w:numPr>
      </w:pPr>
      <w:r>
        <w:t>javasolja, hogy bővítsék ki az InvestEU program hatókörét, hogy az biztosíthassa az európai vállalatok számára az ahhoz szükséges garanciákat, hogy az EU területén kívül fektethessenek be, és előmozdítsák az EU kereskedelmét;</w:t>
      </w:r>
    </w:p>
    <w:p w:rsidR="00786F0E" w:rsidRPr="005A7298" w:rsidRDefault="00786F0E">
      <w:pPr>
        <w:rPr>
          <w:lang w:val="en-GB"/>
        </w:rPr>
      </w:pPr>
    </w:p>
    <w:p w:rsidR="00786F0E" w:rsidRPr="005A7298" w:rsidRDefault="00786F0E">
      <w:pPr>
        <w:pStyle w:val="ListParagraph"/>
        <w:numPr>
          <w:ilvl w:val="0"/>
          <w:numId w:val="61"/>
        </w:numPr>
      </w:pPr>
      <w:r>
        <w:t>nyomatékosan javasolja, hogy az Európai Bizottság tegyen több erőfeszítést annak érdekében, hogy az európai vállalkozásokkal és polgárokkal jobban megismertesse, hogy – különösen a kkv-k számára – milyen előnyökkel jár az európai beruházási terv, és így azok tisztában legyenek az EU hozzájárulásával.</w:t>
      </w:r>
    </w:p>
    <w:p w:rsidR="00786F0E" w:rsidRPr="005A7298" w:rsidRDefault="00786F0E">
      <w:pPr>
        <w:tabs>
          <w:tab w:val="center" w:pos="284"/>
        </w:tabs>
        <w:ind w:left="266" w:hanging="266"/>
        <w:rPr>
          <w:color w:val="000000" w:themeColor="text1"/>
          <w:lang w:val="en-GB"/>
        </w:rPr>
      </w:pPr>
    </w:p>
    <w:p w:rsidR="00786F0E" w:rsidRPr="005A7298" w:rsidRDefault="00786F0E">
      <w:pPr>
        <w:tabs>
          <w:tab w:val="left" w:pos="0"/>
        </w:tabs>
        <w:ind w:left="1701" w:right="-141" w:hanging="1701"/>
        <w:rPr>
          <w:i/>
          <w:iCs/>
        </w:rPr>
      </w:pPr>
      <w:r>
        <w:rPr>
          <w:b/>
          <w:bCs/>
          <w:i/>
          <w:iCs/>
        </w:rPr>
        <w:t>Kapcsolattartó:</w:t>
      </w:r>
      <w:r w:rsidR="00326E89">
        <w:rPr>
          <w:b/>
          <w:bCs/>
          <w:i/>
          <w:iCs/>
        </w:rPr>
        <w:tab/>
      </w:r>
      <w:r>
        <w:rPr>
          <w:bCs/>
          <w:i/>
          <w:iCs/>
        </w:rPr>
        <w:t>Perlaky-Tóth Krisztina</w:t>
      </w:r>
    </w:p>
    <w:p w:rsidR="006D5DF2" w:rsidRPr="005A7298" w:rsidRDefault="00786F0E">
      <w:pPr>
        <w:tabs>
          <w:tab w:val="center" w:pos="284"/>
        </w:tabs>
        <w:ind w:left="266" w:firstLine="1435"/>
      </w:pPr>
      <w:r>
        <w:rPr>
          <w:i/>
          <w:iCs/>
        </w:rPr>
        <w:t>(Tel.: 00 32 2 546 97 40 – email:</w:t>
      </w:r>
      <w:r>
        <w:t xml:space="preserve"> </w:t>
      </w:r>
      <w:hyperlink r:id="rId16" w:history="1">
        <w:r>
          <w:rPr>
            <w:rStyle w:val="Hyperlink"/>
          </w:rPr>
          <w:t xml:space="preserve"> </w:t>
        </w:r>
        <w:r>
          <w:rPr>
            <w:rStyle w:val="Hyperlink"/>
            <w:i/>
          </w:rPr>
          <w:t>Krisztina.PerlakyToth</w:t>
        </w:r>
        <w:r>
          <w:rPr>
            <w:rStyle w:val="Hyperlink"/>
            <w:i/>
            <w:iCs/>
          </w:rPr>
          <w:t>@eesc.europa.eu</w:t>
        </w:r>
      </w:hyperlink>
      <w:r>
        <w:rPr>
          <w:i/>
          <w:iCs/>
        </w:rPr>
        <w:t>)</w:t>
      </w:r>
    </w:p>
    <w:p w:rsidR="00786F0E" w:rsidRPr="005A7298" w:rsidRDefault="00786F0E">
      <w:pPr>
        <w:tabs>
          <w:tab w:val="center" w:pos="284"/>
        </w:tabs>
        <w:ind w:left="266" w:hanging="266"/>
        <w:rPr>
          <w:lang w:val="en-GB"/>
        </w:rPr>
      </w:pPr>
    </w:p>
    <w:p w:rsidR="00786F0E" w:rsidRPr="005A7298" w:rsidRDefault="0082735B">
      <w:pPr>
        <w:tabs>
          <w:tab w:val="center" w:pos="284"/>
        </w:tabs>
        <w:ind w:left="266" w:hanging="266"/>
      </w:pPr>
      <w:r>
        <w:rPr>
          <w:b/>
          <w:u w:val="single"/>
        </w:rPr>
        <w:t>ECO/489</w:t>
      </w:r>
    </w:p>
    <w:p w:rsidR="0082735B" w:rsidRPr="005A7298" w:rsidRDefault="0082735B">
      <w:pPr>
        <w:tabs>
          <w:tab w:val="center" w:pos="284"/>
        </w:tabs>
        <w:ind w:left="266" w:hanging="266"/>
        <w:rPr>
          <w:lang w:val="en-GB"/>
        </w:rPr>
      </w:pPr>
    </w:p>
    <w:p w:rsidR="0082735B" w:rsidRPr="005A7298" w:rsidRDefault="0082735B">
      <w:pPr>
        <w:widowControl w:val="0"/>
        <w:numPr>
          <w:ilvl w:val="0"/>
          <w:numId w:val="13"/>
        </w:numPr>
        <w:overflowPunct w:val="0"/>
        <w:autoSpaceDE w:val="0"/>
        <w:autoSpaceDN w:val="0"/>
        <w:adjustRightInd w:val="0"/>
        <w:ind w:left="567" w:hanging="567"/>
        <w:textAlignment w:val="baseline"/>
        <w:rPr>
          <w:b/>
          <w:i/>
          <w:sz w:val="28"/>
          <w:szCs w:val="28"/>
        </w:rPr>
      </w:pPr>
      <w:r>
        <w:rPr>
          <w:b/>
          <w:i/>
          <w:sz w:val="28"/>
          <w:szCs w:val="28"/>
        </w:rPr>
        <w:t>Úton az euró erősebb nemzetközi szerepe felé</w:t>
      </w:r>
    </w:p>
    <w:p w:rsidR="0082735B" w:rsidRPr="005A7298" w:rsidRDefault="0082735B">
      <w:pPr>
        <w:widowControl w:val="0"/>
        <w:overflowPunct w:val="0"/>
        <w:autoSpaceDE w:val="0"/>
        <w:autoSpaceDN w:val="0"/>
        <w:adjustRightInd w:val="0"/>
        <w:textAlignment w:val="baseline"/>
        <w:rPr>
          <w:b/>
          <w:i/>
          <w:sz w:val="28"/>
          <w:szCs w:val="28"/>
          <w:lang w:val="en-GB"/>
        </w:rPr>
      </w:pPr>
    </w:p>
    <w:p w:rsidR="0082735B" w:rsidRPr="005A7298" w:rsidRDefault="0082735B">
      <w:pPr>
        <w:tabs>
          <w:tab w:val="center" w:pos="284"/>
          <w:tab w:val="left" w:pos="1701"/>
        </w:tabs>
        <w:ind w:left="266" w:hanging="266"/>
      </w:pPr>
      <w:r>
        <w:rPr>
          <w:b/>
        </w:rPr>
        <w:t>Előadó:</w:t>
      </w:r>
      <w:r>
        <w:tab/>
        <w:t>Philip VON BROCKDORFF (Munkavállalók/MT)</w:t>
      </w:r>
    </w:p>
    <w:p w:rsidR="0082735B" w:rsidRPr="005A7298" w:rsidRDefault="0082735B">
      <w:pPr>
        <w:tabs>
          <w:tab w:val="center" w:pos="284"/>
          <w:tab w:val="left" w:pos="1701"/>
        </w:tabs>
        <w:ind w:left="266" w:hanging="266"/>
        <w:rPr>
          <w:b/>
        </w:rPr>
      </w:pPr>
      <w:r>
        <w:rPr>
          <w:b/>
        </w:rPr>
        <w:t>Társelőadó:</w:t>
      </w:r>
      <w:r w:rsidR="00326E89">
        <w:rPr>
          <w:b/>
        </w:rPr>
        <w:tab/>
      </w:r>
      <w:r>
        <w:t>Dimitris DIMITRIADIS (Munkaadók/EL)</w:t>
      </w:r>
    </w:p>
    <w:p w:rsidR="0082735B" w:rsidRPr="005A7298" w:rsidRDefault="0082735B">
      <w:pPr>
        <w:tabs>
          <w:tab w:val="center" w:pos="284"/>
        </w:tabs>
        <w:ind w:left="266" w:hanging="266"/>
        <w:rPr>
          <w:lang w:val="en-GB"/>
        </w:rPr>
      </w:pPr>
    </w:p>
    <w:p w:rsidR="0082735B" w:rsidRPr="005A7298" w:rsidRDefault="0082735B">
      <w:pPr>
        <w:tabs>
          <w:tab w:val="center" w:pos="284"/>
          <w:tab w:val="left" w:pos="1701"/>
        </w:tabs>
        <w:ind w:left="266" w:hanging="266"/>
      </w:pPr>
      <w:r>
        <w:rPr>
          <w:b/>
        </w:rPr>
        <w:t>Hivatkozás:</w:t>
      </w:r>
      <w:r w:rsidR="00326E89">
        <w:rPr>
          <w:b/>
        </w:rPr>
        <w:tab/>
      </w:r>
      <w:r>
        <w:t>COM(2018) 796 final</w:t>
      </w:r>
    </w:p>
    <w:p w:rsidR="0082735B" w:rsidRPr="005A7298" w:rsidRDefault="0082735B">
      <w:pPr>
        <w:tabs>
          <w:tab w:val="center" w:pos="284"/>
          <w:tab w:val="left" w:pos="1701"/>
        </w:tabs>
        <w:ind w:left="266" w:firstLine="1435"/>
      </w:pPr>
      <w:r>
        <w:t>EESC-2019-00073-00-00-AC</w:t>
      </w:r>
    </w:p>
    <w:p w:rsidR="00786F0E" w:rsidRPr="005A7298" w:rsidRDefault="00786F0E">
      <w:pPr>
        <w:tabs>
          <w:tab w:val="center" w:pos="284"/>
        </w:tabs>
        <w:ind w:left="266" w:hanging="266"/>
        <w:rPr>
          <w:lang w:val="en-GB"/>
        </w:rPr>
      </w:pPr>
    </w:p>
    <w:p w:rsidR="00786F0E" w:rsidRPr="005A7298" w:rsidRDefault="0082735B">
      <w:pPr>
        <w:tabs>
          <w:tab w:val="center" w:pos="284"/>
        </w:tabs>
        <w:ind w:left="266" w:hanging="266"/>
        <w:rPr>
          <w:b/>
          <w:u w:val="single"/>
        </w:rPr>
      </w:pPr>
      <w:r>
        <w:rPr>
          <w:b/>
        </w:rPr>
        <w:t>Főbb pontok:</w:t>
      </w:r>
    </w:p>
    <w:p w:rsidR="0082735B" w:rsidRPr="005A7298" w:rsidRDefault="0082735B">
      <w:pPr>
        <w:tabs>
          <w:tab w:val="center" w:pos="284"/>
        </w:tabs>
        <w:ind w:left="266" w:hanging="266"/>
        <w:rPr>
          <w:b/>
          <w:u w:val="single"/>
          <w:lang w:val="en-GB"/>
        </w:rPr>
      </w:pPr>
    </w:p>
    <w:p w:rsidR="0082735B" w:rsidRPr="005A7298" w:rsidRDefault="0082735B">
      <w:pPr>
        <w:tabs>
          <w:tab w:val="center" w:pos="284"/>
        </w:tabs>
        <w:ind w:left="266" w:hanging="266"/>
      </w:pPr>
      <w:r>
        <w:t>Az EGSZB:</w:t>
      </w:r>
    </w:p>
    <w:p w:rsidR="00AA08A0" w:rsidRPr="005A7298" w:rsidRDefault="00AA08A0">
      <w:pPr>
        <w:keepNext/>
        <w:keepLines/>
        <w:rPr>
          <w:lang w:val="en-GB"/>
        </w:rPr>
      </w:pPr>
    </w:p>
    <w:p w:rsidR="00AA08A0" w:rsidRPr="005A7298" w:rsidRDefault="00AA08A0" w:rsidP="005D56C1">
      <w:pPr>
        <w:pStyle w:val="Heading2"/>
        <w:numPr>
          <w:ilvl w:val="0"/>
          <w:numId w:val="64"/>
        </w:numPr>
        <w:ind w:left="851" w:hanging="425"/>
      </w:pPr>
      <w:r>
        <w:t>megállapítja, hogy az euró nemzetközi szerepének jelentősége még most sem éri el azt a szintet, amelyet a pénzügyi válságot megelőzően képviselt;</w:t>
      </w:r>
    </w:p>
    <w:p w:rsidR="00AA08A0" w:rsidRPr="005A7298" w:rsidRDefault="00AA08A0" w:rsidP="005D56C1">
      <w:pPr>
        <w:rPr>
          <w:lang w:val="en-GB"/>
        </w:rPr>
      </w:pPr>
    </w:p>
    <w:p w:rsidR="00AA08A0" w:rsidRPr="00892202" w:rsidRDefault="00AA08A0" w:rsidP="005D56C1">
      <w:pPr>
        <w:pStyle w:val="Heading2"/>
        <w:numPr>
          <w:ilvl w:val="0"/>
          <w:numId w:val="64"/>
        </w:numPr>
        <w:ind w:left="851" w:hanging="425"/>
      </w:pPr>
      <w:r>
        <w:t>megítélése szerint az euróövezet gazdaságát a társadalmi kohézió, a felfelé irányuló gazdasági konvergencia, valamint a versenyképesség és az innováció előmozdítása révén kell meggyorsítani, és ezek az euró erősebb nemzetközi szerepe mellett szólnak;</w:t>
      </w:r>
    </w:p>
    <w:p w:rsidR="00AA08A0" w:rsidRPr="005A7298" w:rsidRDefault="00AA08A0">
      <w:pPr>
        <w:ind w:left="567" w:hanging="567"/>
        <w:rPr>
          <w:lang w:val="en-GB"/>
        </w:rPr>
      </w:pPr>
    </w:p>
    <w:p w:rsidR="00AA08A0" w:rsidRPr="005A7298" w:rsidRDefault="00AA08A0" w:rsidP="005D56C1">
      <w:pPr>
        <w:pStyle w:val="Heading2"/>
        <w:numPr>
          <w:ilvl w:val="0"/>
          <w:numId w:val="65"/>
        </w:numPr>
        <w:ind w:left="851" w:hanging="425"/>
      </w:pPr>
      <w:r>
        <w:lastRenderedPageBreak/>
        <w:t>úgy véli, hogy ez a folyamat szükségessé teszi többek között a gazdasági és monetáris unió, valamint a bankunió teljes körű megteremtését;</w:t>
      </w:r>
    </w:p>
    <w:p w:rsidR="00AA08A0" w:rsidRPr="005A7298" w:rsidRDefault="00AA08A0">
      <w:pPr>
        <w:ind w:left="567" w:hanging="567"/>
        <w:rPr>
          <w:lang w:val="en-GB"/>
        </w:rPr>
      </w:pPr>
    </w:p>
    <w:p w:rsidR="00AA08A0" w:rsidRPr="005A7298" w:rsidRDefault="00AA08A0" w:rsidP="005D56C1">
      <w:pPr>
        <w:pStyle w:val="Heading2"/>
        <w:numPr>
          <w:ilvl w:val="0"/>
          <w:numId w:val="65"/>
        </w:numPr>
        <w:ind w:left="851" w:hanging="425"/>
      </w:pPr>
      <w:r>
        <w:t>ezzel összefüggésben ismét hangsúlyozza a kkv-k támogatásának és a termelékenység további növelésének jelentőségét, mivel ezzel megerősíthető az euróövezet versenyképessége a nemzetközi piacokon;</w:t>
      </w:r>
    </w:p>
    <w:p w:rsidR="00AA08A0" w:rsidRPr="005A7298" w:rsidRDefault="00AA08A0">
      <w:pPr>
        <w:ind w:left="567" w:hanging="567"/>
        <w:rPr>
          <w:lang w:val="en-GB"/>
        </w:rPr>
      </w:pPr>
    </w:p>
    <w:p w:rsidR="00AA08A0" w:rsidRPr="005A7298" w:rsidRDefault="00AA08A0" w:rsidP="005D56C1">
      <w:pPr>
        <w:pStyle w:val="Heading2"/>
        <w:numPr>
          <w:ilvl w:val="0"/>
          <w:numId w:val="66"/>
        </w:numPr>
        <w:ind w:left="851" w:hanging="425"/>
      </w:pPr>
      <w:r>
        <w:t>úgy véli, hogy az euróövezet államkötvénypiacának fragmentálódásával foglalkozni kell, ezért olyan lehetőségek megvizsgálását kéri, amelyekkel likvidebb és biztonságosabb euróeszközöket lehet létrehozni;</w:t>
      </w:r>
    </w:p>
    <w:p w:rsidR="00AA08A0" w:rsidRPr="005A7298" w:rsidRDefault="00AA08A0">
      <w:pPr>
        <w:rPr>
          <w:lang w:val="en-GB"/>
        </w:rPr>
      </w:pPr>
    </w:p>
    <w:p w:rsidR="00AA08A0" w:rsidRPr="005A7298" w:rsidRDefault="00AA08A0" w:rsidP="005D56C1">
      <w:pPr>
        <w:pStyle w:val="Heading2"/>
        <w:numPr>
          <w:ilvl w:val="0"/>
          <w:numId w:val="66"/>
        </w:numPr>
        <w:ind w:left="851" w:hanging="425"/>
      </w:pPr>
      <w:r>
        <w:t>úgy ítéli meg, hogy az euró nemzetközi szerepének megerősödését az EKB megkönnyítheti, mégpedig úgy, hogy teljesíti feladatát, azaz az árstabilitás megőrzését, illetve támogatja a gazdasági és monetáris unió, valamint a tőkepiaci unió elmélyítését;</w:t>
      </w:r>
    </w:p>
    <w:p w:rsidR="00AA08A0" w:rsidRPr="005A7298" w:rsidRDefault="00AA08A0">
      <w:pPr>
        <w:rPr>
          <w:lang w:val="en-GB"/>
        </w:rPr>
      </w:pPr>
    </w:p>
    <w:p w:rsidR="00AA08A0" w:rsidRPr="005A7298" w:rsidRDefault="00AA08A0" w:rsidP="005D56C1">
      <w:pPr>
        <w:pStyle w:val="Heading2"/>
        <w:numPr>
          <w:ilvl w:val="0"/>
          <w:numId w:val="66"/>
        </w:numPr>
        <w:ind w:left="851" w:hanging="425"/>
      </w:pPr>
      <w:r>
        <w:t>úgy véli, hogy további intézkedésekre – például erősebb pénzügyi piaci infrastruktúrára és szilárd alapokon nyugvó referencia-kamatlábakra – van szükség az európai pénzügyi szektor elmélyítéséhez;</w:t>
      </w:r>
    </w:p>
    <w:p w:rsidR="00AA08A0" w:rsidRPr="005A7298" w:rsidRDefault="00AA08A0" w:rsidP="005D56C1">
      <w:pPr>
        <w:pStyle w:val="Heading2"/>
        <w:numPr>
          <w:ilvl w:val="0"/>
          <w:numId w:val="0"/>
        </w:numPr>
        <w:ind w:left="567"/>
        <w:rPr>
          <w:lang w:val="en-GB"/>
        </w:rPr>
      </w:pPr>
    </w:p>
    <w:p w:rsidR="00AA08A0" w:rsidRPr="005A7298" w:rsidRDefault="00AA08A0" w:rsidP="005D56C1">
      <w:pPr>
        <w:pStyle w:val="Heading2"/>
        <w:numPr>
          <w:ilvl w:val="0"/>
          <w:numId w:val="66"/>
        </w:numPr>
        <w:ind w:left="851" w:hanging="425"/>
      </w:pPr>
      <w:r>
        <w:t>megítélése szerint az euró stratégiai szektorokban való szélesebb körű alkalmazásának ösztönzése is kulcsfontosságú, mint olyan tényező, amely hozzájárul az euró nemzetközi szerepének erősítéséhez;</w:t>
      </w:r>
    </w:p>
    <w:p w:rsidR="00AA08A0" w:rsidRPr="005A7298" w:rsidRDefault="00AA08A0">
      <w:pPr>
        <w:rPr>
          <w:lang w:val="en-GB"/>
        </w:rPr>
      </w:pPr>
    </w:p>
    <w:p w:rsidR="00AA08A0" w:rsidRPr="005A7298" w:rsidRDefault="00AA08A0" w:rsidP="005D56C1">
      <w:pPr>
        <w:pStyle w:val="ListParagraph"/>
        <w:keepNext/>
        <w:keepLines/>
        <w:numPr>
          <w:ilvl w:val="0"/>
          <w:numId w:val="66"/>
        </w:numPr>
        <w:ind w:left="851" w:hanging="425"/>
      </w:pPr>
      <w:r>
        <w:t>sürgeti a tagállamokat, hogy alkalmazzanak egységesebb megközelítést a nemzetközi diplomácia terén, valamint proaktívabb álláspontot az uniós érdekek előmozdítására, ami így több kereskedelmi lehetőséget eredményezhet.</w:t>
      </w:r>
    </w:p>
    <w:p w:rsidR="0082735B" w:rsidRPr="005A7298" w:rsidRDefault="0082735B">
      <w:pPr>
        <w:tabs>
          <w:tab w:val="center" w:pos="284"/>
        </w:tabs>
        <w:ind w:left="266" w:hanging="266"/>
        <w:rPr>
          <w:b/>
          <w:u w:val="single"/>
          <w:lang w:val="en-GB"/>
        </w:rPr>
      </w:pPr>
    </w:p>
    <w:p w:rsidR="00AA08A0" w:rsidRPr="005A7298" w:rsidRDefault="00AA08A0">
      <w:pPr>
        <w:tabs>
          <w:tab w:val="left" w:pos="770"/>
        </w:tabs>
        <w:ind w:left="1701" w:hanging="1701"/>
        <w:rPr>
          <w:bCs/>
          <w:i/>
          <w:iCs/>
        </w:rPr>
      </w:pPr>
      <w:r>
        <w:rPr>
          <w:b/>
          <w:bCs/>
          <w:i/>
          <w:iCs/>
        </w:rPr>
        <w:t>Kapcsolattartó:</w:t>
      </w:r>
      <w:r w:rsidR="00326E89">
        <w:rPr>
          <w:b/>
          <w:bCs/>
          <w:i/>
          <w:iCs/>
        </w:rPr>
        <w:tab/>
      </w:r>
      <w:r>
        <w:rPr>
          <w:bCs/>
          <w:i/>
          <w:iCs/>
        </w:rPr>
        <w:t>Alexander Alexandrov</w:t>
      </w:r>
    </w:p>
    <w:p w:rsidR="00AA08A0" w:rsidRPr="005A7298" w:rsidRDefault="00AA08A0">
      <w:pPr>
        <w:tabs>
          <w:tab w:val="center" w:pos="284"/>
        </w:tabs>
        <w:ind w:left="266" w:firstLine="1435"/>
        <w:rPr>
          <w:b/>
          <w:u w:val="single"/>
        </w:rPr>
      </w:pPr>
      <w:r>
        <w:rPr>
          <w:bCs/>
          <w:i/>
          <w:iCs/>
        </w:rPr>
        <w:t xml:space="preserve">(Tel.: 00 32 2 546 98 05 – email: </w:t>
      </w:r>
      <w:hyperlink r:id="rId17" w:history="1">
        <w:r>
          <w:rPr>
            <w:rStyle w:val="Hyperlink"/>
            <w:i/>
            <w:iCs/>
          </w:rPr>
          <w:t>alexander.alexandrov@eesc.europa.eu</w:t>
        </w:r>
      </w:hyperlink>
      <w:r>
        <w:rPr>
          <w:bCs/>
          <w:i/>
          <w:iCs/>
        </w:rPr>
        <w:t>)</w:t>
      </w:r>
    </w:p>
    <w:p w:rsidR="00786F0E" w:rsidRPr="005A7298" w:rsidRDefault="00786F0E">
      <w:pPr>
        <w:tabs>
          <w:tab w:val="center" w:pos="284"/>
        </w:tabs>
        <w:ind w:left="266" w:hanging="266"/>
        <w:rPr>
          <w:lang w:val="en-GB"/>
        </w:rPr>
      </w:pPr>
    </w:p>
    <w:p w:rsidR="00786F0E" w:rsidRPr="005A7298" w:rsidRDefault="00786F0E">
      <w:pPr>
        <w:tabs>
          <w:tab w:val="center" w:pos="284"/>
        </w:tabs>
        <w:ind w:left="266" w:hanging="266"/>
        <w:rPr>
          <w:lang w:val="en-GB"/>
        </w:rPr>
      </w:pPr>
    </w:p>
    <w:p w:rsidR="006D5DF2" w:rsidRPr="005A7298" w:rsidRDefault="006D5DF2">
      <w:pPr>
        <w:tabs>
          <w:tab w:val="center" w:pos="284"/>
        </w:tabs>
        <w:ind w:left="266" w:hanging="266"/>
        <w:rPr>
          <w:b/>
          <w:lang w:val="en-GB"/>
        </w:rPr>
      </w:pPr>
    </w:p>
    <w:p w:rsidR="006D5DF2" w:rsidRPr="005A7298" w:rsidRDefault="006D5DF2" w:rsidP="005D56C1">
      <w:pPr>
        <w:jc w:val="left"/>
        <w:rPr>
          <w:b/>
          <w:kern w:val="28"/>
          <w:u w:val="single"/>
        </w:rPr>
      </w:pPr>
      <w:r>
        <w:br w:type="page"/>
      </w:r>
    </w:p>
    <w:p w:rsidR="00C03049" w:rsidRPr="005A7298" w:rsidRDefault="00C03049">
      <w:pPr>
        <w:pStyle w:val="Heading1"/>
        <w:ind w:left="567" w:hanging="567"/>
        <w:rPr>
          <w:b/>
        </w:rPr>
      </w:pPr>
      <w:bookmarkStart w:id="2" w:name="_Toc13582825"/>
      <w:r>
        <w:rPr>
          <w:b/>
        </w:rPr>
        <w:lastRenderedPageBreak/>
        <w:t>EGYSÉGES PIAC, TERMELÉS ÉS FOGYASZTÁS</w:t>
      </w:r>
      <w:bookmarkEnd w:id="2"/>
    </w:p>
    <w:p w:rsidR="00C03049" w:rsidRPr="005A7298" w:rsidRDefault="00C03049">
      <w:pPr>
        <w:rPr>
          <w:lang w:val="en-GB"/>
        </w:rPr>
      </w:pPr>
    </w:p>
    <w:p w:rsidR="008262D3" w:rsidRPr="005A7298" w:rsidRDefault="008262D3">
      <w:r>
        <w:rPr>
          <w:b/>
          <w:u w:val="single"/>
        </w:rPr>
        <w:t>INT/871</w:t>
      </w:r>
    </w:p>
    <w:p w:rsidR="008262D3" w:rsidRPr="005A7298" w:rsidRDefault="008262D3">
      <w:pPr>
        <w:rPr>
          <w:lang w:val="en-GB"/>
        </w:rPr>
      </w:pPr>
    </w:p>
    <w:p w:rsidR="00BF1CFD" w:rsidRPr="005A7298" w:rsidRDefault="00C05746">
      <w:pPr>
        <w:pStyle w:val="ListParagraph"/>
        <w:numPr>
          <w:ilvl w:val="0"/>
          <w:numId w:val="50"/>
        </w:numPr>
        <w:ind w:left="567" w:hanging="567"/>
        <w:rPr>
          <w:b/>
          <w:i/>
          <w:sz w:val="28"/>
          <w:szCs w:val="28"/>
        </w:rPr>
      </w:pPr>
      <w:r>
        <w:rPr>
          <w:b/>
          <w:i/>
          <w:sz w:val="28"/>
          <w:szCs w:val="28"/>
        </w:rPr>
        <w:t>Európai jogi keret/a szociális gazdaság vállalkozásai</w:t>
      </w:r>
    </w:p>
    <w:p w:rsidR="00596BBD" w:rsidRPr="005A7298" w:rsidRDefault="00596BBD">
      <w:pPr>
        <w:rPr>
          <w:lang w:val="en-GB"/>
        </w:rPr>
      </w:pPr>
    </w:p>
    <w:p w:rsidR="00596BBD" w:rsidRPr="005A7298" w:rsidRDefault="00596BBD">
      <w:pPr>
        <w:tabs>
          <w:tab w:val="left" w:pos="1701"/>
        </w:tabs>
      </w:pPr>
      <w:r>
        <w:rPr>
          <w:b/>
        </w:rPr>
        <w:t>Előadó:</w:t>
      </w:r>
      <w:r>
        <w:t xml:space="preserve"> </w:t>
      </w:r>
      <w:r>
        <w:tab/>
        <w:t>Alain COHEUR (Sokféleség Európája/BE)</w:t>
      </w:r>
    </w:p>
    <w:p w:rsidR="00135611" w:rsidRPr="005A7298" w:rsidRDefault="00135611">
      <w:pPr>
        <w:tabs>
          <w:tab w:val="center" w:pos="284"/>
          <w:tab w:val="left" w:pos="1701"/>
        </w:tabs>
        <w:ind w:left="266" w:hanging="266"/>
        <w:rPr>
          <w:b/>
          <w:lang w:val="en-GB"/>
        </w:rPr>
      </w:pPr>
    </w:p>
    <w:p w:rsidR="00596BBD" w:rsidRPr="005A7298" w:rsidRDefault="00596BBD">
      <w:pPr>
        <w:tabs>
          <w:tab w:val="center" w:pos="284"/>
          <w:tab w:val="left" w:pos="1701"/>
        </w:tabs>
        <w:ind w:left="266" w:hanging="266"/>
      </w:pPr>
      <w:r>
        <w:rPr>
          <w:b/>
        </w:rPr>
        <w:t>Hivatkozás:</w:t>
      </w:r>
      <w:r w:rsidR="00326E89">
        <w:rPr>
          <w:b/>
        </w:rPr>
        <w:tab/>
      </w:r>
      <w:r>
        <w:t>Saját kezdeményezésű vélemény</w:t>
      </w:r>
    </w:p>
    <w:p w:rsidR="00596BBD" w:rsidRPr="005A7298" w:rsidRDefault="00C05746">
      <w:pPr>
        <w:tabs>
          <w:tab w:val="center" w:pos="284"/>
          <w:tab w:val="left" w:pos="1701"/>
        </w:tabs>
        <w:ind w:left="266" w:firstLine="1435"/>
      </w:pPr>
      <w:r>
        <w:t>EESC-2019-00346-00-00-AC</w:t>
      </w:r>
    </w:p>
    <w:p w:rsidR="00596BBD" w:rsidRPr="005A7298" w:rsidRDefault="00596BBD">
      <w:pPr>
        <w:tabs>
          <w:tab w:val="center" w:pos="284"/>
        </w:tabs>
        <w:ind w:left="266" w:hanging="266"/>
        <w:rPr>
          <w:szCs w:val="20"/>
          <w:lang w:val="en-GB"/>
        </w:rPr>
      </w:pPr>
    </w:p>
    <w:p w:rsidR="00596BBD" w:rsidRPr="005A7298" w:rsidRDefault="00596BBD">
      <w:pPr>
        <w:rPr>
          <w:b/>
        </w:rPr>
      </w:pPr>
      <w:r>
        <w:rPr>
          <w:b/>
        </w:rPr>
        <w:t>Főbb pontok:</w:t>
      </w:r>
    </w:p>
    <w:p w:rsidR="00596BBD" w:rsidRPr="005A7298" w:rsidRDefault="00596BBD">
      <w:pPr>
        <w:pStyle w:val="ListParagraph"/>
        <w:ind w:left="0"/>
        <w:rPr>
          <w:lang w:val="en-GB"/>
        </w:rPr>
      </w:pPr>
    </w:p>
    <w:p w:rsidR="00C05746" w:rsidRPr="005A7298" w:rsidRDefault="00C05746">
      <w:r>
        <w:t>Véleményében az EGSZB arra kéri az Európai Bizottságot, hogy:</w:t>
      </w:r>
    </w:p>
    <w:p w:rsidR="00C05746" w:rsidRPr="005A7298" w:rsidRDefault="00C05746">
      <w:pPr>
        <w:rPr>
          <w:lang w:val="fr-FR"/>
        </w:rPr>
      </w:pPr>
    </w:p>
    <w:p w:rsidR="00C05746" w:rsidRPr="005A7298" w:rsidRDefault="00C05746">
      <w:pPr>
        <w:pStyle w:val="ListParagraph"/>
        <w:numPr>
          <w:ilvl w:val="0"/>
          <w:numId w:val="59"/>
        </w:numPr>
      </w:pPr>
      <w:r>
        <w:t>indítson el egy tanulmányt a „korlátozott nyereség” fogalmának és az ez alapján működő vállalkozási modelleknek a tanulmányozására, a szükségletek jobb meghatározása, valamint adott esetben a helyes gyakorlatok megfogalmazása érdekében,</w:t>
      </w:r>
    </w:p>
    <w:p w:rsidR="00C05746" w:rsidRPr="005A7298" w:rsidRDefault="00C05746">
      <w:pPr>
        <w:ind w:left="360"/>
        <w:rPr>
          <w:lang w:val="fr-FR"/>
        </w:rPr>
      </w:pPr>
    </w:p>
    <w:p w:rsidR="00C05746" w:rsidRPr="005A7298" w:rsidRDefault="00C05746">
      <w:pPr>
        <w:pStyle w:val="ListParagraph"/>
        <w:numPr>
          <w:ilvl w:val="0"/>
          <w:numId w:val="59"/>
        </w:numPr>
      </w:pPr>
      <w:r>
        <w:t>a szociális gazdaság valamennyi vállalkozására terjessze ki az állami támogatásnak minősítésről szóló közlemény megfelelő rendelkezéseit,</w:t>
      </w:r>
    </w:p>
    <w:p w:rsidR="00C05746" w:rsidRPr="005A7298" w:rsidRDefault="00C05746">
      <w:pPr>
        <w:ind w:left="360"/>
        <w:rPr>
          <w:lang w:val="fr-FR"/>
        </w:rPr>
      </w:pPr>
    </w:p>
    <w:p w:rsidR="00C05746" w:rsidRPr="005A7298" w:rsidRDefault="00C05746">
      <w:pPr>
        <w:pStyle w:val="ListParagraph"/>
        <w:numPr>
          <w:ilvl w:val="0"/>
          <w:numId w:val="59"/>
        </w:numPr>
      </w:pPr>
      <w:r>
        <w:t>készítsen értelmező közleményt az EUMSZ 54. cikkéről, valamint a versenyjogról szóló szerződés cikkeiről annak érdekében, hogy egyértelműsítse a nonprofit fogalmát az uniós jogban,</w:t>
      </w:r>
    </w:p>
    <w:p w:rsidR="00C05746" w:rsidRPr="005A7298" w:rsidRDefault="00C05746">
      <w:pPr>
        <w:ind w:left="360"/>
        <w:rPr>
          <w:lang w:val="fr-FR"/>
        </w:rPr>
      </w:pPr>
    </w:p>
    <w:p w:rsidR="00C05746" w:rsidRPr="005A7298" w:rsidRDefault="00C05746">
      <w:pPr>
        <w:pStyle w:val="ListParagraph"/>
        <w:numPr>
          <w:ilvl w:val="0"/>
          <w:numId w:val="59"/>
        </w:numPr>
      </w:pPr>
      <w:r>
        <w:t>a 26. számú, az általános gazdasági érdekű szolgáltatásokról szóló jegyzőkönyv mintájára csatoljon az EUMSZ-hez egy jegyzőkönyvet a vállalkozási formák sokféleségéről.</w:t>
      </w:r>
    </w:p>
    <w:p w:rsidR="00596BBD" w:rsidRPr="005A7298" w:rsidRDefault="00596BBD">
      <w:pPr>
        <w:rPr>
          <w:lang w:val="fr-FR"/>
        </w:rPr>
      </w:pPr>
    </w:p>
    <w:p w:rsidR="00282E34" w:rsidRPr="005A7298" w:rsidRDefault="00282E34">
      <w:pPr>
        <w:tabs>
          <w:tab w:val="left" w:pos="1701"/>
        </w:tabs>
        <w:rPr>
          <w:i/>
        </w:rPr>
      </w:pPr>
      <w:r>
        <w:rPr>
          <w:b/>
          <w:i/>
        </w:rPr>
        <w:t>Kapcsolattartó:</w:t>
      </w:r>
      <w:r>
        <w:tab/>
      </w:r>
      <w:r>
        <w:rPr>
          <w:i/>
        </w:rPr>
        <w:t>Marie-Laurence Drillon</w:t>
      </w:r>
    </w:p>
    <w:p w:rsidR="00596BBD" w:rsidRPr="005A7298" w:rsidRDefault="00282E34">
      <w:pPr>
        <w:tabs>
          <w:tab w:val="left" w:pos="1701"/>
        </w:tabs>
        <w:ind w:firstLine="1701"/>
        <w:rPr>
          <w:i/>
        </w:rPr>
      </w:pPr>
      <w:r>
        <w:rPr>
          <w:i/>
        </w:rPr>
        <w:t xml:space="preserve">(Tel.: 00 32 2 546 83 20 – e-mail: </w:t>
      </w:r>
      <w:hyperlink r:id="rId18" w:history="1">
        <w:r>
          <w:rPr>
            <w:rStyle w:val="Hyperlink"/>
            <w:i/>
          </w:rPr>
          <w:t>marie-laurence.drillon@eesc.europa.eu</w:t>
        </w:r>
      </w:hyperlink>
      <w:r>
        <w:rPr>
          <w:i/>
        </w:rPr>
        <w:t>)</w:t>
      </w:r>
    </w:p>
    <w:p w:rsidR="00282E34" w:rsidRPr="005A7298" w:rsidRDefault="00282E34">
      <w:pPr>
        <w:tabs>
          <w:tab w:val="left" w:pos="1701"/>
        </w:tabs>
        <w:rPr>
          <w:i/>
          <w:lang w:val="en-GB"/>
        </w:rPr>
      </w:pPr>
    </w:p>
    <w:p w:rsidR="00B15573" w:rsidRPr="005A7298" w:rsidRDefault="001355B2" w:rsidP="005D56C1">
      <w:pPr>
        <w:jc w:val="left"/>
      </w:pPr>
      <w:r>
        <w:br w:type="page"/>
      </w:r>
    </w:p>
    <w:p w:rsidR="001E5FEE" w:rsidRPr="00892202" w:rsidRDefault="00E46EC4" w:rsidP="00326E89">
      <w:pPr>
        <w:pStyle w:val="Heading1"/>
        <w:keepNext/>
        <w:keepLines/>
        <w:ind w:left="567" w:hanging="567"/>
        <w:rPr>
          <w:b/>
          <w:caps/>
        </w:rPr>
      </w:pPr>
      <w:bookmarkStart w:id="3" w:name="_Toc8218613"/>
      <w:bookmarkStart w:id="4" w:name="_Toc13582826"/>
      <w:r>
        <w:rPr>
          <w:b/>
          <w:caps/>
        </w:rPr>
        <w:lastRenderedPageBreak/>
        <w:t>„Közlekedés, energia, infrastruktúra és információs társadalom” szekció</w:t>
      </w:r>
      <w:bookmarkEnd w:id="3"/>
      <w:bookmarkEnd w:id="4"/>
    </w:p>
    <w:p w:rsidR="001E5FEE" w:rsidRPr="00892202" w:rsidRDefault="001E5FEE" w:rsidP="005D56C1">
      <w:pPr>
        <w:keepNext/>
        <w:keepLines/>
        <w:rPr>
          <w:lang w:val="en-GB"/>
        </w:rPr>
      </w:pPr>
    </w:p>
    <w:p w:rsidR="001E5FEE" w:rsidRPr="00892202" w:rsidRDefault="001E5FEE">
      <w:r>
        <w:rPr>
          <w:b/>
          <w:u w:val="single"/>
        </w:rPr>
        <w:t>TEN/692</w:t>
      </w:r>
    </w:p>
    <w:p w:rsidR="001E5FEE" w:rsidRPr="00892202" w:rsidRDefault="001E5FEE">
      <w:pPr>
        <w:rPr>
          <w:lang w:val="en-GB"/>
        </w:rPr>
      </w:pPr>
    </w:p>
    <w:p w:rsidR="001E5FEE" w:rsidRPr="00892202" w:rsidRDefault="00821A9F" w:rsidP="005D56C1">
      <w:pPr>
        <w:widowControl w:val="0"/>
        <w:numPr>
          <w:ilvl w:val="0"/>
          <w:numId w:val="12"/>
        </w:numPr>
        <w:overflowPunct w:val="0"/>
        <w:autoSpaceDE w:val="0"/>
        <w:autoSpaceDN w:val="0"/>
        <w:adjustRightInd w:val="0"/>
        <w:ind w:left="567" w:hanging="567"/>
        <w:textAlignment w:val="baseline"/>
        <w:rPr>
          <w:bCs/>
          <w:i/>
          <w:sz w:val="28"/>
          <w:szCs w:val="28"/>
        </w:rPr>
      </w:pPr>
      <w:r>
        <w:rPr>
          <w:b/>
          <w:bCs/>
          <w:i/>
          <w:sz w:val="28"/>
          <w:szCs w:val="28"/>
        </w:rPr>
        <w:t>A szociális pillér hatékonyabb végrehajtása az alapvető szolgáltatások előmozdítása révén</w:t>
      </w:r>
    </w:p>
    <w:p w:rsidR="001E5FEE" w:rsidRPr="00892202" w:rsidRDefault="001E5FEE" w:rsidP="005D56C1">
      <w:pPr>
        <w:widowControl w:val="0"/>
        <w:rPr>
          <w:bCs/>
          <w:lang w:val="en-GB"/>
        </w:rPr>
      </w:pPr>
    </w:p>
    <w:p w:rsidR="001E5FEE" w:rsidRPr="00892202" w:rsidRDefault="001E5FEE">
      <w:pPr>
        <w:tabs>
          <w:tab w:val="left" w:pos="1701"/>
        </w:tabs>
      </w:pPr>
      <w:r>
        <w:rPr>
          <w:b/>
        </w:rPr>
        <w:t>Előadó:</w:t>
      </w:r>
      <w:r>
        <w:tab/>
        <w:t>Raymond HENCKS (Munkavállalók/LU)</w:t>
      </w:r>
    </w:p>
    <w:p w:rsidR="001E5FEE" w:rsidRPr="00892202" w:rsidRDefault="001E5FEE">
      <w:pPr>
        <w:tabs>
          <w:tab w:val="left" w:pos="1701"/>
        </w:tabs>
      </w:pPr>
      <w:r>
        <w:rPr>
          <w:b/>
        </w:rPr>
        <w:t>Társelőadó:</w:t>
      </w:r>
      <w:r>
        <w:t xml:space="preserve"> </w:t>
      </w:r>
      <w:r>
        <w:tab/>
        <w:t>Krzysztof BALON (Sokféleség Európája/PL)</w:t>
      </w:r>
    </w:p>
    <w:p w:rsidR="001E5FEE" w:rsidRPr="00892202" w:rsidRDefault="001E5FEE">
      <w:pPr>
        <w:rPr>
          <w:b/>
          <w:lang w:val="en-GB"/>
        </w:rPr>
      </w:pPr>
    </w:p>
    <w:p w:rsidR="001E5FEE" w:rsidRPr="00892202" w:rsidRDefault="001E5FEE">
      <w:r>
        <w:rPr>
          <w:b/>
        </w:rPr>
        <w:t>Hivatkozás:</w:t>
      </w:r>
      <w:r>
        <w:t xml:space="preserve"> </w:t>
      </w:r>
      <w:r>
        <w:tab/>
        <w:t>Saját kezdeményezésű vélemény</w:t>
      </w:r>
    </w:p>
    <w:p w:rsidR="001E5FEE" w:rsidRPr="00892202" w:rsidRDefault="001E5FEE">
      <w:pPr>
        <w:ind w:firstLine="1701"/>
      </w:pPr>
      <w:r>
        <w:t>EESC-2019-00989-00-00-AC</w:t>
      </w:r>
    </w:p>
    <w:p w:rsidR="001E5FEE" w:rsidRPr="00892202" w:rsidRDefault="001E5FEE">
      <w:pPr>
        <w:rPr>
          <w:lang w:val="en-GB"/>
        </w:rPr>
      </w:pPr>
    </w:p>
    <w:p w:rsidR="001E5FEE" w:rsidRPr="00892202" w:rsidRDefault="001E5FEE">
      <w:r>
        <w:rPr>
          <w:b/>
        </w:rPr>
        <w:t>Főbb pontok:</w:t>
      </w:r>
    </w:p>
    <w:p w:rsidR="001E5FEE" w:rsidRPr="00892202" w:rsidRDefault="001E5FEE">
      <w:pPr>
        <w:rPr>
          <w:lang w:val="en-GB"/>
        </w:rPr>
      </w:pPr>
    </w:p>
    <w:p w:rsidR="00821A9F" w:rsidRPr="005A7298" w:rsidRDefault="00821A9F">
      <w:r>
        <w:t xml:space="preserve">A szociális jogok európai pillérének 20. alapelve vezeti be az Unióban „az alapvető szolgáltatások” fogalmát, amely ilyen néven nem található meg a Szerződésekben, ám amely szerint </w:t>
      </w:r>
      <w:r>
        <w:rPr>
          <w:i/>
          <w:iCs/>
        </w:rPr>
        <w:t>„mindenkinek joga van a jó minőségű alapvető szolgáltatásokhoz, többek között a vízellátáshoz, a szennyvízelvezetéshez, az energiához, a közlekedéshez, a pénzügyi szolgáltatásokhoz és a digitális távközléshez. Az ilyen szolgáltatásokhoz való hozzáférés támogatásának a rászorulók számára hozzáférhetőnek kell lennie”.</w:t>
      </w:r>
    </w:p>
    <w:p w:rsidR="00821A9F" w:rsidRPr="005A7298" w:rsidRDefault="00821A9F">
      <w:pPr>
        <w:rPr>
          <w:lang w:val="fr-FR"/>
        </w:rPr>
      </w:pPr>
    </w:p>
    <w:p w:rsidR="00821A9F" w:rsidRPr="005A7298" w:rsidRDefault="00821A9F">
      <w:r>
        <w:t xml:space="preserve">Az EGSZB az említett 20. alapelv szerint alapvetőnek minősülő szolgáltatások körébe sorolható példákat illetően úgy véli, hogy ezek általános gazdasági érdekű szolgáltatások, amelyek a közösségi jogból származtathatók, és amelyekre a közösségi jog vonatkozik, különösen pedig az általános érdekű szolgáltatásokról szóló, az EUMSZ-hez csatolt 26. jegyzőkönyv, amelynek értelmező rendelkezései túlmutatnak a </w:t>
      </w:r>
      <w:r>
        <w:rPr>
          <w:i/>
          <w:iCs/>
        </w:rPr>
        <w:t>minőségi hozzáférés</w:t>
      </w:r>
      <w:r>
        <w:t xml:space="preserve"> egyszerű garanciájának keretén, ám ahol az említett rendelkezések egy részét – eltérő mértékben – nem szabályozták és nem hajtották végre megfelelően a tagállamokban.</w:t>
      </w:r>
    </w:p>
    <w:p w:rsidR="00821A9F" w:rsidRPr="005A7298" w:rsidRDefault="00821A9F">
      <w:pPr>
        <w:rPr>
          <w:lang w:val="fr-FR"/>
        </w:rPr>
      </w:pPr>
    </w:p>
    <w:p w:rsidR="00821A9F" w:rsidRPr="005A7298" w:rsidRDefault="00821A9F">
      <w:r>
        <w:t>Az EGSZB ezért egyetért azzal, hogy a szociális jogok európai pillérének 20. alapelve megerősíti a társadalmi igazságosság alapvető elemeinek minősülő és a felhasználókkal való egyenlő bánásmódon alapuló alapvető szolgáltatásokhoz való hozzáféréshez való jogot, tiltva bármiféle megkülönböztetést vagy kirekesztést, valamint a magas szintű megfizethetőséghez és a minőséghez való egyetemes hozzáférés elvét alkalmazva.</w:t>
      </w:r>
    </w:p>
    <w:p w:rsidR="00821A9F" w:rsidRPr="005A7298" w:rsidRDefault="00821A9F" w:rsidP="005D56C1">
      <w:pPr>
        <w:jc w:val="center"/>
        <w:rPr>
          <w:lang w:val="en-GB"/>
        </w:rPr>
      </w:pPr>
    </w:p>
    <w:p w:rsidR="00821A9F" w:rsidRPr="00892202" w:rsidRDefault="00821A9F">
      <w:pPr>
        <w:tabs>
          <w:tab w:val="left" w:pos="1701"/>
        </w:tabs>
        <w:rPr>
          <w:i/>
        </w:rPr>
      </w:pPr>
      <w:r>
        <w:rPr>
          <w:b/>
          <w:i/>
        </w:rPr>
        <w:t>Kapcsolattartó:</w:t>
      </w:r>
      <w:r>
        <w:rPr>
          <w:i/>
        </w:rPr>
        <w:tab/>
        <w:t>BAZSIK Ágota</w:t>
      </w:r>
    </w:p>
    <w:p w:rsidR="00821A9F" w:rsidRPr="00892202" w:rsidRDefault="00821A9F">
      <w:pPr>
        <w:tabs>
          <w:tab w:val="left" w:pos="1701"/>
        </w:tabs>
        <w:ind w:firstLine="1701"/>
        <w:rPr>
          <w:i/>
        </w:rPr>
      </w:pPr>
      <w:r>
        <w:rPr>
          <w:i/>
        </w:rPr>
        <w:t xml:space="preserve">(Tel.: 00 32 2 546 8658 – e-mail: </w:t>
      </w:r>
      <w:hyperlink r:id="rId19" w:history="1">
        <w:r>
          <w:rPr>
            <w:rStyle w:val="Hyperlink"/>
            <w:i/>
          </w:rPr>
          <w:t>Agota.Bazsik@eesc.europa.eu</w:t>
        </w:r>
      </w:hyperlink>
      <w:r>
        <w:rPr>
          <w:i/>
        </w:rPr>
        <w:t>)</w:t>
      </w:r>
    </w:p>
    <w:p w:rsidR="00821A9F" w:rsidRPr="00892202" w:rsidRDefault="00821A9F">
      <w:pPr>
        <w:rPr>
          <w:i/>
          <w:lang w:val="en-GB"/>
        </w:rPr>
      </w:pPr>
    </w:p>
    <w:p w:rsidR="001E5FEE" w:rsidRPr="00892202" w:rsidRDefault="001E5FEE">
      <w:pPr>
        <w:rPr>
          <w:lang w:val="en-GB"/>
        </w:rPr>
      </w:pPr>
    </w:p>
    <w:p w:rsidR="001E5FEE" w:rsidRPr="00892202" w:rsidRDefault="001E5FEE" w:rsidP="005D56C1">
      <w:pPr>
        <w:jc w:val="left"/>
        <w:rPr>
          <w:kern w:val="28"/>
        </w:rPr>
      </w:pPr>
      <w:r>
        <w:br w:type="page"/>
      </w:r>
    </w:p>
    <w:p w:rsidR="008262D3" w:rsidRPr="00892202" w:rsidRDefault="008A2BDE" w:rsidP="005D56C1">
      <w:pPr>
        <w:pStyle w:val="Heading1"/>
        <w:keepNext/>
        <w:keepLines/>
        <w:rPr>
          <w:b/>
        </w:rPr>
      </w:pPr>
      <w:r>
        <w:lastRenderedPageBreak/>
        <w:tab/>
      </w:r>
      <w:bookmarkStart w:id="5" w:name="_Toc13582827"/>
      <w:r>
        <w:rPr>
          <w:b/>
        </w:rPr>
        <w:t>MEZŐGAZDASÁG, VIDÉKFEJLESZTÉS ÉS KÖRNYEZETVÉDELEM</w:t>
      </w:r>
      <w:bookmarkEnd w:id="5"/>
    </w:p>
    <w:p w:rsidR="008A2BDE" w:rsidRPr="00892202" w:rsidRDefault="008A2BDE" w:rsidP="005D56C1">
      <w:pPr>
        <w:keepNext/>
        <w:keepLines/>
        <w:jc w:val="left"/>
        <w:rPr>
          <w:iCs/>
          <w:lang w:val="en-GB"/>
        </w:rPr>
      </w:pPr>
    </w:p>
    <w:p w:rsidR="008A2BDE" w:rsidRPr="00892202" w:rsidRDefault="008A2BDE">
      <w:pPr>
        <w:jc w:val="left"/>
        <w:rPr>
          <w:iCs/>
        </w:rPr>
      </w:pPr>
      <w:r>
        <w:rPr>
          <w:b/>
          <w:iCs/>
          <w:u w:val="single"/>
        </w:rPr>
        <w:t>NAT/774</w:t>
      </w:r>
    </w:p>
    <w:p w:rsidR="008A2BDE" w:rsidRPr="00892202" w:rsidRDefault="008A2BDE">
      <w:pPr>
        <w:jc w:val="left"/>
        <w:rPr>
          <w:iCs/>
          <w:lang w:val="en-GB"/>
        </w:rPr>
      </w:pPr>
    </w:p>
    <w:p w:rsidR="008A2BDE" w:rsidRPr="00892202" w:rsidRDefault="008A2BDE">
      <w:pPr>
        <w:pStyle w:val="ListParagraph"/>
        <w:numPr>
          <w:ilvl w:val="0"/>
          <w:numId w:val="22"/>
        </w:numPr>
        <w:ind w:left="567" w:hanging="567"/>
        <w:rPr>
          <w:b/>
          <w:bCs/>
          <w:i/>
          <w:iCs/>
          <w:sz w:val="28"/>
          <w:szCs w:val="28"/>
        </w:rPr>
      </w:pPr>
      <w:r>
        <w:rPr>
          <w:b/>
          <w:bCs/>
          <w:i/>
          <w:iCs/>
          <w:sz w:val="28"/>
          <w:szCs w:val="28"/>
        </w:rPr>
        <w:t>Uniós polgári védelmi mechanizmus</w:t>
      </w:r>
    </w:p>
    <w:p w:rsidR="008A2BDE" w:rsidRPr="00892202" w:rsidRDefault="008A2BDE">
      <w:pPr>
        <w:pStyle w:val="ListParagraph"/>
        <w:ind w:left="567"/>
        <w:rPr>
          <w:b/>
          <w:bCs/>
          <w:i/>
          <w:iCs/>
          <w:sz w:val="28"/>
          <w:szCs w:val="28"/>
          <w:lang w:val="en-GB"/>
        </w:rPr>
      </w:pPr>
    </w:p>
    <w:p w:rsidR="008A2BDE" w:rsidRPr="00892202" w:rsidRDefault="008A2BDE">
      <w:r>
        <w:rPr>
          <w:b/>
        </w:rPr>
        <w:t>Előadó:</w:t>
      </w:r>
      <w:r>
        <w:tab/>
      </w:r>
      <w:r w:rsidR="00326E89">
        <w:tab/>
      </w:r>
      <w:r>
        <w:t>Panagiotis GKOFAS (Sokféleség Európája/EL)</w:t>
      </w:r>
    </w:p>
    <w:p w:rsidR="008A2BDE" w:rsidRPr="00892202" w:rsidRDefault="008A2BDE">
      <w:pPr>
        <w:rPr>
          <w:lang w:val="en-GB"/>
        </w:rPr>
      </w:pPr>
    </w:p>
    <w:p w:rsidR="008A2BDE" w:rsidRPr="00892202" w:rsidRDefault="008A2BDE">
      <w:pPr>
        <w:ind w:left="-5"/>
        <w:rPr>
          <w:bCs/>
        </w:rPr>
      </w:pPr>
      <w:r>
        <w:rPr>
          <w:b/>
          <w:bCs/>
        </w:rPr>
        <w:t>Hivatkozás:</w:t>
      </w:r>
      <w:r w:rsidR="00326E89">
        <w:rPr>
          <w:b/>
          <w:bCs/>
        </w:rPr>
        <w:tab/>
      </w:r>
      <w:r w:rsidR="00326E89">
        <w:rPr>
          <w:b/>
          <w:bCs/>
        </w:rPr>
        <w:tab/>
      </w:r>
      <w:r>
        <w:t>COM(2019) 125 final – 2019/0070 (COD)</w:t>
      </w:r>
    </w:p>
    <w:p w:rsidR="008A2BDE" w:rsidRPr="005A7298" w:rsidRDefault="008A2BDE">
      <w:pPr>
        <w:ind w:left="1701"/>
      </w:pPr>
      <w:r>
        <w:t>EESC-2019-01772-00-00-AC</w:t>
      </w:r>
    </w:p>
    <w:p w:rsidR="008A2BDE" w:rsidRPr="00892202" w:rsidRDefault="008A2BDE">
      <w:pPr>
        <w:ind w:left="-5"/>
      </w:pPr>
      <w:r>
        <w:tab/>
      </w:r>
    </w:p>
    <w:p w:rsidR="008A2BDE" w:rsidRPr="00892202" w:rsidRDefault="008A2BDE">
      <w:pPr>
        <w:rPr>
          <w:b/>
        </w:rPr>
      </w:pPr>
      <w:r>
        <w:rPr>
          <w:b/>
        </w:rPr>
        <w:t>Főbb pontok:</w:t>
      </w:r>
    </w:p>
    <w:p w:rsidR="008A2BDE" w:rsidRPr="00892202" w:rsidRDefault="008A2BDE">
      <w:pPr>
        <w:rPr>
          <w:b/>
          <w:iCs/>
          <w:highlight w:val="yellow"/>
          <w:u w:val="single"/>
          <w:lang w:val="en-GB"/>
        </w:rPr>
      </w:pPr>
    </w:p>
    <w:p w:rsidR="008A2BDE" w:rsidRPr="005A7298" w:rsidRDefault="008A2BDE" w:rsidP="005D56C1">
      <w:r>
        <w:t>Az EGSZB üdvözli ezt az uniós polgári védelmi mechanizmus jelenlegi keretének felülvizsgálatára és megerősítésére irányuló javaslatot.</w:t>
      </w:r>
    </w:p>
    <w:p w:rsidR="008A2BDE" w:rsidRPr="00892202" w:rsidRDefault="008A2BDE">
      <w:pPr>
        <w:ind w:left="-567"/>
        <w:rPr>
          <w:b/>
          <w:iCs/>
          <w:highlight w:val="yellow"/>
          <w:u w:val="single"/>
          <w:lang w:val="en-GB"/>
        </w:rPr>
      </w:pPr>
    </w:p>
    <w:p w:rsidR="008A2BDE" w:rsidRPr="005A7298" w:rsidRDefault="008A2BDE">
      <w:pPr>
        <w:tabs>
          <w:tab w:val="left" w:pos="1701"/>
        </w:tabs>
        <w:rPr>
          <w:i/>
          <w:iCs/>
        </w:rPr>
      </w:pPr>
      <w:r>
        <w:rPr>
          <w:b/>
          <w:bCs/>
          <w:i/>
          <w:iCs/>
        </w:rPr>
        <w:t>Kapcsolattartó:</w:t>
      </w:r>
      <w:r w:rsidR="00326E89">
        <w:rPr>
          <w:b/>
          <w:bCs/>
          <w:i/>
          <w:iCs/>
        </w:rPr>
        <w:tab/>
      </w:r>
      <w:r>
        <w:rPr>
          <w:i/>
        </w:rPr>
        <w:t>Arturo Iñiguez</w:t>
      </w:r>
    </w:p>
    <w:p w:rsidR="008A2BDE" w:rsidRPr="005A7298" w:rsidRDefault="008A2BDE">
      <w:pPr>
        <w:tabs>
          <w:tab w:val="left" w:pos="770"/>
        </w:tabs>
        <w:ind w:left="1430" w:firstLine="271"/>
        <w:rPr>
          <w:i/>
          <w:iCs/>
        </w:rPr>
      </w:pPr>
      <w:r>
        <w:rPr>
          <w:i/>
          <w:iCs/>
        </w:rPr>
        <w:t>(Tel.: 00 32 2 546 87 68 – e-mail:</w:t>
      </w:r>
      <w:r>
        <w:rPr>
          <w:i/>
          <w:iCs/>
          <w:color w:val="0000FF"/>
          <w:u w:val="single"/>
        </w:rPr>
        <w:t xml:space="preserve"> </w:t>
      </w:r>
      <w:hyperlink r:id="rId20" w:history="1">
        <w:r>
          <w:rPr>
            <w:rStyle w:val="Hyperlink"/>
            <w:i/>
            <w:iCs/>
          </w:rPr>
          <w:t>Arturo.Iniguez@eesc.europa.eu</w:t>
        </w:r>
      </w:hyperlink>
      <w:r>
        <w:rPr>
          <w:i/>
          <w:iCs/>
        </w:rPr>
        <w:t>)</w:t>
      </w:r>
    </w:p>
    <w:p w:rsidR="00B5252F" w:rsidRPr="005A7298" w:rsidRDefault="00B5252F">
      <w:pPr>
        <w:tabs>
          <w:tab w:val="left" w:pos="770"/>
        </w:tabs>
        <w:ind w:left="1430" w:hanging="1430"/>
        <w:rPr>
          <w:i/>
          <w:iCs/>
          <w:lang w:val="en-GB"/>
        </w:rPr>
      </w:pPr>
    </w:p>
    <w:p w:rsidR="00B5252F" w:rsidRPr="005A7298" w:rsidRDefault="00B5252F">
      <w:pPr>
        <w:tabs>
          <w:tab w:val="left" w:pos="770"/>
        </w:tabs>
        <w:ind w:left="1430" w:firstLine="271"/>
        <w:rPr>
          <w:i/>
          <w:iCs/>
          <w:lang w:val="en-GB"/>
        </w:rPr>
      </w:pPr>
    </w:p>
    <w:p w:rsidR="00B5252F" w:rsidRPr="005A7298" w:rsidRDefault="00B5252F">
      <w:pPr>
        <w:tabs>
          <w:tab w:val="left" w:pos="770"/>
        </w:tabs>
        <w:ind w:left="1430" w:hanging="1430"/>
        <w:rPr>
          <w:iCs/>
          <w:lang w:val="en-GB"/>
        </w:rPr>
      </w:pPr>
    </w:p>
    <w:p w:rsidR="00B15573" w:rsidRPr="00892202" w:rsidRDefault="00B15573">
      <w:pPr>
        <w:jc w:val="left"/>
        <w:rPr>
          <w:iCs/>
        </w:rPr>
      </w:pPr>
      <w:r>
        <w:br w:type="page"/>
      </w:r>
    </w:p>
    <w:p w:rsidR="00387229" w:rsidRPr="00892202" w:rsidRDefault="00E46EC4" w:rsidP="005D56C1">
      <w:pPr>
        <w:pStyle w:val="Heading1"/>
        <w:keepNext/>
        <w:keepLines/>
        <w:rPr>
          <w:b/>
        </w:rPr>
      </w:pPr>
      <w:bookmarkStart w:id="6" w:name="_Toc514234507"/>
      <w:bookmarkStart w:id="7" w:name="_Toc514234754"/>
      <w:bookmarkStart w:id="8" w:name="_Toc514235001"/>
      <w:bookmarkStart w:id="9" w:name="_Toc514235125"/>
      <w:bookmarkStart w:id="10" w:name="_Toc514235248"/>
      <w:bookmarkStart w:id="11" w:name="_Toc514235368"/>
      <w:bookmarkStart w:id="12" w:name="_Toc514235486"/>
      <w:bookmarkStart w:id="13" w:name="_Toc514235604"/>
      <w:bookmarkStart w:id="14" w:name="_Toc514235720"/>
      <w:bookmarkStart w:id="15" w:name="_Toc514234508"/>
      <w:bookmarkStart w:id="16" w:name="_Toc514234755"/>
      <w:bookmarkStart w:id="17" w:name="_Toc514235002"/>
      <w:bookmarkStart w:id="18" w:name="_Toc514235126"/>
      <w:bookmarkStart w:id="19" w:name="_Toc514235249"/>
      <w:bookmarkStart w:id="20" w:name="_Toc514235369"/>
      <w:bookmarkStart w:id="21" w:name="_Toc514235487"/>
      <w:bookmarkStart w:id="22" w:name="_Toc514235605"/>
      <w:bookmarkStart w:id="23" w:name="_Toc514235721"/>
      <w:bookmarkStart w:id="24" w:name="_Toc514234509"/>
      <w:bookmarkStart w:id="25" w:name="_Toc514234756"/>
      <w:bookmarkStart w:id="26" w:name="_Toc514235003"/>
      <w:bookmarkStart w:id="27" w:name="_Toc514235127"/>
      <w:bookmarkStart w:id="28" w:name="_Toc514235250"/>
      <w:bookmarkStart w:id="29" w:name="_Toc514235370"/>
      <w:bookmarkStart w:id="30" w:name="_Toc514235488"/>
      <w:bookmarkStart w:id="31" w:name="_Toc514235606"/>
      <w:bookmarkStart w:id="32" w:name="_Toc514235722"/>
      <w:bookmarkStart w:id="33" w:name="_Toc514234510"/>
      <w:bookmarkStart w:id="34" w:name="_Toc514234757"/>
      <w:bookmarkStart w:id="35" w:name="_Toc514235004"/>
      <w:bookmarkStart w:id="36" w:name="_Toc514235128"/>
      <w:bookmarkStart w:id="37" w:name="_Toc514235251"/>
      <w:bookmarkStart w:id="38" w:name="_Toc514235371"/>
      <w:bookmarkStart w:id="39" w:name="_Toc514235489"/>
      <w:bookmarkStart w:id="40" w:name="_Toc514235607"/>
      <w:bookmarkStart w:id="41" w:name="_Toc514235723"/>
      <w:bookmarkStart w:id="42" w:name="_Toc514234511"/>
      <w:bookmarkStart w:id="43" w:name="_Toc514234758"/>
      <w:bookmarkStart w:id="44" w:name="_Toc514235005"/>
      <w:bookmarkStart w:id="45" w:name="_Toc514235129"/>
      <w:bookmarkStart w:id="46" w:name="_Toc514235252"/>
      <w:bookmarkStart w:id="47" w:name="_Toc514235372"/>
      <w:bookmarkStart w:id="48" w:name="_Toc514235490"/>
      <w:bookmarkStart w:id="49" w:name="_Toc514235608"/>
      <w:bookmarkStart w:id="50" w:name="_Toc514235724"/>
      <w:bookmarkStart w:id="51" w:name="_Toc514234512"/>
      <w:bookmarkStart w:id="52" w:name="_Toc514234759"/>
      <w:bookmarkStart w:id="53" w:name="_Toc514235006"/>
      <w:bookmarkStart w:id="54" w:name="_Toc514235130"/>
      <w:bookmarkStart w:id="55" w:name="_Toc514235253"/>
      <w:bookmarkStart w:id="56" w:name="_Toc514235373"/>
      <w:bookmarkStart w:id="57" w:name="_Toc514235491"/>
      <w:bookmarkStart w:id="58" w:name="_Toc514235609"/>
      <w:bookmarkStart w:id="59" w:name="_Toc514235725"/>
      <w:bookmarkStart w:id="60" w:name="_Toc514234513"/>
      <w:bookmarkStart w:id="61" w:name="_Toc514234760"/>
      <w:bookmarkStart w:id="62" w:name="_Toc514235007"/>
      <w:bookmarkStart w:id="63" w:name="_Toc514235131"/>
      <w:bookmarkStart w:id="64" w:name="_Toc514235254"/>
      <w:bookmarkStart w:id="65" w:name="_Toc514235374"/>
      <w:bookmarkStart w:id="66" w:name="_Toc514235492"/>
      <w:bookmarkStart w:id="67" w:name="_Toc514235610"/>
      <w:bookmarkStart w:id="68" w:name="_Toc514235726"/>
      <w:bookmarkStart w:id="69" w:name="_Toc514234514"/>
      <w:bookmarkStart w:id="70" w:name="_Toc514234761"/>
      <w:bookmarkStart w:id="71" w:name="_Toc514235008"/>
      <w:bookmarkStart w:id="72" w:name="_Toc514235132"/>
      <w:bookmarkStart w:id="73" w:name="_Toc514235255"/>
      <w:bookmarkStart w:id="74" w:name="_Toc514235375"/>
      <w:bookmarkStart w:id="75" w:name="_Toc514235493"/>
      <w:bookmarkStart w:id="76" w:name="_Toc514235611"/>
      <w:bookmarkStart w:id="77" w:name="_Toc514235727"/>
      <w:bookmarkStart w:id="78" w:name="_Toc514234515"/>
      <w:bookmarkStart w:id="79" w:name="_Toc514234762"/>
      <w:bookmarkStart w:id="80" w:name="_Toc514235009"/>
      <w:bookmarkStart w:id="81" w:name="_Toc514235133"/>
      <w:bookmarkStart w:id="82" w:name="_Toc514235256"/>
      <w:bookmarkStart w:id="83" w:name="_Toc514235376"/>
      <w:bookmarkStart w:id="84" w:name="_Toc514235494"/>
      <w:bookmarkStart w:id="85" w:name="_Toc514235612"/>
      <w:bookmarkStart w:id="86" w:name="_Toc514235728"/>
      <w:bookmarkStart w:id="87" w:name="_Toc514234516"/>
      <w:bookmarkStart w:id="88" w:name="_Toc514234763"/>
      <w:bookmarkStart w:id="89" w:name="_Toc514235010"/>
      <w:bookmarkStart w:id="90" w:name="_Toc514235134"/>
      <w:bookmarkStart w:id="91" w:name="_Toc514235257"/>
      <w:bookmarkStart w:id="92" w:name="_Toc514235377"/>
      <w:bookmarkStart w:id="93" w:name="_Toc514235495"/>
      <w:bookmarkStart w:id="94" w:name="_Toc514235613"/>
      <w:bookmarkStart w:id="95" w:name="_Toc514235729"/>
      <w:bookmarkStart w:id="96" w:name="_Toc514234517"/>
      <w:bookmarkStart w:id="97" w:name="_Toc514234764"/>
      <w:bookmarkStart w:id="98" w:name="_Toc514235011"/>
      <w:bookmarkStart w:id="99" w:name="_Toc514235135"/>
      <w:bookmarkStart w:id="100" w:name="_Toc514235258"/>
      <w:bookmarkStart w:id="101" w:name="_Toc514235378"/>
      <w:bookmarkStart w:id="102" w:name="_Toc514235496"/>
      <w:bookmarkStart w:id="103" w:name="_Toc514235614"/>
      <w:bookmarkStart w:id="104" w:name="_Toc514235730"/>
      <w:bookmarkStart w:id="105" w:name="_Toc514234518"/>
      <w:bookmarkStart w:id="106" w:name="_Toc514234765"/>
      <w:bookmarkStart w:id="107" w:name="_Toc514235012"/>
      <w:bookmarkStart w:id="108" w:name="_Toc514235136"/>
      <w:bookmarkStart w:id="109" w:name="_Toc514235259"/>
      <w:bookmarkStart w:id="110" w:name="_Toc514235379"/>
      <w:bookmarkStart w:id="111" w:name="_Toc514235497"/>
      <w:bookmarkStart w:id="112" w:name="_Toc514235615"/>
      <w:bookmarkStart w:id="113" w:name="_Toc514235731"/>
      <w:bookmarkStart w:id="114" w:name="_Toc514234519"/>
      <w:bookmarkStart w:id="115" w:name="_Toc514234766"/>
      <w:bookmarkStart w:id="116" w:name="_Toc514235013"/>
      <w:bookmarkStart w:id="117" w:name="_Toc514235137"/>
      <w:bookmarkStart w:id="118" w:name="_Toc514235260"/>
      <w:bookmarkStart w:id="119" w:name="_Toc514235380"/>
      <w:bookmarkStart w:id="120" w:name="_Toc514235498"/>
      <w:bookmarkStart w:id="121" w:name="_Toc514235616"/>
      <w:bookmarkStart w:id="122" w:name="_Toc514235732"/>
      <w:bookmarkStart w:id="123" w:name="_Toc514234520"/>
      <w:bookmarkStart w:id="124" w:name="_Toc514234767"/>
      <w:bookmarkStart w:id="125" w:name="_Toc514235014"/>
      <w:bookmarkStart w:id="126" w:name="_Toc514235138"/>
      <w:bookmarkStart w:id="127" w:name="_Toc514235261"/>
      <w:bookmarkStart w:id="128" w:name="_Toc514235381"/>
      <w:bookmarkStart w:id="129" w:name="_Toc514235499"/>
      <w:bookmarkStart w:id="130" w:name="_Toc514235617"/>
      <w:bookmarkStart w:id="131" w:name="_Toc514235733"/>
      <w:bookmarkStart w:id="132" w:name="_Toc514234521"/>
      <w:bookmarkStart w:id="133" w:name="_Toc514234768"/>
      <w:bookmarkStart w:id="134" w:name="_Toc514235015"/>
      <w:bookmarkStart w:id="135" w:name="_Toc514235139"/>
      <w:bookmarkStart w:id="136" w:name="_Toc514235262"/>
      <w:bookmarkStart w:id="137" w:name="_Toc514235382"/>
      <w:bookmarkStart w:id="138" w:name="_Toc514235500"/>
      <w:bookmarkStart w:id="139" w:name="_Toc514235618"/>
      <w:bookmarkStart w:id="140" w:name="_Toc514235734"/>
      <w:bookmarkStart w:id="141" w:name="_Toc514234522"/>
      <w:bookmarkStart w:id="142" w:name="_Toc514234769"/>
      <w:bookmarkStart w:id="143" w:name="_Toc514235016"/>
      <w:bookmarkStart w:id="144" w:name="_Toc514235140"/>
      <w:bookmarkStart w:id="145" w:name="_Toc514235263"/>
      <w:bookmarkStart w:id="146" w:name="_Toc514235383"/>
      <w:bookmarkStart w:id="147" w:name="_Toc514235501"/>
      <w:bookmarkStart w:id="148" w:name="_Toc514235619"/>
      <w:bookmarkStart w:id="149" w:name="_Toc514235735"/>
      <w:bookmarkStart w:id="150" w:name="_Toc514234523"/>
      <w:bookmarkStart w:id="151" w:name="_Toc514234770"/>
      <w:bookmarkStart w:id="152" w:name="_Toc514235017"/>
      <w:bookmarkStart w:id="153" w:name="_Toc514235141"/>
      <w:bookmarkStart w:id="154" w:name="_Toc514235264"/>
      <w:bookmarkStart w:id="155" w:name="_Toc514235384"/>
      <w:bookmarkStart w:id="156" w:name="_Toc514235502"/>
      <w:bookmarkStart w:id="157" w:name="_Toc514235620"/>
      <w:bookmarkStart w:id="158" w:name="_Toc514235736"/>
      <w:bookmarkStart w:id="159" w:name="_Toc514234524"/>
      <w:bookmarkStart w:id="160" w:name="_Toc514234771"/>
      <w:bookmarkStart w:id="161" w:name="_Toc514235018"/>
      <w:bookmarkStart w:id="162" w:name="_Toc514235142"/>
      <w:bookmarkStart w:id="163" w:name="_Toc514235265"/>
      <w:bookmarkStart w:id="164" w:name="_Toc514235385"/>
      <w:bookmarkStart w:id="165" w:name="_Toc514235503"/>
      <w:bookmarkStart w:id="166" w:name="_Toc514235621"/>
      <w:bookmarkStart w:id="167" w:name="_Toc51423573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lastRenderedPageBreak/>
        <w:tab/>
      </w:r>
      <w:bookmarkStart w:id="168" w:name="_Toc13582828"/>
      <w:r>
        <w:rPr>
          <w:b/>
        </w:rPr>
        <w:t>FOGLALKOZTATÁS- ÉS SZOCIÁLPOLITIKA, UNIÓS POLGÁRSÁG</w:t>
      </w:r>
      <w:bookmarkEnd w:id="168"/>
    </w:p>
    <w:p w:rsidR="008262D3" w:rsidRPr="00892202" w:rsidRDefault="008262D3" w:rsidP="005D56C1">
      <w:pPr>
        <w:keepNext/>
        <w:keepLines/>
        <w:rPr>
          <w:lang w:val="en-GB"/>
        </w:rPr>
      </w:pPr>
    </w:p>
    <w:p w:rsidR="008262D3" w:rsidRPr="00892202" w:rsidRDefault="00CE5FE3">
      <w:pPr>
        <w:rPr>
          <w:b/>
          <w:u w:val="single"/>
        </w:rPr>
      </w:pPr>
      <w:r>
        <w:rPr>
          <w:b/>
          <w:u w:val="single"/>
        </w:rPr>
        <w:t>SOC/625</w:t>
      </w:r>
    </w:p>
    <w:p w:rsidR="008262D3" w:rsidRPr="00892202" w:rsidRDefault="008262D3">
      <w:pPr>
        <w:rPr>
          <w:lang w:val="en-GB"/>
        </w:rPr>
      </w:pPr>
    </w:p>
    <w:p w:rsidR="00CE5FE3" w:rsidRPr="005A7298" w:rsidRDefault="00CE5FE3">
      <w:pPr>
        <w:pStyle w:val="ListParagraph"/>
        <w:widowControl w:val="0"/>
        <w:numPr>
          <w:ilvl w:val="0"/>
          <w:numId w:val="68"/>
        </w:numPr>
        <w:overflowPunct w:val="0"/>
        <w:autoSpaceDE w:val="0"/>
        <w:autoSpaceDN w:val="0"/>
        <w:adjustRightInd w:val="0"/>
        <w:ind w:left="567" w:hanging="567"/>
        <w:textAlignment w:val="baseline"/>
        <w:rPr>
          <w:b/>
          <w:bCs/>
          <w:i/>
          <w:iCs/>
          <w:sz w:val="28"/>
          <w:szCs w:val="28"/>
        </w:rPr>
      </w:pPr>
      <w:r>
        <w:rPr>
          <w:b/>
          <w:bCs/>
          <w:i/>
          <w:iCs/>
          <w:sz w:val="28"/>
          <w:szCs w:val="28"/>
        </w:rPr>
        <w:t>Foglalkoztatáspolitikai iránymutatások</w:t>
      </w:r>
    </w:p>
    <w:p w:rsidR="00CE5FE3" w:rsidRPr="005A7298" w:rsidRDefault="00CE5FE3">
      <w:pPr>
        <w:ind w:left="-567" w:firstLine="17"/>
        <w:rPr>
          <w:highlight w:val="yellow"/>
          <w:lang w:val="en-GB"/>
        </w:rPr>
      </w:pPr>
    </w:p>
    <w:p w:rsidR="00CE5FE3" w:rsidRPr="005A7298" w:rsidRDefault="00CE5FE3">
      <w:pPr>
        <w:tabs>
          <w:tab w:val="left" w:pos="1701"/>
        </w:tabs>
      </w:pPr>
      <w:r>
        <w:rPr>
          <w:b/>
        </w:rPr>
        <w:t>Előadó:</w:t>
      </w:r>
      <w:r>
        <w:t xml:space="preserve"> </w:t>
      </w:r>
      <w:r>
        <w:tab/>
        <w:t>Ana Bontea (Munkaadók csoportja/RO)</w:t>
      </w:r>
    </w:p>
    <w:p w:rsidR="00CE5FE3" w:rsidRPr="005A7298" w:rsidRDefault="00CE5FE3">
      <w:pPr>
        <w:rPr>
          <w:b/>
          <w:bCs/>
          <w:lang w:val="en-GB"/>
        </w:rPr>
      </w:pPr>
    </w:p>
    <w:p w:rsidR="00CE5FE3" w:rsidRPr="005A7298" w:rsidRDefault="00CE5FE3" w:rsidP="005A7298">
      <w:pPr>
        <w:ind w:left="-5"/>
        <w:jc w:val="left"/>
      </w:pPr>
      <w:r>
        <w:rPr>
          <w:b/>
          <w:bCs/>
        </w:rPr>
        <w:t>Hivatkozás:</w:t>
      </w:r>
      <w:r w:rsidR="00326E89">
        <w:rPr>
          <w:b/>
          <w:bCs/>
        </w:rPr>
        <w:tab/>
      </w:r>
      <w:r w:rsidR="00326E89">
        <w:rPr>
          <w:b/>
          <w:bCs/>
        </w:rPr>
        <w:tab/>
      </w:r>
      <w:r>
        <w:t>COM(2019) 151 final</w:t>
      </w:r>
      <w:r>
        <w:rPr>
          <w:b/>
          <w:bCs/>
        </w:rPr>
        <w:br/>
      </w:r>
      <w:r>
        <w:rPr>
          <w:b/>
          <w:bCs/>
        </w:rPr>
        <w:tab/>
      </w:r>
      <w:r>
        <w:rPr>
          <w:b/>
          <w:bCs/>
        </w:rPr>
        <w:tab/>
      </w:r>
      <w:r>
        <w:rPr>
          <w:b/>
          <w:bCs/>
        </w:rPr>
        <w:tab/>
      </w:r>
      <w:r>
        <w:rPr>
          <w:b/>
          <w:bCs/>
        </w:rPr>
        <w:tab/>
      </w:r>
      <w:r>
        <w:t>EESC-2019-01577-00-00-AC</w:t>
      </w:r>
    </w:p>
    <w:p w:rsidR="00CE5FE3" w:rsidRPr="005A7298" w:rsidRDefault="00CE5FE3">
      <w:pPr>
        <w:tabs>
          <w:tab w:val="left" w:pos="0"/>
        </w:tabs>
        <w:ind w:left="364" w:hanging="369"/>
        <w:rPr>
          <w:lang w:val="en-GB"/>
        </w:rPr>
      </w:pPr>
    </w:p>
    <w:p w:rsidR="00CE5FE3" w:rsidRPr="005A7298" w:rsidRDefault="00CE5FE3">
      <w:pPr>
        <w:ind w:left="-5"/>
        <w:rPr>
          <w:b/>
        </w:rPr>
      </w:pPr>
      <w:r>
        <w:rPr>
          <w:b/>
        </w:rPr>
        <w:t>Főbb pontok:</w:t>
      </w:r>
    </w:p>
    <w:p w:rsidR="00CE5FE3" w:rsidRPr="005A7298" w:rsidRDefault="00CE5FE3" w:rsidP="005D56C1">
      <w:pPr>
        <w:jc w:val="left"/>
        <w:rPr>
          <w:lang w:val="en-GB" w:eastAsia="en-GB"/>
        </w:rPr>
      </w:pPr>
    </w:p>
    <w:p w:rsidR="0061108D" w:rsidRPr="005A7298" w:rsidRDefault="0061108D">
      <w:r>
        <w:t>Véleményében az EGSZB a tagállamok foglalkoztatáspolitikájára vonatkozó iránymutatásokról szóló korábbi véleményeiben megfogalmazott megállapításokat és ajánlásokat ismétli meg és veszi alapul. Ismételten hangsúlyozza továbbá a szociális jogok európai pillérére vonatkozó következtetéseit és ajánlásait.</w:t>
      </w:r>
    </w:p>
    <w:p w:rsidR="0061108D" w:rsidRPr="005A7298" w:rsidRDefault="0061108D">
      <w:pPr>
        <w:rPr>
          <w:lang w:val="en-GB"/>
        </w:rPr>
      </w:pPr>
    </w:p>
    <w:p w:rsidR="0061108D" w:rsidRPr="005A7298" w:rsidRDefault="0061108D">
      <w:r>
        <w:t>Az EGSZB üdvözli az európai és nemzeti intézkedéseket, amelyek a foglalkoztatás terén előrelépést eredményeztek, valamint javasolja ezek fenntartását és továbbfejlesztését a gazdasági és társadalmi fenntarthatóság előmozdítása, a képzett, szakképzett, ezáltal az újdonságokra, különösen a technológiai fejlődésre jobban felkészült munkaerő, valamint a gazdasági változásokra gyorsan reagálni képes munkaerőpiacok megerősítése céljából.</w:t>
      </w:r>
    </w:p>
    <w:p w:rsidR="0061108D" w:rsidRPr="005A7298" w:rsidRDefault="0061108D">
      <w:pPr>
        <w:rPr>
          <w:lang w:val="en-GB"/>
        </w:rPr>
      </w:pPr>
    </w:p>
    <w:p w:rsidR="0061108D" w:rsidRPr="005A7298" w:rsidRDefault="0061108D">
      <w:r>
        <w:t>A munkaerőpiaci és szociális jogokra vonatkozó szabályozási politikák kidolgozásakor harmonikusan kombinálni kell egymással a versenyképesség, termelékenység és társadalmi fenntarthatóság/munkavállalói jogok összekapcsolódó dimenzióit. Minden szakpolitikának gondoskodnia kellene a gazdasági fenntarthatóság, valamint a társadalmi és környezeti fenntarthatóság közötti megfelelő egyensúly kialakításáról.</w:t>
      </w:r>
    </w:p>
    <w:p w:rsidR="0061108D" w:rsidRPr="005A7298" w:rsidRDefault="0061108D">
      <w:pPr>
        <w:rPr>
          <w:lang w:val="en-GB"/>
        </w:rPr>
      </w:pPr>
    </w:p>
    <w:p w:rsidR="0061108D" w:rsidRPr="005A7298" w:rsidRDefault="0061108D">
      <w:r>
        <w:t>Olyan szakpolitikákra és strukturális reformokra van szükség, amelyek elősegítik a minőségi munkahelyek létrehozását, és előmozdítják a felelősségteljes vállalkozói szellemet, valamint a kkv-k és a szociális vállalkozások növekedését.</w:t>
      </w:r>
    </w:p>
    <w:p w:rsidR="0061108D" w:rsidRPr="005A7298" w:rsidRDefault="0061108D">
      <w:pPr>
        <w:rPr>
          <w:lang w:val="en-GB"/>
        </w:rPr>
      </w:pPr>
    </w:p>
    <w:p w:rsidR="0061108D" w:rsidRPr="005A7298" w:rsidRDefault="0061108D">
      <w:r>
        <w:t>Az EGSZB hangsúlyozza az inkluzív, méltányos és minőségi műszaki, szakmai és felsőfokú oktatás, köztük a felsőoktatás, a magas szintű releváns készségek és ismeretek biztosításának fontosságát a foglalkoztatás, a tisztességes munkahelyek és a vállalkozói szellem biztosítása szempontjából, valamint az élethosszig tartó tanulás lehetőségeinek elősegítését mindenki számára.</w:t>
      </w:r>
    </w:p>
    <w:p w:rsidR="0061108D" w:rsidRPr="005A7298" w:rsidRDefault="0061108D">
      <w:pPr>
        <w:rPr>
          <w:lang w:val="en-GB"/>
        </w:rPr>
      </w:pPr>
    </w:p>
    <w:p w:rsidR="00CE5FE3" w:rsidRPr="005A7298" w:rsidRDefault="0061108D">
      <w:r>
        <w:t>Végezetül az EGSZB emlékeztet arra, hogy a szociális párbeszéd megfelelő működése elengedhetetlen a reformok megtervezésének, végrehajtásának és nyomon követésének javításához.</w:t>
      </w:r>
    </w:p>
    <w:p w:rsidR="00CE5FE3" w:rsidRPr="005A7298" w:rsidRDefault="00CE5FE3">
      <w:pPr>
        <w:ind w:left="567" w:hanging="567"/>
        <w:rPr>
          <w:rFonts w:ascii="Calibri" w:eastAsia="Calibri" w:hAnsi="Calibri" w:cs="Calibri"/>
          <w:lang w:val="en-GB" w:eastAsia="en-IE"/>
        </w:rPr>
      </w:pPr>
    </w:p>
    <w:p w:rsidR="00CE5FE3" w:rsidRPr="005A7298" w:rsidRDefault="00CE5FE3">
      <w:pPr>
        <w:tabs>
          <w:tab w:val="left" w:pos="770"/>
        </w:tabs>
        <w:ind w:left="1701" w:hanging="1701"/>
        <w:rPr>
          <w:rStyle w:val="normal--char"/>
          <w:i/>
          <w:iCs/>
        </w:rPr>
      </w:pPr>
      <w:r>
        <w:rPr>
          <w:rStyle w:val="normal--char"/>
          <w:b/>
          <w:bCs/>
          <w:i/>
          <w:iCs/>
        </w:rPr>
        <w:t>Kapcsolattartó:</w:t>
      </w:r>
      <w:r w:rsidR="00326E89">
        <w:rPr>
          <w:rStyle w:val="normal--char"/>
          <w:b/>
          <w:bCs/>
          <w:i/>
          <w:iCs/>
        </w:rPr>
        <w:tab/>
      </w:r>
      <w:r>
        <w:rPr>
          <w:rStyle w:val="normal--char"/>
          <w:bCs/>
          <w:i/>
          <w:iCs/>
        </w:rPr>
        <w:t>Ana Dumitrache</w:t>
      </w:r>
    </w:p>
    <w:p w:rsidR="00CE5FE3" w:rsidRPr="005A7298" w:rsidRDefault="00CE5FE3">
      <w:pPr>
        <w:tabs>
          <w:tab w:val="left" w:pos="1701"/>
        </w:tabs>
        <w:ind w:left="1701"/>
        <w:rPr>
          <w:i/>
          <w:iCs/>
        </w:rPr>
      </w:pPr>
      <w:r>
        <w:rPr>
          <w:rStyle w:val="normal--char"/>
          <w:i/>
          <w:iCs/>
        </w:rPr>
        <w:t xml:space="preserve">(Tel.: +32 2 546 8131 – e-mail: </w:t>
      </w:r>
      <w:hyperlink r:id="rId21" w:history="1">
        <w:r>
          <w:rPr>
            <w:rStyle w:val="Hyperlink"/>
            <w:i/>
            <w:iCs/>
          </w:rPr>
          <w:t>ana.dumitrache@eesc.europa.eu</w:t>
        </w:r>
      </w:hyperlink>
      <w:r>
        <w:rPr>
          <w:i/>
        </w:rPr>
        <w:t>)</w:t>
      </w:r>
    </w:p>
    <w:p w:rsidR="00B15573" w:rsidRPr="00892202" w:rsidRDefault="00B15573">
      <w:pPr>
        <w:jc w:val="left"/>
      </w:pPr>
      <w:r>
        <w:br w:type="page"/>
      </w:r>
    </w:p>
    <w:p w:rsidR="00A12393" w:rsidRPr="00892202" w:rsidRDefault="00A12393" w:rsidP="005D56C1">
      <w:pPr>
        <w:keepNext/>
        <w:keepLines/>
        <w:jc w:val="left"/>
      </w:pPr>
      <w:r>
        <w:rPr>
          <w:b/>
          <w:u w:val="single"/>
        </w:rPr>
        <w:lastRenderedPageBreak/>
        <w:t>SOC/627</w:t>
      </w:r>
    </w:p>
    <w:p w:rsidR="00A12393" w:rsidRPr="00892202" w:rsidRDefault="00A12393" w:rsidP="005D56C1">
      <w:pPr>
        <w:keepNext/>
        <w:keepLines/>
        <w:jc w:val="left"/>
        <w:rPr>
          <w:lang w:val="en-GB"/>
        </w:rPr>
      </w:pPr>
    </w:p>
    <w:p w:rsidR="00A12393" w:rsidRPr="005A7298" w:rsidRDefault="00A12393" w:rsidP="005D56C1">
      <w:pPr>
        <w:pStyle w:val="ListParagraph"/>
        <w:numPr>
          <w:ilvl w:val="0"/>
          <w:numId w:val="69"/>
        </w:numPr>
        <w:overflowPunct w:val="0"/>
        <w:autoSpaceDE w:val="0"/>
        <w:autoSpaceDN w:val="0"/>
        <w:adjustRightInd w:val="0"/>
        <w:ind w:left="567" w:hanging="567"/>
        <w:textAlignment w:val="baseline"/>
        <w:rPr>
          <w:b/>
          <w:i/>
          <w:sz w:val="28"/>
        </w:rPr>
      </w:pPr>
      <w:r>
        <w:rPr>
          <w:b/>
          <w:i/>
          <w:sz w:val="28"/>
          <w:szCs w:val="28"/>
        </w:rPr>
        <w:t>Az Unión belüli jogállamiság további erősítése. Az aktuális helyzet és a lehetséges további lépések</w:t>
      </w:r>
    </w:p>
    <w:p w:rsidR="00A12393" w:rsidRPr="00892202" w:rsidRDefault="00A12393" w:rsidP="005D56C1">
      <w:pPr>
        <w:rPr>
          <w:b/>
          <w:i/>
          <w:sz w:val="28"/>
          <w:lang w:val="en-GB"/>
        </w:rPr>
      </w:pPr>
    </w:p>
    <w:p w:rsidR="00A12393" w:rsidRPr="00892202" w:rsidRDefault="00A12393">
      <w:pPr>
        <w:tabs>
          <w:tab w:val="left" w:pos="1701"/>
        </w:tabs>
      </w:pPr>
      <w:r>
        <w:rPr>
          <w:b/>
        </w:rPr>
        <w:t>Előadók:</w:t>
      </w:r>
      <w:r>
        <w:tab/>
        <w:t>Jukka AHTELA (Munkaadók/FI)</w:t>
      </w:r>
    </w:p>
    <w:p w:rsidR="00232F54" w:rsidRPr="00892202" w:rsidRDefault="00232F54" w:rsidP="005A7298">
      <w:pPr>
        <w:tabs>
          <w:tab w:val="left" w:pos="1701"/>
        </w:tabs>
        <w:ind w:left="1701"/>
      </w:pPr>
      <w:r>
        <w:t>José Antonio MORENO DÍAZ (Munkavállalók/ES)</w:t>
      </w:r>
    </w:p>
    <w:p w:rsidR="00A12393" w:rsidRPr="00892202" w:rsidRDefault="00A12393">
      <w:pPr>
        <w:tabs>
          <w:tab w:val="left" w:pos="1701"/>
        </w:tabs>
        <w:ind w:left="1701"/>
      </w:pPr>
      <w:r>
        <w:t>Karolina DRESZER-SMALEC (Sokféleség Európája/PL)</w:t>
      </w:r>
    </w:p>
    <w:p w:rsidR="00A12393" w:rsidRPr="00892202" w:rsidRDefault="00A12393" w:rsidP="005A7298">
      <w:pPr>
        <w:tabs>
          <w:tab w:val="left" w:pos="1701"/>
        </w:tabs>
        <w:ind w:left="1701"/>
        <w:rPr>
          <w:lang w:val="en-GB"/>
        </w:rPr>
      </w:pPr>
    </w:p>
    <w:p w:rsidR="00232F54" w:rsidRPr="00892202" w:rsidRDefault="00A12393">
      <w:pPr>
        <w:jc w:val="left"/>
      </w:pPr>
      <w:r>
        <w:rPr>
          <w:b/>
        </w:rPr>
        <w:t>Hivatkozás:</w:t>
      </w:r>
      <w:r>
        <w:tab/>
      </w:r>
      <w:r>
        <w:tab/>
        <w:t>COM(2019) 163 final</w:t>
      </w:r>
    </w:p>
    <w:p w:rsidR="00A12393" w:rsidRPr="00892202" w:rsidRDefault="00A12393" w:rsidP="005A7298">
      <w:pPr>
        <w:ind w:left="1701"/>
        <w:jc w:val="left"/>
      </w:pPr>
      <w:r>
        <w:t>EESC-2019-02454-00-00-AC</w:t>
      </w:r>
    </w:p>
    <w:p w:rsidR="00A12393" w:rsidRPr="00892202" w:rsidRDefault="00A12393">
      <w:pPr>
        <w:jc w:val="left"/>
        <w:rPr>
          <w:lang w:val="en-GB"/>
        </w:rPr>
      </w:pPr>
    </w:p>
    <w:p w:rsidR="00A12393" w:rsidRPr="00892202" w:rsidRDefault="00A12393">
      <w:pPr>
        <w:jc w:val="left"/>
      </w:pPr>
      <w:r>
        <w:rPr>
          <w:b/>
        </w:rPr>
        <w:t>Főbb pontok:</w:t>
      </w:r>
    </w:p>
    <w:p w:rsidR="00A12393" w:rsidRPr="00892202" w:rsidRDefault="00A12393">
      <w:pPr>
        <w:jc w:val="left"/>
        <w:rPr>
          <w:lang w:val="en-GB"/>
        </w:rPr>
      </w:pPr>
    </w:p>
    <w:p w:rsidR="00A12393" w:rsidRPr="00892202" w:rsidRDefault="00A12393">
      <w:r>
        <w:t>Az EGSZB üdvözli az Európai Bizottság közleményét és arra irányuló erőfeszítéseit, hogy más eszközöket is használjanak a jogállamiság erősítésére. Az EGSZB úgy véli, hogy a civil társadalmat a lehető legnagyobb mértékben be kell vonni ezen eszközök kidolgozásába és végrehajtásába, és hogy határozottabban érvényesíteni kell azok hangját, akik fellépnek az alapvető jogokért és a jogállamiságért tagállamokban. Az EGSZB ezért sajnálatát fejezi ki amiatt, hogy a közlemény körüli mérlegelési időszak nem volt hosszabb, hogy mélyrehatóbb konzultációt lehessen folytatni.</w:t>
      </w:r>
    </w:p>
    <w:p w:rsidR="00A12393" w:rsidRPr="00892202" w:rsidRDefault="00A12393">
      <w:pPr>
        <w:rPr>
          <w:lang w:val="en-GB"/>
        </w:rPr>
      </w:pPr>
    </w:p>
    <w:p w:rsidR="00A12393" w:rsidRPr="00892202" w:rsidRDefault="00A12393">
      <w:r>
        <w:t>A civil társadalmi szervezetek, az emberijog-védők, az újságírók és a visszaélést bejelentő személyek kulcsfontosságú jogvédelmi szerepet töltenek be. Az EGSZB arra kéri az EU-t és a tagállamokat, hogy fokozzák ezek védelmét. A következő többéves pénzügyi keretben erősíteni kellene az ilyen szereplőket abban, hogy az összes tagállamban jobban el tudják látni az alapvető jogok és a jogállamiság védelmével kapcsolatos nyomonkövetési, figyelemfelkeltési, érdekképviseleti és jogi tevékenységeiket.</w:t>
      </w:r>
    </w:p>
    <w:p w:rsidR="00A12393" w:rsidRPr="00892202" w:rsidRDefault="00A12393">
      <w:pPr>
        <w:rPr>
          <w:lang w:val="en-GB"/>
        </w:rPr>
      </w:pPr>
    </w:p>
    <w:p w:rsidR="00A12393" w:rsidRPr="00892202" w:rsidRDefault="00A12393">
      <w:r>
        <w:t>Az Európai Bizottság alapjogokért felelős jövőbeli alelnökének egyúttal annak ellenőrzését is a feladatkörébe kell vonni, hogy megvannak-e a civil társadalom, az emberijog-védők és az újságírók munkájának megfelelő feltételei. Az EGSZB emlékeztet arra a felhívására is, hogy létre kell hozni egy a civil szerveződés szabadságáért felelős uniós ombudsmani szerepkört.</w:t>
      </w:r>
    </w:p>
    <w:p w:rsidR="00A12393" w:rsidRPr="00892202" w:rsidRDefault="00A12393">
      <w:pPr>
        <w:rPr>
          <w:lang w:val="en-GB"/>
        </w:rPr>
      </w:pPr>
    </w:p>
    <w:p w:rsidR="00A12393" w:rsidRPr="00892202" w:rsidRDefault="00A12393">
      <w:r>
        <w:t>Az EGSZB emlékeztet arra, hogy támogatja egy olyan intézményközi keret kialakítását, amely nyomon követi az alapvető jogok és a jogállamiság tiszteletben tartását az uniós tagállamokban. Ennek a kötelező érvényű mechanizmusnak magában kell foglalnia egy preventív elemet is, amely lehetővé teszi a szakértők és a civil társadalom képviselői számára, hogy korai figyelmeztetést adjanak egyes fejleményekkel kapcsolatban, és valamennyi érintett bevonásával megoldási javaslatokat vitassanak meg.</w:t>
      </w:r>
    </w:p>
    <w:p w:rsidR="00A12393" w:rsidRPr="00892202" w:rsidRDefault="00A12393">
      <w:pPr>
        <w:rPr>
          <w:lang w:val="en-GB"/>
        </w:rPr>
      </w:pPr>
    </w:p>
    <w:p w:rsidR="00A12393" w:rsidRPr="00892202" w:rsidRDefault="00A12393">
      <w:r>
        <w:t xml:space="preserve">Az EGSZB javasolja, hogy hozzanak létre egy az alapjogokkal és a jogállamisággal foglalkozó európai szintű éves fórumot, hogy az uniós döntéshozók közvetlenül a helyi szintű szervezetektől kaphassanak korai figyelmeztetést az EUSZ 2. cikkét érintő új kihívásokról. Ez a fórum elősegítené továbbá az összes érdekelt fél (vállalkozások, szakszervezetek, civil társadalmi szervezetek, nemzeti </w:t>
      </w:r>
      <w:r>
        <w:lastRenderedPageBreak/>
        <w:t>emberi jogi intézmények és hatóságok) közötti kölcsönös tanulást, bizalomépítést és transznacionális együttműködést.</w:t>
      </w:r>
    </w:p>
    <w:p w:rsidR="00A12393" w:rsidRPr="00892202" w:rsidRDefault="00A12393">
      <w:pPr>
        <w:rPr>
          <w:lang w:val="en-GB"/>
        </w:rPr>
      </w:pPr>
    </w:p>
    <w:p w:rsidR="00A12393" w:rsidRPr="00892202" w:rsidRDefault="00A12393">
      <w:pPr>
        <w:keepNext/>
      </w:pPr>
      <w:r>
        <w:t>A formális és nem formális oktatásnak kulcsszerepe van a demokrácia és a jogállamiság kultúrájának kiépítésében. Az EGSZB arra kéri az Európai Bizottságot, hogy az alapjogok, a jogállamiság és a demokrácia témája kapcsán tegyen javaslatot egy ambiciózus kommunikációs, oktatási és a polgárok figyelmének felkeltését célzó stratégiára.</w:t>
      </w:r>
    </w:p>
    <w:p w:rsidR="00A12393" w:rsidRPr="00892202" w:rsidRDefault="00A12393">
      <w:pPr>
        <w:keepNext/>
        <w:ind w:left="-567"/>
        <w:rPr>
          <w:highlight w:val="yellow"/>
          <w:lang w:val="en-GB"/>
        </w:rPr>
      </w:pPr>
    </w:p>
    <w:p w:rsidR="00A12393" w:rsidRPr="00892202" w:rsidRDefault="00A12393" w:rsidP="005D56C1">
      <w:pPr>
        <w:keepNext/>
        <w:tabs>
          <w:tab w:val="left" w:pos="1701"/>
        </w:tabs>
        <w:rPr>
          <w:i/>
        </w:rPr>
      </w:pPr>
      <w:r>
        <w:rPr>
          <w:b/>
          <w:i/>
        </w:rPr>
        <w:t>Kapcsolattartó</w:t>
      </w:r>
      <w:r>
        <w:t xml:space="preserve">: </w:t>
      </w:r>
      <w:r w:rsidR="00326E89">
        <w:tab/>
      </w:r>
      <w:r>
        <w:rPr>
          <w:i/>
        </w:rPr>
        <w:t>June Bedaton</w:t>
      </w:r>
    </w:p>
    <w:p w:rsidR="00A12393" w:rsidRPr="00892202" w:rsidRDefault="00A12393" w:rsidP="005D56C1">
      <w:pPr>
        <w:keepNext/>
        <w:ind w:left="1701"/>
      </w:pPr>
      <w:r>
        <w:rPr>
          <w:i/>
        </w:rPr>
        <w:t xml:space="preserve">(Tel.: 00 32 2 546 8134 – email: </w:t>
      </w:r>
      <w:hyperlink r:id="rId22" w:history="1">
        <w:r>
          <w:rPr>
            <w:rStyle w:val="Hyperlink"/>
            <w:i/>
          </w:rPr>
          <w:t>june.bedaton@eesc.europa.eu</w:t>
        </w:r>
      </w:hyperlink>
      <w:r>
        <w:rPr>
          <w:i/>
        </w:rPr>
        <w:t>)</w:t>
      </w:r>
    </w:p>
    <w:p w:rsidR="00A12393" w:rsidRPr="00892202" w:rsidRDefault="00A12393">
      <w:pPr>
        <w:keepNext/>
        <w:jc w:val="left"/>
        <w:rPr>
          <w:lang w:val="en-GB"/>
        </w:rPr>
      </w:pPr>
    </w:p>
    <w:p w:rsidR="00D73110" w:rsidRPr="005A7298" w:rsidRDefault="00D73110">
      <w:pPr>
        <w:spacing w:line="240" w:lineRule="auto"/>
        <w:jc w:val="left"/>
        <w:rPr>
          <w:i/>
          <w:szCs w:val="20"/>
        </w:rPr>
      </w:pPr>
      <w:r>
        <w:br w:type="page"/>
      </w:r>
    </w:p>
    <w:p w:rsidR="00D73110" w:rsidRPr="005A7298" w:rsidRDefault="00D73110" w:rsidP="00326E89">
      <w:pPr>
        <w:pStyle w:val="Heading1"/>
        <w:ind w:left="567" w:hanging="567"/>
        <w:rPr>
          <w:b/>
        </w:rPr>
      </w:pPr>
      <w:bookmarkStart w:id="169" w:name="_Toc13582829"/>
      <w:r>
        <w:rPr>
          <w:b/>
        </w:rPr>
        <w:lastRenderedPageBreak/>
        <w:t>AZ UNIÓS ÜVEGHÁZHATÁSÚGÁZ-KIBOCSÁTÁS CSÖKKENTÉSÉRE IRÁNYULÓ HOSSZÚ TÁVÚ STRATÉGIA</w:t>
      </w:r>
      <w:bookmarkEnd w:id="169"/>
    </w:p>
    <w:p w:rsidR="00D73110" w:rsidRPr="005A7298" w:rsidRDefault="00D73110">
      <w:pPr>
        <w:tabs>
          <w:tab w:val="left" w:pos="1701"/>
        </w:tabs>
        <w:jc w:val="center"/>
        <w:rPr>
          <w:i/>
          <w:szCs w:val="20"/>
          <w:lang w:val="en-GB"/>
        </w:rPr>
      </w:pPr>
    </w:p>
    <w:p w:rsidR="00D73110" w:rsidRPr="005A7298" w:rsidRDefault="00D73110" w:rsidP="00D73110">
      <w:pPr>
        <w:tabs>
          <w:tab w:val="left" w:pos="770"/>
        </w:tabs>
        <w:ind w:left="1430" w:hanging="1430"/>
        <w:rPr>
          <w:iCs/>
        </w:rPr>
      </w:pPr>
      <w:r>
        <w:rPr>
          <w:b/>
          <w:iCs/>
          <w:u w:val="single"/>
        </w:rPr>
        <w:t>SC/051</w:t>
      </w:r>
    </w:p>
    <w:p w:rsidR="00D73110" w:rsidRPr="005A7298" w:rsidRDefault="00D73110" w:rsidP="00D73110">
      <w:pPr>
        <w:tabs>
          <w:tab w:val="left" w:pos="770"/>
        </w:tabs>
        <w:ind w:left="1430" w:hanging="1430"/>
        <w:rPr>
          <w:iCs/>
          <w:lang w:val="en-GB"/>
        </w:rPr>
      </w:pPr>
    </w:p>
    <w:p w:rsidR="00D73110" w:rsidRPr="00892202" w:rsidRDefault="00D73110" w:rsidP="00D73110">
      <w:pPr>
        <w:pStyle w:val="ListParagraph"/>
        <w:numPr>
          <w:ilvl w:val="0"/>
          <w:numId w:val="22"/>
        </w:numPr>
        <w:ind w:left="567" w:hanging="567"/>
        <w:rPr>
          <w:b/>
          <w:bCs/>
          <w:i/>
          <w:iCs/>
          <w:sz w:val="28"/>
          <w:szCs w:val="28"/>
        </w:rPr>
      </w:pPr>
      <w:r>
        <w:rPr>
          <w:b/>
          <w:bCs/>
          <w:i/>
          <w:iCs/>
          <w:sz w:val="28"/>
          <w:szCs w:val="28"/>
        </w:rPr>
        <w:t>Az üvegházhatásúgáz-kibocsátás csökkentésére irányuló, hosszú távú uniós stratégia (közlemény)</w:t>
      </w:r>
    </w:p>
    <w:p w:rsidR="00D73110" w:rsidRPr="00892202" w:rsidRDefault="00D73110" w:rsidP="00D73110">
      <w:pPr>
        <w:pStyle w:val="ListParagraph"/>
        <w:ind w:left="567"/>
        <w:rPr>
          <w:b/>
          <w:bCs/>
          <w:i/>
          <w:iCs/>
          <w:lang w:val="en-GB"/>
        </w:rPr>
      </w:pPr>
    </w:p>
    <w:p w:rsidR="00D73110" w:rsidRPr="00892202" w:rsidRDefault="00D73110" w:rsidP="00D73110">
      <w:r>
        <w:rPr>
          <w:b/>
        </w:rPr>
        <w:t>Előadó:</w:t>
      </w:r>
      <w:r>
        <w:tab/>
      </w:r>
      <w:r w:rsidR="00326E89">
        <w:tab/>
      </w:r>
      <w:r>
        <w:t>Pierre-Jean COULON (Munkavállalók/FR)</w:t>
      </w:r>
    </w:p>
    <w:p w:rsidR="00D73110" w:rsidRPr="00892202" w:rsidRDefault="00D73110" w:rsidP="00D73110">
      <w:r>
        <w:rPr>
          <w:b/>
        </w:rPr>
        <w:t>Társelőadó:</w:t>
      </w:r>
      <w:r>
        <w:tab/>
      </w:r>
      <w:r w:rsidR="00326E89">
        <w:tab/>
      </w:r>
      <w:r>
        <w:t>Stefan BACK (Munkaadók/SE)</w:t>
      </w:r>
    </w:p>
    <w:p w:rsidR="00D73110" w:rsidRPr="00892202" w:rsidRDefault="00D73110" w:rsidP="00D73110">
      <w:pPr>
        <w:rPr>
          <w:lang w:val="en-GB"/>
        </w:rPr>
      </w:pPr>
    </w:p>
    <w:p w:rsidR="00D73110" w:rsidRPr="00892202" w:rsidRDefault="00D73110" w:rsidP="00D73110">
      <w:pPr>
        <w:ind w:left="-5"/>
        <w:rPr>
          <w:bCs/>
        </w:rPr>
      </w:pPr>
      <w:r>
        <w:rPr>
          <w:b/>
          <w:bCs/>
        </w:rPr>
        <w:t>Hivatkozás:</w:t>
      </w:r>
      <w:r w:rsidR="00326E89">
        <w:rPr>
          <w:b/>
          <w:bCs/>
        </w:rPr>
        <w:tab/>
      </w:r>
      <w:r w:rsidR="00326E89">
        <w:rPr>
          <w:b/>
          <w:bCs/>
        </w:rPr>
        <w:tab/>
      </w:r>
      <w:r>
        <w:t>COM(2018) 773 final</w:t>
      </w:r>
    </w:p>
    <w:p w:rsidR="00D73110" w:rsidRPr="005A7298" w:rsidRDefault="00D73110" w:rsidP="00D73110">
      <w:pPr>
        <w:ind w:left="1701"/>
      </w:pPr>
      <w:r>
        <w:t>EESC-2018-05700-00-00-AC</w:t>
      </w:r>
    </w:p>
    <w:p w:rsidR="00D73110" w:rsidRPr="00892202" w:rsidRDefault="00D73110" w:rsidP="00D73110">
      <w:pPr>
        <w:ind w:left="-5"/>
        <w:rPr>
          <w:lang w:val="en-GB"/>
        </w:rPr>
      </w:pPr>
    </w:p>
    <w:p w:rsidR="00D73110" w:rsidRPr="00892202" w:rsidRDefault="00D73110" w:rsidP="00D73110">
      <w:pPr>
        <w:rPr>
          <w:b/>
        </w:rPr>
      </w:pPr>
      <w:r>
        <w:rPr>
          <w:b/>
        </w:rPr>
        <w:t>Főbb pontok:</w:t>
      </w:r>
    </w:p>
    <w:p w:rsidR="00D73110" w:rsidRPr="00892202" w:rsidRDefault="00D73110" w:rsidP="00D73110">
      <w:pPr>
        <w:rPr>
          <w:b/>
          <w:iCs/>
          <w:highlight w:val="yellow"/>
          <w:u w:val="single"/>
          <w:lang w:val="en-GB"/>
        </w:rPr>
      </w:pPr>
    </w:p>
    <w:p w:rsidR="00D73110" w:rsidRPr="005A7298" w:rsidRDefault="00D73110" w:rsidP="00D73110">
      <w:pPr>
        <w:overflowPunct w:val="0"/>
        <w:adjustRightInd w:val="0"/>
        <w:textAlignment w:val="baseline"/>
      </w:pPr>
      <w:r>
        <w:t>Az EGSZB határozottan támogatja azt a célkitűzést, hogy az Unió társadalmilag igazságos és hatékony módon 2050-re klímasemleges gazdasággá váljon. Ez az átállás lehetséges, és előnyös Európa számára. Az EGSZB támogatja az Európai Bizottság közleményében meghatározott elsődleges prioritásokat. Az EGSZB kéri a tagállamokat, hogy támogassák az Európai Unió 2050-ig történő klímasemleges gazdasággá alakítására irányuló célkitűzést. Az EGSZB kéri a vállalkozásokat, a szakszervezeteket, a nem kormányzati szervezeteket, valamint a nemzeti gazdasági és szociális bizottságokat, hogy támogassák ezt a célkitűzést.</w:t>
      </w:r>
    </w:p>
    <w:p w:rsidR="00D73110" w:rsidRPr="005A7298" w:rsidRDefault="00D73110" w:rsidP="00D73110">
      <w:pPr>
        <w:rPr>
          <w:lang w:val="en-GB"/>
        </w:rPr>
      </w:pPr>
    </w:p>
    <w:p w:rsidR="00D73110" w:rsidRPr="005A7298" w:rsidRDefault="00D73110" w:rsidP="00D73110">
      <w:pPr>
        <w:overflowPunct w:val="0"/>
        <w:adjustRightInd w:val="0"/>
        <w:textAlignment w:val="baseline"/>
      </w:pPr>
      <w:r>
        <w:t>Az EGSZB úgy véli, hogy sürgősen meg kell határozni egy, a 2030-as éven túlmutató stratégiát a klímasemleges társadalomra való átállás 2050-ig történő megvalósítása érdekében.</w:t>
      </w:r>
    </w:p>
    <w:p w:rsidR="00D73110" w:rsidRPr="005A7298" w:rsidRDefault="00D73110" w:rsidP="00D73110">
      <w:pPr>
        <w:rPr>
          <w:lang w:val="en-GB"/>
        </w:rPr>
      </w:pPr>
    </w:p>
    <w:p w:rsidR="00D73110" w:rsidRPr="005A7298" w:rsidRDefault="00D73110" w:rsidP="00D73110">
      <w:pPr>
        <w:overflowPunct w:val="0"/>
        <w:adjustRightInd w:val="0"/>
        <w:textAlignment w:val="baseline"/>
      </w:pPr>
      <w:r>
        <w:t>Az EGSZB hangsúlyozza, hogy a klímasemleges társadalomra való átállást versenyen alapuló, társadalmilag igazságos és multilaterális megközelítés révén kell végrehajtani. Hangsúlyozza továbbá, hogy megfelelő eszközöket kell alkalmazni a civil társadalom – beleértve minden polgárt, vállalkozást és szervezetet – teljes körű részvételének, illetve a folyamat részükről történő elfogadásának biztosítása érdekében. Ez magában foglalja egy, a szén-dioxid-árazásra vonatkozó olyan koncepció kialakítását és végrehajtását, amely figyelembe veszi a vállalkozásokra és a polgárokra gyakorolt hatást.</w:t>
      </w:r>
    </w:p>
    <w:p w:rsidR="00D73110" w:rsidRPr="005A7298" w:rsidRDefault="00D73110" w:rsidP="00D73110">
      <w:pPr>
        <w:rPr>
          <w:lang w:val="en-GB"/>
        </w:rPr>
      </w:pPr>
    </w:p>
    <w:p w:rsidR="00D73110" w:rsidRPr="005A7298" w:rsidRDefault="00D73110" w:rsidP="00D73110">
      <w:pPr>
        <w:overflowPunct w:val="0"/>
        <w:adjustRightInd w:val="0"/>
        <w:textAlignment w:val="baseline"/>
      </w:pPr>
      <w:r>
        <w:t>Az EGSZB hangsúlyozza annak fontosságát, hogy helyi és regionális szinten is történjenek intézkedések, illetve hogy a helyi és regionális önkormányzatokat teljes körűen bevonják a folyamatba.</w:t>
      </w:r>
    </w:p>
    <w:p w:rsidR="00D73110" w:rsidRPr="005A7298" w:rsidRDefault="00D73110" w:rsidP="00D73110">
      <w:pPr>
        <w:rPr>
          <w:lang w:val="en-GB"/>
        </w:rPr>
      </w:pPr>
    </w:p>
    <w:p w:rsidR="00D73110" w:rsidRPr="005A7298" w:rsidRDefault="00D73110" w:rsidP="00D73110">
      <w:pPr>
        <w:overflowPunct w:val="0"/>
        <w:adjustRightInd w:val="0"/>
        <w:textAlignment w:val="baseline"/>
      </w:pPr>
      <w:r>
        <w:t>Az EGSZB hangsúlyozza a harmadik országokkal való kapcsolatok mint olyan eszközök fontosságát, amelyek révén több országot lehet bevonni egy proaktív éghajlati stratégiába és egyenlő versenyfeltételeket lehet biztosítani az európai ipar számára, illetve befolyásolni lehet a szabványok megállapítását.</w:t>
      </w:r>
    </w:p>
    <w:p w:rsidR="00D73110" w:rsidRPr="005A7298" w:rsidRDefault="00D73110" w:rsidP="00D73110">
      <w:pPr>
        <w:rPr>
          <w:lang w:val="en-GB"/>
        </w:rPr>
      </w:pPr>
    </w:p>
    <w:p w:rsidR="00D73110" w:rsidRPr="005A7298" w:rsidRDefault="00D73110" w:rsidP="00D73110">
      <w:pPr>
        <w:overflowPunct w:val="0"/>
        <w:adjustRightInd w:val="0"/>
        <w:textAlignment w:val="baseline"/>
      </w:pPr>
      <w:r>
        <w:lastRenderedPageBreak/>
        <w:t>A finanszírozás kulcsfontosságú a tervezett stratégia végrehajtásához. Az EGSZB ezért megismétli arra vonatkozó ajánlásait, hogy elegendő költségvetési forrást kell biztosítani a kutatás, a fejlesztés és az ipari hasznosítás támogatásához.</w:t>
      </w:r>
    </w:p>
    <w:p w:rsidR="00D73110" w:rsidRPr="005A7298" w:rsidRDefault="00D73110" w:rsidP="00D73110">
      <w:pPr>
        <w:rPr>
          <w:lang w:val="en-GB"/>
        </w:rPr>
      </w:pPr>
    </w:p>
    <w:p w:rsidR="00D73110" w:rsidRPr="005A7298" w:rsidRDefault="00D73110" w:rsidP="00D73110">
      <w:pPr>
        <w:overflowPunct w:val="0"/>
        <w:adjustRightInd w:val="0"/>
        <w:textAlignment w:val="baseline"/>
      </w:pPr>
      <w:r>
        <w:t>Az EGSZB rámutat a bioenergia, a szén-dioxid-leválasztás és -tárolás, valamint a természetes szénelnyelők – például az erdők, a talaj védelmét szem előtt tartó mezőgazdaság, a legelők, a tőzeglápok stb. – fontos szerepére.</w:t>
      </w:r>
    </w:p>
    <w:p w:rsidR="00D73110" w:rsidRPr="005A7298" w:rsidRDefault="00D73110" w:rsidP="00D73110">
      <w:pPr>
        <w:rPr>
          <w:lang w:val="en-GB"/>
        </w:rPr>
      </w:pPr>
    </w:p>
    <w:p w:rsidR="00D73110" w:rsidRPr="005A7298" w:rsidRDefault="00D73110" w:rsidP="00D73110">
      <w:pPr>
        <w:overflowPunct w:val="0"/>
        <w:adjustRightInd w:val="0"/>
        <w:textAlignment w:val="baseline"/>
      </w:pPr>
      <w:r>
        <w:t>Az EGSZB úgy véli, hogy Európában a klímasemleges gazdaságra való átállás kapcsán szükség van egy társadalmi paktumra, amelyet az Unió, a tagállamok, a régiók, a városok, a szociális partnerek és a szervezett civil társadalom fogadna el annak érdekében, hogy az átállás során senki se maradjon ki.</w:t>
      </w:r>
    </w:p>
    <w:p w:rsidR="00D73110" w:rsidRPr="005A7298" w:rsidRDefault="00D73110" w:rsidP="00D73110">
      <w:pPr>
        <w:rPr>
          <w:lang w:val="en-GB"/>
        </w:rPr>
      </w:pPr>
    </w:p>
    <w:p w:rsidR="00D73110" w:rsidRPr="005A7298" w:rsidRDefault="00D73110" w:rsidP="00D73110">
      <w:pPr>
        <w:overflowPunct w:val="0"/>
        <w:adjustRightInd w:val="0"/>
        <w:textAlignment w:val="baseline"/>
      </w:pPr>
      <w:r>
        <w:t>Az EGSZB állandó párbeszéd kialakítását javasolja a polgárokkal, amelyet minden jelentős politikai döntés és minden vonatkozó jogalkotási kezdeményezés előkészítésének kötelező lépésévé kell tenni uniós, nemzeti és alacsonyabb szinten is. A párbeszédhez való hozzájárulásoknak nyilvánosan hozzáférhetőnek kell lenniük, ahogy annak is, hogy azokat milyen módon veszik figyelembe. A párbeszéd láthatóságát egy felelős biztos kinevezése révén kellene biztosítani.</w:t>
      </w:r>
    </w:p>
    <w:p w:rsidR="00D73110" w:rsidRPr="005A7298" w:rsidRDefault="00D73110" w:rsidP="00D73110">
      <w:pPr>
        <w:rPr>
          <w:lang w:val="en-GB"/>
        </w:rPr>
      </w:pPr>
    </w:p>
    <w:p w:rsidR="00D73110" w:rsidRPr="005A7298" w:rsidRDefault="00D73110" w:rsidP="005A7298">
      <w:pPr>
        <w:tabs>
          <w:tab w:val="left" w:pos="1701"/>
        </w:tabs>
        <w:rPr>
          <w:i/>
          <w:iCs/>
        </w:rPr>
      </w:pPr>
      <w:r>
        <w:rPr>
          <w:b/>
          <w:bCs/>
          <w:i/>
          <w:iCs/>
        </w:rPr>
        <w:t>Kapcsolattartó:</w:t>
      </w:r>
      <w:r w:rsidR="00326E89">
        <w:rPr>
          <w:b/>
          <w:bCs/>
          <w:i/>
          <w:iCs/>
        </w:rPr>
        <w:tab/>
      </w:r>
      <w:r>
        <w:rPr>
          <w:i/>
        </w:rPr>
        <w:t>Stella Brozek-Everaert</w:t>
      </w:r>
    </w:p>
    <w:p w:rsidR="00D73110" w:rsidRPr="005A7298" w:rsidRDefault="00D73110" w:rsidP="005A7298">
      <w:pPr>
        <w:tabs>
          <w:tab w:val="left" w:pos="1701"/>
        </w:tabs>
        <w:rPr>
          <w:i/>
          <w:iCs/>
        </w:rPr>
      </w:pPr>
      <w:r>
        <w:rPr>
          <w:i/>
          <w:iCs/>
        </w:rPr>
        <w:tab/>
        <w:t xml:space="preserve">(Tel.: 00 32 2 546 92 02 – e-mail: </w:t>
      </w:r>
      <w:hyperlink r:id="rId23" w:history="1">
        <w:r>
          <w:rPr>
            <w:rStyle w:val="Hyperlink"/>
            <w:i/>
            <w:iCs/>
          </w:rPr>
          <w:t>Stella.BrozekEveraert@eesc.europa.eu</w:t>
        </w:r>
      </w:hyperlink>
      <w:r>
        <w:rPr>
          <w:i/>
          <w:iCs/>
        </w:rPr>
        <w:t>)</w:t>
      </w:r>
    </w:p>
    <w:p w:rsidR="00D73110" w:rsidRPr="005A7298" w:rsidRDefault="00D73110" w:rsidP="00D73110">
      <w:pPr>
        <w:tabs>
          <w:tab w:val="left" w:pos="1701"/>
        </w:tabs>
        <w:jc w:val="center"/>
        <w:rPr>
          <w:i/>
          <w:iCs/>
          <w:lang w:val="en-GB"/>
        </w:rPr>
      </w:pPr>
    </w:p>
    <w:p w:rsidR="00C71FF0" w:rsidRPr="00892202" w:rsidRDefault="00C71FF0" w:rsidP="00D73110">
      <w:pPr>
        <w:tabs>
          <w:tab w:val="left" w:pos="1701"/>
        </w:tabs>
        <w:jc w:val="center"/>
        <w:rPr>
          <w:i/>
          <w:szCs w:val="20"/>
        </w:rPr>
      </w:pPr>
      <w:r>
        <w:rPr>
          <w:i/>
          <w:szCs w:val="20"/>
        </w:rPr>
        <w:t>____________</w:t>
      </w:r>
    </w:p>
    <w:sectPr w:rsidR="00C71FF0" w:rsidRPr="00892202" w:rsidSect="00C41256">
      <w:headerReference w:type="even" r:id="rId24"/>
      <w:headerReference w:type="default" r:id="rId25"/>
      <w:footerReference w:type="even" r:id="rId26"/>
      <w:footerReference w:type="default" r:id="rId27"/>
      <w:headerReference w:type="first" r:id="rId28"/>
      <w:footerReference w:type="first" r:id="rId2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3A2" w:rsidRDefault="007E43A2" w:rsidP="003B283B">
      <w:pPr>
        <w:spacing w:line="240" w:lineRule="auto"/>
      </w:pPr>
      <w:r>
        <w:separator/>
      </w:r>
    </w:p>
  </w:endnote>
  <w:endnote w:type="continuationSeparator" w:id="0">
    <w:p w:rsidR="007E43A2" w:rsidRDefault="007E43A2" w:rsidP="003B283B">
      <w:pPr>
        <w:spacing w:line="240" w:lineRule="auto"/>
      </w:pPr>
      <w:r>
        <w:continuationSeparator/>
      </w:r>
    </w:p>
  </w:endnote>
  <w:endnote w:type="continuationNotice" w:id="1">
    <w:p w:rsidR="007E43A2" w:rsidRDefault="007E43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C41256" w:rsidP="00C41256">
    <w:pPr>
      <w:pStyle w:val="Footer"/>
    </w:pPr>
    <w:r>
      <w:t>EESC-2019-02484-00-0</w:t>
    </w:r>
    <w:r w:rsidR="00821F23">
      <w:t>2</w:t>
    </w:r>
    <w:r>
      <w:t xml:space="preserve">-TCD-TRA (EN/FR) </w:t>
    </w:r>
    <w:r>
      <w:fldChar w:fldCharType="begin"/>
    </w:r>
    <w:r>
      <w:instrText xml:space="preserve"> PAGE  \* Arabic  \* MERGEFORMAT </w:instrText>
    </w:r>
    <w:r>
      <w:fldChar w:fldCharType="separate"/>
    </w:r>
    <w:r w:rsidR="00821F23">
      <w:rPr>
        <w:noProof/>
      </w:rPr>
      <w:t>1</w:t>
    </w:r>
    <w:r>
      <w:fldChar w:fldCharType="end"/>
    </w:r>
    <w:r>
      <w:t>/</w:t>
    </w:r>
    <w:r w:rsidR="007E43A2">
      <w:fldChar w:fldCharType="begin"/>
    </w:r>
    <w:r w:rsidR="007E43A2">
      <w:instrText xml:space="preserve"> NUMPAGES </w:instrText>
    </w:r>
    <w:r w:rsidR="007E43A2">
      <w:fldChar w:fldCharType="separate"/>
    </w:r>
    <w:r w:rsidR="00821F23">
      <w:rPr>
        <w:noProof/>
      </w:rPr>
      <w:t>14</w:t>
    </w:r>
    <w:r w:rsidR="007E43A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C41256" w:rsidP="00C41256">
    <w:pPr>
      <w:pStyle w:val="Footer"/>
    </w:pPr>
    <w:r>
      <w:t>EESC-2019-02484-00-0</w:t>
    </w:r>
    <w:r w:rsidR="00821F23">
      <w:t>2</w:t>
    </w:r>
    <w:r>
      <w:t xml:space="preserve">-TCD-TRA (EN/FR) </w:t>
    </w:r>
    <w:r>
      <w:fldChar w:fldCharType="begin"/>
    </w:r>
    <w:r>
      <w:instrText xml:space="preserve"> PAGE  \* Arabic  \* MERGEFORMAT </w:instrText>
    </w:r>
    <w:r>
      <w:fldChar w:fldCharType="separate"/>
    </w:r>
    <w:r w:rsidR="00821F23">
      <w:rPr>
        <w:noProof/>
      </w:rPr>
      <w:t>2</w:t>
    </w:r>
    <w:r>
      <w:fldChar w:fldCharType="end"/>
    </w:r>
    <w:r>
      <w:t>/</w:t>
    </w:r>
    <w:r w:rsidR="007E43A2">
      <w:fldChar w:fldCharType="begin"/>
    </w:r>
    <w:r w:rsidR="007E43A2">
      <w:instrText xml:space="preserve"> NUMPAGES </w:instrText>
    </w:r>
    <w:r w:rsidR="007E43A2">
      <w:fldChar w:fldCharType="separate"/>
    </w:r>
    <w:r w:rsidR="00821F23">
      <w:rPr>
        <w:noProof/>
      </w:rPr>
      <w:t>14</w:t>
    </w:r>
    <w:r w:rsidR="007E43A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3A2" w:rsidRDefault="007E43A2" w:rsidP="003B283B">
      <w:pPr>
        <w:spacing w:line="240" w:lineRule="auto"/>
      </w:pPr>
      <w:r>
        <w:separator/>
      </w:r>
    </w:p>
  </w:footnote>
  <w:footnote w:type="continuationSeparator" w:id="0">
    <w:p w:rsidR="007E43A2" w:rsidRDefault="007E43A2" w:rsidP="003B283B">
      <w:pPr>
        <w:spacing w:line="240" w:lineRule="auto"/>
      </w:pPr>
      <w:r>
        <w:continuationSeparator/>
      </w:r>
    </w:p>
  </w:footnote>
  <w:footnote w:type="continuationNotice" w:id="1">
    <w:p w:rsidR="007E43A2" w:rsidRPr="00377A77" w:rsidRDefault="007E43A2">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C5" w:rsidRPr="00C41256" w:rsidRDefault="002159C5" w:rsidP="00C41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BCC5056"/>
    <w:lvl w:ilvl="0">
      <w:start w:val="1"/>
      <w:numFmt w:val="decimal"/>
      <w:pStyle w:val="Heading1"/>
      <w:lvlText w:val="%1."/>
      <w:legacy w:legacy="1" w:legacySpace="0" w:legacyIndent="0"/>
      <w:lvlJc w:val="left"/>
      <w:rPr>
        <w:b w:val="0"/>
        <w:i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02D5B16"/>
    <w:multiLevelType w:val="hybridMultilevel"/>
    <w:tmpl w:val="3F44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490CD2"/>
    <w:multiLevelType w:val="hybridMultilevel"/>
    <w:tmpl w:val="1EEA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A641A"/>
    <w:multiLevelType w:val="hybridMultilevel"/>
    <w:tmpl w:val="FBAA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A55A4"/>
    <w:multiLevelType w:val="hybridMultilevel"/>
    <w:tmpl w:val="727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342A2"/>
    <w:multiLevelType w:val="hybridMultilevel"/>
    <w:tmpl w:val="23E445E4"/>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93C44"/>
    <w:multiLevelType w:val="hybridMultilevel"/>
    <w:tmpl w:val="B1A0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E02DC"/>
    <w:multiLevelType w:val="hybridMultilevel"/>
    <w:tmpl w:val="E1A6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A3AA5"/>
    <w:multiLevelType w:val="hybridMultilevel"/>
    <w:tmpl w:val="B22252D0"/>
    <w:lvl w:ilvl="0" w:tplc="7BE6920E">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C82D17"/>
    <w:multiLevelType w:val="hybridMultilevel"/>
    <w:tmpl w:val="A48A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62F14"/>
    <w:multiLevelType w:val="hybridMultilevel"/>
    <w:tmpl w:val="ABD4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17DCE"/>
    <w:multiLevelType w:val="hybridMultilevel"/>
    <w:tmpl w:val="193C6C8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16851769"/>
    <w:multiLevelType w:val="hybridMultilevel"/>
    <w:tmpl w:val="96642946"/>
    <w:lvl w:ilvl="0" w:tplc="C054D6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14F41"/>
    <w:multiLevelType w:val="hybridMultilevel"/>
    <w:tmpl w:val="A20AC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1E663E"/>
    <w:multiLevelType w:val="hybridMultilevel"/>
    <w:tmpl w:val="3EA0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C68BF"/>
    <w:multiLevelType w:val="singleLevel"/>
    <w:tmpl w:val="A8C2A524"/>
    <w:lvl w:ilvl="0">
      <w:numFmt w:val="decimal"/>
      <w:lvlText w:val="*"/>
      <w:lvlJc w:val="left"/>
    </w:lvl>
  </w:abstractNum>
  <w:abstractNum w:abstractNumId="17" w15:restartNumberingAfterBreak="0">
    <w:nsid w:val="1EA55B9F"/>
    <w:multiLevelType w:val="multilevel"/>
    <w:tmpl w:val="3CB0B50E"/>
    <w:lvl w:ilvl="0">
      <w:start w:val="1"/>
      <w:numFmt w:val="decimal"/>
      <w:lvlText w:val="%1."/>
      <w:lvlJc w:val="left"/>
      <w:pPr>
        <w:ind w:left="432" w:hanging="432"/>
      </w:pPr>
      <w:rPr>
        <w:b w:val="0"/>
      </w:r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06B5B87"/>
    <w:multiLevelType w:val="hybridMultilevel"/>
    <w:tmpl w:val="F87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A75A83"/>
    <w:multiLevelType w:val="singleLevel"/>
    <w:tmpl w:val="A8C2A524"/>
    <w:lvl w:ilvl="0">
      <w:numFmt w:val="decimal"/>
      <w:lvlText w:val="*"/>
      <w:lvlJc w:val="left"/>
    </w:lvl>
  </w:abstractNum>
  <w:abstractNum w:abstractNumId="20" w15:restartNumberingAfterBreak="0">
    <w:nsid w:val="232759E7"/>
    <w:multiLevelType w:val="hybridMultilevel"/>
    <w:tmpl w:val="76B0A4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3746354"/>
    <w:multiLevelType w:val="hybridMultilevel"/>
    <w:tmpl w:val="7E16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310698"/>
    <w:multiLevelType w:val="hybridMultilevel"/>
    <w:tmpl w:val="5E5A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642E45"/>
    <w:multiLevelType w:val="hybridMultilevel"/>
    <w:tmpl w:val="0012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2127E"/>
    <w:multiLevelType w:val="hybridMultilevel"/>
    <w:tmpl w:val="2200C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33D10551"/>
    <w:multiLevelType w:val="hybridMultilevel"/>
    <w:tmpl w:val="7F58B88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343109B8"/>
    <w:multiLevelType w:val="hybridMultilevel"/>
    <w:tmpl w:val="1E6C6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F82EB0"/>
    <w:multiLevelType w:val="hybridMultilevel"/>
    <w:tmpl w:val="37A64B36"/>
    <w:lvl w:ilvl="0" w:tplc="080C0001">
      <w:start w:val="1"/>
      <w:numFmt w:val="bullet"/>
      <w:lvlText w:val=""/>
      <w:lvlJc w:val="left"/>
      <w:pPr>
        <w:ind w:left="770" w:hanging="360"/>
      </w:pPr>
      <w:rPr>
        <w:rFonts w:ascii="Symbol" w:hAnsi="Symbol" w:hint="default"/>
      </w:rPr>
    </w:lvl>
    <w:lvl w:ilvl="1" w:tplc="080C0003">
      <w:start w:val="1"/>
      <w:numFmt w:val="bullet"/>
      <w:lvlText w:val="o"/>
      <w:lvlJc w:val="left"/>
      <w:pPr>
        <w:ind w:left="1490" w:hanging="360"/>
      </w:pPr>
      <w:rPr>
        <w:rFonts w:ascii="Courier New" w:hAnsi="Courier New" w:cs="Courier New" w:hint="default"/>
      </w:rPr>
    </w:lvl>
    <w:lvl w:ilvl="2" w:tplc="080C0005">
      <w:start w:val="1"/>
      <w:numFmt w:val="bullet"/>
      <w:lvlText w:val=""/>
      <w:lvlJc w:val="left"/>
      <w:pPr>
        <w:ind w:left="2210" w:hanging="360"/>
      </w:pPr>
      <w:rPr>
        <w:rFonts w:ascii="Wingdings" w:hAnsi="Wingdings" w:hint="default"/>
      </w:rPr>
    </w:lvl>
    <w:lvl w:ilvl="3" w:tplc="080C0001">
      <w:start w:val="1"/>
      <w:numFmt w:val="bullet"/>
      <w:lvlText w:val=""/>
      <w:lvlJc w:val="left"/>
      <w:pPr>
        <w:ind w:left="2930" w:hanging="360"/>
      </w:pPr>
      <w:rPr>
        <w:rFonts w:ascii="Symbol" w:hAnsi="Symbol" w:hint="default"/>
      </w:rPr>
    </w:lvl>
    <w:lvl w:ilvl="4" w:tplc="080C0003">
      <w:start w:val="1"/>
      <w:numFmt w:val="bullet"/>
      <w:lvlText w:val="o"/>
      <w:lvlJc w:val="left"/>
      <w:pPr>
        <w:ind w:left="3650" w:hanging="360"/>
      </w:pPr>
      <w:rPr>
        <w:rFonts w:ascii="Courier New" w:hAnsi="Courier New" w:cs="Courier New" w:hint="default"/>
      </w:rPr>
    </w:lvl>
    <w:lvl w:ilvl="5" w:tplc="080C0005">
      <w:start w:val="1"/>
      <w:numFmt w:val="bullet"/>
      <w:lvlText w:val=""/>
      <w:lvlJc w:val="left"/>
      <w:pPr>
        <w:ind w:left="4370" w:hanging="360"/>
      </w:pPr>
      <w:rPr>
        <w:rFonts w:ascii="Wingdings" w:hAnsi="Wingdings" w:hint="default"/>
      </w:rPr>
    </w:lvl>
    <w:lvl w:ilvl="6" w:tplc="080C0001">
      <w:start w:val="1"/>
      <w:numFmt w:val="bullet"/>
      <w:lvlText w:val=""/>
      <w:lvlJc w:val="left"/>
      <w:pPr>
        <w:ind w:left="5090" w:hanging="360"/>
      </w:pPr>
      <w:rPr>
        <w:rFonts w:ascii="Symbol" w:hAnsi="Symbol" w:hint="default"/>
      </w:rPr>
    </w:lvl>
    <w:lvl w:ilvl="7" w:tplc="080C0003">
      <w:start w:val="1"/>
      <w:numFmt w:val="bullet"/>
      <w:lvlText w:val="o"/>
      <w:lvlJc w:val="left"/>
      <w:pPr>
        <w:ind w:left="5810" w:hanging="360"/>
      </w:pPr>
      <w:rPr>
        <w:rFonts w:ascii="Courier New" w:hAnsi="Courier New" w:cs="Courier New" w:hint="default"/>
      </w:rPr>
    </w:lvl>
    <w:lvl w:ilvl="8" w:tplc="080C0005">
      <w:start w:val="1"/>
      <w:numFmt w:val="bullet"/>
      <w:lvlText w:val=""/>
      <w:lvlJc w:val="left"/>
      <w:pPr>
        <w:ind w:left="6530" w:hanging="360"/>
      </w:pPr>
      <w:rPr>
        <w:rFonts w:ascii="Wingdings" w:hAnsi="Wingdings" w:hint="default"/>
      </w:rPr>
    </w:lvl>
  </w:abstractNum>
  <w:abstractNum w:abstractNumId="28" w15:restartNumberingAfterBreak="0">
    <w:nsid w:val="36965773"/>
    <w:multiLevelType w:val="hybridMultilevel"/>
    <w:tmpl w:val="78EC9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C2636AA"/>
    <w:multiLevelType w:val="hybridMultilevel"/>
    <w:tmpl w:val="097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1D125E"/>
    <w:multiLevelType w:val="hybridMultilevel"/>
    <w:tmpl w:val="F4FAC0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0900C70"/>
    <w:multiLevelType w:val="hybridMultilevel"/>
    <w:tmpl w:val="D14E41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28B03CE"/>
    <w:multiLevelType w:val="hybridMultilevel"/>
    <w:tmpl w:val="4B8A6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074C52"/>
    <w:multiLevelType w:val="hybridMultilevel"/>
    <w:tmpl w:val="74566A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6630AEF"/>
    <w:multiLevelType w:val="hybridMultilevel"/>
    <w:tmpl w:val="42EE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CC90B6E"/>
    <w:multiLevelType w:val="hybridMultilevel"/>
    <w:tmpl w:val="82D476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4D18670D"/>
    <w:multiLevelType w:val="hybridMultilevel"/>
    <w:tmpl w:val="5C4EA392"/>
    <w:lvl w:ilvl="0" w:tplc="AF92E200">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53CBB"/>
    <w:multiLevelType w:val="hybridMultilevel"/>
    <w:tmpl w:val="5BA0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772D8A"/>
    <w:multiLevelType w:val="hybridMultilevel"/>
    <w:tmpl w:val="69E4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7A1770"/>
    <w:multiLevelType w:val="hybridMultilevel"/>
    <w:tmpl w:val="E424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A836BB"/>
    <w:multiLevelType w:val="hybridMultilevel"/>
    <w:tmpl w:val="7D58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43" w15:restartNumberingAfterBreak="0">
    <w:nsid w:val="54B312FA"/>
    <w:multiLevelType w:val="hybridMultilevel"/>
    <w:tmpl w:val="BE2ADDC4"/>
    <w:lvl w:ilvl="0" w:tplc="080C0001">
      <w:start w:val="1"/>
      <w:numFmt w:val="bullet"/>
      <w:lvlText w:val=""/>
      <w:lvlJc w:val="left"/>
      <w:pPr>
        <w:ind w:left="1480" w:hanging="360"/>
      </w:pPr>
      <w:rPr>
        <w:rFonts w:ascii="Symbol" w:hAnsi="Symbol" w:hint="default"/>
      </w:rPr>
    </w:lvl>
    <w:lvl w:ilvl="1" w:tplc="080C0003" w:tentative="1">
      <w:start w:val="1"/>
      <w:numFmt w:val="bullet"/>
      <w:lvlText w:val="o"/>
      <w:lvlJc w:val="left"/>
      <w:pPr>
        <w:ind w:left="2200" w:hanging="360"/>
      </w:pPr>
      <w:rPr>
        <w:rFonts w:ascii="Courier New" w:hAnsi="Courier New" w:cs="Courier New" w:hint="default"/>
      </w:rPr>
    </w:lvl>
    <w:lvl w:ilvl="2" w:tplc="080C0005" w:tentative="1">
      <w:start w:val="1"/>
      <w:numFmt w:val="bullet"/>
      <w:lvlText w:val=""/>
      <w:lvlJc w:val="left"/>
      <w:pPr>
        <w:ind w:left="2920" w:hanging="360"/>
      </w:pPr>
      <w:rPr>
        <w:rFonts w:ascii="Wingdings" w:hAnsi="Wingdings" w:hint="default"/>
      </w:rPr>
    </w:lvl>
    <w:lvl w:ilvl="3" w:tplc="080C0001" w:tentative="1">
      <w:start w:val="1"/>
      <w:numFmt w:val="bullet"/>
      <w:lvlText w:val=""/>
      <w:lvlJc w:val="left"/>
      <w:pPr>
        <w:ind w:left="3640" w:hanging="360"/>
      </w:pPr>
      <w:rPr>
        <w:rFonts w:ascii="Symbol" w:hAnsi="Symbol" w:hint="default"/>
      </w:rPr>
    </w:lvl>
    <w:lvl w:ilvl="4" w:tplc="080C0003" w:tentative="1">
      <w:start w:val="1"/>
      <w:numFmt w:val="bullet"/>
      <w:lvlText w:val="o"/>
      <w:lvlJc w:val="left"/>
      <w:pPr>
        <w:ind w:left="4360" w:hanging="360"/>
      </w:pPr>
      <w:rPr>
        <w:rFonts w:ascii="Courier New" w:hAnsi="Courier New" w:cs="Courier New" w:hint="default"/>
      </w:rPr>
    </w:lvl>
    <w:lvl w:ilvl="5" w:tplc="080C0005" w:tentative="1">
      <w:start w:val="1"/>
      <w:numFmt w:val="bullet"/>
      <w:lvlText w:val=""/>
      <w:lvlJc w:val="left"/>
      <w:pPr>
        <w:ind w:left="5080" w:hanging="360"/>
      </w:pPr>
      <w:rPr>
        <w:rFonts w:ascii="Wingdings" w:hAnsi="Wingdings" w:hint="default"/>
      </w:rPr>
    </w:lvl>
    <w:lvl w:ilvl="6" w:tplc="080C0001" w:tentative="1">
      <w:start w:val="1"/>
      <w:numFmt w:val="bullet"/>
      <w:lvlText w:val=""/>
      <w:lvlJc w:val="left"/>
      <w:pPr>
        <w:ind w:left="5800" w:hanging="360"/>
      </w:pPr>
      <w:rPr>
        <w:rFonts w:ascii="Symbol" w:hAnsi="Symbol" w:hint="default"/>
      </w:rPr>
    </w:lvl>
    <w:lvl w:ilvl="7" w:tplc="080C0003" w:tentative="1">
      <w:start w:val="1"/>
      <w:numFmt w:val="bullet"/>
      <w:lvlText w:val="o"/>
      <w:lvlJc w:val="left"/>
      <w:pPr>
        <w:ind w:left="6520" w:hanging="360"/>
      </w:pPr>
      <w:rPr>
        <w:rFonts w:ascii="Courier New" w:hAnsi="Courier New" w:cs="Courier New" w:hint="default"/>
      </w:rPr>
    </w:lvl>
    <w:lvl w:ilvl="8" w:tplc="080C0005" w:tentative="1">
      <w:start w:val="1"/>
      <w:numFmt w:val="bullet"/>
      <w:lvlText w:val=""/>
      <w:lvlJc w:val="left"/>
      <w:pPr>
        <w:ind w:left="7240" w:hanging="360"/>
      </w:pPr>
      <w:rPr>
        <w:rFonts w:ascii="Wingdings" w:hAnsi="Wingdings" w:hint="default"/>
      </w:rPr>
    </w:lvl>
  </w:abstractNum>
  <w:abstractNum w:abstractNumId="44" w15:restartNumberingAfterBreak="0">
    <w:nsid w:val="554A3300"/>
    <w:multiLevelType w:val="hybridMultilevel"/>
    <w:tmpl w:val="13FC3342"/>
    <w:lvl w:ilvl="0" w:tplc="AF92E200">
      <w:start w:val="1"/>
      <w:numFmt w:val="bullet"/>
      <w:lvlRestart w:val="0"/>
      <w:lvlText w:val=""/>
      <w:lvlJc w:val="left"/>
      <w:pPr>
        <w:tabs>
          <w:tab w:val="num" w:pos="0"/>
        </w:tabs>
        <w:ind w:left="283" w:hanging="283"/>
      </w:pPr>
      <w:rPr>
        <w:rFonts w:ascii="Symbol" w:hAnsi="Symbol"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1B120B"/>
    <w:multiLevelType w:val="hybridMultilevel"/>
    <w:tmpl w:val="60E4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667743"/>
    <w:multiLevelType w:val="hybridMultilevel"/>
    <w:tmpl w:val="2BF2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642BBD"/>
    <w:multiLevelType w:val="hybridMultilevel"/>
    <w:tmpl w:val="D616B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C364CF2"/>
    <w:multiLevelType w:val="multilevel"/>
    <w:tmpl w:val="379476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E52280E"/>
    <w:multiLevelType w:val="hybridMultilevel"/>
    <w:tmpl w:val="8954FEE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50"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51" w15:restartNumberingAfterBreak="0">
    <w:nsid w:val="64E27CC3"/>
    <w:multiLevelType w:val="hybridMultilevel"/>
    <w:tmpl w:val="131680B6"/>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E856C8"/>
    <w:multiLevelType w:val="hybridMultilevel"/>
    <w:tmpl w:val="3644443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3" w15:restartNumberingAfterBreak="0">
    <w:nsid w:val="656E07C8"/>
    <w:multiLevelType w:val="hybridMultilevel"/>
    <w:tmpl w:val="7A2A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813B1D"/>
    <w:multiLevelType w:val="hybridMultilevel"/>
    <w:tmpl w:val="F0B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AC7EB4"/>
    <w:multiLevelType w:val="hybridMultilevel"/>
    <w:tmpl w:val="5E928CB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6" w15:restartNumberingAfterBreak="0">
    <w:nsid w:val="6904041B"/>
    <w:multiLevelType w:val="hybridMultilevel"/>
    <w:tmpl w:val="CBB8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425D10"/>
    <w:multiLevelType w:val="hybridMultilevel"/>
    <w:tmpl w:val="B254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09496C"/>
    <w:multiLevelType w:val="hybridMultilevel"/>
    <w:tmpl w:val="F4E496A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97154E"/>
    <w:multiLevelType w:val="hybridMultilevel"/>
    <w:tmpl w:val="AD2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E35B8F"/>
    <w:multiLevelType w:val="hybridMultilevel"/>
    <w:tmpl w:val="AC70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1B1407"/>
    <w:multiLevelType w:val="multilevel"/>
    <w:tmpl w:val="85462CFA"/>
    <w:lvl w:ilvl="0">
      <w:start w:val="1"/>
      <w:numFmt w:val="decimal"/>
      <w:lvlText w:val="%1."/>
      <w:legacy w:legacy="1" w:legacySpace="0" w:legacyIndent="0"/>
      <w:lvlJc w:val="left"/>
    </w:lvl>
    <w:lvl w:ilvl="1">
      <w:start w:val="1"/>
      <w:numFmt w:val="bullet"/>
      <w:lvlText w:val=""/>
      <w:lvlJc w:val="left"/>
      <w:rPr>
        <w:rFonts w:ascii="Symbol" w:hAnsi="Symbol" w:hint="default"/>
        <w:b w:val="0"/>
        <w:i w:val="0"/>
        <w:sz w:val="22"/>
      </w:rPr>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2"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0222D9"/>
    <w:multiLevelType w:val="hybridMultilevel"/>
    <w:tmpl w:val="1FE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261786"/>
    <w:multiLevelType w:val="hybridMultilevel"/>
    <w:tmpl w:val="A4B2D4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6B9697B"/>
    <w:multiLevelType w:val="hybridMultilevel"/>
    <w:tmpl w:val="757EBC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77B417C9"/>
    <w:multiLevelType w:val="hybridMultilevel"/>
    <w:tmpl w:val="D5FE1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8C6083E"/>
    <w:multiLevelType w:val="hybridMultilevel"/>
    <w:tmpl w:val="A3A2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BB08C3"/>
    <w:multiLevelType w:val="hybridMultilevel"/>
    <w:tmpl w:val="C2A27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E9B4A57"/>
    <w:multiLevelType w:val="hybridMultilevel"/>
    <w:tmpl w:val="67A813EE"/>
    <w:lvl w:ilvl="0" w:tplc="080C0001">
      <w:start w:val="1"/>
      <w:numFmt w:val="bullet"/>
      <w:lvlText w:val=""/>
      <w:lvlJc w:val="left"/>
      <w:pPr>
        <w:ind w:left="1080" w:hanging="72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1"/>
  </w:num>
  <w:num w:numId="4">
    <w:abstractNumId w:val="53"/>
  </w:num>
  <w:num w:numId="5">
    <w:abstractNumId w:val="9"/>
  </w:num>
  <w:num w:numId="6">
    <w:abstractNumId w:val="29"/>
  </w:num>
  <w:num w:numId="7">
    <w:abstractNumId w:val="14"/>
  </w:num>
  <w:num w:numId="8">
    <w:abstractNumId w:val="31"/>
  </w:num>
  <w:num w:numId="9">
    <w:abstractNumId w:val="69"/>
  </w:num>
  <w:num w:numId="10">
    <w:abstractNumId w:val="43"/>
  </w:num>
  <w:num w:numId="11">
    <w:abstractNumId w:val="38"/>
  </w:num>
  <w:num w:numId="12">
    <w:abstractNumId w:val="50"/>
  </w:num>
  <w:num w:numId="13">
    <w:abstractNumId w:val="1"/>
    <w:lvlOverride w:ilvl="0">
      <w:lvl w:ilvl="0">
        <w:start w:val="1"/>
        <w:numFmt w:val="bullet"/>
        <w:lvlText w:val=""/>
        <w:lvlJc w:val="left"/>
        <w:pPr>
          <w:ind w:left="720" w:hanging="360"/>
        </w:pPr>
        <w:rPr>
          <w:rFonts w:ascii="Symbol" w:hAnsi="Symbol" w:hint="default"/>
        </w:rPr>
      </w:lvl>
    </w:lvlOverride>
  </w:num>
  <w:num w:numId="14">
    <w:abstractNumId w:val="4"/>
  </w:num>
  <w:num w:numId="15">
    <w:abstractNumId w:val="46"/>
  </w:num>
  <w:num w:numId="16">
    <w:abstractNumId w:val="18"/>
  </w:num>
  <w:num w:numId="17">
    <w:abstractNumId w:val="35"/>
  </w:num>
  <w:num w:numId="18">
    <w:abstractNumId w:val="49"/>
  </w:num>
  <w:num w:numId="19">
    <w:abstractNumId w:val="65"/>
  </w:num>
  <w:num w:numId="20">
    <w:abstractNumId w:val="20"/>
  </w:num>
  <w:num w:numId="21">
    <w:abstractNumId w:val="24"/>
  </w:num>
  <w:num w:numId="22">
    <w:abstractNumId w:val="41"/>
  </w:num>
  <w:num w:numId="23">
    <w:abstractNumId w:val="62"/>
  </w:num>
  <w:num w:numId="24">
    <w:abstractNumId w:val="37"/>
  </w:num>
  <w:num w:numId="25">
    <w:abstractNumId w:val="67"/>
  </w:num>
  <w:num w:numId="26">
    <w:abstractNumId w:val="64"/>
  </w:num>
  <w:num w:numId="27">
    <w:abstractNumId w:val="63"/>
  </w:num>
  <w:num w:numId="28">
    <w:abstractNumId w:val="58"/>
  </w:num>
  <w:num w:numId="29">
    <w:abstractNumId w:val="6"/>
  </w:num>
  <w:num w:numId="30">
    <w:abstractNumId w:val="8"/>
  </w:num>
  <w:num w:numId="31">
    <w:abstractNumId w:val="15"/>
  </w:num>
  <w:num w:numId="32">
    <w:abstractNumId w:val="57"/>
  </w:num>
  <w:num w:numId="33">
    <w:abstractNumId w:val="7"/>
  </w:num>
  <w:num w:numId="34">
    <w:abstractNumId w:val="60"/>
  </w:num>
  <w:num w:numId="35">
    <w:abstractNumId w:val="55"/>
  </w:num>
  <w:num w:numId="36">
    <w:abstractNumId w:val="1"/>
    <w:lvlOverride w:ilvl="0">
      <w:lvl w:ilvl="0">
        <w:numFmt w:val="bullet"/>
        <w:lvlText w:val=""/>
        <w:legacy w:legacy="1" w:legacySpace="0" w:legacyIndent="283"/>
        <w:lvlJc w:val="left"/>
        <w:pPr>
          <w:ind w:left="567" w:hanging="283"/>
        </w:pPr>
        <w:rPr>
          <w:rFonts w:ascii="Symbol" w:hAnsi="Symbol" w:hint="default"/>
        </w:rPr>
      </w:lvl>
    </w:lvlOverride>
  </w:num>
  <w:num w:numId="37">
    <w:abstractNumId w:val="23"/>
  </w:num>
  <w:num w:numId="38">
    <w:abstractNumId w:val="22"/>
  </w:num>
  <w:num w:numId="39">
    <w:abstractNumId w:val="1"/>
    <w:lvlOverride w:ilvl="0">
      <w:lvl w:ilvl="0">
        <w:start w:val="1"/>
        <w:numFmt w:val="bullet"/>
        <w:lvlText w:val=""/>
        <w:lvlJc w:val="left"/>
        <w:pPr>
          <w:ind w:left="720" w:hanging="360"/>
        </w:pPr>
        <w:rPr>
          <w:rFonts w:ascii="Symbol" w:hAnsi="Symbol" w:hint="default"/>
        </w:rPr>
      </w:lvl>
    </w:lvlOverride>
  </w:num>
  <w:num w:numId="40">
    <w:abstractNumId w:val="28"/>
  </w:num>
  <w:num w:numId="41">
    <w:abstractNumId w:val="19"/>
  </w:num>
  <w:num w:numId="42">
    <w:abstractNumId w:val="59"/>
  </w:num>
  <w:num w:numId="43">
    <w:abstractNumId w:val="40"/>
  </w:num>
  <w:num w:numId="44">
    <w:abstractNumId w:val="26"/>
  </w:num>
  <w:num w:numId="45">
    <w:abstractNumId w:val="34"/>
  </w:num>
  <w:num w:numId="46">
    <w:abstractNumId w:val="11"/>
  </w:num>
  <w:num w:numId="47">
    <w:abstractNumId w:val="13"/>
  </w:num>
  <w:num w:numId="48">
    <w:abstractNumId w:val="56"/>
  </w:num>
  <w:num w:numId="49">
    <w:abstractNumId w:val="45"/>
  </w:num>
  <w:num w:numId="50">
    <w:abstractNumId w:val="39"/>
  </w:num>
  <w:num w:numId="51">
    <w:abstractNumId w:val="27"/>
  </w:num>
  <w:num w:numId="52">
    <w:abstractNumId w:val="51"/>
  </w:num>
  <w:num w:numId="53">
    <w:abstractNumId w:val="44"/>
  </w:num>
  <w:num w:numId="54">
    <w:abstractNumId w:val="48"/>
  </w:num>
  <w:num w:numId="55">
    <w:abstractNumId w:val="33"/>
  </w:num>
  <w:num w:numId="56">
    <w:abstractNumId w:val="5"/>
  </w:num>
  <w:num w:numId="57">
    <w:abstractNumId w:val="36"/>
  </w:num>
  <w:num w:numId="58">
    <w:abstractNumId w:val="17"/>
  </w:num>
  <w:num w:numId="59">
    <w:abstractNumId w:val="30"/>
  </w:num>
  <w:num w:numId="60">
    <w:abstractNumId w:val="47"/>
  </w:num>
  <w:num w:numId="61">
    <w:abstractNumId w:val="66"/>
  </w:num>
  <w:num w:numId="62">
    <w:abstractNumId w:val="68"/>
  </w:num>
  <w:num w:numId="63">
    <w:abstractNumId w:val="54"/>
  </w:num>
  <w:num w:numId="64">
    <w:abstractNumId w:val="25"/>
  </w:num>
  <w:num w:numId="65">
    <w:abstractNumId w:val="52"/>
  </w:num>
  <w:num w:numId="66">
    <w:abstractNumId w:val="12"/>
  </w:num>
  <w:num w:numId="67">
    <w:abstractNumId w:val="16"/>
  </w:num>
  <w:num w:numId="68">
    <w:abstractNumId w:val="2"/>
  </w:num>
  <w:num w:numId="69">
    <w:abstractNumId w:val="21"/>
  </w:num>
  <w:num w:numId="70">
    <w:abstractNumId w:val="32"/>
  </w:num>
  <w:num w:numId="71">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4D0F"/>
    <w:rsid w:val="00005800"/>
    <w:rsid w:val="00005B0A"/>
    <w:rsid w:val="0000685F"/>
    <w:rsid w:val="00007617"/>
    <w:rsid w:val="00007B94"/>
    <w:rsid w:val="000102A1"/>
    <w:rsid w:val="000104CB"/>
    <w:rsid w:val="000115A9"/>
    <w:rsid w:val="00012842"/>
    <w:rsid w:val="00012B39"/>
    <w:rsid w:val="00013610"/>
    <w:rsid w:val="000138A1"/>
    <w:rsid w:val="0001686B"/>
    <w:rsid w:val="00017703"/>
    <w:rsid w:val="000201DF"/>
    <w:rsid w:val="00020A28"/>
    <w:rsid w:val="00020D86"/>
    <w:rsid w:val="000215A9"/>
    <w:rsid w:val="00022AA4"/>
    <w:rsid w:val="00022B6C"/>
    <w:rsid w:val="000240FE"/>
    <w:rsid w:val="000244F9"/>
    <w:rsid w:val="0002476C"/>
    <w:rsid w:val="00024FEF"/>
    <w:rsid w:val="0002595E"/>
    <w:rsid w:val="00026116"/>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EF4"/>
    <w:rsid w:val="00036931"/>
    <w:rsid w:val="00036976"/>
    <w:rsid w:val="00036ED6"/>
    <w:rsid w:val="000378CC"/>
    <w:rsid w:val="00037B11"/>
    <w:rsid w:val="0004006B"/>
    <w:rsid w:val="0004042B"/>
    <w:rsid w:val="00041496"/>
    <w:rsid w:val="000419D4"/>
    <w:rsid w:val="00041C6C"/>
    <w:rsid w:val="00041EB7"/>
    <w:rsid w:val="00042751"/>
    <w:rsid w:val="000432D1"/>
    <w:rsid w:val="000444BB"/>
    <w:rsid w:val="00044DCB"/>
    <w:rsid w:val="00045054"/>
    <w:rsid w:val="000451B3"/>
    <w:rsid w:val="00045B31"/>
    <w:rsid w:val="0005077B"/>
    <w:rsid w:val="00051C81"/>
    <w:rsid w:val="0005250A"/>
    <w:rsid w:val="000529F2"/>
    <w:rsid w:val="00054BA6"/>
    <w:rsid w:val="00054E26"/>
    <w:rsid w:val="00055735"/>
    <w:rsid w:val="000557CE"/>
    <w:rsid w:val="000559BE"/>
    <w:rsid w:val="000562AF"/>
    <w:rsid w:val="000571C2"/>
    <w:rsid w:val="00060853"/>
    <w:rsid w:val="00060E5C"/>
    <w:rsid w:val="00061952"/>
    <w:rsid w:val="00062214"/>
    <w:rsid w:val="00065751"/>
    <w:rsid w:val="00066490"/>
    <w:rsid w:val="00067189"/>
    <w:rsid w:val="00067BC4"/>
    <w:rsid w:val="0007026C"/>
    <w:rsid w:val="000702DC"/>
    <w:rsid w:val="000703DF"/>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807B6"/>
    <w:rsid w:val="000814F6"/>
    <w:rsid w:val="00081813"/>
    <w:rsid w:val="000818D4"/>
    <w:rsid w:val="000821ED"/>
    <w:rsid w:val="00082546"/>
    <w:rsid w:val="000836FE"/>
    <w:rsid w:val="00083F57"/>
    <w:rsid w:val="00085624"/>
    <w:rsid w:val="000868DE"/>
    <w:rsid w:val="00086D04"/>
    <w:rsid w:val="00086E67"/>
    <w:rsid w:val="00087AE9"/>
    <w:rsid w:val="00087F38"/>
    <w:rsid w:val="00092CB2"/>
    <w:rsid w:val="00092FC0"/>
    <w:rsid w:val="00093786"/>
    <w:rsid w:val="00094645"/>
    <w:rsid w:val="00095A1C"/>
    <w:rsid w:val="000967CA"/>
    <w:rsid w:val="00096999"/>
    <w:rsid w:val="000974BF"/>
    <w:rsid w:val="00097F0D"/>
    <w:rsid w:val="000A2809"/>
    <w:rsid w:val="000A4202"/>
    <w:rsid w:val="000A62E2"/>
    <w:rsid w:val="000A63F9"/>
    <w:rsid w:val="000A7A22"/>
    <w:rsid w:val="000B0103"/>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65BE"/>
    <w:rsid w:val="000C6808"/>
    <w:rsid w:val="000C6F0E"/>
    <w:rsid w:val="000C7D79"/>
    <w:rsid w:val="000C7E7C"/>
    <w:rsid w:val="000D007F"/>
    <w:rsid w:val="000D1BFD"/>
    <w:rsid w:val="000D28F0"/>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42C4"/>
    <w:rsid w:val="000F4A9A"/>
    <w:rsid w:val="000F50D3"/>
    <w:rsid w:val="000F5381"/>
    <w:rsid w:val="000F558D"/>
    <w:rsid w:val="000F55B5"/>
    <w:rsid w:val="000F5ED9"/>
    <w:rsid w:val="000F77C3"/>
    <w:rsid w:val="000F7B4B"/>
    <w:rsid w:val="00101551"/>
    <w:rsid w:val="0010339F"/>
    <w:rsid w:val="001036E0"/>
    <w:rsid w:val="0010391E"/>
    <w:rsid w:val="00103CC0"/>
    <w:rsid w:val="00104975"/>
    <w:rsid w:val="001052AF"/>
    <w:rsid w:val="001053BA"/>
    <w:rsid w:val="001055E6"/>
    <w:rsid w:val="001063E3"/>
    <w:rsid w:val="0010786D"/>
    <w:rsid w:val="00110344"/>
    <w:rsid w:val="0011102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5B2"/>
    <w:rsid w:val="00135611"/>
    <w:rsid w:val="00135E41"/>
    <w:rsid w:val="00136F53"/>
    <w:rsid w:val="00136FA8"/>
    <w:rsid w:val="001376AC"/>
    <w:rsid w:val="001400DB"/>
    <w:rsid w:val="0014104C"/>
    <w:rsid w:val="00141052"/>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78C"/>
    <w:rsid w:val="00156950"/>
    <w:rsid w:val="00157649"/>
    <w:rsid w:val="00160DCC"/>
    <w:rsid w:val="00160DD6"/>
    <w:rsid w:val="001636EC"/>
    <w:rsid w:val="001657F4"/>
    <w:rsid w:val="00166FCB"/>
    <w:rsid w:val="0017001D"/>
    <w:rsid w:val="0017241F"/>
    <w:rsid w:val="0017333F"/>
    <w:rsid w:val="001737B7"/>
    <w:rsid w:val="00174675"/>
    <w:rsid w:val="0017469D"/>
    <w:rsid w:val="00175D41"/>
    <w:rsid w:val="001762F4"/>
    <w:rsid w:val="001764F7"/>
    <w:rsid w:val="001768E2"/>
    <w:rsid w:val="0018061D"/>
    <w:rsid w:val="00180A82"/>
    <w:rsid w:val="001811FF"/>
    <w:rsid w:val="00182B42"/>
    <w:rsid w:val="00182D03"/>
    <w:rsid w:val="00183FC7"/>
    <w:rsid w:val="00184AE4"/>
    <w:rsid w:val="00184C46"/>
    <w:rsid w:val="00186D96"/>
    <w:rsid w:val="001901B3"/>
    <w:rsid w:val="00191C0B"/>
    <w:rsid w:val="00192485"/>
    <w:rsid w:val="00192F9E"/>
    <w:rsid w:val="001940FA"/>
    <w:rsid w:val="00194447"/>
    <w:rsid w:val="0019516A"/>
    <w:rsid w:val="00195479"/>
    <w:rsid w:val="001970B2"/>
    <w:rsid w:val="001979F8"/>
    <w:rsid w:val="001A1064"/>
    <w:rsid w:val="001A141E"/>
    <w:rsid w:val="001A35F9"/>
    <w:rsid w:val="001A3828"/>
    <w:rsid w:val="001A3D0C"/>
    <w:rsid w:val="001A3E55"/>
    <w:rsid w:val="001A461B"/>
    <w:rsid w:val="001A56E8"/>
    <w:rsid w:val="001B01AC"/>
    <w:rsid w:val="001B0D26"/>
    <w:rsid w:val="001B10E9"/>
    <w:rsid w:val="001B1504"/>
    <w:rsid w:val="001B15BB"/>
    <w:rsid w:val="001B18C2"/>
    <w:rsid w:val="001B232C"/>
    <w:rsid w:val="001B28BC"/>
    <w:rsid w:val="001B3D6A"/>
    <w:rsid w:val="001B424E"/>
    <w:rsid w:val="001B4CC9"/>
    <w:rsid w:val="001B5DF7"/>
    <w:rsid w:val="001B65A1"/>
    <w:rsid w:val="001B6A12"/>
    <w:rsid w:val="001C0535"/>
    <w:rsid w:val="001C05B2"/>
    <w:rsid w:val="001C07DD"/>
    <w:rsid w:val="001C0B67"/>
    <w:rsid w:val="001C12BE"/>
    <w:rsid w:val="001C17BE"/>
    <w:rsid w:val="001C1C9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4E3C"/>
    <w:rsid w:val="001D52CB"/>
    <w:rsid w:val="001D69DD"/>
    <w:rsid w:val="001D6C48"/>
    <w:rsid w:val="001D74DC"/>
    <w:rsid w:val="001E0C2F"/>
    <w:rsid w:val="001E0E97"/>
    <w:rsid w:val="001E17D8"/>
    <w:rsid w:val="001E2338"/>
    <w:rsid w:val="001E558F"/>
    <w:rsid w:val="001E5961"/>
    <w:rsid w:val="001E5FEE"/>
    <w:rsid w:val="001E717B"/>
    <w:rsid w:val="001E74A2"/>
    <w:rsid w:val="001E76FC"/>
    <w:rsid w:val="001F0BC4"/>
    <w:rsid w:val="001F1D17"/>
    <w:rsid w:val="001F1F3D"/>
    <w:rsid w:val="001F4D66"/>
    <w:rsid w:val="001F4DA7"/>
    <w:rsid w:val="001F50B6"/>
    <w:rsid w:val="001F5414"/>
    <w:rsid w:val="001F59A5"/>
    <w:rsid w:val="001F689E"/>
    <w:rsid w:val="0020089C"/>
    <w:rsid w:val="00200F03"/>
    <w:rsid w:val="002013C3"/>
    <w:rsid w:val="002022AD"/>
    <w:rsid w:val="00202634"/>
    <w:rsid w:val="00203A8F"/>
    <w:rsid w:val="00203B47"/>
    <w:rsid w:val="00203D01"/>
    <w:rsid w:val="00204864"/>
    <w:rsid w:val="0020498A"/>
    <w:rsid w:val="002052D8"/>
    <w:rsid w:val="00205EFC"/>
    <w:rsid w:val="00210810"/>
    <w:rsid w:val="00211393"/>
    <w:rsid w:val="00211FAE"/>
    <w:rsid w:val="00211FF4"/>
    <w:rsid w:val="00212787"/>
    <w:rsid w:val="00212C0D"/>
    <w:rsid w:val="002138A9"/>
    <w:rsid w:val="00214451"/>
    <w:rsid w:val="002156FD"/>
    <w:rsid w:val="002159C5"/>
    <w:rsid w:val="00215DFB"/>
    <w:rsid w:val="0021639E"/>
    <w:rsid w:val="00217A33"/>
    <w:rsid w:val="00221123"/>
    <w:rsid w:val="00223339"/>
    <w:rsid w:val="002236A6"/>
    <w:rsid w:val="00224DE6"/>
    <w:rsid w:val="00224E75"/>
    <w:rsid w:val="002259C0"/>
    <w:rsid w:val="00226823"/>
    <w:rsid w:val="002276DD"/>
    <w:rsid w:val="0023002B"/>
    <w:rsid w:val="00230EC2"/>
    <w:rsid w:val="002327D5"/>
    <w:rsid w:val="002327E9"/>
    <w:rsid w:val="00232F54"/>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B03"/>
    <w:rsid w:val="00243514"/>
    <w:rsid w:val="00244ABF"/>
    <w:rsid w:val="00244C35"/>
    <w:rsid w:val="002469F7"/>
    <w:rsid w:val="00247F50"/>
    <w:rsid w:val="00250267"/>
    <w:rsid w:val="00252542"/>
    <w:rsid w:val="002532B5"/>
    <w:rsid w:val="002539A1"/>
    <w:rsid w:val="00253B72"/>
    <w:rsid w:val="002542CC"/>
    <w:rsid w:val="002559A2"/>
    <w:rsid w:val="002563ED"/>
    <w:rsid w:val="00256406"/>
    <w:rsid w:val="00257C87"/>
    <w:rsid w:val="0026049D"/>
    <w:rsid w:val="00260E92"/>
    <w:rsid w:val="002628DA"/>
    <w:rsid w:val="00263B55"/>
    <w:rsid w:val="00264AE7"/>
    <w:rsid w:val="002653BB"/>
    <w:rsid w:val="0026557C"/>
    <w:rsid w:val="002659B2"/>
    <w:rsid w:val="00266729"/>
    <w:rsid w:val="00266BC6"/>
    <w:rsid w:val="00266F4F"/>
    <w:rsid w:val="00267947"/>
    <w:rsid w:val="00267AB2"/>
    <w:rsid w:val="00270313"/>
    <w:rsid w:val="00270FF0"/>
    <w:rsid w:val="0027137C"/>
    <w:rsid w:val="0027413E"/>
    <w:rsid w:val="0027451C"/>
    <w:rsid w:val="00274585"/>
    <w:rsid w:val="00274E55"/>
    <w:rsid w:val="00275122"/>
    <w:rsid w:val="002751DD"/>
    <w:rsid w:val="00276777"/>
    <w:rsid w:val="00276ED9"/>
    <w:rsid w:val="0028043D"/>
    <w:rsid w:val="00280FDA"/>
    <w:rsid w:val="00281365"/>
    <w:rsid w:val="0028188E"/>
    <w:rsid w:val="00282C78"/>
    <w:rsid w:val="00282E34"/>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701D"/>
    <w:rsid w:val="00297AF8"/>
    <w:rsid w:val="002A0707"/>
    <w:rsid w:val="002A17C4"/>
    <w:rsid w:val="002A2B5D"/>
    <w:rsid w:val="002A349B"/>
    <w:rsid w:val="002A3665"/>
    <w:rsid w:val="002A3BAB"/>
    <w:rsid w:val="002A48AF"/>
    <w:rsid w:val="002A4A76"/>
    <w:rsid w:val="002A5E72"/>
    <w:rsid w:val="002A5F58"/>
    <w:rsid w:val="002B0640"/>
    <w:rsid w:val="002B10EE"/>
    <w:rsid w:val="002B2798"/>
    <w:rsid w:val="002B4372"/>
    <w:rsid w:val="002B445D"/>
    <w:rsid w:val="002B4C96"/>
    <w:rsid w:val="002B5973"/>
    <w:rsid w:val="002B73D3"/>
    <w:rsid w:val="002C0F1F"/>
    <w:rsid w:val="002C1811"/>
    <w:rsid w:val="002C1999"/>
    <w:rsid w:val="002C289C"/>
    <w:rsid w:val="002C3DCC"/>
    <w:rsid w:val="002C41FF"/>
    <w:rsid w:val="002C43DB"/>
    <w:rsid w:val="002C4E24"/>
    <w:rsid w:val="002C5D72"/>
    <w:rsid w:val="002C6439"/>
    <w:rsid w:val="002C78B6"/>
    <w:rsid w:val="002C7ECD"/>
    <w:rsid w:val="002D09CC"/>
    <w:rsid w:val="002D0F32"/>
    <w:rsid w:val="002D0F3B"/>
    <w:rsid w:val="002D1B76"/>
    <w:rsid w:val="002D2A79"/>
    <w:rsid w:val="002D41B7"/>
    <w:rsid w:val="002D537A"/>
    <w:rsid w:val="002D6E86"/>
    <w:rsid w:val="002D73EF"/>
    <w:rsid w:val="002D750B"/>
    <w:rsid w:val="002E11B9"/>
    <w:rsid w:val="002E1245"/>
    <w:rsid w:val="002E5300"/>
    <w:rsid w:val="002E5965"/>
    <w:rsid w:val="002E5A78"/>
    <w:rsid w:val="002E64CB"/>
    <w:rsid w:val="002E7DDB"/>
    <w:rsid w:val="002F0044"/>
    <w:rsid w:val="002F0199"/>
    <w:rsid w:val="002F0388"/>
    <w:rsid w:val="002F1623"/>
    <w:rsid w:val="002F2C18"/>
    <w:rsid w:val="002F352C"/>
    <w:rsid w:val="002F3776"/>
    <w:rsid w:val="002F3FAF"/>
    <w:rsid w:val="002F7D23"/>
    <w:rsid w:val="003002D3"/>
    <w:rsid w:val="00300C7E"/>
    <w:rsid w:val="003029D8"/>
    <w:rsid w:val="00302FF6"/>
    <w:rsid w:val="003033EF"/>
    <w:rsid w:val="00303C59"/>
    <w:rsid w:val="00304E98"/>
    <w:rsid w:val="003058FB"/>
    <w:rsid w:val="00305FBE"/>
    <w:rsid w:val="00306501"/>
    <w:rsid w:val="003075E1"/>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425"/>
    <w:rsid w:val="00322BCE"/>
    <w:rsid w:val="00325453"/>
    <w:rsid w:val="003256F1"/>
    <w:rsid w:val="00325A3E"/>
    <w:rsid w:val="0032640E"/>
    <w:rsid w:val="00326AA5"/>
    <w:rsid w:val="00326E89"/>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75D"/>
    <w:rsid w:val="00335FB2"/>
    <w:rsid w:val="00336DB2"/>
    <w:rsid w:val="00337799"/>
    <w:rsid w:val="0034052F"/>
    <w:rsid w:val="003415D2"/>
    <w:rsid w:val="00342579"/>
    <w:rsid w:val="00342715"/>
    <w:rsid w:val="003439F8"/>
    <w:rsid w:val="003440A3"/>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270"/>
    <w:rsid w:val="00360D02"/>
    <w:rsid w:val="00361007"/>
    <w:rsid w:val="00361CF3"/>
    <w:rsid w:val="003627DD"/>
    <w:rsid w:val="00362B7F"/>
    <w:rsid w:val="00363067"/>
    <w:rsid w:val="00363EFA"/>
    <w:rsid w:val="00364BAB"/>
    <w:rsid w:val="00364C54"/>
    <w:rsid w:val="00364D74"/>
    <w:rsid w:val="00364D95"/>
    <w:rsid w:val="00365049"/>
    <w:rsid w:val="0036522E"/>
    <w:rsid w:val="00367133"/>
    <w:rsid w:val="00367A90"/>
    <w:rsid w:val="00371609"/>
    <w:rsid w:val="00371671"/>
    <w:rsid w:val="0037202C"/>
    <w:rsid w:val="00372D96"/>
    <w:rsid w:val="00374124"/>
    <w:rsid w:val="003749A0"/>
    <w:rsid w:val="003759AE"/>
    <w:rsid w:val="00377A77"/>
    <w:rsid w:val="003803A1"/>
    <w:rsid w:val="00380A9A"/>
    <w:rsid w:val="0038274D"/>
    <w:rsid w:val="00382847"/>
    <w:rsid w:val="003833E4"/>
    <w:rsid w:val="00383700"/>
    <w:rsid w:val="00383AB0"/>
    <w:rsid w:val="0038496B"/>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EC"/>
    <w:rsid w:val="00397A66"/>
    <w:rsid w:val="00397C0A"/>
    <w:rsid w:val="003A2297"/>
    <w:rsid w:val="003A29B6"/>
    <w:rsid w:val="003A4E0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2DB1"/>
    <w:rsid w:val="003C4AF5"/>
    <w:rsid w:val="003C4E8F"/>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125F"/>
    <w:rsid w:val="00401FE9"/>
    <w:rsid w:val="00402423"/>
    <w:rsid w:val="00402CA2"/>
    <w:rsid w:val="0040578C"/>
    <w:rsid w:val="004079A9"/>
    <w:rsid w:val="00407AA7"/>
    <w:rsid w:val="00410363"/>
    <w:rsid w:val="004107E8"/>
    <w:rsid w:val="004114DB"/>
    <w:rsid w:val="00411755"/>
    <w:rsid w:val="0041385B"/>
    <w:rsid w:val="00413CA9"/>
    <w:rsid w:val="00413EED"/>
    <w:rsid w:val="00414A4C"/>
    <w:rsid w:val="00414CA3"/>
    <w:rsid w:val="00415AAD"/>
    <w:rsid w:val="0041623F"/>
    <w:rsid w:val="0041728F"/>
    <w:rsid w:val="004178C1"/>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229E"/>
    <w:rsid w:val="004331FF"/>
    <w:rsid w:val="00433EDC"/>
    <w:rsid w:val="00434AB9"/>
    <w:rsid w:val="00434C77"/>
    <w:rsid w:val="00440808"/>
    <w:rsid w:val="00441BAD"/>
    <w:rsid w:val="0044310C"/>
    <w:rsid w:val="00443153"/>
    <w:rsid w:val="00443771"/>
    <w:rsid w:val="0044401F"/>
    <w:rsid w:val="004444F8"/>
    <w:rsid w:val="00444C4C"/>
    <w:rsid w:val="00444D44"/>
    <w:rsid w:val="00445275"/>
    <w:rsid w:val="004452E3"/>
    <w:rsid w:val="004460B4"/>
    <w:rsid w:val="00446146"/>
    <w:rsid w:val="00450993"/>
    <w:rsid w:val="004513D7"/>
    <w:rsid w:val="004520DF"/>
    <w:rsid w:val="0045436B"/>
    <w:rsid w:val="00455A5C"/>
    <w:rsid w:val="00456257"/>
    <w:rsid w:val="00456D45"/>
    <w:rsid w:val="00460A6B"/>
    <w:rsid w:val="00460CCB"/>
    <w:rsid w:val="00460D3F"/>
    <w:rsid w:val="00461E3E"/>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9F8"/>
    <w:rsid w:val="00471A72"/>
    <w:rsid w:val="0047306F"/>
    <w:rsid w:val="004733C2"/>
    <w:rsid w:val="0047355F"/>
    <w:rsid w:val="0047417A"/>
    <w:rsid w:val="00475489"/>
    <w:rsid w:val="004764CC"/>
    <w:rsid w:val="00477B4B"/>
    <w:rsid w:val="00477C1C"/>
    <w:rsid w:val="0048090F"/>
    <w:rsid w:val="00480C50"/>
    <w:rsid w:val="00481E81"/>
    <w:rsid w:val="0048396C"/>
    <w:rsid w:val="00484993"/>
    <w:rsid w:val="00486144"/>
    <w:rsid w:val="00486C20"/>
    <w:rsid w:val="00486F07"/>
    <w:rsid w:val="00491D54"/>
    <w:rsid w:val="004929C8"/>
    <w:rsid w:val="00492EDB"/>
    <w:rsid w:val="00494E1A"/>
    <w:rsid w:val="00495606"/>
    <w:rsid w:val="00496EBA"/>
    <w:rsid w:val="00497493"/>
    <w:rsid w:val="00497BC6"/>
    <w:rsid w:val="004A1166"/>
    <w:rsid w:val="004A58D1"/>
    <w:rsid w:val="004A58E6"/>
    <w:rsid w:val="004A7356"/>
    <w:rsid w:val="004A737C"/>
    <w:rsid w:val="004A7AEE"/>
    <w:rsid w:val="004A7C3A"/>
    <w:rsid w:val="004A7E85"/>
    <w:rsid w:val="004B03FA"/>
    <w:rsid w:val="004B0633"/>
    <w:rsid w:val="004B13AA"/>
    <w:rsid w:val="004B14C0"/>
    <w:rsid w:val="004B2B81"/>
    <w:rsid w:val="004B41EE"/>
    <w:rsid w:val="004B4C64"/>
    <w:rsid w:val="004B5BBE"/>
    <w:rsid w:val="004B6415"/>
    <w:rsid w:val="004B6441"/>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1A80"/>
    <w:rsid w:val="004E21A8"/>
    <w:rsid w:val="004E2B3E"/>
    <w:rsid w:val="004E3528"/>
    <w:rsid w:val="004E3A5B"/>
    <w:rsid w:val="004E46A8"/>
    <w:rsid w:val="004E4A42"/>
    <w:rsid w:val="004E7253"/>
    <w:rsid w:val="004E7950"/>
    <w:rsid w:val="004E7D6B"/>
    <w:rsid w:val="004F0B26"/>
    <w:rsid w:val="004F196E"/>
    <w:rsid w:val="004F1A47"/>
    <w:rsid w:val="004F1B3E"/>
    <w:rsid w:val="004F2115"/>
    <w:rsid w:val="004F2819"/>
    <w:rsid w:val="004F3783"/>
    <w:rsid w:val="004F4E76"/>
    <w:rsid w:val="004F61B4"/>
    <w:rsid w:val="004F694B"/>
    <w:rsid w:val="004F70F9"/>
    <w:rsid w:val="004F7A13"/>
    <w:rsid w:val="005003A6"/>
    <w:rsid w:val="00501FA4"/>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710"/>
    <w:rsid w:val="005127A0"/>
    <w:rsid w:val="00514A9A"/>
    <w:rsid w:val="00514E2E"/>
    <w:rsid w:val="0051572F"/>
    <w:rsid w:val="00515A67"/>
    <w:rsid w:val="00515BC0"/>
    <w:rsid w:val="00516F22"/>
    <w:rsid w:val="005207E3"/>
    <w:rsid w:val="00520A8A"/>
    <w:rsid w:val="00522152"/>
    <w:rsid w:val="00523686"/>
    <w:rsid w:val="00523996"/>
    <w:rsid w:val="00525911"/>
    <w:rsid w:val="00527F54"/>
    <w:rsid w:val="00530AAB"/>
    <w:rsid w:val="00531900"/>
    <w:rsid w:val="005329D4"/>
    <w:rsid w:val="00532E20"/>
    <w:rsid w:val="00534CC2"/>
    <w:rsid w:val="005359C0"/>
    <w:rsid w:val="00535FFB"/>
    <w:rsid w:val="00537288"/>
    <w:rsid w:val="0054017F"/>
    <w:rsid w:val="0054168C"/>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A1B"/>
    <w:rsid w:val="0057117C"/>
    <w:rsid w:val="0057239E"/>
    <w:rsid w:val="005724ED"/>
    <w:rsid w:val="00575896"/>
    <w:rsid w:val="0057597E"/>
    <w:rsid w:val="00575EED"/>
    <w:rsid w:val="00575FD4"/>
    <w:rsid w:val="0057764D"/>
    <w:rsid w:val="00577829"/>
    <w:rsid w:val="005805C8"/>
    <w:rsid w:val="0058068C"/>
    <w:rsid w:val="00581104"/>
    <w:rsid w:val="005828CD"/>
    <w:rsid w:val="00583D31"/>
    <w:rsid w:val="00584150"/>
    <w:rsid w:val="00584D4C"/>
    <w:rsid w:val="00584ECF"/>
    <w:rsid w:val="00585A11"/>
    <w:rsid w:val="00586CCC"/>
    <w:rsid w:val="00587329"/>
    <w:rsid w:val="005876F8"/>
    <w:rsid w:val="00590A97"/>
    <w:rsid w:val="005918AB"/>
    <w:rsid w:val="00591C0D"/>
    <w:rsid w:val="00592C99"/>
    <w:rsid w:val="00592EE3"/>
    <w:rsid w:val="00593D2E"/>
    <w:rsid w:val="00595399"/>
    <w:rsid w:val="0059550E"/>
    <w:rsid w:val="00595E30"/>
    <w:rsid w:val="005966FE"/>
    <w:rsid w:val="00596BBD"/>
    <w:rsid w:val="00596BE7"/>
    <w:rsid w:val="00596CDE"/>
    <w:rsid w:val="00597449"/>
    <w:rsid w:val="00597801"/>
    <w:rsid w:val="005A07EF"/>
    <w:rsid w:val="005A196D"/>
    <w:rsid w:val="005A22B5"/>
    <w:rsid w:val="005A2AD2"/>
    <w:rsid w:val="005A68CF"/>
    <w:rsid w:val="005A6CB1"/>
    <w:rsid w:val="005A71E9"/>
    <w:rsid w:val="005A7298"/>
    <w:rsid w:val="005A7585"/>
    <w:rsid w:val="005B04CB"/>
    <w:rsid w:val="005B0683"/>
    <w:rsid w:val="005B0D29"/>
    <w:rsid w:val="005B0DE3"/>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2896"/>
    <w:rsid w:val="005D40E1"/>
    <w:rsid w:val="005D460E"/>
    <w:rsid w:val="005D4846"/>
    <w:rsid w:val="005D4877"/>
    <w:rsid w:val="005D56C1"/>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787"/>
    <w:rsid w:val="00600B60"/>
    <w:rsid w:val="006028AC"/>
    <w:rsid w:val="00603D56"/>
    <w:rsid w:val="006043AA"/>
    <w:rsid w:val="00606054"/>
    <w:rsid w:val="00607C32"/>
    <w:rsid w:val="00607F1C"/>
    <w:rsid w:val="00610CDE"/>
    <w:rsid w:val="0061108D"/>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940"/>
    <w:rsid w:val="00626B1D"/>
    <w:rsid w:val="00630BE1"/>
    <w:rsid w:val="00630FCB"/>
    <w:rsid w:val="00632738"/>
    <w:rsid w:val="00633E90"/>
    <w:rsid w:val="0063400F"/>
    <w:rsid w:val="00635200"/>
    <w:rsid w:val="00635D71"/>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22A0"/>
    <w:rsid w:val="00653919"/>
    <w:rsid w:val="00654258"/>
    <w:rsid w:val="0065504C"/>
    <w:rsid w:val="006552FD"/>
    <w:rsid w:val="0065609C"/>
    <w:rsid w:val="006579F9"/>
    <w:rsid w:val="00657F8D"/>
    <w:rsid w:val="006600DC"/>
    <w:rsid w:val="00660B1B"/>
    <w:rsid w:val="00661E13"/>
    <w:rsid w:val="00662B40"/>
    <w:rsid w:val="0066437E"/>
    <w:rsid w:val="00664675"/>
    <w:rsid w:val="00664CC5"/>
    <w:rsid w:val="00664E83"/>
    <w:rsid w:val="00666847"/>
    <w:rsid w:val="006703C8"/>
    <w:rsid w:val="006705FA"/>
    <w:rsid w:val="00671031"/>
    <w:rsid w:val="006716F2"/>
    <w:rsid w:val="00672528"/>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86B1B"/>
    <w:rsid w:val="00690AFD"/>
    <w:rsid w:val="0069185E"/>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A083E"/>
    <w:rsid w:val="006A08D5"/>
    <w:rsid w:val="006A091D"/>
    <w:rsid w:val="006A2764"/>
    <w:rsid w:val="006A31EB"/>
    <w:rsid w:val="006A416D"/>
    <w:rsid w:val="006A41F5"/>
    <w:rsid w:val="006A4EAA"/>
    <w:rsid w:val="006A5519"/>
    <w:rsid w:val="006A5BE8"/>
    <w:rsid w:val="006A6090"/>
    <w:rsid w:val="006A645E"/>
    <w:rsid w:val="006A64C3"/>
    <w:rsid w:val="006A65F0"/>
    <w:rsid w:val="006A6F27"/>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B1B"/>
    <w:rsid w:val="006C15CE"/>
    <w:rsid w:val="006C1861"/>
    <w:rsid w:val="006C29F2"/>
    <w:rsid w:val="006C4634"/>
    <w:rsid w:val="006C4809"/>
    <w:rsid w:val="006C7E77"/>
    <w:rsid w:val="006D03D8"/>
    <w:rsid w:val="006D0DD1"/>
    <w:rsid w:val="006D1BB9"/>
    <w:rsid w:val="006D1FFF"/>
    <w:rsid w:val="006D2114"/>
    <w:rsid w:val="006D2D8D"/>
    <w:rsid w:val="006D30A4"/>
    <w:rsid w:val="006D311D"/>
    <w:rsid w:val="006D3206"/>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489D"/>
    <w:rsid w:val="0074514B"/>
    <w:rsid w:val="007456DC"/>
    <w:rsid w:val="00745F83"/>
    <w:rsid w:val="007460DB"/>
    <w:rsid w:val="00746722"/>
    <w:rsid w:val="00746810"/>
    <w:rsid w:val="00746BC1"/>
    <w:rsid w:val="00747252"/>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CF0"/>
    <w:rsid w:val="0076029C"/>
    <w:rsid w:val="007605C0"/>
    <w:rsid w:val="00760E25"/>
    <w:rsid w:val="007611F0"/>
    <w:rsid w:val="00761F77"/>
    <w:rsid w:val="00763B53"/>
    <w:rsid w:val="007647C3"/>
    <w:rsid w:val="00765C42"/>
    <w:rsid w:val="00765F1B"/>
    <w:rsid w:val="00766201"/>
    <w:rsid w:val="0076772E"/>
    <w:rsid w:val="007700AF"/>
    <w:rsid w:val="0077094B"/>
    <w:rsid w:val="00770D5C"/>
    <w:rsid w:val="00771B7B"/>
    <w:rsid w:val="007720EE"/>
    <w:rsid w:val="007727B7"/>
    <w:rsid w:val="00772D4D"/>
    <w:rsid w:val="007738AC"/>
    <w:rsid w:val="00773CCB"/>
    <w:rsid w:val="0077423A"/>
    <w:rsid w:val="00774A10"/>
    <w:rsid w:val="00774ED8"/>
    <w:rsid w:val="00776E35"/>
    <w:rsid w:val="00780E20"/>
    <w:rsid w:val="0078178B"/>
    <w:rsid w:val="0078187B"/>
    <w:rsid w:val="007818AB"/>
    <w:rsid w:val="00781CA3"/>
    <w:rsid w:val="00782FDA"/>
    <w:rsid w:val="00785399"/>
    <w:rsid w:val="00785B79"/>
    <w:rsid w:val="00785D32"/>
    <w:rsid w:val="00786406"/>
    <w:rsid w:val="00786F0E"/>
    <w:rsid w:val="00787B80"/>
    <w:rsid w:val="00790145"/>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A6870"/>
    <w:rsid w:val="007A7FE9"/>
    <w:rsid w:val="007B31B6"/>
    <w:rsid w:val="007B3529"/>
    <w:rsid w:val="007B5211"/>
    <w:rsid w:val="007C0787"/>
    <w:rsid w:val="007C07C5"/>
    <w:rsid w:val="007C2CBF"/>
    <w:rsid w:val="007C2D6B"/>
    <w:rsid w:val="007C3321"/>
    <w:rsid w:val="007C3593"/>
    <w:rsid w:val="007C3B0A"/>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8A1"/>
    <w:rsid w:val="007D4B5F"/>
    <w:rsid w:val="007D5306"/>
    <w:rsid w:val="007D5D0A"/>
    <w:rsid w:val="007D64BB"/>
    <w:rsid w:val="007D78A9"/>
    <w:rsid w:val="007E06C0"/>
    <w:rsid w:val="007E0816"/>
    <w:rsid w:val="007E0BBB"/>
    <w:rsid w:val="007E0F60"/>
    <w:rsid w:val="007E134F"/>
    <w:rsid w:val="007E170F"/>
    <w:rsid w:val="007E2573"/>
    <w:rsid w:val="007E3168"/>
    <w:rsid w:val="007E3E7F"/>
    <w:rsid w:val="007E43A2"/>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B34"/>
    <w:rsid w:val="00811B49"/>
    <w:rsid w:val="00811CDA"/>
    <w:rsid w:val="008140C2"/>
    <w:rsid w:val="00814D3F"/>
    <w:rsid w:val="00815415"/>
    <w:rsid w:val="008157C9"/>
    <w:rsid w:val="008169EC"/>
    <w:rsid w:val="0082010F"/>
    <w:rsid w:val="008212B0"/>
    <w:rsid w:val="00821A37"/>
    <w:rsid w:val="00821A9F"/>
    <w:rsid w:val="00821C94"/>
    <w:rsid w:val="00821F23"/>
    <w:rsid w:val="00822E71"/>
    <w:rsid w:val="00822F86"/>
    <w:rsid w:val="0082399B"/>
    <w:rsid w:val="00824BEE"/>
    <w:rsid w:val="00825193"/>
    <w:rsid w:val="00825C09"/>
    <w:rsid w:val="00826076"/>
    <w:rsid w:val="00826273"/>
    <w:rsid w:val="008262D3"/>
    <w:rsid w:val="00826DBC"/>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618B"/>
    <w:rsid w:val="008367AC"/>
    <w:rsid w:val="00837647"/>
    <w:rsid w:val="008405A0"/>
    <w:rsid w:val="00840A6E"/>
    <w:rsid w:val="00841454"/>
    <w:rsid w:val="008429E8"/>
    <w:rsid w:val="00843690"/>
    <w:rsid w:val="00843DF6"/>
    <w:rsid w:val="00845BBE"/>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50B"/>
    <w:rsid w:val="008860BD"/>
    <w:rsid w:val="00886AB3"/>
    <w:rsid w:val="00886F6C"/>
    <w:rsid w:val="008874F5"/>
    <w:rsid w:val="0088790E"/>
    <w:rsid w:val="00887B21"/>
    <w:rsid w:val="00891B74"/>
    <w:rsid w:val="00892202"/>
    <w:rsid w:val="00892DE9"/>
    <w:rsid w:val="00893E28"/>
    <w:rsid w:val="00894DA5"/>
    <w:rsid w:val="0089503E"/>
    <w:rsid w:val="00895093"/>
    <w:rsid w:val="008959B9"/>
    <w:rsid w:val="00895F6F"/>
    <w:rsid w:val="00896BB6"/>
    <w:rsid w:val="008A0BF5"/>
    <w:rsid w:val="008A198C"/>
    <w:rsid w:val="008A2046"/>
    <w:rsid w:val="008A2455"/>
    <w:rsid w:val="008A2A2F"/>
    <w:rsid w:val="008A2BDE"/>
    <w:rsid w:val="008A3652"/>
    <w:rsid w:val="008A6A63"/>
    <w:rsid w:val="008A6D95"/>
    <w:rsid w:val="008A6EC0"/>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6470"/>
    <w:rsid w:val="008C670E"/>
    <w:rsid w:val="008C7465"/>
    <w:rsid w:val="008D00A6"/>
    <w:rsid w:val="008D10DE"/>
    <w:rsid w:val="008D2C9C"/>
    <w:rsid w:val="008D3DE9"/>
    <w:rsid w:val="008D444C"/>
    <w:rsid w:val="008D54FE"/>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A9D"/>
    <w:rsid w:val="008F1CB0"/>
    <w:rsid w:val="008F1D0A"/>
    <w:rsid w:val="008F1EF7"/>
    <w:rsid w:val="008F25E8"/>
    <w:rsid w:val="008F3933"/>
    <w:rsid w:val="008F405E"/>
    <w:rsid w:val="008F663E"/>
    <w:rsid w:val="008F6AB1"/>
    <w:rsid w:val="008F7791"/>
    <w:rsid w:val="00900EA0"/>
    <w:rsid w:val="00901B7F"/>
    <w:rsid w:val="009022ED"/>
    <w:rsid w:val="00902891"/>
    <w:rsid w:val="00903118"/>
    <w:rsid w:val="009031A2"/>
    <w:rsid w:val="0090367E"/>
    <w:rsid w:val="00903E49"/>
    <w:rsid w:val="00903EBB"/>
    <w:rsid w:val="009046F9"/>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9E5"/>
    <w:rsid w:val="00924DDF"/>
    <w:rsid w:val="00925D18"/>
    <w:rsid w:val="00927AA9"/>
    <w:rsid w:val="00927B5B"/>
    <w:rsid w:val="00930D55"/>
    <w:rsid w:val="00932F5A"/>
    <w:rsid w:val="00933610"/>
    <w:rsid w:val="00933B07"/>
    <w:rsid w:val="00933E29"/>
    <w:rsid w:val="00934561"/>
    <w:rsid w:val="00935826"/>
    <w:rsid w:val="009358CE"/>
    <w:rsid w:val="00941C63"/>
    <w:rsid w:val="0094406C"/>
    <w:rsid w:val="00944F28"/>
    <w:rsid w:val="009459A6"/>
    <w:rsid w:val="00945FB7"/>
    <w:rsid w:val="00946CC3"/>
    <w:rsid w:val="00947A7A"/>
    <w:rsid w:val="009523E9"/>
    <w:rsid w:val="009539C8"/>
    <w:rsid w:val="00953BD4"/>
    <w:rsid w:val="00953DE1"/>
    <w:rsid w:val="00954447"/>
    <w:rsid w:val="00954C4D"/>
    <w:rsid w:val="00954C6C"/>
    <w:rsid w:val="00955259"/>
    <w:rsid w:val="00955D18"/>
    <w:rsid w:val="00956AC9"/>
    <w:rsid w:val="00960E94"/>
    <w:rsid w:val="009619CC"/>
    <w:rsid w:val="009628CB"/>
    <w:rsid w:val="00962AB9"/>
    <w:rsid w:val="00963089"/>
    <w:rsid w:val="0096362C"/>
    <w:rsid w:val="00963FE9"/>
    <w:rsid w:val="009650BD"/>
    <w:rsid w:val="00965DFD"/>
    <w:rsid w:val="00966084"/>
    <w:rsid w:val="009661A6"/>
    <w:rsid w:val="00966E9D"/>
    <w:rsid w:val="0096761F"/>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A83"/>
    <w:rsid w:val="0099413E"/>
    <w:rsid w:val="009941C8"/>
    <w:rsid w:val="0099424C"/>
    <w:rsid w:val="00994BA0"/>
    <w:rsid w:val="009952BF"/>
    <w:rsid w:val="0099587F"/>
    <w:rsid w:val="00995B30"/>
    <w:rsid w:val="009967CB"/>
    <w:rsid w:val="009A0B29"/>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3B87"/>
    <w:rsid w:val="009E3FEB"/>
    <w:rsid w:val="009E46E9"/>
    <w:rsid w:val="009E5563"/>
    <w:rsid w:val="009E5586"/>
    <w:rsid w:val="009E5C1F"/>
    <w:rsid w:val="009E6BE9"/>
    <w:rsid w:val="009E7175"/>
    <w:rsid w:val="009F01E3"/>
    <w:rsid w:val="009F02EC"/>
    <w:rsid w:val="009F036B"/>
    <w:rsid w:val="009F05CF"/>
    <w:rsid w:val="009F09F1"/>
    <w:rsid w:val="009F1077"/>
    <w:rsid w:val="009F40CA"/>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092B"/>
    <w:rsid w:val="00A11345"/>
    <w:rsid w:val="00A11D42"/>
    <w:rsid w:val="00A12393"/>
    <w:rsid w:val="00A12A28"/>
    <w:rsid w:val="00A134D8"/>
    <w:rsid w:val="00A14950"/>
    <w:rsid w:val="00A16EE4"/>
    <w:rsid w:val="00A1766C"/>
    <w:rsid w:val="00A17F1A"/>
    <w:rsid w:val="00A2140A"/>
    <w:rsid w:val="00A219E7"/>
    <w:rsid w:val="00A21D98"/>
    <w:rsid w:val="00A22001"/>
    <w:rsid w:val="00A221D0"/>
    <w:rsid w:val="00A222A7"/>
    <w:rsid w:val="00A244AE"/>
    <w:rsid w:val="00A244B5"/>
    <w:rsid w:val="00A24AFA"/>
    <w:rsid w:val="00A25130"/>
    <w:rsid w:val="00A25446"/>
    <w:rsid w:val="00A25599"/>
    <w:rsid w:val="00A25D87"/>
    <w:rsid w:val="00A26386"/>
    <w:rsid w:val="00A31462"/>
    <w:rsid w:val="00A31921"/>
    <w:rsid w:val="00A32152"/>
    <w:rsid w:val="00A33BB9"/>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405B"/>
    <w:rsid w:val="00A44AE9"/>
    <w:rsid w:val="00A45CD8"/>
    <w:rsid w:val="00A45EE9"/>
    <w:rsid w:val="00A46863"/>
    <w:rsid w:val="00A4696A"/>
    <w:rsid w:val="00A51CAA"/>
    <w:rsid w:val="00A53343"/>
    <w:rsid w:val="00A54ACB"/>
    <w:rsid w:val="00A55ABB"/>
    <w:rsid w:val="00A55FF8"/>
    <w:rsid w:val="00A56055"/>
    <w:rsid w:val="00A56B6D"/>
    <w:rsid w:val="00A57F27"/>
    <w:rsid w:val="00A60027"/>
    <w:rsid w:val="00A61E8F"/>
    <w:rsid w:val="00A62004"/>
    <w:rsid w:val="00A6266F"/>
    <w:rsid w:val="00A63F16"/>
    <w:rsid w:val="00A64A3B"/>
    <w:rsid w:val="00A65DD2"/>
    <w:rsid w:val="00A66866"/>
    <w:rsid w:val="00A679BC"/>
    <w:rsid w:val="00A70063"/>
    <w:rsid w:val="00A7009D"/>
    <w:rsid w:val="00A7080D"/>
    <w:rsid w:val="00A71703"/>
    <w:rsid w:val="00A71A8D"/>
    <w:rsid w:val="00A71EF4"/>
    <w:rsid w:val="00A7232D"/>
    <w:rsid w:val="00A72D7A"/>
    <w:rsid w:val="00A72E3F"/>
    <w:rsid w:val="00A74327"/>
    <w:rsid w:val="00A7436E"/>
    <w:rsid w:val="00A76812"/>
    <w:rsid w:val="00A76B23"/>
    <w:rsid w:val="00A7706F"/>
    <w:rsid w:val="00A80AAC"/>
    <w:rsid w:val="00A81584"/>
    <w:rsid w:val="00A81894"/>
    <w:rsid w:val="00A84BEB"/>
    <w:rsid w:val="00A86A1B"/>
    <w:rsid w:val="00A86D47"/>
    <w:rsid w:val="00A91E1F"/>
    <w:rsid w:val="00A92296"/>
    <w:rsid w:val="00A9340A"/>
    <w:rsid w:val="00A9427C"/>
    <w:rsid w:val="00A944F3"/>
    <w:rsid w:val="00A96E05"/>
    <w:rsid w:val="00A97896"/>
    <w:rsid w:val="00A97E15"/>
    <w:rsid w:val="00AA08A0"/>
    <w:rsid w:val="00AA0BA5"/>
    <w:rsid w:val="00AA164C"/>
    <w:rsid w:val="00AA179C"/>
    <w:rsid w:val="00AA18AE"/>
    <w:rsid w:val="00AA19B0"/>
    <w:rsid w:val="00AA2776"/>
    <w:rsid w:val="00AA3306"/>
    <w:rsid w:val="00AA4125"/>
    <w:rsid w:val="00AA4AA6"/>
    <w:rsid w:val="00AA57F0"/>
    <w:rsid w:val="00AA5DB4"/>
    <w:rsid w:val="00AB16BF"/>
    <w:rsid w:val="00AB1FBE"/>
    <w:rsid w:val="00AB24C8"/>
    <w:rsid w:val="00AB4252"/>
    <w:rsid w:val="00AB508B"/>
    <w:rsid w:val="00AB6734"/>
    <w:rsid w:val="00AB6BE1"/>
    <w:rsid w:val="00AC00CE"/>
    <w:rsid w:val="00AC16E1"/>
    <w:rsid w:val="00AC18F5"/>
    <w:rsid w:val="00AC2599"/>
    <w:rsid w:val="00AC26C3"/>
    <w:rsid w:val="00AC27AB"/>
    <w:rsid w:val="00AC3FF9"/>
    <w:rsid w:val="00AC5086"/>
    <w:rsid w:val="00AC5496"/>
    <w:rsid w:val="00AC6019"/>
    <w:rsid w:val="00AC6F72"/>
    <w:rsid w:val="00AD12EE"/>
    <w:rsid w:val="00AD173D"/>
    <w:rsid w:val="00AD2465"/>
    <w:rsid w:val="00AD442D"/>
    <w:rsid w:val="00AD6554"/>
    <w:rsid w:val="00AD7EE7"/>
    <w:rsid w:val="00AE0A04"/>
    <w:rsid w:val="00AE14F3"/>
    <w:rsid w:val="00AE20D3"/>
    <w:rsid w:val="00AE22F2"/>
    <w:rsid w:val="00AE2392"/>
    <w:rsid w:val="00AE24DF"/>
    <w:rsid w:val="00AE3428"/>
    <w:rsid w:val="00AE46CA"/>
    <w:rsid w:val="00AE52EA"/>
    <w:rsid w:val="00AE5B1E"/>
    <w:rsid w:val="00AE79CA"/>
    <w:rsid w:val="00AF1968"/>
    <w:rsid w:val="00AF310D"/>
    <w:rsid w:val="00AF328F"/>
    <w:rsid w:val="00AF4582"/>
    <w:rsid w:val="00AF4F04"/>
    <w:rsid w:val="00AF6B3D"/>
    <w:rsid w:val="00AF6F3E"/>
    <w:rsid w:val="00AF7639"/>
    <w:rsid w:val="00AF7B0E"/>
    <w:rsid w:val="00AF7B73"/>
    <w:rsid w:val="00AF7DE5"/>
    <w:rsid w:val="00B01399"/>
    <w:rsid w:val="00B01C44"/>
    <w:rsid w:val="00B0277E"/>
    <w:rsid w:val="00B03922"/>
    <w:rsid w:val="00B04ACF"/>
    <w:rsid w:val="00B04D0C"/>
    <w:rsid w:val="00B053C6"/>
    <w:rsid w:val="00B05746"/>
    <w:rsid w:val="00B062B6"/>
    <w:rsid w:val="00B07386"/>
    <w:rsid w:val="00B10030"/>
    <w:rsid w:val="00B104E7"/>
    <w:rsid w:val="00B108E3"/>
    <w:rsid w:val="00B10DE9"/>
    <w:rsid w:val="00B1175C"/>
    <w:rsid w:val="00B14DAA"/>
    <w:rsid w:val="00B15573"/>
    <w:rsid w:val="00B158FE"/>
    <w:rsid w:val="00B163C8"/>
    <w:rsid w:val="00B16E28"/>
    <w:rsid w:val="00B16E80"/>
    <w:rsid w:val="00B1749D"/>
    <w:rsid w:val="00B17D6B"/>
    <w:rsid w:val="00B209D1"/>
    <w:rsid w:val="00B227CB"/>
    <w:rsid w:val="00B234E3"/>
    <w:rsid w:val="00B23945"/>
    <w:rsid w:val="00B24A09"/>
    <w:rsid w:val="00B256F0"/>
    <w:rsid w:val="00B26A6C"/>
    <w:rsid w:val="00B274CC"/>
    <w:rsid w:val="00B27D22"/>
    <w:rsid w:val="00B31E79"/>
    <w:rsid w:val="00B32641"/>
    <w:rsid w:val="00B33A06"/>
    <w:rsid w:val="00B34AF2"/>
    <w:rsid w:val="00B35253"/>
    <w:rsid w:val="00B36427"/>
    <w:rsid w:val="00B40107"/>
    <w:rsid w:val="00B4093A"/>
    <w:rsid w:val="00B40D05"/>
    <w:rsid w:val="00B40DAA"/>
    <w:rsid w:val="00B419F8"/>
    <w:rsid w:val="00B4246E"/>
    <w:rsid w:val="00B43B74"/>
    <w:rsid w:val="00B43C8B"/>
    <w:rsid w:val="00B44286"/>
    <w:rsid w:val="00B44DE2"/>
    <w:rsid w:val="00B461DE"/>
    <w:rsid w:val="00B4742A"/>
    <w:rsid w:val="00B47B47"/>
    <w:rsid w:val="00B50DEE"/>
    <w:rsid w:val="00B50F6E"/>
    <w:rsid w:val="00B5252F"/>
    <w:rsid w:val="00B52FBD"/>
    <w:rsid w:val="00B53927"/>
    <w:rsid w:val="00B54D58"/>
    <w:rsid w:val="00B55D48"/>
    <w:rsid w:val="00B577E9"/>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0B4"/>
    <w:rsid w:val="00B758A2"/>
    <w:rsid w:val="00B75A56"/>
    <w:rsid w:val="00B75A7B"/>
    <w:rsid w:val="00B77130"/>
    <w:rsid w:val="00B77B0A"/>
    <w:rsid w:val="00B77E9D"/>
    <w:rsid w:val="00B77EB1"/>
    <w:rsid w:val="00B811E0"/>
    <w:rsid w:val="00B811EC"/>
    <w:rsid w:val="00B81ED2"/>
    <w:rsid w:val="00B822F3"/>
    <w:rsid w:val="00B82F3D"/>
    <w:rsid w:val="00B83060"/>
    <w:rsid w:val="00B832BA"/>
    <w:rsid w:val="00B83530"/>
    <w:rsid w:val="00B84123"/>
    <w:rsid w:val="00B85972"/>
    <w:rsid w:val="00B87120"/>
    <w:rsid w:val="00B901EB"/>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C14"/>
    <w:rsid w:val="00BA534E"/>
    <w:rsid w:val="00BA5F2A"/>
    <w:rsid w:val="00BA6C29"/>
    <w:rsid w:val="00BA72BD"/>
    <w:rsid w:val="00BA7559"/>
    <w:rsid w:val="00BB018A"/>
    <w:rsid w:val="00BB026F"/>
    <w:rsid w:val="00BB087C"/>
    <w:rsid w:val="00BB3FB2"/>
    <w:rsid w:val="00BB4A59"/>
    <w:rsid w:val="00BB5370"/>
    <w:rsid w:val="00BB6031"/>
    <w:rsid w:val="00BB64B0"/>
    <w:rsid w:val="00BB65C4"/>
    <w:rsid w:val="00BB7B9D"/>
    <w:rsid w:val="00BC1694"/>
    <w:rsid w:val="00BC2362"/>
    <w:rsid w:val="00BC2853"/>
    <w:rsid w:val="00BC33D4"/>
    <w:rsid w:val="00BC4431"/>
    <w:rsid w:val="00BC4B7F"/>
    <w:rsid w:val="00BC5473"/>
    <w:rsid w:val="00BC6E2E"/>
    <w:rsid w:val="00BC7DE7"/>
    <w:rsid w:val="00BD097C"/>
    <w:rsid w:val="00BD2639"/>
    <w:rsid w:val="00BD37E2"/>
    <w:rsid w:val="00BD4CC9"/>
    <w:rsid w:val="00BD4EB5"/>
    <w:rsid w:val="00BD5B6F"/>
    <w:rsid w:val="00BD620F"/>
    <w:rsid w:val="00BE197A"/>
    <w:rsid w:val="00BE1AF0"/>
    <w:rsid w:val="00BE364C"/>
    <w:rsid w:val="00BE37BA"/>
    <w:rsid w:val="00BE4580"/>
    <w:rsid w:val="00BE50AC"/>
    <w:rsid w:val="00BE6483"/>
    <w:rsid w:val="00BE6F98"/>
    <w:rsid w:val="00BF00D9"/>
    <w:rsid w:val="00BF15FD"/>
    <w:rsid w:val="00BF1785"/>
    <w:rsid w:val="00BF1CFD"/>
    <w:rsid w:val="00BF2010"/>
    <w:rsid w:val="00BF2365"/>
    <w:rsid w:val="00BF27A1"/>
    <w:rsid w:val="00BF2E5D"/>
    <w:rsid w:val="00BF384C"/>
    <w:rsid w:val="00BF4496"/>
    <w:rsid w:val="00BF4BCD"/>
    <w:rsid w:val="00BF683B"/>
    <w:rsid w:val="00BF688B"/>
    <w:rsid w:val="00BF69EB"/>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2A6"/>
    <w:rsid w:val="00C15982"/>
    <w:rsid w:val="00C160D0"/>
    <w:rsid w:val="00C16E14"/>
    <w:rsid w:val="00C201CA"/>
    <w:rsid w:val="00C203E7"/>
    <w:rsid w:val="00C20F69"/>
    <w:rsid w:val="00C21EFF"/>
    <w:rsid w:val="00C22360"/>
    <w:rsid w:val="00C227AD"/>
    <w:rsid w:val="00C22825"/>
    <w:rsid w:val="00C23BA1"/>
    <w:rsid w:val="00C23DF7"/>
    <w:rsid w:val="00C253D7"/>
    <w:rsid w:val="00C25B4D"/>
    <w:rsid w:val="00C26DEE"/>
    <w:rsid w:val="00C274F6"/>
    <w:rsid w:val="00C27846"/>
    <w:rsid w:val="00C27BFD"/>
    <w:rsid w:val="00C303D0"/>
    <w:rsid w:val="00C30474"/>
    <w:rsid w:val="00C3053E"/>
    <w:rsid w:val="00C31597"/>
    <w:rsid w:val="00C3190C"/>
    <w:rsid w:val="00C34991"/>
    <w:rsid w:val="00C363DF"/>
    <w:rsid w:val="00C373A2"/>
    <w:rsid w:val="00C37F29"/>
    <w:rsid w:val="00C4067A"/>
    <w:rsid w:val="00C41256"/>
    <w:rsid w:val="00C41BC5"/>
    <w:rsid w:val="00C44FB9"/>
    <w:rsid w:val="00C454C8"/>
    <w:rsid w:val="00C45A67"/>
    <w:rsid w:val="00C46454"/>
    <w:rsid w:val="00C47D9F"/>
    <w:rsid w:val="00C5077D"/>
    <w:rsid w:val="00C5106A"/>
    <w:rsid w:val="00C515E0"/>
    <w:rsid w:val="00C5183B"/>
    <w:rsid w:val="00C522C9"/>
    <w:rsid w:val="00C540BC"/>
    <w:rsid w:val="00C546D9"/>
    <w:rsid w:val="00C57333"/>
    <w:rsid w:val="00C57A19"/>
    <w:rsid w:val="00C61462"/>
    <w:rsid w:val="00C61790"/>
    <w:rsid w:val="00C624F8"/>
    <w:rsid w:val="00C62955"/>
    <w:rsid w:val="00C64256"/>
    <w:rsid w:val="00C64815"/>
    <w:rsid w:val="00C64A18"/>
    <w:rsid w:val="00C64C12"/>
    <w:rsid w:val="00C64DB4"/>
    <w:rsid w:val="00C66947"/>
    <w:rsid w:val="00C67814"/>
    <w:rsid w:val="00C67DF9"/>
    <w:rsid w:val="00C703D4"/>
    <w:rsid w:val="00C7096C"/>
    <w:rsid w:val="00C70A83"/>
    <w:rsid w:val="00C71FF0"/>
    <w:rsid w:val="00C725E7"/>
    <w:rsid w:val="00C726AA"/>
    <w:rsid w:val="00C72F05"/>
    <w:rsid w:val="00C732DD"/>
    <w:rsid w:val="00C73A82"/>
    <w:rsid w:val="00C73B44"/>
    <w:rsid w:val="00C73BEF"/>
    <w:rsid w:val="00C74BBA"/>
    <w:rsid w:val="00C74EB7"/>
    <w:rsid w:val="00C7512A"/>
    <w:rsid w:val="00C760B6"/>
    <w:rsid w:val="00C761B3"/>
    <w:rsid w:val="00C7654D"/>
    <w:rsid w:val="00C80F0D"/>
    <w:rsid w:val="00C8222D"/>
    <w:rsid w:val="00C82730"/>
    <w:rsid w:val="00C82ED3"/>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647E"/>
    <w:rsid w:val="00C9666D"/>
    <w:rsid w:val="00C97992"/>
    <w:rsid w:val="00C97B34"/>
    <w:rsid w:val="00CA1241"/>
    <w:rsid w:val="00CA18F8"/>
    <w:rsid w:val="00CA1941"/>
    <w:rsid w:val="00CA3753"/>
    <w:rsid w:val="00CA3D9A"/>
    <w:rsid w:val="00CB10E5"/>
    <w:rsid w:val="00CB1363"/>
    <w:rsid w:val="00CB1D32"/>
    <w:rsid w:val="00CB40EE"/>
    <w:rsid w:val="00CB4EF9"/>
    <w:rsid w:val="00CB4F00"/>
    <w:rsid w:val="00CB5CC4"/>
    <w:rsid w:val="00CB6A8A"/>
    <w:rsid w:val="00CB7A79"/>
    <w:rsid w:val="00CC0E6A"/>
    <w:rsid w:val="00CC3544"/>
    <w:rsid w:val="00CC3E39"/>
    <w:rsid w:val="00CC4171"/>
    <w:rsid w:val="00CC4385"/>
    <w:rsid w:val="00CC49A2"/>
    <w:rsid w:val="00CC57DC"/>
    <w:rsid w:val="00CC6783"/>
    <w:rsid w:val="00CC6A15"/>
    <w:rsid w:val="00CC6AD3"/>
    <w:rsid w:val="00CC734B"/>
    <w:rsid w:val="00CD06D2"/>
    <w:rsid w:val="00CD1811"/>
    <w:rsid w:val="00CD273E"/>
    <w:rsid w:val="00CD2E7B"/>
    <w:rsid w:val="00CD4639"/>
    <w:rsid w:val="00CD5F76"/>
    <w:rsid w:val="00CD6411"/>
    <w:rsid w:val="00CE24C9"/>
    <w:rsid w:val="00CE27BF"/>
    <w:rsid w:val="00CE2C06"/>
    <w:rsid w:val="00CE3E7C"/>
    <w:rsid w:val="00CE4BFB"/>
    <w:rsid w:val="00CE56C5"/>
    <w:rsid w:val="00CE5779"/>
    <w:rsid w:val="00CE5991"/>
    <w:rsid w:val="00CE5FE3"/>
    <w:rsid w:val="00CE63B6"/>
    <w:rsid w:val="00CE653A"/>
    <w:rsid w:val="00CE78F3"/>
    <w:rsid w:val="00CF2663"/>
    <w:rsid w:val="00CF35FC"/>
    <w:rsid w:val="00CF3BBF"/>
    <w:rsid w:val="00CF53C8"/>
    <w:rsid w:val="00CF5E85"/>
    <w:rsid w:val="00CF5F66"/>
    <w:rsid w:val="00CF635C"/>
    <w:rsid w:val="00CF63CB"/>
    <w:rsid w:val="00CF79ED"/>
    <w:rsid w:val="00CF7A15"/>
    <w:rsid w:val="00D00275"/>
    <w:rsid w:val="00D00B99"/>
    <w:rsid w:val="00D0129A"/>
    <w:rsid w:val="00D0261A"/>
    <w:rsid w:val="00D02C24"/>
    <w:rsid w:val="00D03123"/>
    <w:rsid w:val="00D033AB"/>
    <w:rsid w:val="00D0410B"/>
    <w:rsid w:val="00D0422F"/>
    <w:rsid w:val="00D046A8"/>
    <w:rsid w:val="00D057E1"/>
    <w:rsid w:val="00D05BB8"/>
    <w:rsid w:val="00D05EB9"/>
    <w:rsid w:val="00D06776"/>
    <w:rsid w:val="00D06A85"/>
    <w:rsid w:val="00D07A8B"/>
    <w:rsid w:val="00D13369"/>
    <w:rsid w:val="00D13F17"/>
    <w:rsid w:val="00D14053"/>
    <w:rsid w:val="00D14D46"/>
    <w:rsid w:val="00D15180"/>
    <w:rsid w:val="00D1518A"/>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3E3E"/>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404D"/>
    <w:rsid w:val="00D468AB"/>
    <w:rsid w:val="00D478CF"/>
    <w:rsid w:val="00D502B8"/>
    <w:rsid w:val="00D504C3"/>
    <w:rsid w:val="00D50736"/>
    <w:rsid w:val="00D508CE"/>
    <w:rsid w:val="00D51474"/>
    <w:rsid w:val="00D51A1E"/>
    <w:rsid w:val="00D51DCA"/>
    <w:rsid w:val="00D538D3"/>
    <w:rsid w:val="00D56136"/>
    <w:rsid w:val="00D56D1A"/>
    <w:rsid w:val="00D57B64"/>
    <w:rsid w:val="00D601FC"/>
    <w:rsid w:val="00D606E2"/>
    <w:rsid w:val="00D61533"/>
    <w:rsid w:val="00D621E6"/>
    <w:rsid w:val="00D62387"/>
    <w:rsid w:val="00D62A5F"/>
    <w:rsid w:val="00D64CA3"/>
    <w:rsid w:val="00D64FE0"/>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805CE"/>
    <w:rsid w:val="00D80E32"/>
    <w:rsid w:val="00D81307"/>
    <w:rsid w:val="00D81C22"/>
    <w:rsid w:val="00D81C7A"/>
    <w:rsid w:val="00D81CB1"/>
    <w:rsid w:val="00D82C94"/>
    <w:rsid w:val="00D82F00"/>
    <w:rsid w:val="00D830A4"/>
    <w:rsid w:val="00D83969"/>
    <w:rsid w:val="00D84D1C"/>
    <w:rsid w:val="00D85439"/>
    <w:rsid w:val="00D86311"/>
    <w:rsid w:val="00D87BF1"/>
    <w:rsid w:val="00D90188"/>
    <w:rsid w:val="00D90700"/>
    <w:rsid w:val="00D90FB6"/>
    <w:rsid w:val="00D916E0"/>
    <w:rsid w:val="00D92D5B"/>
    <w:rsid w:val="00D93206"/>
    <w:rsid w:val="00D94EB7"/>
    <w:rsid w:val="00D95007"/>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F"/>
    <w:rsid w:val="00DB69D2"/>
    <w:rsid w:val="00DB6DF3"/>
    <w:rsid w:val="00DB6F6A"/>
    <w:rsid w:val="00DB73A9"/>
    <w:rsid w:val="00DC21B2"/>
    <w:rsid w:val="00DC27C5"/>
    <w:rsid w:val="00DC3B90"/>
    <w:rsid w:val="00DC543D"/>
    <w:rsid w:val="00DC5602"/>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866"/>
    <w:rsid w:val="00DF2441"/>
    <w:rsid w:val="00DF29AB"/>
    <w:rsid w:val="00DF2ED9"/>
    <w:rsid w:val="00DF3D79"/>
    <w:rsid w:val="00DF4971"/>
    <w:rsid w:val="00DF4AFC"/>
    <w:rsid w:val="00DF6481"/>
    <w:rsid w:val="00DF76D7"/>
    <w:rsid w:val="00DF776E"/>
    <w:rsid w:val="00DF7C95"/>
    <w:rsid w:val="00E013C8"/>
    <w:rsid w:val="00E01B2D"/>
    <w:rsid w:val="00E03063"/>
    <w:rsid w:val="00E03C2F"/>
    <w:rsid w:val="00E04420"/>
    <w:rsid w:val="00E04459"/>
    <w:rsid w:val="00E0490E"/>
    <w:rsid w:val="00E06D7D"/>
    <w:rsid w:val="00E07AE2"/>
    <w:rsid w:val="00E1002C"/>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6CE4"/>
    <w:rsid w:val="00E30A3C"/>
    <w:rsid w:val="00E30C86"/>
    <w:rsid w:val="00E316EF"/>
    <w:rsid w:val="00E32722"/>
    <w:rsid w:val="00E33B33"/>
    <w:rsid w:val="00E34658"/>
    <w:rsid w:val="00E3526B"/>
    <w:rsid w:val="00E35AA3"/>
    <w:rsid w:val="00E37047"/>
    <w:rsid w:val="00E370DE"/>
    <w:rsid w:val="00E37661"/>
    <w:rsid w:val="00E407DD"/>
    <w:rsid w:val="00E41308"/>
    <w:rsid w:val="00E41633"/>
    <w:rsid w:val="00E417E3"/>
    <w:rsid w:val="00E4346B"/>
    <w:rsid w:val="00E4347A"/>
    <w:rsid w:val="00E435F2"/>
    <w:rsid w:val="00E44AB4"/>
    <w:rsid w:val="00E44B09"/>
    <w:rsid w:val="00E44C79"/>
    <w:rsid w:val="00E45BEF"/>
    <w:rsid w:val="00E46012"/>
    <w:rsid w:val="00E4661C"/>
    <w:rsid w:val="00E46EC4"/>
    <w:rsid w:val="00E50405"/>
    <w:rsid w:val="00E516C1"/>
    <w:rsid w:val="00E51A34"/>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97ECB"/>
    <w:rsid w:val="00EA005D"/>
    <w:rsid w:val="00EA0C94"/>
    <w:rsid w:val="00EA0FAF"/>
    <w:rsid w:val="00EA2B80"/>
    <w:rsid w:val="00EA33A4"/>
    <w:rsid w:val="00EA3B47"/>
    <w:rsid w:val="00EA3BB2"/>
    <w:rsid w:val="00EA45D8"/>
    <w:rsid w:val="00EA48F0"/>
    <w:rsid w:val="00EA5358"/>
    <w:rsid w:val="00EA5C24"/>
    <w:rsid w:val="00EA5F81"/>
    <w:rsid w:val="00EA6E1D"/>
    <w:rsid w:val="00EA7311"/>
    <w:rsid w:val="00EA7B88"/>
    <w:rsid w:val="00EB44EE"/>
    <w:rsid w:val="00EB509D"/>
    <w:rsid w:val="00EB6E7A"/>
    <w:rsid w:val="00EC13B7"/>
    <w:rsid w:val="00EC1BD8"/>
    <w:rsid w:val="00EC2AB1"/>
    <w:rsid w:val="00EC423F"/>
    <w:rsid w:val="00EC4C43"/>
    <w:rsid w:val="00EC5F04"/>
    <w:rsid w:val="00EC63E2"/>
    <w:rsid w:val="00EC69E1"/>
    <w:rsid w:val="00EC6D2D"/>
    <w:rsid w:val="00EC713A"/>
    <w:rsid w:val="00EC7796"/>
    <w:rsid w:val="00EC7FB1"/>
    <w:rsid w:val="00ED0D2F"/>
    <w:rsid w:val="00ED0F60"/>
    <w:rsid w:val="00ED143E"/>
    <w:rsid w:val="00ED2941"/>
    <w:rsid w:val="00ED65ED"/>
    <w:rsid w:val="00ED6A60"/>
    <w:rsid w:val="00ED6FD4"/>
    <w:rsid w:val="00ED70E2"/>
    <w:rsid w:val="00ED7F77"/>
    <w:rsid w:val="00EE140B"/>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2049E"/>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B1E"/>
    <w:rsid w:val="00F74BB3"/>
    <w:rsid w:val="00F75B41"/>
    <w:rsid w:val="00F75E35"/>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945"/>
    <w:rsid w:val="00F91D6A"/>
    <w:rsid w:val="00F91FCF"/>
    <w:rsid w:val="00F928CB"/>
    <w:rsid w:val="00F92923"/>
    <w:rsid w:val="00F93161"/>
    <w:rsid w:val="00F93A92"/>
    <w:rsid w:val="00F94565"/>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1153"/>
    <w:rsid w:val="00FB1603"/>
    <w:rsid w:val="00FB19F4"/>
    <w:rsid w:val="00FB1DF5"/>
    <w:rsid w:val="00FB1F36"/>
    <w:rsid w:val="00FB2462"/>
    <w:rsid w:val="00FB29D6"/>
    <w:rsid w:val="00FB3229"/>
    <w:rsid w:val="00FB40C4"/>
    <w:rsid w:val="00FB4732"/>
    <w:rsid w:val="00FB5355"/>
    <w:rsid w:val="00FB5CC0"/>
    <w:rsid w:val="00FB5F92"/>
    <w:rsid w:val="00FB6FED"/>
    <w:rsid w:val="00FB72FC"/>
    <w:rsid w:val="00FB7E0C"/>
    <w:rsid w:val="00FB7F26"/>
    <w:rsid w:val="00FC0B2C"/>
    <w:rsid w:val="00FC1390"/>
    <w:rsid w:val="00FC3325"/>
    <w:rsid w:val="00FC4239"/>
    <w:rsid w:val="00FC45F0"/>
    <w:rsid w:val="00FC4F4E"/>
    <w:rsid w:val="00FC5610"/>
    <w:rsid w:val="00FD067E"/>
    <w:rsid w:val="00FD126B"/>
    <w:rsid w:val="00FD183E"/>
    <w:rsid w:val="00FD1A59"/>
    <w:rsid w:val="00FD1EF9"/>
    <w:rsid w:val="00FD2974"/>
    <w:rsid w:val="00FD3802"/>
    <w:rsid w:val="00FD5998"/>
    <w:rsid w:val="00FD5BD5"/>
    <w:rsid w:val="00FD6793"/>
    <w:rsid w:val="00FD7243"/>
    <w:rsid w:val="00FD75DA"/>
    <w:rsid w:val="00FD7DA4"/>
    <w:rsid w:val="00FD7E01"/>
    <w:rsid w:val="00FE0210"/>
    <w:rsid w:val="00FE140C"/>
    <w:rsid w:val="00FE15E3"/>
    <w:rsid w:val="00FE16FC"/>
    <w:rsid w:val="00FE21A5"/>
    <w:rsid w:val="00FE2954"/>
    <w:rsid w:val="00FE2B7E"/>
    <w:rsid w:val="00FE33DE"/>
    <w:rsid w:val="00FE3C85"/>
    <w:rsid w:val="00FE5651"/>
    <w:rsid w:val="00FE57C9"/>
    <w:rsid w:val="00FE629F"/>
    <w:rsid w:val="00FE64BB"/>
    <w:rsid w:val="00FE6B66"/>
    <w:rsid w:val="00FE7485"/>
    <w:rsid w:val="00FF0753"/>
    <w:rsid w:val="00FF15DA"/>
    <w:rsid w:val="00FF1B46"/>
    <w:rsid w:val="00FF2067"/>
    <w:rsid w:val="00FF27A9"/>
    <w:rsid w:val="00FF376A"/>
    <w:rsid w:val="00FF3A9F"/>
    <w:rsid w:val="00FF3F13"/>
    <w:rsid w:val="00FF5603"/>
    <w:rsid w:val="00FF573B"/>
    <w:rsid w:val="00FF5A93"/>
    <w:rsid w:val="00FF724D"/>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744B6F"/>
  <w14:defaultImageDpi w14:val="96"/>
  <w15:docId w15:val="{C6011D81-DBC8-4BFA-8588-B879983CC509}"/>
  <w:attachedTemplate r:id="relationI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u-HU"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outlineLvl w:val="1"/>
    </w:pPr>
  </w:style>
  <w:style w:type="paragraph" w:styleId="Heading3">
    <w:name w:val="heading 3"/>
    <w:basedOn w:val="Normal"/>
    <w:next w:val="Normal"/>
    <w:link w:val="Heading3Char"/>
    <w:qFormat/>
    <w:rsid w:val="00976928"/>
    <w:pPr>
      <w:numPr>
        <w:ilvl w:val="2"/>
        <w:numId w:val="1"/>
      </w:numPr>
      <w:outlineLvl w:val="2"/>
    </w:pPr>
  </w:style>
  <w:style w:type="paragraph" w:styleId="Heading4">
    <w:name w:val="heading 4"/>
    <w:basedOn w:val="Normal"/>
    <w:next w:val="Normal"/>
    <w:link w:val="Heading4Char"/>
    <w:qFormat/>
    <w:rsid w:val="00976928"/>
    <w:pPr>
      <w:numPr>
        <w:ilvl w:val="3"/>
        <w:numId w:val="1"/>
      </w:numPr>
      <w:outlineLvl w:val="3"/>
    </w:pPr>
  </w:style>
  <w:style w:type="paragraph" w:styleId="Heading5">
    <w:name w:val="heading 5"/>
    <w:basedOn w:val="Normal"/>
    <w:next w:val="Normal"/>
    <w:link w:val="Heading5Char"/>
    <w:qFormat/>
    <w:rsid w:val="00976928"/>
    <w:pPr>
      <w:numPr>
        <w:ilvl w:val="4"/>
        <w:numId w:val="1"/>
      </w:numPr>
      <w:outlineLvl w:val="4"/>
    </w:pPr>
  </w:style>
  <w:style w:type="paragraph" w:styleId="Heading6">
    <w:name w:val="heading 6"/>
    <w:basedOn w:val="Normal"/>
    <w:next w:val="Normal"/>
    <w:link w:val="Heading6Char"/>
    <w:qFormat/>
    <w:rsid w:val="00976928"/>
    <w:pPr>
      <w:numPr>
        <w:ilvl w:val="5"/>
        <w:numId w:val="1"/>
      </w:numPr>
      <w:outlineLvl w:val="5"/>
    </w:pPr>
  </w:style>
  <w:style w:type="paragraph" w:styleId="Heading7">
    <w:name w:val="heading 7"/>
    <w:basedOn w:val="Normal"/>
    <w:next w:val="Normal"/>
    <w:link w:val="Heading7Char"/>
    <w:qFormat/>
    <w:rsid w:val="00976928"/>
    <w:pPr>
      <w:numPr>
        <w:ilvl w:val="6"/>
        <w:numId w:val="1"/>
      </w:numPr>
      <w:outlineLvl w:val="6"/>
    </w:pPr>
  </w:style>
  <w:style w:type="paragraph" w:styleId="Heading8">
    <w:name w:val="heading 8"/>
    <w:basedOn w:val="Normal"/>
    <w:next w:val="Normal"/>
    <w:link w:val="Heading8Char"/>
    <w:qFormat/>
    <w:rsid w:val="00976928"/>
    <w:pPr>
      <w:numPr>
        <w:ilvl w:val="7"/>
        <w:numId w:val="1"/>
      </w:numPr>
      <w:outlineLvl w:val="7"/>
    </w:pPr>
  </w:style>
  <w:style w:type="paragraph" w:styleId="Heading9">
    <w:name w:val="heading 9"/>
    <w:basedOn w:val="Normal"/>
    <w:next w:val="Normal"/>
    <w:link w:val="Heading9Char"/>
    <w:qFormat/>
    <w:rsid w:val="0097692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hu-HU"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hu-HU"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hu-HU"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hu-HU"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hu-HU"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hu-HU"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hu-HU"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hu-HU"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hu-HU" w:eastAsia="en-US" w:bidi="ar-SA"/>
    </w:rPr>
  </w:style>
  <w:style w:type="paragraph" w:styleId="FootnoteText">
    <w:name w:val="footnote text"/>
    <w:basedOn w:val="Normal"/>
    <w:link w:val="FootnoteTextChar"/>
    <w:uiPriority w:val="99"/>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qFormat/>
    <w:locked/>
    <w:rsid w:val="003B283B"/>
    <w:rPr>
      <w:rFonts w:ascii="Times New Roman" w:hAnsi="Times New Roman"/>
      <w:sz w:val="16"/>
      <w:szCs w:val="22"/>
      <w:lang w:val="hu-HU"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hu-HU"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hu-HU"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hu-HU"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iPriority w:val="99"/>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hu-HU"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rsid w:val="00335FB2"/>
    <w:rPr>
      <w:sz w:val="16"/>
      <w:szCs w:val="16"/>
    </w:rPr>
  </w:style>
  <w:style w:type="paragraph" w:styleId="CommentText">
    <w:name w:val="annotation text"/>
    <w:basedOn w:val="Normal"/>
    <w:link w:val="CommentTextChar"/>
    <w:rsid w:val="00335FB2"/>
    <w:pPr>
      <w:spacing w:line="240" w:lineRule="auto"/>
    </w:pPr>
    <w:rPr>
      <w:sz w:val="20"/>
      <w:szCs w:val="20"/>
    </w:rPr>
  </w:style>
  <w:style w:type="character" w:customStyle="1" w:styleId="CommentTextChar">
    <w:name w:val="Comment Text Char"/>
    <w:basedOn w:val="DefaultParagraphFont"/>
    <w:link w:val="CommentText"/>
    <w:rsid w:val="00335FB2"/>
    <w:rPr>
      <w:rFonts w:ascii="Times New Roman" w:hAnsi="Times New Roman"/>
      <w:lang w:val="hu-HU"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hu-HU"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earch.eesc.europa.eu/search/opinion" TargetMode="External"/><Relationship Id="rId18" Type="http://schemas.openxmlformats.org/officeDocument/2006/relationships/hyperlink" Target="mailto:marie-laurence.drillon@eesc.europa.eu" TargetMode="External"/><Relationship Id="rId26" Type="http://schemas.openxmlformats.org/officeDocument/2006/relationships/footer" Target="footer2.xml"/><Relationship Id="rId21" Type="http://schemas.openxmlformats.org/officeDocument/2006/relationships/hyperlink" Target="mailto:ana.dumitrache@eesc.europa.eu" TargetMode="External"/><Relationship Id="rId34"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hyperlink" Target="mailto:alexander.alexandrov@eesc.europa.eu" TargetMode="External"/><Relationship Id="rId25" Type="http://schemas.openxmlformats.org/officeDocument/2006/relationships/header" Target="header2.xml"/><Relationship Id="rId33" Type="http://schemas.openxmlformats.org/officeDocument/2006/relationships/customXml" Target="../customXml/item2.xml"/><Relationship Id="rId16" Type="http://schemas.openxmlformats.org/officeDocument/2006/relationships/hyperlink" Target="mailto:%20Krisztina.PerlakyToth@eesc.europa.eu" TargetMode="External"/><Relationship Id="rId20" Type="http://schemas.openxmlformats.org/officeDocument/2006/relationships/hyperlink" Target="mailto:Arturo.Iniguez@eesc.europa.eu" TargetMode="External"/><Relationship Id="rId29" Type="http://schemas.openxmlformats.org/officeDocument/2006/relationships/footer" Target="footer4.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yperlink" Target="mailto:georgios.meleas@eesc.europa.eu" TargetMode="External"/><Relationship Id="rId23" Type="http://schemas.openxmlformats.org/officeDocument/2006/relationships/hyperlink" Target="mailto:Stella.BrozekEveraert@eesc.europa.e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gota.Bazsik@eesc.europa.eu" TargetMode="External"/><Relationship Id="rId31"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june.bedaton@eesc.europa.eu" TargetMode="External"/><Relationship Id="rId27" Type="http://schemas.openxmlformats.org/officeDocument/2006/relationships/footer" Target="footer3.xml"/><Relationship Id="rId30" Type="http://schemas.openxmlformats.org/officeDocument/2006/relationships/fontTable" Target="fontTable.xml"/><Relationship Id="rId35" Type="http://schemas.openxmlformats.org/officeDocument/2006/relationships/customXml" Target="../customXml/item4.xml"/></Relationships>
</file>

<file path=word/_rels/settings.xml.rels>&#65279;<?xml version="1.0" encoding="utf-8"?><Relationships xmlns="http://schemas.openxmlformats.org/package/2006/relationships"><Relationship Type="http://schemas.openxmlformats.org/officeDocument/2006/relationships/attachedTemplate" Target="Normal.dotm" TargetMode="External" Id="relationI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CTJJHAUHWN5E-724024958-4938</_dlc_DocId>
    <_dlc_DocIdUrl xmlns="bfc960a6-20da-4c94-8684-71380fca093b">
      <Url>http://dm2016/eesc/2019/_layouts/15/DocIdRedir.aspx?ID=CTJJHAUHWN5E-724024958-4938</Url>
      <Description>CTJJHAUHWN5E-724024958-4938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2019-07-10T12:00:00+00:00</ProductionDate>
    <FicheYear xmlns="bfc960a6-20da-4c94-8684-71380fca093b">2019</FicheYear>
    <DocumentNumber xmlns="f65a6ba9-9ade-4e46-ad2d-b102ed1f8959">2484</DocumentNumber>
    <DocumentVersion xmlns="bfc960a6-20da-4c94-8684-71380fca093b">2</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2019-07-17T12:00:00+00:00</MeetingDate>
    <TaxCatchAll xmlns="bfc960a6-20da-4c94-8684-71380fca093b">
      <Value>65</Value>
      <Value>64</Value>
      <Value>62</Value>
      <Value>60</Value>
      <Value>59</Value>
      <Value>58</Value>
      <Value>57</Value>
      <Value>56</Value>
      <Value>55</Value>
      <Value>52</Value>
      <Value>49</Value>
      <Value>48</Value>
      <Value>46</Value>
      <Value>45</Value>
      <Value>38</Value>
      <Value>31</Value>
      <Value>25</Value>
      <Value>21</Value>
      <Value>17</Value>
      <Value>16</Value>
      <Value>14</Value>
      <Value>10</Value>
      <Value>8</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7384</FicheNumber>
    <DocumentPart xmlns="bfc960a6-20da-4c94-8684-71380fca093b">0</DocumentPart>
    <AdoptionDate xmlns="bfc960a6-20da-4c94-8684-71380fca093b" xsi:nil="true"/>
    <RequestingService xmlns="bfc960a6-20da-4c94-8684-71380fca093b">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f65a6ba9-9ade-4e46-ad2d-b102ed1f8959">545</MeetingNumber>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0D8F881A6C1EF49A0296729E770AD02" ma:contentTypeVersion="4" ma:contentTypeDescription="Defines the documents for Document Manager V2" ma:contentTypeScope="" ma:versionID="dee4b33903289837b721eceeeefc0a5e">
  <xsd:schema xmlns:xsd="http://www.w3.org/2001/XMLSchema" xmlns:xs="http://www.w3.org/2001/XMLSchema" xmlns:p="http://schemas.microsoft.com/office/2006/metadata/properties" xmlns:ns2="bfc960a6-20da-4c94-8684-71380fca093b" xmlns:ns3="http://schemas.microsoft.com/sharepoint/v3/fields" xmlns:ns4="f65a6ba9-9ade-4e46-ad2d-b102ed1f8959" targetNamespace="http://schemas.microsoft.com/office/2006/metadata/properties" ma:root="true" ma:fieldsID="8b268bca67683b4cfb9f9264184f3c58" ns2:_="" ns3:_="" ns4:_="">
    <xsd:import namespace="bfc960a6-20da-4c94-8684-71380fca093b"/>
    <xsd:import namespace="http://schemas.microsoft.com/sharepoint/v3/fields"/>
    <xsd:import namespace="f65a6ba9-9ade-4e46-ad2d-b102ed1f895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5a6ba9-9ade-4e46-ad2d-b102ed1f8959"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E0A82-7AEC-4D53-96D0-8A680C789913}"/>
</file>

<file path=customXml/itemProps2.xml><?xml version="1.0" encoding="utf-8"?>
<ds:datastoreItem xmlns:ds="http://schemas.openxmlformats.org/officeDocument/2006/customXml" ds:itemID="{FC593391-CF6A-4C58-A0C5-7C906A90B256}"/>
</file>

<file path=customXml/itemProps3.xml><?xml version="1.0" encoding="utf-8"?>
<ds:datastoreItem xmlns:ds="http://schemas.openxmlformats.org/officeDocument/2006/customXml" ds:itemID="{7F51C750-58C8-468A-B9AD-C5FB0E22D63D}"/>
</file>

<file path=customXml/itemProps4.xml><?xml version="1.0" encoding="utf-8"?>
<ds:datastoreItem xmlns:ds="http://schemas.openxmlformats.org/officeDocument/2006/customXml" ds:itemID="{51785EE9-B4C6-42BE-A16D-E291FBDC2940}"/>
</file>

<file path=docProps/app.xml><?xml version="1.0" encoding="utf-8"?>
<Properties xmlns="http://schemas.openxmlformats.org/officeDocument/2006/extended-properties" xmlns:vt="http://schemas.openxmlformats.org/officeDocument/2006/docPropsVTypes">
  <Template>Normal.dotm</Template>
  <TotalTime>6</TotalTime>
  <Pages>14</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2019 júniusában elfogadott vélemények összefoglalása</dc:title>
  <dc:creator>Marcos Jaime Tornin</dc:creator>
  <cp:keywords>EESC-2019-02484-00-02-TCD-TRA-EN</cp:keywords>
  <dc:description>Rapporteur:  - Original language: EN, FR - Date of document: 10/07/2019 - Date of meeting: 17/07/2019 - External documents:  - Administrator:  DEGIORGIO REUBEN</dc:description>
  <cp:lastModifiedBy>nkli</cp:lastModifiedBy>
  <cp:revision>6</cp:revision>
  <cp:lastPrinted>2019-06-28T07:22:00Z</cp:lastPrinted>
  <dcterms:created xsi:type="dcterms:W3CDTF">2019-07-03T14:20:00Z</dcterms:created>
  <dcterms:modified xsi:type="dcterms:W3CDTF">2019-07-10T08:39:00Z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03/07/2019, 27/06/2019, 05/06/2019, 03/05/2019, 13/12/2018, 09/11/2018, 12/07/2018, 23/05/2018, 13/03/2018, 26/02/2018, 14/02/2018, 24/01/2018, 16/01/2018, 19/12/2017, 01/12/2017, 16/11/2017, 15/11/2017, 17/10/2017, 13/09/2017, 03/07/2017, 12/06/2017, 02/</vt:lpwstr>
  </property>
  <property fmtid="{D5CDD505-2E9C-101B-9397-08002B2CF9AE}" pid="4" name="Pref_Time">
    <vt:lpwstr>16:00:23, 12:00:39, 16:39:54, 14:43:22, 11:27:48, 09:10:15, 14:45:38, 09:50:08, 13:54:15, 10:33:11, 11:57:02, 15:31:00, 09:45:52, 11:53:01, 15:00:14, 15:49:39, 15:47:16, 10:48:52, 11:23:50, 09:51:12, 14:43:57, 12:54:34, 12:22:33, 12:08:44, 12:23:59, 18:12</vt:lpwstr>
  </property>
  <property fmtid="{D5CDD505-2E9C-101B-9397-08002B2CF9AE}" pid="5" name="Pref_User">
    <vt:lpwstr>hnic, amett, amett, enied, enied, amett, enied, hnic, mreg, jhvi, mkop, hnic, mkop, amett, jhvi, amett, tvoc, tvoc, tvoc, amett, hnic, mreg, mreg, enied, mreg, jhvi, tvoc, htoo, mreg, tvoc, hnic, mreg, hnic, amett, nmcg, amett, enied, nmcg, amett, enied, </vt:lpwstr>
  </property>
  <property fmtid="{D5CDD505-2E9C-101B-9397-08002B2CF9AE}" pid="6" name="Pref_FileName">
    <vt:lpwstr>EESC-2019-02484-00-01-TCD-ORI.docx, EESC-2019-02484-00-00-TCD-ORI.docx, EESC-2019-01616-00-00-TCD-ORI.docx, EESC-2019-01082-00-00-TCD-ORI.docx, EESC-2018-05296-00-00-TCD-ORI.docx, EESC-2018-04640-00-01-TCD-ORI.docx, EESC-2018-02821-00-00-TCD-ORI.docx, EES</vt:lpwstr>
  </property>
  <property fmtid="{D5CDD505-2E9C-101B-9397-08002B2CF9AE}" pid="7" name="ContentTypeId">
    <vt:lpwstr>0x010100EA97B91038054C99906057A708A1480A0090D8F881A6C1EF49A0296729E770AD02</vt:lpwstr>
  </property>
  <property fmtid="{D5CDD505-2E9C-101B-9397-08002B2CF9AE}" pid="8" name="_dlc_DocIdItemGuid">
    <vt:lpwstr>c59b199b-1a1a-4a2c-9767-4f58e3409da5</vt:lpwstr>
  </property>
  <property fmtid="{D5CDD505-2E9C-101B-9397-08002B2CF9AE}" pid="9" name="AvailableTranslations">
    <vt:lpwstr>16;#PL|1e03da61-4678-4e07-b136-b5024ca9197b;#25;#SK|46d9fce0-ef79-4f71-b89b-cd6aa82426b8;#52;#DA|5d49c027-8956-412b-aa16-e85a0f96ad0e;#38;#SV|c2ed69e7-a339-43d7-8f22-d93680a92aa0;#56;#SL|98a412ae-eb01-49e9-ae3d-585a81724cfc;#46;#CS|72f9705b-0217-4fd3-bea2-cbc7ed80e26e;#60;#HU|6b229040-c589-4408-b4c1-4285663d20a8;#4;#EN|f2175f21-25d7-44a3-96da-d6a61b075e1b;#59;#HR|2f555653-ed1a-4fe6-8362-9082d95989e5;#17;#ES|e7a6b05b-ae16-40c8-add9-68b64b03aeba;#55;#BG|1a1b3951-7821-4e6a-85f5-5673fc08bd2c;#62;#FI|87606a43-d45f-42d6-b8c9-e1a3457db5b7;#45;#NL|55c6556c-b4f4-441d-9acf-c498d4f838bd;#49;#EL|6d4f4d51-af9b-4650-94b4-4276bee85c91;#57;#RO|feb747a2-64cd-4299-af12-4833ddc30497;#21;#IT|0774613c-01ed-4e5d-a25d-11d2388de825;#14;#DE|f6b31e5a-26fa-4935-b661-318e46daf27e;#64;#PT|50ccc04a-eadd-42ae-a0cb-acaf45f812ba;#58;#LV|46f7e311-5d9f-4663-b433-18aeccb7ace7;#65;#ET|ff6c3f4c-b02c-4c3c-ab07-2c37995a7a0a;#10;#FR|d2afafd3-4c81-4f60-8f52-ee33f2f54ff3;#48;#LT|a7ff5ce7-6123-4f68-865a-a57c31810414</vt:lpwstr>
  </property>
  <property fmtid="{D5CDD505-2E9C-101B-9397-08002B2CF9AE}" pid="10" name="DocumentType_0">
    <vt:lpwstr>TCD|cd9d6eb6-3f4f-424a-b2d1-57c9d450eaaf</vt:lpwstr>
  </property>
  <property fmtid="{D5CDD505-2E9C-101B-9397-08002B2CF9AE}" pid="11" name="MeetingNumber">
    <vt:i4>545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2484</vt:i4>
  </property>
  <property fmtid="{D5CDD505-2E9C-101B-9397-08002B2CF9AE}" pid="15" name="FicheYear">
    <vt:i4>2019</vt:i4>
  </property>
  <property fmtid="{D5CDD505-2E9C-101B-9397-08002B2CF9AE}" pid="16" name="DocumentVersion">
    <vt:i4>2</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4;#EN|f2175f21-25d7-44a3-96da-d6a61b075e1b;#10;#FR|d2afafd3-4c81-4f60-8f52-ee33f2f54ff3</vt:lpwstr>
  </property>
  <property fmtid="{D5CDD505-2E9C-101B-9397-08002B2CF9AE}" pid="28" name="MeetingName">
    <vt:lpwstr>31;#SPL-CES|32d8cb1f-c9ec-4365-95c7-8385a18618ac</vt:lpwstr>
  </property>
  <property fmtid="{D5CDD505-2E9C-101B-9397-08002B2CF9AE}" pid="29" name="MeetingDate">
    <vt:filetime>2019-07-17T12:00:00Z</vt:filetime>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EN|f2175f21-25d7-44a3-96da-d6a61b075e1b;FR|d2afafd3-4c81-4f60-8f52-ee33f2f54ff3</vt:lpwstr>
  </property>
  <property fmtid="{D5CDD505-2E9C-101B-9397-08002B2CF9AE}" pid="33" name="TaxCatchAll">
    <vt:lpwstr>31;#SPL-CES|32d8cb1f-c9ec-4365-95c7-8385a18618ac;#10;#FR|d2afafd3-4c81-4f60-8f52-ee33f2f54ff3;#8;#TCD|cd9d6eb6-3f4f-424a-b2d1-57c9d450eaaf;#7;#Final|ea5e6674-7b27-4bac-b091-73adbb394efe;#5;#Unrestricted|826e22d7-d029-4ec0-a450-0c28ff673572;#4;#EN|f2175f21-25d7-44a3-96da-d6a61b075e1b;#2;#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Year">
    <vt:i4>2019</vt:i4>
  </property>
  <property fmtid="{D5CDD505-2E9C-101B-9397-08002B2CF9AE}" pid="37" name="FicheNumber">
    <vt:i4>7384</vt:i4>
  </property>
  <property fmtid="{D5CDD505-2E9C-101B-9397-08002B2CF9AE}" pid="38" name="DocumentLanguage">
    <vt:lpwstr>60;#HU|6b229040-c589-4408-b4c1-4285663d20a8</vt:lpwstr>
  </property>
  <property fmtid="{D5CDD505-2E9C-101B-9397-08002B2CF9AE}" pid="39" name="_docset_NoMedatataSyncRequired">
    <vt:lpwstr>False</vt:lpwstr>
  </property>
</Properties>
</file>