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45579C" w:rsidR="00B42D4C" w:rsidP="00B42D4C" w:rsidRDefault="005E4C61" w14:paraId="171FE42F" w14:textId="7F1A55E3">
      <w:pPr>
        <w:jc w:val="center"/>
        <w:rPr>
          <w:rFonts w:eastAsia="Arial"/>
          <w:b/>
          <w:i/>
          <w:color w:val="000000"/>
        </w:rPr>
      </w:pPr>
      <w:bookmarkStart w:name="_GoBack" w:id="0"/>
      <w:bookmarkEnd w:id="0"/>
      <w:r w:rsidRPr="00DF5C34">
        <w:rPr>
          <w:noProof/>
          <w:sz w:val="20"/>
          <w:lang w:val="en-US"/>
        </w:rPr>
        <mc:AlternateContent>
          <mc:Choice Requires="wps">
            <w:drawing>
              <wp:anchor distT="0" distB="0" distL="114300" distR="114300" simplePos="0" relativeHeight="251657216" behindDoc="1" locked="0" layoutInCell="0" allowOverlap="1" wp14:editId="45D52502" wp14:anchorId="00EA6296">
                <wp:simplePos x="0" y="0"/>
                <wp:positionH relativeFrom="page">
                  <wp:posOffset>6766560</wp:posOffset>
                </wp:positionH>
                <wp:positionV relativeFrom="page">
                  <wp:posOffset>10074303</wp:posOffset>
                </wp:positionV>
                <wp:extent cx="647700" cy="396240"/>
                <wp:effectExtent l="0" t="0" r="0" b="381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DF5C34" w:rsidR="00E94B73" w:rsidRDefault="00E94B73" w14:paraId="6C3DF7FE" w14:textId="77777777">
                            <w:pPr>
                              <w:jc w:val="center"/>
                              <w:rPr>
                                <w:rFonts w:ascii="Arial" w:hAnsi="Arial" w:cs="Arial"/>
                                <w:b/>
                                <w:bCs/>
                                <w:sz w:val="48"/>
                              </w:rPr>
                            </w:pPr>
                            <w:r w:rsidRPr="00DF5C34">
                              <w:rPr>
                                <w:rFonts w:ascii="Arial" w:hAnsi="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style="position:absolute;left:0;text-align:left;margin-left:532.8pt;margin-top:793.25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l0EtQIAALk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">
                <v:textbox>
                  <w:txbxContent>
                    <w:p w:rsidRPr="00DF5C34" w:rsidR="00E94B73" w:rsidRDefault="00E94B73" w14:paraId="6C3DF7FE" w14:textId="77777777">
                      <w:pPr>
                        <w:jc w:val="center"/>
                        <w:rPr>
                          <w:rFonts w:ascii="Arial" w:hAnsi="Arial" w:cs="Arial"/>
                          <w:b/>
                          <w:bCs/>
                          <w:sz w:val="48"/>
                        </w:rPr>
                      </w:pPr>
                      <w:r w:rsidRPr="00DF5C34">
                        <w:rPr>
                          <w:rFonts w:ascii="Arial" w:hAnsi="Arial"/>
                          <w:b/>
                          <w:sz w:val="48"/>
                        </w:rPr>
                        <w:t>EN</w:t>
                      </w:r>
                    </w:p>
                  </w:txbxContent>
                </v:textbox>
                <w10:wrap anchorx="page" anchory="page"/>
              </v:shape>
            </w:pict>
          </mc:Fallback>
        </mc:AlternateContent>
      </w:r>
      <w:r w:rsidRPr="0045579C" w:rsidR="00B42D4C">
        <w:rPr>
          <w:rFonts w:eastAsia="Arial"/>
          <w:b/>
          <w:i/>
          <w:noProof/>
          <w:color w:val="000000"/>
          <w:lang w:val="en-US"/>
        </w:rPr>
        <w:drawing>
          <wp:inline distT="0" distB="0" distL="0" distR="0" wp14:anchorId="52117EFC" wp14:editId="28D70871">
            <wp:extent cx="874395" cy="544605"/>
            <wp:effectExtent l="0" t="0" r="1905" b="8255"/>
            <wp:docPr id="3"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4395" cy="544605"/>
                    </a:xfrm>
                    <a:prstGeom prst="rect">
                      <a:avLst/>
                    </a:prstGeom>
                    <a:noFill/>
                    <a:ln>
                      <a:noFill/>
                    </a:ln>
                  </pic:spPr>
                </pic:pic>
              </a:graphicData>
            </a:graphic>
          </wp:inline>
        </w:drawing>
      </w:r>
    </w:p>
    <w:p w:rsidRPr="0045579C" w:rsidR="00B42D4C" w:rsidP="00B42D4C" w:rsidRDefault="00B42D4C" w14:paraId="3D819001" w14:textId="77777777">
      <w:pPr>
        <w:jc w:val="center"/>
        <w:rPr>
          <w:rFonts w:ascii="Arial" w:hAnsi="Arial" w:cs="Arial"/>
          <w:b/>
          <w:i/>
          <w:color w:val="000000"/>
          <w:sz w:val="20"/>
        </w:rPr>
      </w:pPr>
      <w:r w:rsidRPr="0045579C">
        <w:rPr>
          <w:rFonts w:ascii="Arial" w:hAnsi="Arial"/>
          <w:b/>
          <w:i/>
          <w:color w:val="000000"/>
          <w:sz w:val="20"/>
        </w:rPr>
        <w:t>European Economic and Social Committee</w:t>
      </w:r>
    </w:p>
    <w:p w:rsidR="005E7FBE" w:rsidP="005E7FBE" w:rsidRDefault="005E7FBE" w14:paraId="710D0698" w14:textId="77777777">
      <w:pPr>
        <w:jc w:val="center"/>
        <w:rPr>
          <w:b/>
          <w:sz w:val="28"/>
        </w:rPr>
      </w:pPr>
    </w:p>
    <w:p w:rsidR="005E7FBE" w:rsidRDefault="005E7FBE" w14:paraId="1BC2E816" w14:textId="2C8F649D">
      <w:pPr>
        <w:jc w:val="center"/>
        <w:rPr>
          <w:b/>
          <w:sz w:val="28"/>
          <w:szCs w:val="28"/>
        </w:rPr>
      </w:pPr>
      <w:r w:rsidRPr="00D02B20">
        <w:rPr>
          <w:b/>
          <w:sz w:val="28"/>
          <w:szCs w:val="28"/>
        </w:rPr>
        <w:t>RULES GOVERNING THE 201</w:t>
      </w:r>
      <w:r w:rsidR="00EC4058">
        <w:rPr>
          <w:b/>
          <w:sz w:val="28"/>
          <w:szCs w:val="28"/>
        </w:rPr>
        <w:t>9</w:t>
      </w:r>
    </w:p>
    <w:p w:rsidRPr="00D02B20" w:rsidR="005E7FBE" w:rsidRDefault="005E7FBE" w14:paraId="1F4E5901" w14:textId="77777777">
      <w:pPr>
        <w:jc w:val="center"/>
        <w:rPr>
          <w:b/>
          <w:sz w:val="28"/>
          <w:szCs w:val="28"/>
        </w:rPr>
      </w:pPr>
      <w:r w:rsidRPr="00D02B20">
        <w:rPr>
          <w:b/>
          <w:sz w:val="28"/>
          <w:szCs w:val="28"/>
        </w:rPr>
        <w:t>EESC CIVIL SOCIETY PRIZE</w:t>
      </w:r>
    </w:p>
    <w:p w:rsidRPr="00F67124" w:rsidR="005E7FBE" w:rsidP="00F67124" w:rsidRDefault="005E7FBE" w14:paraId="1BB93A02" w14:textId="77777777">
      <w:pPr>
        <w:jc w:val="center"/>
        <w:rPr>
          <w:b/>
          <w:sz w:val="28"/>
          <w:szCs w:val="28"/>
        </w:rPr>
      </w:pPr>
      <w:r w:rsidRPr="00970418">
        <w:rPr>
          <w:b/>
          <w:i/>
          <w:sz w:val="28"/>
          <w:szCs w:val="28"/>
        </w:rPr>
        <w:t>Rewarding excellence in civil society initiatives</w:t>
      </w:r>
    </w:p>
    <w:p w:rsidRPr="00D02B20" w:rsidR="00224504" w:rsidP="00F67124" w:rsidRDefault="00B05150" w14:paraId="2BF30C82" w14:textId="1EC6A528">
      <w:pPr>
        <w:jc w:val="center"/>
        <w:rPr>
          <w:b/>
          <w:i/>
          <w:sz w:val="28"/>
          <w:szCs w:val="28"/>
        </w:rPr>
      </w:pPr>
      <w:r>
        <w:rPr>
          <w:b/>
          <w:sz w:val="28"/>
          <w:szCs w:val="28"/>
        </w:rPr>
        <w:t>MORE</w:t>
      </w:r>
      <w:r w:rsidR="00C13718">
        <w:rPr>
          <w:b/>
          <w:sz w:val="28"/>
          <w:szCs w:val="28"/>
        </w:rPr>
        <w:t xml:space="preserve"> </w:t>
      </w:r>
      <w:r w:rsidRPr="00F67124" w:rsidR="005E7FBE">
        <w:rPr>
          <w:b/>
          <w:sz w:val="28"/>
          <w:szCs w:val="28"/>
        </w:rPr>
        <w:t>WOMEN IN EUROPE'S SOCIETY AND ECONOMY</w:t>
      </w:r>
    </w:p>
    <w:p w:rsidRPr="00DF5C34" w:rsidR="005E7FBE" w:rsidP="00F67124" w:rsidRDefault="005E7FBE" w14:paraId="2633B065" w14:textId="77777777">
      <w:pPr>
        <w:jc w:val="center"/>
      </w:pPr>
    </w:p>
    <w:p w:rsidRPr="00DF5C34" w:rsidR="003962D4" w:rsidP="00E22D63" w:rsidRDefault="003962D4" w14:paraId="2802CC03" w14:textId="0B600E89"/>
    <w:p w:rsidRPr="00DF5C34" w:rsidR="003962D4" w:rsidP="00E22D63" w:rsidRDefault="003962D4" w14:paraId="0E596735" w14:textId="77777777">
      <w:pPr>
        <w:pStyle w:val="Heading1"/>
        <w:keepNext/>
        <w:overflowPunct w:val="0"/>
        <w:autoSpaceDE w:val="0"/>
        <w:autoSpaceDN w:val="0"/>
        <w:adjustRightInd w:val="0"/>
        <w:textAlignment w:val="baseline"/>
        <w:rPr>
          <w:b/>
        </w:rPr>
      </w:pPr>
      <w:r w:rsidRPr="00DF5C34">
        <w:rPr>
          <w:b/>
        </w:rPr>
        <w:t>Aim and overall objective of the Civil Society Prize</w:t>
      </w:r>
    </w:p>
    <w:p w:rsidRPr="00DF5C34" w:rsidR="003962D4" w:rsidP="00E22D63" w:rsidRDefault="003962D4" w14:paraId="16D9271C" w14:textId="77777777">
      <w:pPr>
        <w:keepNext/>
      </w:pPr>
    </w:p>
    <w:p w:rsidRPr="00DF5C34" w:rsidR="003962D4" w:rsidP="00E22D63" w:rsidRDefault="00436607" w14:paraId="23BE2242" w14:textId="77777777">
      <w:r w:rsidRPr="00DF5C34">
        <w:t xml:space="preserve">For the European Economic and Social Committee (the "EESC" or the "Committee"), the </w:t>
      </w:r>
      <w:r w:rsidRPr="00DF5C34">
        <w:rPr>
          <w:b/>
        </w:rPr>
        <w:t>aim</w:t>
      </w:r>
      <w:r w:rsidRPr="00DF5C34">
        <w:t xml:space="preserve"> of the prize, which is awarded annually, is to reward and encourage initiatives </w:t>
      </w:r>
      <w:r w:rsidRPr="00DF5C34" w:rsidR="00CB66E1">
        <w:t xml:space="preserve">by </w:t>
      </w:r>
      <w:r w:rsidRPr="00DF5C34">
        <w:t>civil society organisations and/or individuals that have made a significant contribution to promoting European identity and integration.</w:t>
      </w:r>
    </w:p>
    <w:p w:rsidRPr="00DF5C34" w:rsidR="003962D4" w:rsidP="00E22D63" w:rsidRDefault="003962D4" w14:paraId="50350396" w14:textId="77777777"/>
    <w:p w:rsidRPr="00DF5C34" w:rsidR="003962D4" w:rsidP="00E22D63" w:rsidRDefault="003962D4" w14:paraId="1CD76185" w14:textId="77777777">
      <w:r w:rsidRPr="00DF5C34">
        <w:t xml:space="preserve">The </w:t>
      </w:r>
      <w:r w:rsidRPr="00DF5C34">
        <w:rPr>
          <w:b/>
        </w:rPr>
        <w:t>overall objective</w:t>
      </w:r>
      <w:r w:rsidRPr="00DF5C34">
        <w:t xml:space="preserve"> of the prize is thus to raise awareness of the contribution that civil society organisations and/or individuals can make to creating a European identity and citizenship in a way that underpins the common values that are the foundation of European integration.</w:t>
      </w:r>
    </w:p>
    <w:p w:rsidRPr="00DF5C34" w:rsidR="003962D4" w:rsidP="00E22D63" w:rsidRDefault="003962D4" w14:paraId="0DC4DE7F" w14:textId="77777777"/>
    <w:p w:rsidRPr="00DF5C34" w:rsidR="003962D4" w:rsidP="00E22D63" w:rsidRDefault="003962D4" w14:paraId="549863EF" w14:textId="45BAB597">
      <w:pPr>
        <w:pStyle w:val="Heading1"/>
        <w:keepNext/>
        <w:shd w:val="clear" w:color="auto" w:fill="FFFFFF"/>
        <w:overflowPunct w:val="0"/>
        <w:autoSpaceDE w:val="0"/>
        <w:autoSpaceDN w:val="0"/>
        <w:adjustRightInd w:val="0"/>
        <w:textAlignment w:val="baseline"/>
      </w:pPr>
      <w:r w:rsidRPr="00DF5C34">
        <w:rPr>
          <w:b/>
        </w:rPr>
        <w:t>Theme of the 201</w:t>
      </w:r>
      <w:r w:rsidRPr="00DF5C34" w:rsidR="00AD05CC">
        <w:rPr>
          <w:b/>
        </w:rPr>
        <w:t>9</w:t>
      </w:r>
      <w:r w:rsidRPr="00DF5C34">
        <w:rPr>
          <w:b/>
        </w:rPr>
        <w:t xml:space="preserve"> EESC Civil Society Prize: </w:t>
      </w:r>
      <w:r w:rsidR="00B05150">
        <w:rPr>
          <w:b/>
        </w:rPr>
        <w:t>More</w:t>
      </w:r>
      <w:r w:rsidR="00C13718">
        <w:rPr>
          <w:b/>
        </w:rPr>
        <w:t xml:space="preserve"> </w:t>
      </w:r>
      <w:r w:rsidRPr="00DF5C34" w:rsidR="00231FDE">
        <w:rPr>
          <w:b/>
        </w:rPr>
        <w:t>women in Europe</w:t>
      </w:r>
      <w:r w:rsidRPr="00DF5C34" w:rsidR="00962A18">
        <w:rPr>
          <w:b/>
        </w:rPr>
        <w:t>'</w:t>
      </w:r>
      <w:r w:rsidR="00A34FBF">
        <w:rPr>
          <w:b/>
        </w:rPr>
        <w:t>s</w:t>
      </w:r>
      <w:r w:rsidRPr="00DF5C34" w:rsidR="00962A18">
        <w:rPr>
          <w:b/>
        </w:rPr>
        <w:t xml:space="preserve"> society and economy</w:t>
      </w:r>
    </w:p>
    <w:p w:rsidRPr="00DF5C34" w:rsidR="00E84FD1" w:rsidP="00E22D63" w:rsidRDefault="00E84FD1" w14:paraId="753EB1B2" w14:textId="77777777">
      <w:pPr>
        <w:keepNext/>
      </w:pPr>
    </w:p>
    <w:p w:rsidRPr="00DF5C34" w:rsidR="0022201E" w:rsidP="00E22D63" w:rsidRDefault="0022201E" w14:paraId="0133ECC2" w14:textId="77777777">
      <w:r w:rsidRPr="00DF5C34">
        <w:t xml:space="preserve">Equality between women and men is </w:t>
      </w:r>
      <w:r w:rsidRPr="00DF5C34" w:rsidR="00D57B44">
        <w:t>an internationally agreed sustainable development goal</w:t>
      </w:r>
      <w:r w:rsidRPr="00DF5C34" w:rsidR="00D57B44">
        <w:rPr>
          <w:rStyle w:val="FootnoteReference"/>
        </w:rPr>
        <w:footnoteReference w:id="2"/>
      </w:r>
      <w:r w:rsidRPr="00DF5C34" w:rsidR="00D57B44">
        <w:t xml:space="preserve"> as well as </w:t>
      </w:r>
      <w:r w:rsidRPr="00DF5C34">
        <w:t>a fundamental value and principle of the European Union</w:t>
      </w:r>
      <w:r w:rsidRPr="00DF5C34">
        <w:rPr>
          <w:rStyle w:val="FootnoteReference"/>
        </w:rPr>
        <w:footnoteReference w:id="3"/>
      </w:r>
      <w:r w:rsidRPr="00DF5C34">
        <w:t>. It is also a driver for economic growth</w:t>
      </w:r>
      <w:r w:rsidRPr="00DF5C34" w:rsidR="00BD21C6">
        <w:t>,</w:t>
      </w:r>
      <w:r w:rsidRPr="00DF5C34">
        <w:t xml:space="preserve"> and the economic loss due to the gender employment gap is estimated at EUR 370 billion per year</w:t>
      </w:r>
      <w:r w:rsidRPr="00DF5C34">
        <w:rPr>
          <w:rStyle w:val="FootnoteReference"/>
        </w:rPr>
        <w:footnoteReference w:id="4"/>
      </w:r>
      <w:r w:rsidRPr="00DF5C34">
        <w:t>.</w:t>
      </w:r>
    </w:p>
    <w:p w:rsidRPr="00DF5C34" w:rsidR="0022201E" w:rsidP="00E22D63" w:rsidRDefault="0022201E" w14:paraId="400E81F4" w14:textId="77777777"/>
    <w:p w:rsidRPr="00DF5C34" w:rsidR="0022201E" w:rsidP="00E22D63" w:rsidRDefault="0022201E" w14:paraId="079C3F51" w14:textId="1AA9C0B1">
      <w:r w:rsidRPr="00DF5C34">
        <w:t>However</w:t>
      </w:r>
      <w:r w:rsidR="005F0C18">
        <w:t>,</w:t>
      </w:r>
      <w:r w:rsidRPr="00DF5C34">
        <w:t xml:space="preserve"> </w:t>
      </w:r>
      <w:r w:rsidR="001420F5">
        <w:t xml:space="preserve">according to the latest </w:t>
      </w:r>
      <w:r w:rsidR="00EC4058">
        <w:t xml:space="preserve">available </w:t>
      </w:r>
      <w:r w:rsidR="001420F5">
        <w:t>data</w:t>
      </w:r>
      <w:r w:rsidR="002F659B">
        <w:t>,</w:t>
      </w:r>
      <w:r w:rsidR="001420F5">
        <w:t xml:space="preserve"> </w:t>
      </w:r>
      <w:r w:rsidR="002F659B">
        <w:t xml:space="preserve">women </w:t>
      </w:r>
      <w:r w:rsidR="005C56E8">
        <w:t xml:space="preserve">account </w:t>
      </w:r>
      <w:r w:rsidR="002F659B">
        <w:t xml:space="preserve">for 51% </w:t>
      </w:r>
      <w:r w:rsidR="005C56E8">
        <w:t>o</w:t>
      </w:r>
      <w:r w:rsidR="002F659B">
        <w:t>f the EU population</w:t>
      </w:r>
      <w:r w:rsidR="002F659B">
        <w:rPr>
          <w:rStyle w:val="FootnoteReference"/>
        </w:rPr>
        <w:footnoteReference w:id="5"/>
      </w:r>
      <w:r w:rsidR="002F659B">
        <w:t xml:space="preserve">, but </w:t>
      </w:r>
      <w:r w:rsidRPr="00DF5C34">
        <w:t>the percentage of women in employment is 6</w:t>
      </w:r>
      <w:r w:rsidR="002F659B">
        <w:t>7</w:t>
      </w:r>
      <w:r w:rsidRPr="00DF5C34">
        <w:t>%</w:t>
      </w:r>
      <w:r w:rsidR="002F659B">
        <w:rPr>
          <w:rStyle w:val="FootnoteReference"/>
        </w:rPr>
        <w:footnoteReference w:id="6"/>
      </w:r>
      <w:r w:rsidRPr="00DF5C34">
        <w:t xml:space="preserve"> (with only 55% of women with 3 or more children employed against 85% of men)</w:t>
      </w:r>
      <w:r w:rsidR="005F0C18">
        <w:rPr>
          <w:rStyle w:val="FootnoteReference"/>
        </w:rPr>
        <w:footnoteReference w:id="7"/>
      </w:r>
      <w:r w:rsidRPr="00DF5C34">
        <w:t>; 32% of women work part-time</w:t>
      </w:r>
      <w:r w:rsidR="00A13BC5">
        <w:rPr>
          <w:rStyle w:val="FootnoteReference"/>
        </w:rPr>
        <w:footnoteReference w:id="8"/>
      </w:r>
      <w:r w:rsidRPr="00DF5C34">
        <w:t xml:space="preserve"> compared to only 8% of men, and the </w:t>
      </w:r>
      <w:r w:rsidR="009674EC">
        <w:t xml:space="preserve">average </w:t>
      </w:r>
      <w:r w:rsidRPr="00DF5C34">
        <w:t xml:space="preserve">gender pay gap </w:t>
      </w:r>
      <w:r w:rsidRPr="00DF5C34" w:rsidR="00BD21C6">
        <w:t xml:space="preserve">is still </w:t>
      </w:r>
      <w:r w:rsidR="00C1675D">
        <w:t>around</w:t>
      </w:r>
      <w:r w:rsidR="009674EC">
        <w:t xml:space="preserve"> </w:t>
      </w:r>
      <w:r w:rsidRPr="00DF5C34">
        <w:t>16%</w:t>
      </w:r>
      <w:r w:rsidR="009674EC">
        <w:rPr>
          <w:rStyle w:val="FootnoteReference"/>
        </w:rPr>
        <w:footnoteReference w:id="9"/>
      </w:r>
      <w:r w:rsidRPr="00DF5C34">
        <w:t>, lead</w:t>
      </w:r>
      <w:r w:rsidRPr="00DF5C34" w:rsidR="00BD21C6">
        <w:t>ing</w:t>
      </w:r>
      <w:r w:rsidRPr="00DF5C34">
        <w:t xml:space="preserve"> to a</w:t>
      </w:r>
      <w:r w:rsidR="009674EC">
        <w:t>n average</w:t>
      </w:r>
      <w:r w:rsidRPr="00DF5C34">
        <w:t xml:space="preserve"> gender pension gap </w:t>
      </w:r>
      <w:r w:rsidR="005C56E8">
        <w:t xml:space="preserve">of </w:t>
      </w:r>
      <w:r w:rsidR="002F659B">
        <w:t>over</w:t>
      </w:r>
      <w:r w:rsidR="009674EC">
        <w:t xml:space="preserve"> </w:t>
      </w:r>
      <w:r w:rsidRPr="00DF5C34">
        <w:lastRenderedPageBreak/>
        <w:t>3</w:t>
      </w:r>
      <w:r w:rsidR="009674EC">
        <w:t>8</w:t>
      </w:r>
      <w:r w:rsidRPr="00DF5C34">
        <w:t>%</w:t>
      </w:r>
      <w:r w:rsidR="009674EC">
        <w:rPr>
          <w:rStyle w:val="FootnoteReference"/>
        </w:rPr>
        <w:footnoteReference w:id="10"/>
      </w:r>
      <w:r w:rsidRPr="00DF5C34">
        <w:t>. Moreover, several factors make precarious jobs more prevalent among women (27%) than among men (15%)</w:t>
      </w:r>
      <w:r w:rsidR="009674EC">
        <w:rPr>
          <w:rStyle w:val="FootnoteReference"/>
        </w:rPr>
        <w:footnoteReference w:id="11"/>
      </w:r>
      <w:r w:rsidR="005C56E8">
        <w:t>. W</w:t>
      </w:r>
      <w:r w:rsidRPr="00DF5C34">
        <w:t xml:space="preserve">omen represent the biggest untapped entrepreneurial potential, </w:t>
      </w:r>
      <w:r w:rsidR="00E10D87">
        <w:t>making up</w:t>
      </w:r>
      <w:r w:rsidRPr="00DF5C34" w:rsidR="00E10D87">
        <w:t xml:space="preserve"> </w:t>
      </w:r>
      <w:r w:rsidRPr="00DF5C34">
        <w:t xml:space="preserve">only </w:t>
      </w:r>
      <w:r w:rsidR="002940A3">
        <w:t>31</w:t>
      </w:r>
      <w:r w:rsidRPr="00DF5C34">
        <w:t xml:space="preserve">% </w:t>
      </w:r>
      <w:r w:rsidR="00A061E0">
        <w:t xml:space="preserve">of </w:t>
      </w:r>
      <w:r w:rsidRPr="00DF5C34">
        <w:t>entrepreneurs</w:t>
      </w:r>
      <w:r w:rsidR="002940A3">
        <w:rPr>
          <w:rStyle w:val="FootnoteReference"/>
        </w:rPr>
        <w:footnoteReference w:id="12"/>
      </w:r>
      <w:r w:rsidR="009674EC">
        <w:t>,</w:t>
      </w:r>
      <w:r w:rsidRPr="00DF5C34">
        <w:t xml:space="preserve"> 46% of PhD degree holders, 33% of researchers and 20% of the highest academic staff </w:t>
      </w:r>
      <w:r w:rsidR="002940A3">
        <w:rPr>
          <w:rStyle w:val="FootnoteReference"/>
        </w:rPr>
        <w:footnoteReference w:id="13"/>
      </w:r>
      <w:r w:rsidR="00A061E0">
        <w:t>. O</w:t>
      </w:r>
      <w:r w:rsidRPr="001420F5" w:rsidR="001420F5">
        <w:t xml:space="preserve">nly 6.3% of CEO positions in major publicly listed companies in the EU </w:t>
      </w:r>
      <w:r w:rsidR="00A061E0">
        <w:t xml:space="preserve">are </w:t>
      </w:r>
      <w:r w:rsidRPr="001420F5" w:rsidR="001420F5">
        <w:t>held by women</w:t>
      </w:r>
      <w:r w:rsidR="001420F5">
        <w:t xml:space="preserve"> and</w:t>
      </w:r>
      <w:r w:rsidRPr="001420F5" w:rsidR="001420F5">
        <w:t xml:space="preserve"> </w:t>
      </w:r>
      <w:r w:rsidRPr="00DF5C34">
        <w:t>only 2</w:t>
      </w:r>
      <w:r w:rsidR="001420F5">
        <w:t>6.7</w:t>
      </w:r>
      <w:r w:rsidRPr="00DF5C34">
        <w:t>% of board members of the</w:t>
      </w:r>
      <w:r w:rsidR="002F659B">
        <w:t>se</w:t>
      </w:r>
      <w:r w:rsidRPr="00DF5C34">
        <w:t xml:space="preserve"> companies are women</w:t>
      </w:r>
      <w:r w:rsidR="001420F5">
        <w:rPr>
          <w:rStyle w:val="FootnoteReference"/>
        </w:rPr>
        <w:footnoteReference w:id="14"/>
      </w:r>
      <w:r w:rsidR="00C1675D">
        <w:t>. Finally,</w:t>
      </w:r>
      <w:r w:rsidRPr="00DF5C34">
        <w:t xml:space="preserve"> only 13% of elected mayors and 29% of members of regional governments and assemblies are </w:t>
      </w:r>
      <w:r w:rsidRPr="00DF5C34" w:rsidR="00242363">
        <w:t>women</w:t>
      </w:r>
      <w:r w:rsidR="001420F5">
        <w:rPr>
          <w:rStyle w:val="FootnoteReference"/>
        </w:rPr>
        <w:footnoteReference w:id="15"/>
      </w:r>
      <w:r w:rsidRPr="00DF5C34">
        <w:t xml:space="preserve"> and, </w:t>
      </w:r>
      <w:r w:rsidRPr="00DF5C34" w:rsidR="00242363">
        <w:t>o</w:t>
      </w:r>
      <w:r w:rsidRPr="00DF5C34">
        <w:t xml:space="preserve">n average, the percentage of women in national parliaments and governments </w:t>
      </w:r>
      <w:r w:rsidRPr="00DF5C34" w:rsidR="00242363">
        <w:t xml:space="preserve">is </w:t>
      </w:r>
      <w:r w:rsidR="00CB722A">
        <w:t xml:space="preserve">estimated at no more than </w:t>
      </w:r>
      <w:r w:rsidRPr="00DF5C34">
        <w:t>30%</w:t>
      </w:r>
      <w:r w:rsidR="002F659B">
        <w:rPr>
          <w:rStyle w:val="FootnoteReference"/>
        </w:rPr>
        <w:footnoteReference w:id="16"/>
      </w:r>
      <w:r w:rsidR="00E10D87">
        <w:t>,</w:t>
      </w:r>
      <w:r w:rsidR="00C1675D">
        <w:t xml:space="preserve"> against 36.4% in the European Parliament</w:t>
      </w:r>
      <w:r w:rsidR="00C1675D">
        <w:rPr>
          <w:rStyle w:val="FootnoteReference"/>
        </w:rPr>
        <w:footnoteReference w:id="17"/>
      </w:r>
      <w:r w:rsidR="00C1675D">
        <w:t>.</w:t>
      </w:r>
    </w:p>
    <w:p w:rsidRPr="00DF5C34" w:rsidR="0022201E" w:rsidP="00E22D63" w:rsidRDefault="0022201E" w14:paraId="1035C4EB" w14:textId="77777777"/>
    <w:p w:rsidRPr="00DF5C34" w:rsidR="0022201E" w:rsidP="002F659B" w:rsidRDefault="0022201E" w14:paraId="79D03193" w14:textId="3A6789F6">
      <w:r w:rsidRPr="00DF5C34">
        <w:t xml:space="preserve">Europeans feel strongly about promoting gender equality: </w:t>
      </w:r>
      <w:r w:rsidR="002F659B">
        <w:t xml:space="preserve">a special Eurobarometer survey on gender equality released </w:t>
      </w:r>
      <w:r w:rsidR="00CB722A">
        <w:t xml:space="preserve">in </w:t>
      </w:r>
      <w:r w:rsidR="002F659B">
        <w:t xml:space="preserve">2017 </w:t>
      </w:r>
      <w:r w:rsidR="00CB722A">
        <w:t xml:space="preserve">shows that </w:t>
      </w:r>
      <w:r w:rsidR="002F659B">
        <w:t>84% of the respondents</w:t>
      </w:r>
      <w:r w:rsidR="00CB722A">
        <w:t xml:space="preserve"> </w:t>
      </w:r>
      <w:r w:rsidR="002F659B">
        <w:t xml:space="preserve">considered that gender equality </w:t>
      </w:r>
      <w:r w:rsidR="00E10D87">
        <w:t>was</w:t>
      </w:r>
      <w:r w:rsidR="002F659B">
        <w:t xml:space="preserve"> important for</w:t>
      </w:r>
      <w:r w:rsidR="00CB722A">
        <w:t xml:space="preserve"> </w:t>
      </w:r>
      <w:r w:rsidR="002F659B">
        <w:t>them personally (including 80% of men)</w:t>
      </w:r>
      <w:r w:rsidR="00CB722A">
        <w:rPr>
          <w:rStyle w:val="FootnoteReference"/>
        </w:rPr>
        <w:footnoteReference w:id="18"/>
      </w:r>
      <w:r w:rsidR="00CB722A">
        <w:t>.</w:t>
      </w:r>
      <w:r w:rsidRPr="00DF5C34" w:rsidR="002F659B">
        <w:t xml:space="preserve"> </w:t>
      </w:r>
    </w:p>
    <w:p w:rsidRPr="00DF5C34" w:rsidR="0022201E" w:rsidP="00E22D63" w:rsidRDefault="0022201E" w14:paraId="430ADC2C" w14:textId="77777777"/>
    <w:p w:rsidRPr="00DF5C34" w:rsidR="0022201E" w:rsidP="00E22D63" w:rsidRDefault="0022201E" w14:paraId="12AD62EC" w14:textId="77777777">
      <w:r w:rsidRPr="00DF5C34">
        <w:t>Over the course of the last sixty years, the EU has made great progress by adopting a series of equality and anti-discrimination directives, policy programmes and funding instruments to promote gender equality in the European Union</w:t>
      </w:r>
      <w:r w:rsidRPr="00DF5C34">
        <w:rPr>
          <w:rStyle w:val="FootnoteReference"/>
        </w:rPr>
        <w:footnoteReference w:id="19"/>
      </w:r>
      <w:r w:rsidRPr="00DF5C34" w:rsidR="001612A7">
        <w:t xml:space="preserve">. The EU is aware that efforts aimed at closing the gender gaps need to be </w:t>
      </w:r>
      <w:r w:rsidRPr="00DF5C34" w:rsidR="00242363">
        <w:t>stepped up</w:t>
      </w:r>
      <w:r w:rsidRPr="00DF5C34" w:rsidR="001612A7">
        <w:t xml:space="preserve">. </w:t>
      </w:r>
      <w:r w:rsidRPr="00DF5C34" w:rsidR="00242363">
        <w:t>In</w:t>
      </w:r>
      <w:r w:rsidRPr="00DF5C34">
        <w:t xml:space="preserve"> fact, the European Commission has estimated that, at the </w:t>
      </w:r>
      <w:r w:rsidRPr="00DF5C34" w:rsidR="00242363">
        <w:t>current rate</w:t>
      </w:r>
      <w:r w:rsidRPr="00DF5C34">
        <w:t xml:space="preserve"> of progress, it will take 70 years to </w:t>
      </w:r>
      <w:r w:rsidRPr="00DF5C34" w:rsidR="00242363">
        <w:t>split</w:t>
      </w:r>
      <w:r w:rsidRPr="00DF5C34">
        <w:t xml:space="preserve"> domestic tasks </w:t>
      </w:r>
      <w:r w:rsidRPr="00DF5C34" w:rsidR="00242363">
        <w:t xml:space="preserve">equally </w:t>
      </w:r>
      <w:r w:rsidRPr="00DF5C34">
        <w:t>between men and women, 30 years before the female employment rate reaches 70% and 20 years to reach policy parity</w:t>
      </w:r>
      <w:r w:rsidR="00CB722A">
        <w:rPr>
          <w:rStyle w:val="FootnoteReference"/>
        </w:rPr>
        <w:footnoteReference w:id="20"/>
      </w:r>
      <w:r w:rsidRPr="00DF5C34">
        <w:t xml:space="preserve">. </w:t>
      </w:r>
      <w:r w:rsidRPr="00DF5C34" w:rsidR="001612A7">
        <w:t xml:space="preserve">The Joint </w:t>
      </w:r>
      <w:r w:rsidRPr="00DF5C34" w:rsidR="00DC4A4C">
        <w:t>T</w:t>
      </w:r>
      <w:r w:rsidRPr="00DF5C34" w:rsidR="001612A7">
        <w:t xml:space="preserve">rio </w:t>
      </w:r>
      <w:r w:rsidRPr="00DF5C34" w:rsidR="00DC4A4C">
        <w:t>D</w:t>
      </w:r>
      <w:r w:rsidRPr="00DF5C34" w:rsidR="001612A7">
        <w:t>eclaration on gender equality signed in July 2017 b</w:t>
      </w:r>
      <w:r w:rsidRPr="00DF5C34" w:rsidR="00242363">
        <w:t>y</w:t>
      </w:r>
      <w:r w:rsidRPr="00DF5C34" w:rsidR="001612A7">
        <w:t xml:space="preserve"> the Estonian, Bulgarian and </w:t>
      </w:r>
      <w:r w:rsidRPr="00DF5C34" w:rsidR="00242363">
        <w:t>Au</w:t>
      </w:r>
      <w:r w:rsidRPr="00DF5C34" w:rsidR="001612A7">
        <w:t xml:space="preserve">strian Presidencies gave a commitment to </w:t>
      </w:r>
      <w:r w:rsidRPr="00DF5C34" w:rsidR="00242363">
        <w:t>put</w:t>
      </w:r>
      <w:r w:rsidRPr="00DF5C34" w:rsidR="001612A7">
        <w:t xml:space="preserve"> gender equality back</w:t>
      </w:r>
      <w:r w:rsidRPr="00DF5C34" w:rsidR="00DD437F">
        <w:t xml:space="preserve"> on the EU's list of priorities</w:t>
      </w:r>
      <w:r w:rsidRPr="00DF5C34" w:rsidR="00E65CCD">
        <w:rPr>
          <w:rStyle w:val="FootnoteReference"/>
        </w:rPr>
        <w:footnoteReference w:id="21"/>
      </w:r>
      <w:r w:rsidRPr="00DF5C34" w:rsidR="00DD437F">
        <w:t>.</w:t>
      </w:r>
    </w:p>
    <w:p w:rsidR="0022201E" w:rsidP="00E22D63" w:rsidRDefault="0022201E" w14:paraId="20B8B088" w14:textId="77777777"/>
    <w:p w:rsidR="00A34FBF" w:rsidP="00E22D63" w:rsidRDefault="00A34FBF" w14:paraId="68591F1B" w14:textId="312466EE">
      <w:r w:rsidRPr="00A02854">
        <w:t xml:space="preserve">The EESC attaches great importance to gender equality. Article 1 of its Rules of </w:t>
      </w:r>
      <w:r w:rsidR="00CB722A">
        <w:t>P</w:t>
      </w:r>
      <w:r w:rsidRPr="00A02854">
        <w:t>rocedure entered into force on 15 March 2019 states that "</w:t>
      </w:r>
      <w:r w:rsidRPr="00A061E0">
        <w:t>the Committee shall ensure compliance with the principle of gender equality and non-discrimination, as defined by European Union law, in all its policies</w:t>
      </w:r>
      <w:r w:rsidRPr="00A02854">
        <w:t>"</w:t>
      </w:r>
      <w:r>
        <w:t>.</w:t>
      </w:r>
    </w:p>
    <w:p w:rsidRPr="00DF5C34" w:rsidR="00351D9C" w:rsidP="00E22D63" w:rsidRDefault="00351D9C" w14:paraId="3E0B3683" w14:textId="77777777"/>
    <w:p w:rsidRPr="00DF5C34" w:rsidR="008A6AAA" w:rsidP="00E22D63" w:rsidRDefault="000967F9" w14:paraId="4F37020D" w14:textId="67025509">
      <w:r w:rsidRPr="00DF5C34">
        <w:t xml:space="preserve">In </w:t>
      </w:r>
      <w:r w:rsidRPr="00DF5C34" w:rsidR="00242363">
        <w:t>its</w:t>
      </w:r>
      <w:r w:rsidRPr="00DF5C34">
        <w:t xml:space="preserve"> recent opinion on </w:t>
      </w:r>
      <w:r w:rsidRPr="00DF5C34">
        <w:rPr>
          <w:i/>
        </w:rPr>
        <w:t xml:space="preserve">Gender </w:t>
      </w:r>
      <w:r w:rsidRPr="00DF5C34" w:rsidR="00242363">
        <w:rPr>
          <w:i/>
        </w:rPr>
        <w:t>equality</w:t>
      </w:r>
      <w:r w:rsidRPr="00DF5C34">
        <w:rPr>
          <w:i/>
        </w:rPr>
        <w:t xml:space="preserve"> issues</w:t>
      </w:r>
      <w:r w:rsidRPr="00DF5C34">
        <w:t xml:space="preserve">, the EESC </w:t>
      </w:r>
      <w:r w:rsidR="00351D9C">
        <w:t>called for "</w:t>
      </w:r>
      <w:r w:rsidRPr="00DF5C34">
        <w:t xml:space="preserve">a </w:t>
      </w:r>
      <w:r w:rsidR="00351D9C">
        <w:t xml:space="preserve">strong </w:t>
      </w:r>
      <w:r w:rsidRPr="00DF5C34">
        <w:t xml:space="preserve">commitment to gender equality by </w:t>
      </w:r>
      <w:r w:rsidR="00351D9C">
        <w:t xml:space="preserve">the EU institutions, </w:t>
      </w:r>
      <w:r w:rsidRPr="00DF5C34">
        <w:t>governments, civil society</w:t>
      </w:r>
      <w:r w:rsidR="00351D9C">
        <w:t xml:space="preserve"> and </w:t>
      </w:r>
      <w:r w:rsidRPr="00DF5C34">
        <w:t>the private sector"</w:t>
      </w:r>
      <w:r w:rsidRPr="00DF5C34">
        <w:rPr>
          <w:rStyle w:val="FootnoteReference"/>
        </w:rPr>
        <w:footnoteReference w:id="22"/>
      </w:r>
      <w:r w:rsidR="00CB722A">
        <w:t>.</w:t>
      </w:r>
      <w:r w:rsidRPr="00DF5C34">
        <w:t xml:space="preserve"> </w:t>
      </w:r>
      <w:r w:rsidRPr="00DF5C34" w:rsidR="0022201E">
        <w:t xml:space="preserve">This is why, in </w:t>
      </w:r>
      <w:r w:rsidRPr="00DF5C34">
        <w:t xml:space="preserve">the EU election year </w:t>
      </w:r>
      <w:r w:rsidRPr="00DF5C34" w:rsidR="0022201E">
        <w:t xml:space="preserve">2019 the EESC </w:t>
      </w:r>
      <w:r w:rsidRPr="00DF5C34" w:rsidR="001612A7">
        <w:t xml:space="preserve">has decided </w:t>
      </w:r>
      <w:r w:rsidRPr="00DF5C34" w:rsidR="0022201E">
        <w:t xml:space="preserve">to award its civil society prize to organisations or individuals which/who </w:t>
      </w:r>
      <w:r w:rsidRPr="00DF5C34" w:rsidR="009A35CA">
        <w:t xml:space="preserve">have taken </w:t>
      </w:r>
      <w:r w:rsidRPr="00DF5C34" w:rsidR="0022201E">
        <w:t>action in domains that empower and enable women in economic and socia</w:t>
      </w:r>
      <w:r w:rsidRPr="00DF5C34" w:rsidR="009A35CA">
        <w:t>l terms</w:t>
      </w:r>
      <w:r w:rsidRPr="00DF5C34" w:rsidR="00FF33B2">
        <w:t xml:space="preserve">. This </w:t>
      </w:r>
      <w:r w:rsidRPr="00DF5C34" w:rsidR="00242363">
        <w:t xml:space="preserve">also </w:t>
      </w:r>
      <w:r w:rsidRPr="00DF5C34" w:rsidR="00FF33B2">
        <w:t xml:space="preserve">corresponds </w:t>
      </w:r>
      <w:r w:rsidRPr="00DF5C34" w:rsidR="0022201E">
        <w:t>to the first three priority areas of the "</w:t>
      </w:r>
      <w:hyperlink w:history="1" r:id="rId14">
        <w:r w:rsidRPr="00CB722A" w:rsidR="0022201E">
          <w:rPr>
            <w:rStyle w:val="Hyperlink"/>
            <w:i/>
          </w:rPr>
          <w:t>Strategic Engagement for Gender Equality 2016-2019</w:t>
        </w:r>
      </w:hyperlink>
      <w:r w:rsidRPr="00DF5C34" w:rsidR="0022201E">
        <w:t>"</w:t>
      </w:r>
      <w:r w:rsidRPr="00DF5C34" w:rsidR="00231FDE">
        <w:rPr>
          <w:rStyle w:val="FootnoteReference"/>
        </w:rPr>
        <w:footnoteReference w:id="23"/>
      </w:r>
      <w:r w:rsidRPr="00DF5C34" w:rsidR="0022201E">
        <w:t xml:space="preserve"> </w:t>
      </w:r>
      <w:r w:rsidRPr="00DF5C34" w:rsidR="00242363">
        <w:t xml:space="preserve">which </w:t>
      </w:r>
      <w:r w:rsidRPr="00DF5C34" w:rsidR="0022201E">
        <w:t>still in force</w:t>
      </w:r>
      <w:r w:rsidRPr="00DF5C34" w:rsidR="008A6AAA">
        <w:t>, namely</w:t>
      </w:r>
      <w:r w:rsidRPr="00DF5C34" w:rsidR="0022201E">
        <w:t>:</w:t>
      </w:r>
    </w:p>
    <w:p w:rsidRPr="00DF5C34" w:rsidR="00BA2605" w:rsidP="00E22D63" w:rsidRDefault="00BA2605" w14:paraId="0C568AFC" w14:textId="77777777"/>
    <w:p w:rsidRPr="00CB722A" w:rsidR="0022201E" w:rsidP="00E22D63" w:rsidRDefault="0022201E" w14:paraId="6F1EAC5A" w14:textId="77777777">
      <w:pPr>
        <w:pStyle w:val="ListParagraph"/>
        <w:numPr>
          <w:ilvl w:val="0"/>
          <w:numId w:val="27"/>
        </w:numPr>
        <w:ind w:left="284" w:hanging="284"/>
      </w:pPr>
      <w:r w:rsidRPr="00F67124">
        <w:t>increasing female labour-market participation and the equal economic independence of women and men</w:t>
      </w:r>
      <w:r w:rsidRPr="00CB722A">
        <w:t>;</w:t>
      </w:r>
    </w:p>
    <w:p w:rsidRPr="00CB722A" w:rsidR="0022201E" w:rsidP="00E22D63" w:rsidRDefault="0022201E" w14:paraId="06C6EB7D" w14:textId="77777777">
      <w:pPr>
        <w:pStyle w:val="ListParagraph"/>
        <w:numPr>
          <w:ilvl w:val="0"/>
          <w:numId w:val="27"/>
        </w:numPr>
        <w:ind w:left="284" w:hanging="284"/>
      </w:pPr>
      <w:r w:rsidRPr="00F67124">
        <w:t>reducing the gender pay, earnings and pension gaps and thus fighting poverty among women</w:t>
      </w:r>
      <w:r w:rsidRPr="00CB722A">
        <w:t>; and</w:t>
      </w:r>
    </w:p>
    <w:p w:rsidRPr="00CB722A" w:rsidR="00AE0B58" w:rsidP="00E22D63" w:rsidRDefault="0022201E" w14:paraId="1844D861" w14:textId="77777777">
      <w:pPr>
        <w:pStyle w:val="ListParagraph"/>
        <w:numPr>
          <w:ilvl w:val="0"/>
          <w:numId w:val="27"/>
        </w:numPr>
        <w:ind w:left="284" w:hanging="284"/>
      </w:pPr>
      <w:r w:rsidRPr="00F67124">
        <w:t>promoting equality between women and men in decision</w:t>
      </w:r>
      <w:r w:rsidRPr="00F67124" w:rsidR="00DC4A4C">
        <w:t xml:space="preserve"> </w:t>
      </w:r>
      <w:r w:rsidRPr="00F67124">
        <w:t>making</w:t>
      </w:r>
      <w:r w:rsidRPr="00CB722A">
        <w:t>.</w:t>
      </w:r>
    </w:p>
    <w:p w:rsidRPr="00DF5C34" w:rsidR="00857AA3" w:rsidP="00E22D63" w:rsidRDefault="00857AA3" w14:paraId="242DBD08" w14:textId="77777777"/>
    <w:p w:rsidRPr="00DF5C34" w:rsidR="003962D4" w:rsidP="00E22D63" w:rsidRDefault="003962D4" w14:paraId="09B9B3CD" w14:textId="77777777">
      <w:pPr>
        <w:pStyle w:val="Heading1"/>
        <w:keepNext/>
        <w:overflowPunct w:val="0"/>
        <w:autoSpaceDE w:val="0"/>
        <w:autoSpaceDN w:val="0"/>
        <w:adjustRightInd w:val="0"/>
        <w:textAlignment w:val="baseline"/>
        <w:rPr>
          <w:b/>
        </w:rPr>
      </w:pPr>
      <w:r w:rsidRPr="00DF5C34">
        <w:rPr>
          <w:b/>
        </w:rPr>
        <w:t>Eligibility</w:t>
      </w:r>
    </w:p>
    <w:p w:rsidRPr="00DF5C34" w:rsidR="004661E0" w:rsidP="00E22D63" w:rsidRDefault="004661E0" w14:paraId="3433756C" w14:textId="77777777">
      <w:pPr>
        <w:keepNext/>
      </w:pPr>
    </w:p>
    <w:p w:rsidRPr="00DF5C34" w:rsidR="003962D4" w:rsidP="00CB6CD8" w:rsidRDefault="003962D4" w14:paraId="352C81AF" w14:textId="77777777">
      <w:pPr>
        <w:pStyle w:val="Heading2"/>
        <w:overflowPunct w:val="0"/>
        <w:autoSpaceDE w:val="0"/>
        <w:autoSpaceDN w:val="0"/>
        <w:adjustRightInd w:val="0"/>
        <w:textAlignment w:val="baseline"/>
        <w:rPr>
          <w:b/>
        </w:rPr>
      </w:pPr>
      <w:r w:rsidRPr="00DF5C34">
        <w:rPr>
          <w:b/>
        </w:rPr>
        <w:t>Eligible candidates</w:t>
      </w:r>
    </w:p>
    <w:p w:rsidRPr="00DF5C34" w:rsidR="003962D4" w:rsidP="00CB6CD8" w:rsidRDefault="003962D4" w14:paraId="0777DB10" w14:textId="77777777"/>
    <w:p w:rsidRPr="00DF5C34" w:rsidR="003962D4" w:rsidP="00E22D63" w:rsidRDefault="003962D4" w14:paraId="1C1BA90A" w14:textId="77777777">
      <w:r w:rsidRPr="00DF5C34">
        <w:t>The EESC Civil Society Prize is open to all civil society organisations (hereafter: "CSOs") officially registered within the European Union and acting at local, national, regional or European level. It is also open to individuals.</w:t>
      </w:r>
    </w:p>
    <w:p w:rsidRPr="00DF5C34" w:rsidR="003962D4" w:rsidP="00E22D63" w:rsidRDefault="003962D4" w14:paraId="6C30AF42" w14:textId="77777777"/>
    <w:p w:rsidRPr="00DF5C34" w:rsidR="00012C38" w:rsidP="00E22D63" w:rsidRDefault="00463C27" w14:paraId="22C073E2" w14:textId="61B2A451">
      <w:pPr>
        <w:rPr>
          <w:spacing w:val="-3"/>
        </w:rPr>
      </w:pPr>
      <w:r w:rsidRPr="00DF5C34">
        <w:t xml:space="preserve">Civil society organisations as defined in the EESC opinion </w:t>
      </w:r>
      <w:r w:rsidRPr="00DF5C34" w:rsidR="00FD41A6">
        <w:t xml:space="preserve">on </w:t>
      </w:r>
      <w:r w:rsidRPr="00A061E0" w:rsidR="00FD41A6">
        <w:rPr>
          <w:i/>
        </w:rPr>
        <w:t>The role and contribution of civil society organisations in the building of Europe</w:t>
      </w:r>
      <w:r w:rsidR="00CB722A">
        <w:t xml:space="preserve"> </w:t>
      </w:r>
      <w:r w:rsidRPr="00DF5C34" w:rsidR="00FD41A6">
        <w:t>a</w:t>
      </w:r>
      <w:r w:rsidRPr="00DF5C34">
        <w:t>re "</w:t>
      </w:r>
      <w:r w:rsidRPr="00A061E0">
        <w:t xml:space="preserve">organisational structures whose members have objectives and responsibilities that are of general interest and who also act as mediators between the </w:t>
      </w:r>
      <w:r w:rsidRPr="00A061E0" w:rsidR="000413A4">
        <w:t>public authorities and citizens</w:t>
      </w:r>
      <w:r w:rsidRPr="00DF5C34">
        <w:t>"</w:t>
      </w:r>
      <w:r w:rsidRPr="00DF5C34" w:rsidR="000413A4">
        <w:rPr>
          <w:rStyle w:val="FootnoteReference"/>
        </w:rPr>
        <w:footnoteReference w:id="24"/>
      </w:r>
      <w:r w:rsidRPr="00DF5C34" w:rsidR="00DD437F">
        <w:t>.</w:t>
      </w:r>
      <w:r w:rsidRPr="00DF5C34" w:rsidR="000413A4">
        <w:t xml:space="preserve"> </w:t>
      </w:r>
      <w:r w:rsidRPr="00DF5C34">
        <w:t xml:space="preserve">They </w:t>
      </w:r>
      <w:r w:rsidRPr="00DF5C34" w:rsidR="00436607">
        <w:t>are actively involved in shaping public affairs on the basis of their own concerns, drawing on their own specific knowledge, abilities and scope for action. They act autonomously and membership entails a commitment by members of the general public to take part in the work and activities of those organisations.</w:t>
      </w:r>
      <w:r w:rsidRPr="00DF5C34" w:rsidR="00AD05CC">
        <w:t xml:space="preserve"> </w:t>
      </w:r>
      <w:r w:rsidRPr="00DF5C34" w:rsidR="003962D4">
        <w:t>This definition includes the so-called labour-market players, i.e. the social partners</w:t>
      </w:r>
      <w:r w:rsidR="00CB722A">
        <w:t>,</w:t>
      </w:r>
      <w:r w:rsidRPr="00DF5C34" w:rsidR="003962D4">
        <w:t xml:space="preserve"> organisations representing social and economic players</w:t>
      </w:r>
      <w:r w:rsidR="00CB722A">
        <w:t>,</w:t>
      </w:r>
      <w:r w:rsidRPr="00DF5C34" w:rsidR="003962D4">
        <w:t xml:space="preserve"> non-governmental organisations which bring people together in a common cause, such as environmental organisations, human rights organisations, consumer associations, charitable organisations, cultural organisations, </w:t>
      </w:r>
      <w:r w:rsidRPr="00DF5C34" w:rsidR="00E508AC">
        <w:t xml:space="preserve">and </w:t>
      </w:r>
      <w:r w:rsidRPr="00DF5C34" w:rsidR="003962D4">
        <w:t>educational and training organisations, etc.; community-based organisations</w:t>
      </w:r>
      <w:r w:rsidRPr="00DF5C34" w:rsidR="00E508AC">
        <w:t>,</w:t>
      </w:r>
      <w:r w:rsidRPr="00DF5C34" w:rsidR="00BA2605">
        <w:t xml:space="preserve"> i.e. </w:t>
      </w:r>
      <w:r w:rsidRPr="00DF5C34" w:rsidR="003962D4">
        <w:t>organisations set up within society at grassroots level which pursue member-oriented objectives, e.g. youth organisations, family associations and all organisations through which citizens participate in local and municipal life; religious communities.</w:t>
      </w:r>
      <w:r w:rsidRPr="00DF5C34" w:rsidR="00AD05CC">
        <w:t xml:space="preserve"> Civil society organisations </w:t>
      </w:r>
      <w:r w:rsidRPr="00DF5C34" w:rsidR="00012C38">
        <w:t>set up by a legislative or regulatory act and/or to which affiliation is partially or totally mandatory (e.g. professional associations)</w:t>
      </w:r>
      <w:r w:rsidRPr="00DF5C34" w:rsidR="00FD41A6">
        <w:rPr>
          <w:rStyle w:val="FootnoteReference"/>
        </w:rPr>
        <w:footnoteReference w:id="25"/>
      </w:r>
      <w:r w:rsidRPr="00DF5C34" w:rsidR="00012C38">
        <w:t xml:space="preserve"> are also eligible.</w:t>
      </w:r>
    </w:p>
    <w:p w:rsidRPr="00DF5C34" w:rsidR="00012C38" w:rsidP="00E22D63" w:rsidRDefault="00012C38" w14:paraId="4C2A7726" w14:textId="77777777">
      <w:pPr>
        <w:rPr>
          <w:spacing w:val="-3"/>
        </w:rPr>
      </w:pPr>
    </w:p>
    <w:p w:rsidRPr="00DF5C34" w:rsidR="003962D4" w:rsidP="00E22D63" w:rsidRDefault="003962D4" w14:paraId="1429C2AD" w14:textId="77777777">
      <w:pPr>
        <w:rPr>
          <w:spacing w:val="-3"/>
        </w:rPr>
      </w:pPr>
      <w:r w:rsidRPr="00DF5C34">
        <w:t>Individuals are natural persons. EU citizens are eligible, regardless of their country of residence. Third-country nationals are also eligible, provided they are legally resident in the territory of the EU. EESC members, CCMI delegates, staff of the EESC, members of the evaluation panel and their relatives are not eligible to submit an entry.</w:t>
      </w:r>
    </w:p>
    <w:p w:rsidRPr="00DF5C34" w:rsidR="003962D4" w:rsidP="00E22D63" w:rsidRDefault="003962D4" w14:paraId="211E2078" w14:textId="77777777">
      <w:pPr>
        <w:rPr>
          <w:spacing w:val="-3"/>
        </w:rPr>
      </w:pPr>
    </w:p>
    <w:p w:rsidRPr="00DF5C34" w:rsidR="003962D4" w:rsidP="00E22D63" w:rsidRDefault="003962D4" w14:paraId="1BD06939" w14:textId="77777777">
      <w:pPr>
        <w:pStyle w:val="Heading2"/>
        <w:keepNext/>
        <w:overflowPunct w:val="0"/>
        <w:autoSpaceDE w:val="0"/>
        <w:autoSpaceDN w:val="0"/>
        <w:adjustRightInd w:val="0"/>
        <w:textAlignment w:val="baseline"/>
        <w:rPr>
          <w:b/>
        </w:rPr>
      </w:pPr>
      <w:r w:rsidRPr="00DF5C34">
        <w:rPr>
          <w:b/>
        </w:rPr>
        <w:t>Eligible initiatives</w:t>
      </w:r>
    </w:p>
    <w:p w:rsidRPr="00DF5C34" w:rsidR="003962D4" w:rsidP="00E22D63" w:rsidRDefault="003962D4" w14:paraId="25616A14" w14:textId="77777777">
      <w:pPr>
        <w:keepNext/>
      </w:pPr>
    </w:p>
    <w:p w:rsidRPr="00DF5C34" w:rsidR="00F51558" w:rsidP="00E22D63" w:rsidRDefault="000413A4" w14:paraId="252F47DA" w14:textId="77777777">
      <w:pPr>
        <w:pStyle w:val="Default"/>
        <w:spacing w:line="288" w:lineRule="auto"/>
        <w:jc w:val="both"/>
        <w:rPr>
          <w:rFonts w:ascii="Times New Roman" w:hAnsi="Times New Roman" w:cs="Times New Roman"/>
          <w:sz w:val="22"/>
          <w:szCs w:val="22"/>
        </w:rPr>
      </w:pPr>
      <w:r w:rsidRPr="00DF5C34">
        <w:rPr>
          <w:rFonts w:ascii="Times New Roman" w:hAnsi="Times New Roman"/>
          <w:sz w:val="22"/>
        </w:rPr>
        <w:t>T</w:t>
      </w:r>
      <w:r w:rsidRPr="00DF5C34" w:rsidR="003962D4">
        <w:rPr>
          <w:rFonts w:ascii="Times New Roman" w:hAnsi="Times New Roman"/>
          <w:sz w:val="22"/>
        </w:rPr>
        <w:t>he specific objective of the 201</w:t>
      </w:r>
      <w:r w:rsidRPr="00DF5C34" w:rsidR="00AD05CC">
        <w:rPr>
          <w:rFonts w:ascii="Times New Roman" w:hAnsi="Times New Roman"/>
          <w:sz w:val="22"/>
        </w:rPr>
        <w:t>9</w:t>
      </w:r>
      <w:r w:rsidRPr="00DF5C34" w:rsidR="003962D4">
        <w:rPr>
          <w:rFonts w:ascii="Times New Roman" w:hAnsi="Times New Roman"/>
          <w:sz w:val="22"/>
        </w:rPr>
        <w:t xml:space="preserve"> Civil Society Prize is to reward innovative initiatives carried out on the territory of the EU which aim </w:t>
      </w:r>
      <w:r w:rsidRPr="00DF5C34" w:rsidR="00E508AC">
        <w:rPr>
          <w:rFonts w:ascii="Times New Roman" w:hAnsi="Times New Roman"/>
          <w:sz w:val="22"/>
        </w:rPr>
        <w:t xml:space="preserve">to </w:t>
      </w:r>
      <w:r w:rsidRPr="00DF5C34" w:rsidR="003962D4">
        <w:rPr>
          <w:rFonts w:ascii="Times New Roman" w:hAnsi="Times New Roman"/>
          <w:b/>
          <w:sz w:val="22"/>
        </w:rPr>
        <w:t>rais</w:t>
      </w:r>
      <w:r w:rsidRPr="00DF5C34" w:rsidR="00E508AC">
        <w:rPr>
          <w:rFonts w:ascii="Times New Roman" w:hAnsi="Times New Roman"/>
          <w:b/>
          <w:sz w:val="22"/>
        </w:rPr>
        <w:t>e</w:t>
      </w:r>
      <w:r w:rsidRPr="00DF5C34" w:rsidR="003962D4">
        <w:rPr>
          <w:rFonts w:ascii="Times New Roman" w:hAnsi="Times New Roman"/>
          <w:b/>
          <w:sz w:val="22"/>
        </w:rPr>
        <w:t xml:space="preserve"> awareness of </w:t>
      </w:r>
      <w:r w:rsidRPr="00DF5C34" w:rsidR="00F05EB9">
        <w:rPr>
          <w:rFonts w:ascii="Times New Roman" w:hAnsi="Times New Roman"/>
          <w:b/>
          <w:sz w:val="22"/>
        </w:rPr>
        <w:t>and fight for gender equality in the EU</w:t>
      </w:r>
      <w:r w:rsidRPr="00DF5C34" w:rsidR="00FD41A6">
        <w:rPr>
          <w:rFonts w:ascii="Times New Roman" w:hAnsi="Times New Roman"/>
          <w:b/>
          <w:sz w:val="22"/>
        </w:rPr>
        <w:t>. In the context of this prize, gender equ</w:t>
      </w:r>
      <w:r w:rsidRPr="00DF5C34" w:rsidR="00E508AC">
        <w:rPr>
          <w:rFonts w:ascii="Times New Roman" w:hAnsi="Times New Roman"/>
          <w:b/>
          <w:sz w:val="22"/>
        </w:rPr>
        <w:t>a</w:t>
      </w:r>
      <w:r w:rsidRPr="00DF5C34" w:rsidR="00FD41A6">
        <w:rPr>
          <w:rFonts w:ascii="Times New Roman" w:hAnsi="Times New Roman"/>
          <w:b/>
          <w:sz w:val="22"/>
        </w:rPr>
        <w:t>lity is</w:t>
      </w:r>
      <w:r w:rsidRPr="00DF5C34" w:rsidR="00F05EB9">
        <w:rPr>
          <w:rFonts w:ascii="Times New Roman" w:hAnsi="Times New Roman"/>
          <w:b/>
          <w:sz w:val="22"/>
        </w:rPr>
        <w:t xml:space="preserve"> </w:t>
      </w:r>
      <w:r w:rsidRPr="00DF5C34" w:rsidR="003962D4">
        <w:rPr>
          <w:rFonts w:ascii="Times New Roman" w:hAnsi="Times New Roman"/>
          <w:b/>
          <w:sz w:val="22"/>
        </w:rPr>
        <w:t>understood</w:t>
      </w:r>
      <w:r w:rsidRPr="00DF5C34" w:rsidR="00E508AC">
        <w:rPr>
          <w:rFonts w:ascii="Times New Roman" w:hAnsi="Times New Roman"/>
          <w:b/>
          <w:sz w:val="22"/>
        </w:rPr>
        <w:t xml:space="preserve"> to mean </w:t>
      </w:r>
      <w:r w:rsidRPr="00DF5C34" w:rsidR="00F05EB9">
        <w:rPr>
          <w:rFonts w:ascii="Times New Roman" w:hAnsi="Times New Roman"/>
          <w:b/>
          <w:sz w:val="22"/>
        </w:rPr>
        <w:t>no</w:t>
      </w:r>
      <w:r w:rsidRPr="00DF5C34" w:rsidR="00E508AC">
        <w:rPr>
          <w:rFonts w:ascii="Times New Roman" w:hAnsi="Times New Roman"/>
          <w:b/>
          <w:sz w:val="22"/>
        </w:rPr>
        <w:t>t</w:t>
      </w:r>
      <w:r w:rsidRPr="00DF5C34" w:rsidR="00F05EB9">
        <w:rPr>
          <w:rFonts w:ascii="Times New Roman" w:hAnsi="Times New Roman"/>
          <w:b/>
          <w:sz w:val="22"/>
        </w:rPr>
        <w:t xml:space="preserve"> only equal rights, but also </w:t>
      </w:r>
      <w:r w:rsidRPr="00DF5C34" w:rsidR="00D948D9">
        <w:rPr>
          <w:rFonts w:ascii="Times New Roman" w:hAnsi="Times New Roman"/>
          <w:b/>
          <w:sz w:val="22"/>
        </w:rPr>
        <w:t xml:space="preserve">equal opportunities, </w:t>
      </w:r>
      <w:r w:rsidRPr="00DF5C34" w:rsidR="009A35CA">
        <w:rPr>
          <w:rFonts w:ascii="Times New Roman" w:hAnsi="Times New Roman"/>
          <w:b/>
          <w:sz w:val="22"/>
        </w:rPr>
        <w:t xml:space="preserve">responsibility, </w:t>
      </w:r>
      <w:r w:rsidRPr="00DF5C34" w:rsidR="00F05EB9">
        <w:rPr>
          <w:rFonts w:ascii="Times New Roman" w:hAnsi="Times New Roman"/>
          <w:b/>
          <w:sz w:val="22"/>
        </w:rPr>
        <w:t>empowerment and participation in all spheres of economic and social life.</w:t>
      </w:r>
    </w:p>
    <w:p w:rsidRPr="00DF5C34" w:rsidR="00F51558" w:rsidP="00E22D63" w:rsidRDefault="00F51558" w14:paraId="21E42DB8" w14:textId="77777777"/>
    <w:p w:rsidRPr="00DF5C34" w:rsidR="00F51558" w:rsidP="00E22D63" w:rsidRDefault="003962D4" w14:paraId="49BAB62C" w14:textId="33DC724F">
      <w:pPr>
        <w:pStyle w:val="Default"/>
        <w:spacing w:line="288" w:lineRule="auto"/>
        <w:jc w:val="both"/>
        <w:rPr>
          <w:rFonts w:ascii="Times New Roman" w:hAnsi="Times New Roman" w:cs="Times New Roman"/>
          <w:b/>
          <w:sz w:val="22"/>
          <w:szCs w:val="22"/>
        </w:rPr>
      </w:pPr>
      <w:r w:rsidRPr="00DF5C34">
        <w:rPr>
          <w:rFonts w:ascii="Times New Roman" w:hAnsi="Times New Roman"/>
          <w:sz w:val="22"/>
        </w:rPr>
        <w:t xml:space="preserve">These initiatives </w:t>
      </w:r>
      <w:r w:rsidRPr="00DF5C34" w:rsidR="00E508AC">
        <w:rPr>
          <w:rFonts w:ascii="Times New Roman" w:hAnsi="Times New Roman"/>
          <w:sz w:val="22"/>
        </w:rPr>
        <w:t xml:space="preserve">must </w:t>
      </w:r>
      <w:r w:rsidRPr="00DF5C34">
        <w:rPr>
          <w:rFonts w:ascii="Times New Roman" w:hAnsi="Times New Roman"/>
          <w:sz w:val="22"/>
        </w:rPr>
        <w:t xml:space="preserve">have already been implemented or </w:t>
      </w:r>
      <w:r w:rsidRPr="00DF5C34" w:rsidR="00E508AC">
        <w:rPr>
          <w:rFonts w:ascii="Times New Roman" w:hAnsi="Times New Roman"/>
          <w:sz w:val="22"/>
        </w:rPr>
        <w:t xml:space="preserve">be </w:t>
      </w:r>
      <w:r w:rsidRPr="00081B00">
        <w:rPr>
          <w:rFonts w:ascii="Times New Roman" w:hAnsi="Times New Roman"/>
          <w:sz w:val="22"/>
        </w:rPr>
        <w:t xml:space="preserve">still ongoing. </w:t>
      </w:r>
      <w:r w:rsidRPr="00081B00">
        <w:rPr>
          <w:rFonts w:ascii="Times New Roman" w:hAnsi="Times New Roman"/>
          <w:b/>
          <w:sz w:val="22"/>
        </w:rPr>
        <w:t xml:space="preserve">Initiatives which are planned but </w:t>
      </w:r>
      <w:r w:rsidRPr="00081B00" w:rsidR="00E508AC">
        <w:rPr>
          <w:rFonts w:ascii="Times New Roman" w:hAnsi="Times New Roman"/>
          <w:b/>
          <w:sz w:val="22"/>
        </w:rPr>
        <w:t xml:space="preserve">which have not begun </w:t>
      </w:r>
      <w:r w:rsidRPr="00081B00">
        <w:rPr>
          <w:rFonts w:ascii="Times New Roman" w:hAnsi="Times New Roman"/>
          <w:b/>
          <w:sz w:val="22"/>
        </w:rPr>
        <w:t xml:space="preserve">implementation </w:t>
      </w:r>
      <w:r w:rsidRPr="00081B00" w:rsidR="00E508AC">
        <w:rPr>
          <w:rFonts w:ascii="Times New Roman" w:hAnsi="Times New Roman"/>
          <w:b/>
          <w:sz w:val="22"/>
        </w:rPr>
        <w:t>by</w:t>
      </w:r>
      <w:r w:rsidRPr="00081B00">
        <w:rPr>
          <w:rFonts w:ascii="Times New Roman" w:hAnsi="Times New Roman"/>
          <w:b/>
          <w:sz w:val="22"/>
        </w:rPr>
        <w:t xml:space="preserve"> </w:t>
      </w:r>
      <w:r w:rsidR="00B05150">
        <w:rPr>
          <w:rFonts w:ascii="Times New Roman" w:hAnsi="Times New Roman"/>
          <w:b/>
          <w:sz w:val="22"/>
        </w:rPr>
        <w:t>6 September</w:t>
      </w:r>
      <w:r w:rsidRPr="00081B00" w:rsidR="001D39DE">
        <w:rPr>
          <w:rFonts w:ascii="Times New Roman" w:hAnsi="Times New Roman"/>
          <w:b/>
          <w:sz w:val="22"/>
        </w:rPr>
        <w:t xml:space="preserve"> 2019</w:t>
      </w:r>
      <w:r w:rsidRPr="00081B00">
        <w:rPr>
          <w:rFonts w:ascii="Times New Roman" w:hAnsi="Times New Roman"/>
          <w:b/>
          <w:sz w:val="22"/>
        </w:rPr>
        <w:t xml:space="preserve"> (closing date for submission of applications) are excluded.</w:t>
      </w:r>
    </w:p>
    <w:p w:rsidRPr="00DF5C34" w:rsidR="00F51558" w:rsidP="00E22D63" w:rsidRDefault="00F51558" w14:paraId="1AEB9705" w14:textId="77777777"/>
    <w:p w:rsidRPr="00F30A06" w:rsidR="003962D4" w:rsidP="00E22D63" w:rsidRDefault="00666EE4" w14:paraId="5B0D56E8" w14:textId="77777777">
      <w:pPr>
        <w:pStyle w:val="Default"/>
        <w:spacing w:line="288" w:lineRule="auto"/>
        <w:jc w:val="both"/>
        <w:rPr>
          <w:rFonts w:ascii="Times New Roman" w:hAnsi="Times New Roman" w:cs="Times New Roman"/>
          <w:sz w:val="22"/>
          <w:szCs w:val="22"/>
        </w:rPr>
      </w:pPr>
      <w:r w:rsidRPr="00F30A06">
        <w:rPr>
          <w:rFonts w:ascii="Times New Roman" w:hAnsi="Times New Roman" w:cs="Times New Roman"/>
          <w:sz w:val="22"/>
          <w:szCs w:val="22"/>
        </w:rPr>
        <w:t xml:space="preserve">To be eligible, activities/initiatives </w:t>
      </w:r>
      <w:r w:rsidRPr="00F30A06" w:rsidR="00E508AC">
        <w:rPr>
          <w:rFonts w:ascii="Times New Roman" w:hAnsi="Times New Roman" w:cs="Times New Roman"/>
          <w:sz w:val="22"/>
          <w:szCs w:val="22"/>
        </w:rPr>
        <w:t xml:space="preserve">must </w:t>
      </w:r>
      <w:r w:rsidRPr="00F30A06">
        <w:rPr>
          <w:rFonts w:ascii="Times New Roman" w:hAnsi="Times New Roman" w:cs="Times New Roman"/>
          <w:sz w:val="22"/>
          <w:szCs w:val="22"/>
        </w:rPr>
        <w:t>cover at least one of the following areas:</w:t>
      </w:r>
    </w:p>
    <w:p w:rsidRPr="00DF5C34" w:rsidR="003962D4" w:rsidP="00E22D63" w:rsidRDefault="003962D4" w14:paraId="29CBF60C" w14:textId="77777777">
      <w:pPr>
        <w:ind w:left="340" w:hanging="340"/>
      </w:pPr>
    </w:p>
    <w:p w:rsidRPr="00DF5C34" w:rsidR="00550998" w:rsidP="00E22D63" w:rsidRDefault="002A7E2F" w14:paraId="10AAF631" w14:textId="77777777">
      <w:pPr>
        <w:pStyle w:val="ListParagraph"/>
        <w:numPr>
          <w:ilvl w:val="0"/>
          <w:numId w:val="24"/>
        </w:numPr>
        <w:overflowPunct w:val="0"/>
        <w:autoSpaceDE w:val="0"/>
        <w:autoSpaceDN w:val="0"/>
        <w:adjustRightInd w:val="0"/>
        <w:ind w:left="567" w:hanging="567"/>
        <w:contextualSpacing w:val="0"/>
        <w:textAlignment w:val="baseline"/>
      </w:pPr>
      <w:r w:rsidRPr="00DF5C34">
        <w:t xml:space="preserve">Combating </w:t>
      </w:r>
      <w:r w:rsidRPr="00DF5C34" w:rsidR="00550998">
        <w:t xml:space="preserve">gender </w:t>
      </w:r>
      <w:r w:rsidRPr="00DF5C34" w:rsidR="00507E23">
        <w:t>ster</w:t>
      </w:r>
      <w:r w:rsidRPr="00DF5C34" w:rsidR="00E508AC">
        <w:t>e</w:t>
      </w:r>
      <w:r w:rsidRPr="00DF5C34" w:rsidR="00507E23">
        <w:t xml:space="preserve">otypes, </w:t>
      </w:r>
      <w:r w:rsidRPr="00DF5C34">
        <w:t xml:space="preserve">discriminatory </w:t>
      </w:r>
      <w:r w:rsidRPr="00DF5C34" w:rsidR="00507E23">
        <w:t xml:space="preserve">social behaviours </w:t>
      </w:r>
      <w:r w:rsidRPr="00DF5C34" w:rsidR="00550998">
        <w:t>and prejudices in all spheres of economic and social life, included those which can limit the development of the natural talents of women and men</w:t>
      </w:r>
      <w:r w:rsidRPr="00DF5C34" w:rsidR="007C03FE">
        <w:t xml:space="preserve"> </w:t>
      </w:r>
      <w:r w:rsidRPr="00DF5C34" w:rsidR="003B296A">
        <w:t xml:space="preserve">and those </w:t>
      </w:r>
      <w:r w:rsidRPr="00DF5C34" w:rsidR="007C03FE">
        <w:t xml:space="preserve">linked to </w:t>
      </w:r>
      <w:r w:rsidRPr="00DF5C34" w:rsidR="00550998">
        <w:t>their educ</w:t>
      </w:r>
      <w:r w:rsidRPr="00DF5C34" w:rsidR="007C03FE">
        <w:t xml:space="preserve">ational </w:t>
      </w:r>
      <w:r w:rsidRPr="00DF5C34" w:rsidR="00550998">
        <w:t>and professional choices</w:t>
      </w:r>
      <w:r w:rsidRPr="00DF5C34" w:rsidR="007C03FE">
        <w:t>;</w:t>
      </w:r>
    </w:p>
    <w:p w:rsidRPr="00DF5C34" w:rsidR="002A7E2F" w:rsidP="00E22D63" w:rsidRDefault="002A7E2F" w14:paraId="09B36263" w14:textId="77777777">
      <w:pPr>
        <w:pStyle w:val="ListParagraph"/>
        <w:numPr>
          <w:ilvl w:val="0"/>
          <w:numId w:val="24"/>
        </w:numPr>
        <w:overflowPunct w:val="0"/>
        <w:autoSpaceDE w:val="0"/>
        <w:autoSpaceDN w:val="0"/>
        <w:adjustRightInd w:val="0"/>
        <w:ind w:left="567" w:hanging="567"/>
        <w:contextualSpacing w:val="0"/>
        <w:textAlignment w:val="baseline"/>
      </w:pPr>
      <w:r w:rsidRPr="00DF5C34">
        <w:t>Raising awareness of the consequences of gender ster</w:t>
      </w:r>
      <w:r w:rsidRPr="00DF5C34" w:rsidR="007A098E">
        <w:t>e</w:t>
      </w:r>
      <w:r w:rsidRPr="00DF5C34">
        <w:t>otypes produced by media content;</w:t>
      </w:r>
    </w:p>
    <w:p w:rsidRPr="00DF5C34" w:rsidR="001848BF" w:rsidP="00E22D63" w:rsidRDefault="00507E23" w14:paraId="41D2265D" w14:textId="77777777">
      <w:pPr>
        <w:pStyle w:val="ListParagraph"/>
        <w:numPr>
          <w:ilvl w:val="0"/>
          <w:numId w:val="24"/>
        </w:numPr>
        <w:ind w:left="567" w:hanging="567"/>
      </w:pPr>
      <w:r w:rsidRPr="00DF5C34">
        <w:t>C</w:t>
      </w:r>
      <w:r w:rsidRPr="00DF5C34" w:rsidR="001848BF">
        <w:t>ombating horizontal segre</w:t>
      </w:r>
      <w:r w:rsidRPr="00DF5C34" w:rsidR="007A098E">
        <w:t>g</w:t>
      </w:r>
      <w:r w:rsidRPr="00DF5C34" w:rsidR="001848BF">
        <w:t xml:space="preserve">ation in </w:t>
      </w:r>
      <w:r w:rsidRPr="00DF5C34" w:rsidR="009C6D2A">
        <w:t xml:space="preserve">the labour market both as regards </w:t>
      </w:r>
      <w:r w:rsidRPr="00DF5C34" w:rsidR="001848BF">
        <w:t xml:space="preserve">fields </w:t>
      </w:r>
      <w:r w:rsidRPr="00DF5C34" w:rsidR="009C6D2A">
        <w:t xml:space="preserve">with </w:t>
      </w:r>
      <w:r w:rsidRPr="00DF5C34" w:rsidR="007A098E">
        <w:t xml:space="preserve">a </w:t>
      </w:r>
      <w:r w:rsidRPr="00DF5C34" w:rsidR="00CF394A">
        <w:t>predominantly male workforce</w:t>
      </w:r>
      <w:r w:rsidR="00CB722A">
        <w:t>,</w:t>
      </w:r>
      <w:r w:rsidRPr="00DF5C34" w:rsidR="00CF394A">
        <w:t xml:space="preserve"> </w:t>
      </w:r>
      <w:r w:rsidRPr="00DF5C34" w:rsidR="009C6D2A">
        <w:t xml:space="preserve">such as </w:t>
      </w:r>
      <w:r w:rsidRPr="00DF5C34" w:rsidR="001848BF">
        <w:t>science and technology</w:t>
      </w:r>
      <w:r w:rsidR="00CB722A">
        <w:t>,</w:t>
      </w:r>
      <w:r w:rsidRPr="00DF5C34" w:rsidR="001848BF">
        <w:t xml:space="preserve"> </w:t>
      </w:r>
      <w:r w:rsidRPr="00DF5C34" w:rsidR="00CF394A">
        <w:t xml:space="preserve">and </w:t>
      </w:r>
      <w:r w:rsidRPr="00DF5C34" w:rsidR="009938B9">
        <w:t xml:space="preserve">those </w:t>
      </w:r>
      <w:r w:rsidRPr="00DF5C34" w:rsidR="007A098E">
        <w:t>with</w:t>
      </w:r>
      <w:r w:rsidRPr="00DF5C34" w:rsidR="00CF394A">
        <w:t xml:space="preserve"> a strong female presence and often lower remuneration</w:t>
      </w:r>
      <w:r w:rsidR="00CB722A">
        <w:t>,</w:t>
      </w:r>
      <w:r w:rsidRPr="00DF5C34" w:rsidR="00CF394A">
        <w:t xml:space="preserve"> such as </w:t>
      </w:r>
      <w:r w:rsidRPr="00DF5C34" w:rsidR="001848BF">
        <w:t xml:space="preserve">education, </w:t>
      </w:r>
      <w:r w:rsidRPr="00DF5C34" w:rsidR="00A33634">
        <w:t>healthcare an</w:t>
      </w:r>
      <w:r w:rsidRPr="00DF5C34">
        <w:t>d</w:t>
      </w:r>
      <w:r w:rsidRPr="00DF5C34" w:rsidR="00A33634">
        <w:t xml:space="preserve"> welfare</w:t>
      </w:r>
      <w:r w:rsidRPr="00DF5C34" w:rsidR="009938B9">
        <w:t>;</w:t>
      </w:r>
    </w:p>
    <w:p w:rsidRPr="00DF5C34" w:rsidR="00550998" w:rsidP="00E22D63" w:rsidRDefault="00507E23" w14:paraId="361692AE" w14:textId="77777777">
      <w:pPr>
        <w:pStyle w:val="ListParagraph"/>
        <w:numPr>
          <w:ilvl w:val="0"/>
          <w:numId w:val="24"/>
        </w:numPr>
        <w:overflowPunct w:val="0"/>
        <w:autoSpaceDE w:val="0"/>
        <w:autoSpaceDN w:val="0"/>
        <w:adjustRightInd w:val="0"/>
        <w:ind w:left="567" w:hanging="567"/>
        <w:contextualSpacing w:val="0"/>
        <w:textAlignment w:val="baseline"/>
      </w:pPr>
      <w:r w:rsidRPr="00DF5C34">
        <w:t>C</w:t>
      </w:r>
      <w:r w:rsidRPr="00DF5C34" w:rsidR="00CF394A">
        <w:t xml:space="preserve">ombating </w:t>
      </w:r>
      <w:r w:rsidRPr="00DF5C34" w:rsidR="001848BF">
        <w:t>vertical s</w:t>
      </w:r>
      <w:r w:rsidRPr="00DF5C34" w:rsidR="00CF394A">
        <w:t xml:space="preserve">egregation in the labour market, promoting equal opportunities for </w:t>
      </w:r>
      <w:r w:rsidR="00A061E0">
        <w:t xml:space="preserve">the </w:t>
      </w:r>
      <w:r w:rsidRPr="00DF5C34" w:rsidR="00CF394A">
        <w:t>participation of women in high</w:t>
      </w:r>
      <w:r w:rsidRPr="00DF5C34" w:rsidR="006000C8">
        <w:t>ly</w:t>
      </w:r>
      <w:r w:rsidRPr="00DF5C34" w:rsidR="00CF394A">
        <w:t xml:space="preserve"> skilled jobs and </w:t>
      </w:r>
      <w:r w:rsidRPr="00DF5C34" w:rsidR="00535163">
        <w:t>leading positions</w:t>
      </w:r>
      <w:r w:rsidRPr="00DF5C34" w:rsidR="000413A4">
        <w:t xml:space="preserve"> on corporate boards</w:t>
      </w:r>
      <w:r w:rsidRPr="00DF5C34" w:rsidR="009938B9">
        <w:t>;</w:t>
      </w:r>
    </w:p>
    <w:p w:rsidRPr="00DF5C34" w:rsidR="00701457" w:rsidP="00E22D63" w:rsidRDefault="00701457" w14:paraId="1B05EF56" w14:textId="77777777">
      <w:pPr>
        <w:pStyle w:val="ListParagraph"/>
        <w:numPr>
          <w:ilvl w:val="0"/>
          <w:numId w:val="24"/>
        </w:numPr>
        <w:overflowPunct w:val="0"/>
        <w:autoSpaceDE w:val="0"/>
        <w:autoSpaceDN w:val="0"/>
        <w:adjustRightInd w:val="0"/>
        <w:ind w:left="567" w:hanging="567"/>
        <w:contextualSpacing w:val="0"/>
        <w:textAlignment w:val="baseline"/>
      </w:pPr>
      <w:r w:rsidRPr="00DF5C34">
        <w:t xml:space="preserve">Combating gender segregation </w:t>
      </w:r>
      <w:r w:rsidRPr="00DF5C34" w:rsidR="008A6AAA">
        <w:t xml:space="preserve">patterns </w:t>
      </w:r>
      <w:r w:rsidRPr="00DF5C34">
        <w:t>in educat</w:t>
      </w:r>
      <w:r w:rsidRPr="00DF5C34" w:rsidR="00BA60C6">
        <w:t>i</w:t>
      </w:r>
      <w:r w:rsidRPr="00DF5C34">
        <w:t>on and training;</w:t>
      </w:r>
    </w:p>
    <w:p w:rsidRPr="00DF5C34" w:rsidR="00231FDE" w:rsidP="00E22D63" w:rsidRDefault="00231FDE" w14:paraId="4DBB6CB7" w14:textId="77777777">
      <w:pPr>
        <w:pStyle w:val="ListParagraph"/>
        <w:numPr>
          <w:ilvl w:val="0"/>
          <w:numId w:val="24"/>
        </w:numPr>
        <w:overflowPunct w:val="0"/>
        <w:autoSpaceDE w:val="0"/>
        <w:autoSpaceDN w:val="0"/>
        <w:adjustRightInd w:val="0"/>
        <w:ind w:left="567" w:hanging="567"/>
        <w:contextualSpacing w:val="0"/>
        <w:textAlignment w:val="baseline"/>
      </w:pPr>
      <w:r w:rsidRPr="00DF5C34">
        <w:t>Promoting female entrepreneurship, especially in non-traditional sectors, strengthening women's access to finance and addressing the challenges faced by female entrepreneurs;</w:t>
      </w:r>
    </w:p>
    <w:p w:rsidRPr="00DF5C34" w:rsidR="00C60C98" w:rsidP="00E22D63" w:rsidRDefault="00550998" w14:paraId="2A468458" w14:textId="77777777">
      <w:pPr>
        <w:pStyle w:val="ListParagraph"/>
        <w:numPr>
          <w:ilvl w:val="0"/>
          <w:numId w:val="24"/>
        </w:numPr>
        <w:overflowPunct w:val="0"/>
        <w:autoSpaceDE w:val="0"/>
        <w:autoSpaceDN w:val="0"/>
        <w:adjustRightInd w:val="0"/>
        <w:ind w:left="567" w:hanging="567"/>
        <w:contextualSpacing w:val="0"/>
        <w:textAlignment w:val="baseline"/>
      </w:pPr>
      <w:r w:rsidRPr="00DF5C34">
        <w:t xml:space="preserve">Raising awareness of </w:t>
      </w:r>
      <w:r w:rsidRPr="00DF5C34" w:rsidR="00A33634">
        <w:t xml:space="preserve">the importance of women's economic </w:t>
      </w:r>
      <w:r w:rsidRPr="00DF5C34" w:rsidR="00507E23">
        <w:t>independence</w:t>
      </w:r>
      <w:r w:rsidRPr="00DF5C34" w:rsidR="00C60C98">
        <w:t>;</w:t>
      </w:r>
    </w:p>
    <w:p w:rsidRPr="00DF5C34" w:rsidR="00C60C98" w:rsidP="00E22D63" w:rsidRDefault="007A098E" w14:paraId="6E4FF1F7" w14:textId="77777777">
      <w:pPr>
        <w:pStyle w:val="ListParagraph"/>
        <w:numPr>
          <w:ilvl w:val="0"/>
          <w:numId w:val="24"/>
        </w:numPr>
        <w:overflowPunct w:val="0"/>
        <w:autoSpaceDE w:val="0"/>
        <w:autoSpaceDN w:val="0"/>
        <w:adjustRightInd w:val="0"/>
        <w:ind w:left="567" w:hanging="567"/>
        <w:contextualSpacing w:val="0"/>
        <w:textAlignment w:val="baseline"/>
      </w:pPr>
      <w:r w:rsidRPr="00DF5C34">
        <w:t>Combating</w:t>
      </w:r>
      <w:r w:rsidRPr="00DF5C34" w:rsidR="00550998">
        <w:t xml:space="preserve"> gender pay and pension gaps</w:t>
      </w:r>
      <w:r w:rsidRPr="00DF5C34" w:rsidR="00C60C98">
        <w:t>;</w:t>
      </w:r>
    </w:p>
    <w:p w:rsidRPr="00DF5C34" w:rsidR="00231FDE" w:rsidP="00E22D63" w:rsidRDefault="00231FDE" w14:paraId="0C02944F" w14:textId="77777777">
      <w:pPr>
        <w:pStyle w:val="ListParagraph"/>
        <w:numPr>
          <w:ilvl w:val="0"/>
          <w:numId w:val="24"/>
        </w:numPr>
        <w:overflowPunct w:val="0"/>
        <w:autoSpaceDE w:val="0"/>
        <w:autoSpaceDN w:val="0"/>
        <w:adjustRightInd w:val="0"/>
        <w:ind w:left="567" w:hanging="567"/>
        <w:contextualSpacing w:val="0"/>
        <w:textAlignment w:val="baseline"/>
      </w:pPr>
      <w:r w:rsidRPr="00DF5C34">
        <w:t>Promoting gender equality in decision making;</w:t>
      </w:r>
    </w:p>
    <w:p w:rsidRPr="00DF5C34" w:rsidR="00A33634" w:rsidP="00E22D63" w:rsidRDefault="00550998" w14:paraId="5A004CAD" w14:textId="77777777">
      <w:pPr>
        <w:pStyle w:val="ListParagraph"/>
        <w:numPr>
          <w:ilvl w:val="0"/>
          <w:numId w:val="24"/>
        </w:numPr>
        <w:overflowPunct w:val="0"/>
        <w:autoSpaceDE w:val="0"/>
        <w:autoSpaceDN w:val="0"/>
        <w:adjustRightInd w:val="0"/>
        <w:ind w:left="567" w:hanging="567"/>
        <w:contextualSpacing w:val="0"/>
        <w:textAlignment w:val="baseline"/>
      </w:pPr>
      <w:r w:rsidRPr="00DF5C34">
        <w:t>Tackling the specific needs of women with family responsibilities (children and adult dependents), promoting gender</w:t>
      </w:r>
      <w:r w:rsidRPr="00DF5C34" w:rsidR="007A098E">
        <w:t>-</w:t>
      </w:r>
      <w:r w:rsidRPr="00DF5C34">
        <w:t>related work</w:t>
      </w:r>
      <w:r w:rsidRPr="00DF5C34" w:rsidR="00507E23">
        <w:t>-</w:t>
      </w:r>
      <w:r w:rsidRPr="00DF5C34">
        <w:t>life balance</w:t>
      </w:r>
      <w:r w:rsidRPr="00DF5C34" w:rsidR="007A098E">
        <w:t>, for instance</w:t>
      </w:r>
      <w:r w:rsidRPr="00DF5C34" w:rsidR="00BB33CD">
        <w:t xml:space="preserve"> </w:t>
      </w:r>
      <w:r w:rsidRPr="00DF5C34">
        <w:t>through initiatives</w:t>
      </w:r>
      <w:r w:rsidRPr="00DF5C34" w:rsidR="00BB33CD">
        <w:t xml:space="preserve"> </w:t>
      </w:r>
      <w:r w:rsidRPr="00DF5C34" w:rsidR="007A098E">
        <w:t>to</w:t>
      </w:r>
      <w:r w:rsidRPr="00DF5C34" w:rsidR="00BB33CD">
        <w:t xml:space="preserve"> </w:t>
      </w:r>
      <w:r w:rsidRPr="00DF5C34" w:rsidR="007A098E">
        <w:t>split</w:t>
      </w:r>
      <w:r w:rsidRPr="00DF5C34" w:rsidR="00BB33CD">
        <w:t xml:space="preserve"> car</w:t>
      </w:r>
      <w:r w:rsidRPr="00DF5C34" w:rsidR="007A098E">
        <w:t>e</w:t>
      </w:r>
      <w:r w:rsidRPr="00DF5C34" w:rsidR="00BB33CD">
        <w:t xml:space="preserve"> and </w:t>
      </w:r>
      <w:r w:rsidRPr="00DF5C34" w:rsidR="008A6AAA">
        <w:t>domestic tasks</w:t>
      </w:r>
      <w:r w:rsidRPr="00DF5C34" w:rsidR="007A098E">
        <w:t xml:space="preserve"> fairly</w:t>
      </w:r>
      <w:r w:rsidRPr="00DF5C34" w:rsidR="00BB33CD">
        <w:t xml:space="preserve"> </w:t>
      </w:r>
      <w:r w:rsidRPr="00DF5C34" w:rsidR="007A098E">
        <w:t xml:space="preserve">and </w:t>
      </w:r>
      <w:r w:rsidRPr="00DF5C34" w:rsidR="00BB33CD">
        <w:t xml:space="preserve">through the </w:t>
      </w:r>
      <w:r w:rsidRPr="00DF5C34" w:rsidR="002A7E2F">
        <w:t xml:space="preserve">development </w:t>
      </w:r>
      <w:r w:rsidRPr="00DF5C34" w:rsidR="00BB33CD">
        <w:t xml:space="preserve">of </w:t>
      </w:r>
      <w:r w:rsidRPr="00DF5C34" w:rsidR="000413A4">
        <w:t xml:space="preserve">an affordable and accessible </w:t>
      </w:r>
      <w:r w:rsidRPr="00DF5C34" w:rsidR="00BB33CD">
        <w:t>social and</w:t>
      </w:r>
      <w:r w:rsidRPr="00DF5C34" w:rsidR="000413A4">
        <w:t xml:space="preserve"> </w:t>
      </w:r>
      <w:r w:rsidRPr="00DF5C34" w:rsidR="00BB33CD">
        <w:t>economic infrastructure for the</w:t>
      </w:r>
      <w:r w:rsidRPr="00DF5C34" w:rsidR="00731A11">
        <w:t xml:space="preserve"> exercise of equal rights (</w:t>
      </w:r>
      <w:r w:rsidRPr="00DF5C34" w:rsidR="00BB33CD">
        <w:t>care facilities, work patterns</w:t>
      </w:r>
      <w:r w:rsidRPr="00DF5C34" w:rsidR="002B5F47">
        <w:t>,</w:t>
      </w:r>
      <w:r w:rsidRPr="00DF5C34" w:rsidR="00F05EB9">
        <w:t xml:space="preserve"> etc.</w:t>
      </w:r>
      <w:r w:rsidRPr="00DF5C34" w:rsidR="00BB33CD">
        <w:t>)</w:t>
      </w:r>
      <w:r w:rsidRPr="00DF5C34" w:rsidR="00A33634">
        <w:t>;</w:t>
      </w:r>
    </w:p>
    <w:p w:rsidRPr="00DF5C34" w:rsidR="00F05EB9" w:rsidP="00E22D63" w:rsidRDefault="00F05EB9" w14:paraId="588A689B" w14:textId="77777777">
      <w:pPr>
        <w:pStyle w:val="ListParagraph"/>
        <w:numPr>
          <w:ilvl w:val="0"/>
          <w:numId w:val="24"/>
        </w:numPr>
        <w:overflowPunct w:val="0"/>
        <w:autoSpaceDE w:val="0"/>
        <w:autoSpaceDN w:val="0"/>
        <w:adjustRightInd w:val="0"/>
        <w:ind w:left="567" w:hanging="567"/>
        <w:contextualSpacing w:val="0"/>
        <w:textAlignment w:val="baseline"/>
      </w:pPr>
      <w:r w:rsidRPr="00DF5C34">
        <w:t xml:space="preserve">Addressing the </w:t>
      </w:r>
      <w:r w:rsidRPr="00DF5C34" w:rsidR="00507E23">
        <w:t>specific</w:t>
      </w:r>
      <w:r w:rsidRPr="00DF5C34">
        <w:t xml:space="preserve"> challenges </w:t>
      </w:r>
      <w:r w:rsidRPr="00DF5C34" w:rsidR="002B5F47">
        <w:t>facing</w:t>
      </w:r>
      <w:r w:rsidRPr="00DF5C34">
        <w:t xml:space="preserve"> </w:t>
      </w:r>
      <w:r w:rsidRPr="00DF5C34" w:rsidR="00701457">
        <w:t>vulnerable</w:t>
      </w:r>
      <w:r w:rsidRPr="00DF5C34">
        <w:t xml:space="preserve"> women</w:t>
      </w:r>
      <w:r w:rsidRPr="00DF5C34" w:rsidR="002B5F47">
        <w:t>,</w:t>
      </w:r>
      <w:r w:rsidRPr="00DF5C34">
        <w:t xml:space="preserve"> such as women with low qualifications, single mothers, female workers re</w:t>
      </w:r>
      <w:r w:rsidRPr="00DF5C34" w:rsidR="00BA60C6">
        <w:t>-</w:t>
      </w:r>
      <w:r w:rsidRPr="00DF5C34">
        <w:t>entering the labour market, women with disabilities, migrants, ethnic minorities</w:t>
      </w:r>
      <w:r w:rsidRPr="00DF5C34" w:rsidR="00BA60C6">
        <w:t>;</w:t>
      </w:r>
    </w:p>
    <w:p w:rsidRPr="00DF5C34" w:rsidR="00A33634" w:rsidP="00E22D63" w:rsidRDefault="002A7E2F" w14:paraId="50DBE164" w14:textId="77777777">
      <w:pPr>
        <w:pStyle w:val="ListParagraph"/>
        <w:numPr>
          <w:ilvl w:val="0"/>
          <w:numId w:val="24"/>
        </w:numPr>
        <w:overflowPunct w:val="0"/>
        <w:autoSpaceDE w:val="0"/>
        <w:autoSpaceDN w:val="0"/>
        <w:adjustRightInd w:val="0"/>
        <w:ind w:left="567" w:hanging="567"/>
        <w:contextualSpacing w:val="0"/>
        <w:textAlignment w:val="baseline"/>
      </w:pPr>
      <w:r w:rsidRPr="00DF5C34">
        <w:t>Raising awareness, promoting mutual learning and disseminating good practices concerning the above</w:t>
      </w:r>
      <w:r w:rsidRPr="00DF5C34" w:rsidR="00A33634">
        <w:t>.</w:t>
      </w:r>
    </w:p>
    <w:p w:rsidRPr="00DF5C34" w:rsidR="00682072" w:rsidP="00E22D63" w:rsidRDefault="00682072" w14:paraId="1E62A66D" w14:textId="77777777"/>
    <w:p w:rsidRPr="00DF5C34" w:rsidR="003962D4" w:rsidP="00E22D63" w:rsidRDefault="003962D4" w14:paraId="4997690E" w14:textId="77777777">
      <w:pPr>
        <w:pStyle w:val="Heading1"/>
        <w:keepNext/>
        <w:overflowPunct w:val="0"/>
        <w:autoSpaceDE w:val="0"/>
        <w:autoSpaceDN w:val="0"/>
        <w:adjustRightInd w:val="0"/>
        <w:textAlignment w:val="baseline"/>
        <w:rPr>
          <w:b/>
        </w:rPr>
      </w:pPr>
      <w:r w:rsidRPr="00DF5C34">
        <w:rPr>
          <w:b/>
        </w:rPr>
        <w:t>Application procedure and deadline</w:t>
      </w:r>
    </w:p>
    <w:p w:rsidRPr="00DF5C34" w:rsidR="003962D4" w:rsidP="00E22D63" w:rsidRDefault="003962D4" w14:paraId="50A62689" w14:textId="77777777">
      <w:pPr>
        <w:keepNext/>
      </w:pPr>
    </w:p>
    <w:p w:rsidRPr="00DF5C34" w:rsidR="003962D4" w:rsidP="00E22D63" w:rsidRDefault="003962D4" w14:paraId="1121378E" w14:textId="77777777">
      <w:r w:rsidRPr="00DF5C34">
        <w:t>Applications are to be made by filling in the online application form (</w:t>
      </w:r>
      <w:hyperlink w:history="1" r:id="rId15">
        <w:r w:rsidRPr="00DF5C34">
          <w:rPr>
            <w:rStyle w:val="Hyperlink"/>
          </w:rPr>
          <w:t>www.eesc.europa.eu/civilsocietyprize</w:t>
        </w:r>
      </w:hyperlink>
      <w:r w:rsidRPr="00DF5C34">
        <w:t xml:space="preserve">). In duly </w:t>
      </w:r>
      <w:r w:rsidRPr="00DF5C34" w:rsidR="002B5F47">
        <w:t xml:space="preserve">justified </w:t>
      </w:r>
      <w:r w:rsidRPr="00DF5C34">
        <w:t>cases linked to documented technical problems, the EESC may allow candidates to apply by e-mail, fax or post.</w:t>
      </w:r>
    </w:p>
    <w:p w:rsidRPr="00DF5C34" w:rsidR="003962D4" w:rsidP="00E22D63" w:rsidRDefault="003962D4" w14:paraId="425CF7A3" w14:textId="77777777"/>
    <w:p w:rsidRPr="00DF5C34" w:rsidR="003962D4" w:rsidP="00E22D63" w:rsidRDefault="003962D4" w14:paraId="0394F2C6" w14:textId="77777777">
      <w:pPr>
        <w:keepNext/>
      </w:pPr>
      <w:r w:rsidRPr="00DF5C34">
        <w:t>The application must contain all the information the selection board requires in order to:</w:t>
      </w:r>
    </w:p>
    <w:p w:rsidRPr="00DF5C34" w:rsidR="003962D4" w:rsidP="00E22D63" w:rsidRDefault="003962D4" w14:paraId="04323F25" w14:textId="77777777">
      <w:pPr>
        <w:keepNext/>
      </w:pPr>
    </w:p>
    <w:p w:rsidRPr="00DF5C34" w:rsidR="003962D4" w:rsidP="00E22D63" w:rsidRDefault="003962D4" w14:paraId="16AD1E2C" w14:textId="77777777">
      <w:pPr>
        <w:numPr>
          <w:ilvl w:val="0"/>
          <w:numId w:val="16"/>
        </w:numPr>
        <w:tabs>
          <w:tab w:val="clear" w:pos="0"/>
        </w:tabs>
        <w:autoSpaceDE w:val="0"/>
        <w:autoSpaceDN w:val="0"/>
        <w:ind w:left="567" w:hanging="567"/>
      </w:pPr>
      <w:r w:rsidRPr="00DF5C34">
        <w:t>ascertain that the civil society organisations or the individuals concerned fulfil the formal entry criteria;</w:t>
      </w:r>
    </w:p>
    <w:p w:rsidRPr="00DF5C34" w:rsidR="003962D4" w:rsidP="00E22D63" w:rsidRDefault="003962D4" w14:paraId="0A6B4C83" w14:textId="77777777">
      <w:pPr>
        <w:numPr>
          <w:ilvl w:val="0"/>
          <w:numId w:val="16"/>
        </w:numPr>
        <w:tabs>
          <w:tab w:val="clear" w:pos="0"/>
        </w:tabs>
        <w:autoSpaceDE w:val="0"/>
        <w:autoSpaceDN w:val="0"/>
        <w:ind w:left="567" w:hanging="567"/>
      </w:pPr>
      <w:r w:rsidRPr="00DF5C34">
        <w:t>ascertain that the civil society organisations or the individuals concerned comply with the exclusion criteria;</w:t>
      </w:r>
    </w:p>
    <w:p w:rsidRPr="00DF5C34" w:rsidR="003962D4" w:rsidP="00E22D63" w:rsidRDefault="003962D4" w14:paraId="5162FEDA" w14:textId="77777777">
      <w:pPr>
        <w:numPr>
          <w:ilvl w:val="0"/>
          <w:numId w:val="16"/>
        </w:numPr>
        <w:tabs>
          <w:tab w:val="clear" w:pos="0"/>
        </w:tabs>
        <w:autoSpaceDE w:val="0"/>
        <w:autoSpaceDN w:val="0"/>
        <w:ind w:left="567" w:hanging="567"/>
      </w:pPr>
      <w:r w:rsidRPr="00DF5C34">
        <w:t>ascertain that the civil society organisations or the individuals concerned accept the provisions concerning liability, checks, audits and applicable law;</w:t>
      </w:r>
    </w:p>
    <w:p w:rsidRPr="00DF5C34" w:rsidR="003962D4" w:rsidP="00E22D63" w:rsidRDefault="003962D4" w14:paraId="5DD7D30D" w14:textId="77777777">
      <w:pPr>
        <w:numPr>
          <w:ilvl w:val="0"/>
          <w:numId w:val="17"/>
        </w:numPr>
        <w:tabs>
          <w:tab w:val="clear" w:pos="0"/>
        </w:tabs>
        <w:autoSpaceDE w:val="0"/>
        <w:autoSpaceDN w:val="0"/>
        <w:ind w:left="567" w:hanging="567"/>
      </w:pPr>
      <w:r w:rsidRPr="00DF5C34">
        <w:t>evaluate the substantive merits of each entry in relation to the award criteria.</w:t>
      </w:r>
    </w:p>
    <w:p w:rsidRPr="00DF5C34" w:rsidR="003962D4" w:rsidP="00E22D63" w:rsidRDefault="003962D4" w14:paraId="3BC87C1B" w14:textId="77777777"/>
    <w:p w:rsidRPr="00DF5C34" w:rsidR="003962D4" w:rsidP="00E22D63" w:rsidRDefault="003962D4" w14:paraId="154DDE3E" w14:textId="77777777">
      <w:pPr>
        <w:outlineLvl w:val="0"/>
      </w:pPr>
      <w:r w:rsidRPr="00DF5C34">
        <w:t xml:space="preserve">To this end, each application </w:t>
      </w:r>
      <w:r w:rsidRPr="00DF5C34" w:rsidR="002B5F47">
        <w:t xml:space="preserve">must </w:t>
      </w:r>
      <w:r w:rsidRPr="00DF5C34">
        <w:t>include the duly filled in and signed Declaration on honour on exclusion criteria and eligibility criteria (Appendix 1).</w:t>
      </w:r>
    </w:p>
    <w:p w:rsidRPr="00DF5C34" w:rsidR="003962D4" w:rsidP="00E22D63" w:rsidRDefault="003962D4" w14:paraId="6753C078" w14:textId="77777777">
      <w:pPr>
        <w:outlineLvl w:val="0"/>
      </w:pPr>
    </w:p>
    <w:p w:rsidRPr="00DF5C34" w:rsidR="003962D4" w:rsidP="00E22D63" w:rsidRDefault="003962D4" w14:paraId="130BB488" w14:textId="77777777">
      <w:pPr>
        <w:keepNext/>
        <w:outlineLvl w:val="0"/>
      </w:pPr>
      <w:r w:rsidRPr="00DF5C34">
        <w:t xml:space="preserve">Before the prize is awarded, candidates will be asked to </w:t>
      </w:r>
      <w:r w:rsidRPr="00DF5C34" w:rsidR="000E2AFE">
        <w:t>return</w:t>
      </w:r>
      <w:r w:rsidRPr="00DF5C34">
        <w:t xml:space="preserve"> the duly completed and signed Legal Entity Form and Financial Identification Form as well as the relevant supporting documents. The forms are available at:</w:t>
      </w:r>
    </w:p>
    <w:p w:rsidRPr="00DF5C34" w:rsidR="003962D4" w:rsidP="00E22D63" w:rsidRDefault="005C1CAB" w14:paraId="43197F53" w14:textId="79F3F1F2">
      <w:pPr>
        <w:outlineLvl w:val="0"/>
      </w:pPr>
      <w:hyperlink w:history="1" r:id="rId16">
        <w:r w:rsidRPr="007C1754" w:rsidR="00B032A3">
          <w:rPr>
            <w:rStyle w:val="Hyperlink"/>
          </w:rPr>
          <w:t>https://ec.europa.eu/info/publications/legal-entities_en</w:t>
        </w:r>
      </w:hyperlink>
    </w:p>
    <w:p w:rsidRPr="00DF5C34" w:rsidR="003962D4" w:rsidP="00E22D63" w:rsidRDefault="003962D4" w14:paraId="44367CA7" w14:textId="77777777">
      <w:pPr>
        <w:keepNext/>
        <w:outlineLvl w:val="0"/>
      </w:pPr>
      <w:r w:rsidRPr="00DF5C34">
        <w:t xml:space="preserve">and the </w:t>
      </w:r>
    </w:p>
    <w:p w:rsidRPr="00DF5C34" w:rsidR="003962D4" w:rsidP="00E22D63" w:rsidRDefault="005C1CAB" w14:paraId="7958E2EA" w14:textId="1E95B95E">
      <w:pPr>
        <w:outlineLvl w:val="0"/>
      </w:pPr>
      <w:hyperlink w:history="1" r:id="rId17">
        <w:r w:rsidRPr="007C1754" w:rsidR="00A061E0">
          <w:rPr>
            <w:rStyle w:val="Hyperlink"/>
          </w:rPr>
          <w:t>https://ec.europa.eu/info/publications/financial-identification_en</w:t>
        </w:r>
      </w:hyperlink>
      <w:r w:rsidRPr="00DF5C34" w:rsidR="008569FF">
        <w:t>.</w:t>
      </w:r>
    </w:p>
    <w:p w:rsidRPr="00DF5C34" w:rsidR="003962D4" w:rsidP="00E22D63" w:rsidRDefault="003962D4" w14:paraId="62061973" w14:textId="77777777"/>
    <w:p w:rsidRPr="00DF5C34" w:rsidR="003962D4" w:rsidP="00E22D63" w:rsidRDefault="00AC7CB0" w14:paraId="1F0B4717" w14:textId="77777777">
      <w:r w:rsidRPr="00DF5C34">
        <w:t xml:space="preserve">Applications can be drafted in any official </w:t>
      </w:r>
      <w:r w:rsidRPr="00DF5C34" w:rsidR="000E2AFE">
        <w:t xml:space="preserve">EU </w:t>
      </w:r>
      <w:r w:rsidRPr="00DF5C34">
        <w:t>language. However, to speed up the evaluation process, the EESC would appreciate receiving the application form in English or French.</w:t>
      </w:r>
    </w:p>
    <w:p w:rsidRPr="00DF5C34" w:rsidR="003962D4" w:rsidP="00E22D63" w:rsidRDefault="003962D4" w14:paraId="0EB30FEE" w14:textId="77777777"/>
    <w:p w:rsidRPr="00DF5C34" w:rsidR="003962D4" w:rsidP="00E22D63" w:rsidRDefault="003962D4" w14:paraId="0676D762" w14:textId="77777777">
      <w:r w:rsidRPr="00DF5C34">
        <w:t>Submission of an application implies acceptance of all the terms and conditions set out in the contest documents and, where appropriate, waiver of the candidate's own general or specific terms and conditions.</w:t>
      </w:r>
    </w:p>
    <w:p w:rsidRPr="00DF5C34" w:rsidR="003962D4" w:rsidP="00E22D63" w:rsidRDefault="003962D4" w14:paraId="18318DBD" w14:textId="77777777"/>
    <w:p w:rsidRPr="00DF5C34" w:rsidR="003962D4" w:rsidP="00E22D63" w:rsidRDefault="003962D4" w14:paraId="40175BE9" w14:textId="2B1A1346">
      <w:r w:rsidRPr="00DF5C34">
        <w:t xml:space="preserve">The final deadline for sending </w:t>
      </w:r>
      <w:r w:rsidRPr="00081B00">
        <w:t>applications is</w:t>
      </w:r>
      <w:r w:rsidRPr="00081B00" w:rsidR="000967F9">
        <w:t xml:space="preserve"> </w:t>
      </w:r>
      <w:r w:rsidR="00B05150">
        <w:rPr>
          <w:b/>
        </w:rPr>
        <w:t xml:space="preserve">Friday 6 September </w:t>
      </w:r>
      <w:r w:rsidRPr="00081B00">
        <w:rPr>
          <w:b/>
        </w:rPr>
        <w:t>201</w:t>
      </w:r>
      <w:r w:rsidRPr="00081B00" w:rsidR="00862052">
        <w:rPr>
          <w:b/>
        </w:rPr>
        <w:t>9</w:t>
      </w:r>
      <w:r w:rsidRPr="00081B00">
        <w:rPr>
          <w:b/>
        </w:rPr>
        <w:t xml:space="preserve">, at </w:t>
      </w:r>
      <w:r w:rsidRPr="00081B00" w:rsidR="000967F9">
        <w:rPr>
          <w:b/>
        </w:rPr>
        <w:t>1</w:t>
      </w:r>
      <w:r w:rsidRPr="00081B00" w:rsidR="00081B00">
        <w:rPr>
          <w:b/>
        </w:rPr>
        <w:t>0</w:t>
      </w:r>
      <w:r w:rsidRPr="00081B00" w:rsidR="000967F9">
        <w:rPr>
          <w:b/>
        </w:rPr>
        <w:t>:00</w:t>
      </w:r>
      <w:r w:rsidRPr="00081B00">
        <w:rPr>
          <w:b/>
        </w:rPr>
        <w:t xml:space="preserve"> (CE</w:t>
      </w:r>
      <w:r w:rsidR="00E061E4">
        <w:rPr>
          <w:b/>
        </w:rPr>
        <w:t>S</w:t>
      </w:r>
      <w:r w:rsidRPr="00081B00">
        <w:rPr>
          <w:b/>
        </w:rPr>
        <w:t>T)</w:t>
      </w:r>
      <w:r w:rsidRPr="00081B00">
        <w:t>.</w:t>
      </w:r>
    </w:p>
    <w:p w:rsidRPr="00DF5C34" w:rsidR="003962D4" w:rsidP="00E22D63" w:rsidRDefault="00B33DFE" w14:paraId="5B2DC1B9" w14:textId="77777777">
      <w:r w:rsidRPr="00DF5C34">
        <w:t xml:space="preserve">To avoid system overloading, </w:t>
      </w:r>
      <w:r w:rsidRPr="00DF5C34">
        <w:rPr>
          <w:b/>
        </w:rPr>
        <w:t>we recommend that candidates send their application</w:t>
      </w:r>
      <w:r w:rsidRPr="00DF5C34" w:rsidR="000C3C5F">
        <w:rPr>
          <w:b/>
        </w:rPr>
        <w:t>s</w:t>
      </w:r>
      <w:r w:rsidRPr="00DF5C34">
        <w:rPr>
          <w:b/>
        </w:rPr>
        <w:t xml:space="preserve"> in advance</w:t>
      </w:r>
      <w:r w:rsidRPr="00DF5C34">
        <w:t>.</w:t>
      </w:r>
    </w:p>
    <w:p w:rsidRPr="00DF5C34" w:rsidR="00B33DFE" w:rsidP="00E22D63" w:rsidRDefault="00B33DFE" w14:paraId="056DCC5F" w14:textId="77777777"/>
    <w:p w:rsidRPr="00DF5C34" w:rsidR="003962D4" w:rsidP="00E22D63" w:rsidRDefault="003962D4" w14:paraId="60461D25" w14:textId="77777777">
      <w:r w:rsidRPr="00DF5C34">
        <w:t>Candidates can submit only one entry. Entering the competition is free of charge. If preparing and sending the application entails costs for a specific candidate, these will not be reimbursed.</w:t>
      </w:r>
    </w:p>
    <w:p w:rsidRPr="00DF5C34" w:rsidR="003962D4" w:rsidP="00E22D63" w:rsidRDefault="003962D4" w14:paraId="7CD8FCF7" w14:textId="77777777"/>
    <w:p w:rsidRPr="00DF5C34" w:rsidR="003962D4" w:rsidP="00E22D63" w:rsidRDefault="003962D4" w14:paraId="2B6D787B" w14:textId="77777777">
      <w:r w:rsidRPr="00DF5C34">
        <w:t xml:space="preserve">Candidates will </w:t>
      </w:r>
      <w:r w:rsidRPr="00DF5C34" w:rsidR="00E624A3">
        <w:t xml:space="preserve">see a message on the screen confirming </w:t>
      </w:r>
      <w:r w:rsidRPr="00DF5C34">
        <w:t>that the application has been successfully sent.</w:t>
      </w:r>
    </w:p>
    <w:p w:rsidRPr="00DF5C34" w:rsidR="003962D4" w:rsidP="00E22D63" w:rsidRDefault="003962D4" w14:paraId="21B3DE21" w14:textId="77777777"/>
    <w:p w:rsidRPr="00DF5C34" w:rsidR="003962D4" w:rsidP="00E22D63" w:rsidRDefault="003962D4" w14:paraId="0C5D4A7E" w14:textId="77777777">
      <w:pPr>
        <w:pStyle w:val="Heading1"/>
        <w:keepNext/>
        <w:overflowPunct w:val="0"/>
        <w:autoSpaceDE w:val="0"/>
        <w:autoSpaceDN w:val="0"/>
        <w:adjustRightInd w:val="0"/>
        <w:textAlignment w:val="baseline"/>
        <w:rPr>
          <w:b/>
        </w:rPr>
      </w:pPr>
      <w:r w:rsidRPr="00DF5C34">
        <w:rPr>
          <w:b/>
        </w:rPr>
        <w:t>Evaluation and award</w:t>
      </w:r>
    </w:p>
    <w:p w:rsidRPr="00DF5C34" w:rsidR="004661E0" w:rsidP="00E22D63" w:rsidRDefault="004661E0" w14:paraId="71FF8795" w14:textId="77777777">
      <w:pPr>
        <w:keepNext/>
      </w:pPr>
    </w:p>
    <w:p w:rsidRPr="00DF5C34" w:rsidR="003962D4" w:rsidP="00E22D63" w:rsidRDefault="003962D4" w14:paraId="730147BA" w14:textId="77777777">
      <w:pPr>
        <w:pStyle w:val="Heading2"/>
        <w:keepNext/>
        <w:overflowPunct w:val="0"/>
        <w:autoSpaceDE w:val="0"/>
        <w:autoSpaceDN w:val="0"/>
        <w:adjustRightInd w:val="0"/>
        <w:textAlignment w:val="baseline"/>
        <w:rPr>
          <w:b/>
        </w:rPr>
      </w:pPr>
      <w:r w:rsidRPr="00DF5C34">
        <w:rPr>
          <w:b/>
        </w:rPr>
        <w:t>Evaluation steps</w:t>
      </w:r>
    </w:p>
    <w:p w:rsidRPr="00DF5C34" w:rsidR="003962D4" w:rsidP="00E22D63" w:rsidRDefault="003962D4" w14:paraId="13299A4B" w14:textId="77777777">
      <w:pPr>
        <w:keepNext/>
      </w:pPr>
    </w:p>
    <w:p w:rsidRPr="00DF5C34" w:rsidR="001C46A1" w:rsidP="00E22D63" w:rsidRDefault="003962D4" w14:paraId="3E10DC21" w14:textId="77777777">
      <w:r w:rsidRPr="00DF5C34">
        <w:t>The evaluation will be carried out by a panel of experts composed of 10 members (the "evaluation panel"), who are subject to the requirements on conflict of interests laid down in the Financial Regulation</w:t>
      </w:r>
      <w:r w:rsidRPr="00DF5C34">
        <w:rPr>
          <w:rStyle w:val="FootnoteReference"/>
        </w:rPr>
        <w:footnoteReference w:id="26"/>
      </w:r>
      <w:r w:rsidRPr="00DF5C34">
        <w:t>. The evaluation will be based solely on the information provided in the submitted application form.</w:t>
      </w:r>
    </w:p>
    <w:p w:rsidRPr="00DF5C34" w:rsidR="001C46A1" w:rsidP="00E22D63" w:rsidRDefault="001C46A1" w14:paraId="27D9B043" w14:textId="77777777"/>
    <w:p w:rsidRPr="00DF5C34" w:rsidR="00436607" w:rsidP="00E22D63" w:rsidRDefault="00436607" w14:paraId="654BBEBF" w14:textId="77777777">
      <w:r w:rsidRPr="00DF5C34">
        <w:t>The EESC reserves the right not to disclose the identity of the members of the evaluation panel; however, this may be disclosed post award.</w:t>
      </w:r>
    </w:p>
    <w:p w:rsidRPr="00DF5C34" w:rsidR="00436607" w:rsidP="00E22D63" w:rsidRDefault="00436607" w14:paraId="25E19F5F" w14:textId="77777777"/>
    <w:p w:rsidRPr="00DF5C34" w:rsidR="00436607" w:rsidP="00E22D63" w:rsidRDefault="00436607" w14:paraId="5BABCE43" w14:textId="77777777">
      <w:r w:rsidRPr="00DF5C34">
        <w:t xml:space="preserve">Participants should not contact the members of the evaluation panel for any reason related </w:t>
      </w:r>
      <w:r w:rsidRPr="00DF5C34" w:rsidR="000C3C5F">
        <w:t xml:space="preserve">to </w:t>
      </w:r>
      <w:r w:rsidRPr="00DF5C34">
        <w:t>the prize throughout the whole procedure. Any such attempt will result in disqualification.</w:t>
      </w:r>
    </w:p>
    <w:p w:rsidRPr="00DF5C34" w:rsidR="00436607" w:rsidP="00E22D63" w:rsidRDefault="00436607" w14:paraId="6914B681" w14:textId="77777777"/>
    <w:p w:rsidRPr="00DF5C34" w:rsidR="00436607" w:rsidP="00E22D63" w:rsidRDefault="00436607" w14:paraId="5AAA6EB8" w14:textId="77777777">
      <w:r w:rsidRPr="00DF5C34">
        <w:t>The decisions of the evaluation panel are final, binding and not subject to challenge.</w:t>
      </w:r>
    </w:p>
    <w:p w:rsidRPr="00DF5C34" w:rsidR="00436607" w:rsidP="00E22D63" w:rsidRDefault="00436607" w14:paraId="57666C59" w14:textId="77777777"/>
    <w:p w:rsidRPr="00DF5C34" w:rsidR="003962D4" w:rsidP="00E22D63" w:rsidRDefault="00436607" w14:paraId="0F577491" w14:textId="77777777">
      <w:pPr>
        <w:keepNext/>
      </w:pPr>
      <w:r w:rsidRPr="00DF5C34">
        <w:t>The procedure will take place in five steps:</w:t>
      </w:r>
    </w:p>
    <w:p w:rsidRPr="00DF5C34" w:rsidR="003962D4" w:rsidP="00E22D63" w:rsidRDefault="003962D4" w14:paraId="291F972C" w14:textId="77777777">
      <w:pPr>
        <w:keepNext/>
      </w:pPr>
    </w:p>
    <w:p w:rsidRPr="00DF5C34" w:rsidR="003962D4" w:rsidP="00E22D63" w:rsidRDefault="00A32F89" w14:paraId="3BF74B2D" w14:textId="77777777">
      <w:pPr>
        <w:numPr>
          <w:ilvl w:val="0"/>
          <w:numId w:val="19"/>
        </w:numPr>
        <w:ind w:left="567" w:hanging="567"/>
      </w:pPr>
      <w:r w:rsidRPr="00DF5C34">
        <w:t>verification of eligibility of candidates;</w:t>
      </w:r>
    </w:p>
    <w:p w:rsidRPr="00DF5C34" w:rsidR="003962D4" w:rsidP="00E22D63" w:rsidRDefault="00A32F89" w14:paraId="190BCF2C" w14:textId="77777777">
      <w:pPr>
        <w:numPr>
          <w:ilvl w:val="0"/>
          <w:numId w:val="19"/>
        </w:numPr>
        <w:ind w:left="567" w:hanging="567"/>
      </w:pPr>
      <w:r w:rsidRPr="00DF5C34">
        <w:t>verification of eligibility of the initiatives proposed for the prize;</w:t>
      </w:r>
    </w:p>
    <w:p w:rsidRPr="00DF5C34" w:rsidR="003962D4" w:rsidP="00E22D63" w:rsidRDefault="00A32F89" w14:paraId="75178BF2" w14:textId="77777777">
      <w:pPr>
        <w:numPr>
          <w:ilvl w:val="0"/>
          <w:numId w:val="19"/>
        </w:numPr>
        <w:ind w:left="567" w:hanging="567"/>
      </w:pPr>
      <w:r w:rsidRPr="00DF5C34">
        <w:t>verification of non-exclusion of candidates;</w:t>
      </w:r>
    </w:p>
    <w:p w:rsidRPr="00DF5C34" w:rsidR="003962D4" w:rsidP="00E22D63" w:rsidRDefault="00A32F89" w14:paraId="2360AF43" w14:textId="77777777">
      <w:pPr>
        <w:numPr>
          <w:ilvl w:val="0"/>
          <w:numId w:val="19"/>
        </w:numPr>
        <w:ind w:left="567" w:hanging="567"/>
      </w:pPr>
      <w:r w:rsidRPr="00DF5C34">
        <w:t>evaluation of the quality of the initiatives proposed for the prize on the basis of the award criteria;</w:t>
      </w:r>
    </w:p>
    <w:p w:rsidRPr="00DF5C34" w:rsidR="00960F5F" w:rsidP="00E22D63" w:rsidRDefault="00960F5F" w14:paraId="4F3069FE" w14:textId="77777777">
      <w:pPr>
        <w:numPr>
          <w:ilvl w:val="0"/>
          <w:numId w:val="19"/>
        </w:numPr>
        <w:ind w:left="567" w:hanging="567"/>
      </w:pPr>
      <w:r w:rsidRPr="00DF5C34">
        <w:t>award of the prize.</w:t>
      </w:r>
    </w:p>
    <w:p w:rsidRPr="00DF5C34" w:rsidR="003962D4" w:rsidP="00E22D63" w:rsidRDefault="003962D4" w14:paraId="0F5F0826" w14:textId="77777777"/>
    <w:p w:rsidRPr="00DF5C34" w:rsidR="003962D4" w:rsidP="00E22D63" w:rsidRDefault="00F10DFD" w14:paraId="4BC8493C" w14:textId="22621E5A">
      <w:r w:rsidRPr="00DF5C34">
        <w:t xml:space="preserve">The EESC will assess eligibility, non-exclusion and quality in no particular order. The applicants must pass all steps to be awarded the prize. No feedback will be provided to candidates until the end of the procedure. Results will be notified to all candidates as soon as possible and in any case within 15 calendar days after the award decision has been taken by the authorising officer (step 5), </w:t>
      </w:r>
      <w:r w:rsidRPr="00DF5C34" w:rsidR="00DB2198">
        <w:t xml:space="preserve">provisionally </w:t>
      </w:r>
      <w:r w:rsidR="008A3303">
        <w:t xml:space="preserve">at the end of </w:t>
      </w:r>
      <w:r w:rsidRPr="00DF5C34">
        <w:t>November 201</w:t>
      </w:r>
      <w:r w:rsidRPr="00DF5C34" w:rsidR="00E624A3">
        <w:t>9</w:t>
      </w:r>
      <w:r w:rsidRPr="00DF5C34">
        <w:t>.</w:t>
      </w:r>
    </w:p>
    <w:p w:rsidRPr="00DF5C34" w:rsidR="003962D4" w:rsidP="00E22D63" w:rsidRDefault="003962D4" w14:paraId="5DAE5BCF" w14:textId="77777777"/>
    <w:p w:rsidRPr="00DF5C34" w:rsidR="003962D4" w:rsidP="00E22D63" w:rsidRDefault="003962D4" w14:paraId="05050C50" w14:textId="77777777">
      <w:pPr>
        <w:pStyle w:val="Heading3"/>
        <w:keepNext/>
        <w:overflowPunct w:val="0"/>
        <w:autoSpaceDE w:val="0"/>
        <w:autoSpaceDN w:val="0"/>
        <w:adjustRightInd w:val="0"/>
        <w:textAlignment w:val="baseline"/>
        <w:rPr>
          <w:b/>
        </w:rPr>
      </w:pPr>
      <w:r w:rsidRPr="00DF5C34">
        <w:rPr>
          <w:b/>
        </w:rPr>
        <w:t>Verification of eligibility of candidates</w:t>
      </w:r>
    </w:p>
    <w:p w:rsidRPr="00DF5C34" w:rsidR="003962D4" w:rsidP="00E22D63" w:rsidRDefault="003962D4" w14:paraId="2DB6130F" w14:textId="77777777">
      <w:pPr>
        <w:keepNext/>
      </w:pPr>
    </w:p>
    <w:p w:rsidRPr="00DF5C34" w:rsidR="003962D4" w:rsidP="00E22D63" w:rsidRDefault="003962D4" w14:paraId="3D05F08E" w14:textId="77777777">
      <w:r w:rsidRPr="00DF5C34">
        <w:t xml:space="preserve">To be eligible, candidates </w:t>
      </w:r>
      <w:r w:rsidRPr="00DF5C34" w:rsidR="00DB2198">
        <w:t xml:space="preserve">must </w:t>
      </w:r>
      <w:r w:rsidRPr="00DF5C34">
        <w:t>fulfil the requirements of point 3.1 above.</w:t>
      </w:r>
    </w:p>
    <w:p w:rsidRPr="00DF5C34" w:rsidR="003962D4" w:rsidP="00E22D63" w:rsidRDefault="003962D4" w14:paraId="27EA43B7" w14:textId="77777777"/>
    <w:p w:rsidRPr="00DF5C34" w:rsidR="003962D4" w:rsidP="00E22D63" w:rsidRDefault="00436607" w14:paraId="61348BEF" w14:textId="77777777">
      <w:r w:rsidRPr="00DF5C34">
        <w:t xml:space="preserve">All candidates </w:t>
      </w:r>
      <w:r w:rsidRPr="00DF5C34" w:rsidR="00DB2198">
        <w:t xml:space="preserve">must </w:t>
      </w:r>
      <w:r w:rsidRPr="00DF5C34">
        <w:t>provide a declaration on honour (Appendix 1), duly signed and dated (by an authorised representative in the case of CSOs), stating that they are eligible for the prize. This declaration is part of the declaration used for the exclusion criteria (see point 5.1.3 below). Therefore, only one declaration covering both aspects should be provided by each candidate.</w:t>
      </w:r>
    </w:p>
    <w:p w:rsidRPr="00DF5C34" w:rsidR="003962D4" w:rsidP="00E22D63" w:rsidRDefault="003962D4" w14:paraId="37E94277" w14:textId="77777777"/>
    <w:p w:rsidRPr="00DF5C34" w:rsidR="003962D4" w:rsidP="00E22D63" w:rsidRDefault="003962D4" w14:paraId="0AA7A5A0" w14:textId="77777777">
      <w:pPr>
        <w:rPr>
          <w:u w:val="single"/>
        </w:rPr>
      </w:pPr>
      <w:r w:rsidRPr="00DF5C34">
        <w:t>The EESC will evaluate the eligibility of candidates on the basis of the declaration on honour. Before awarding the prize</w:t>
      </w:r>
      <w:r w:rsidRPr="00DF5C34" w:rsidR="00DB2198">
        <w:t>,</w:t>
      </w:r>
      <w:r w:rsidRPr="00DF5C34">
        <w:t xml:space="preserve"> it will ask the candidates to provide a duly completed and signed Legal Entity Form with its supporting evidence (see point 4 above).</w:t>
      </w:r>
    </w:p>
    <w:p w:rsidRPr="00DF5C34" w:rsidR="003962D4" w:rsidP="00E22D63" w:rsidRDefault="003962D4" w14:paraId="5C89AF29" w14:textId="77777777">
      <w:pPr>
        <w:rPr>
          <w:u w:val="single"/>
        </w:rPr>
      </w:pPr>
    </w:p>
    <w:p w:rsidRPr="00DF5C34" w:rsidR="003962D4" w:rsidP="00E22D63" w:rsidRDefault="003962D4" w14:paraId="29118F0A" w14:textId="77777777">
      <w:r w:rsidRPr="00DF5C34">
        <w:t>The EESC reserves the right to require the above</w:t>
      </w:r>
      <w:r w:rsidRPr="00DF5C34" w:rsidR="00DB2198">
        <w:t>-</w:t>
      </w:r>
      <w:r w:rsidRPr="00DF5C34">
        <w:t xml:space="preserve">mentioned form and supporting evidence from any candidate at any time during the evaluation procedure. In </w:t>
      </w:r>
      <w:r w:rsidRPr="00DF5C34" w:rsidR="00DB2198">
        <w:t xml:space="preserve">this </w:t>
      </w:r>
      <w:r w:rsidRPr="00DF5C34">
        <w:t>case, the candidate must provide the form and the supporting evidence without delay. The EESC may reject the application if the form and the supporting evidence are not provided in due time.</w:t>
      </w:r>
    </w:p>
    <w:p w:rsidRPr="00DF5C34" w:rsidR="003962D4" w:rsidP="00E22D63" w:rsidRDefault="003962D4" w14:paraId="21A92FA0" w14:textId="77777777"/>
    <w:p w:rsidRPr="00DF5C34" w:rsidR="003962D4" w:rsidP="00E22D63" w:rsidRDefault="003962D4" w14:paraId="7294E16B" w14:textId="77777777">
      <w:pPr>
        <w:pStyle w:val="Heading3"/>
        <w:keepNext/>
        <w:overflowPunct w:val="0"/>
        <w:autoSpaceDE w:val="0"/>
        <w:autoSpaceDN w:val="0"/>
        <w:adjustRightInd w:val="0"/>
        <w:textAlignment w:val="baseline"/>
        <w:rPr>
          <w:b/>
        </w:rPr>
      </w:pPr>
      <w:r w:rsidRPr="00DF5C34">
        <w:rPr>
          <w:b/>
        </w:rPr>
        <w:t>Verification of eligibility of initiatives</w:t>
      </w:r>
    </w:p>
    <w:p w:rsidRPr="00DF5C34" w:rsidR="003962D4" w:rsidP="00E22D63" w:rsidRDefault="003962D4" w14:paraId="5498ACF9" w14:textId="77777777">
      <w:pPr>
        <w:keepNext/>
      </w:pPr>
    </w:p>
    <w:p w:rsidRPr="00DF5C34" w:rsidR="003962D4" w:rsidP="00E22D63" w:rsidRDefault="003962D4" w14:paraId="0030A3E7" w14:textId="77777777">
      <w:r w:rsidRPr="00DF5C34">
        <w:t xml:space="preserve">Eligibility of the initiatives proposed for the prize will be checked on the basis of the online application form. To be eligible, the initiatives proposed for the prize </w:t>
      </w:r>
      <w:r w:rsidRPr="00DF5C34" w:rsidR="00DB2198">
        <w:t xml:space="preserve">must </w:t>
      </w:r>
      <w:r w:rsidRPr="00DF5C34">
        <w:t>fulfil the requirements of point 3.2 above. Other activities carried out by the candidate will not be taken into consideration.</w:t>
      </w:r>
    </w:p>
    <w:p w:rsidRPr="00DF5C34" w:rsidR="003962D4" w:rsidP="00E22D63" w:rsidRDefault="003962D4" w14:paraId="650C876B" w14:textId="77777777"/>
    <w:p w:rsidRPr="00DF5C34" w:rsidR="003962D4" w:rsidP="00E22D63" w:rsidRDefault="003962D4" w14:paraId="2CB3FE0C" w14:textId="77777777">
      <w:pPr>
        <w:pStyle w:val="Heading3"/>
        <w:keepNext/>
        <w:overflowPunct w:val="0"/>
        <w:autoSpaceDE w:val="0"/>
        <w:autoSpaceDN w:val="0"/>
        <w:adjustRightInd w:val="0"/>
        <w:textAlignment w:val="baseline"/>
        <w:rPr>
          <w:b/>
        </w:rPr>
      </w:pPr>
      <w:r w:rsidRPr="00DF5C34">
        <w:rPr>
          <w:b/>
        </w:rPr>
        <w:t>Verification of non-exclusion</w:t>
      </w:r>
    </w:p>
    <w:p w:rsidRPr="00DF5C34" w:rsidR="003962D4" w:rsidP="00E22D63" w:rsidRDefault="003962D4" w14:paraId="1025E2FC" w14:textId="77777777">
      <w:pPr>
        <w:keepNext/>
      </w:pPr>
    </w:p>
    <w:p w:rsidRPr="00DF5C34" w:rsidR="003962D4" w:rsidP="00E22D63" w:rsidRDefault="003962D4" w14:paraId="1881A21C" w14:textId="77777777">
      <w:r w:rsidRPr="00DF5C34">
        <w:t xml:space="preserve">All candidates </w:t>
      </w:r>
      <w:r w:rsidRPr="00DF5C34" w:rsidR="00DB2198">
        <w:t xml:space="preserve">must </w:t>
      </w:r>
      <w:r w:rsidRPr="00DF5C34">
        <w:t>provide a declaration on honour (Appendix 1), duly signed and dated (by an authorised representative in the case of CSOs), stating that they are not in one of the situations of exclusion referred to in Articles</w:t>
      </w:r>
      <w:r w:rsidRPr="00DF5C34" w:rsidR="00E65B0B">
        <w:t xml:space="preserve"> 136 and 141 </w:t>
      </w:r>
      <w:r w:rsidRPr="00DF5C34">
        <w:t>of the Financial Regulation and listed in that declaration on honour.</w:t>
      </w:r>
    </w:p>
    <w:p w:rsidRPr="00DF5C34" w:rsidR="003962D4" w:rsidP="00E22D63" w:rsidRDefault="003962D4" w14:paraId="4034C75E" w14:textId="77777777"/>
    <w:p w:rsidRPr="00DF5C34" w:rsidR="003962D4" w:rsidP="00E22D63" w:rsidRDefault="003962D4" w14:paraId="43D127A8" w14:textId="77777777">
      <w:r w:rsidRPr="00DF5C34">
        <w:t xml:space="preserve">The EESC reserves the right to verify whether the candidates are in one of the situations of exclusion by requiring the supporting documents listed in the declaration on honour. In this case, the candidate </w:t>
      </w:r>
      <w:r w:rsidRPr="00DF5C34" w:rsidR="00DB2198">
        <w:t xml:space="preserve">must </w:t>
      </w:r>
      <w:r w:rsidRPr="00DF5C34">
        <w:t>provide the documents required within the deadline given by the EESC. The EESC may reject the application if the requested documents are not provided in due time.</w:t>
      </w:r>
    </w:p>
    <w:p w:rsidRPr="00DF5C34" w:rsidR="003962D4" w:rsidP="00E22D63" w:rsidRDefault="003962D4" w14:paraId="49EB2EF3" w14:textId="77777777"/>
    <w:p w:rsidRPr="00DF5C34" w:rsidR="003962D4" w:rsidP="00E22D63" w:rsidRDefault="003962D4" w14:paraId="5E74EEBA" w14:textId="77777777">
      <w:r w:rsidRPr="00DF5C34">
        <w:t>A candidate is not required to submit a specific document if he/she/it informs the EESC that the document in question can be accessed on a public database free of charge.</w:t>
      </w:r>
    </w:p>
    <w:p w:rsidRPr="00DF5C34" w:rsidR="003962D4" w:rsidP="00E22D63" w:rsidRDefault="003962D4" w14:paraId="46F7363A" w14:textId="77777777"/>
    <w:p w:rsidRPr="00DF5C34" w:rsidR="003962D4" w:rsidP="00E22D63" w:rsidRDefault="003962D4" w14:paraId="14E8350D" w14:textId="77777777">
      <w:pPr>
        <w:pStyle w:val="Heading3"/>
        <w:keepNext/>
        <w:overflowPunct w:val="0"/>
        <w:autoSpaceDE w:val="0"/>
        <w:autoSpaceDN w:val="0"/>
        <w:adjustRightInd w:val="0"/>
        <w:textAlignment w:val="baseline"/>
        <w:rPr>
          <w:b/>
        </w:rPr>
      </w:pPr>
      <w:r w:rsidRPr="00DF5C34">
        <w:rPr>
          <w:b/>
        </w:rPr>
        <w:t xml:space="preserve">Evaluation of quality </w:t>
      </w:r>
    </w:p>
    <w:p w:rsidRPr="00DF5C34" w:rsidR="003962D4" w:rsidP="00E22D63" w:rsidRDefault="003962D4" w14:paraId="2B47EF5E" w14:textId="77777777">
      <w:pPr>
        <w:keepNext/>
      </w:pPr>
    </w:p>
    <w:p w:rsidRPr="00DF5C34" w:rsidR="003962D4" w:rsidP="00E22D63" w:rsidRDefault="003962D4" w14:paraId="01B6B31B" w14:textId="77777777">
      <w:r w:rsidRPr="00DF5C34">
        <w:t xml:space="preserve">The evaluation panel will assess the quality of the applications on the basis of the award criteria set out below. The evaluators will consider only the initiatives proposed for the prize, not the </w:t>
      </w:r>
      <w:r w:rsidRPr="00DF5C34" w:rsidR="00DB2198">
        <w:t xml:space="preserve">candidate's </w:t>
      </w:r>
      <w:r w:rsidRPr="00DF5C34">
        <w:t xml:space="preserve">other activities. There is no minimum threshold for each individual criterion. However, candidates that fail to obtain at least 50% of the maximum total score </w:t>
      </w:r>
      <w:r w:rsidRPr="00DF5C34" w:rsidR="00DB2198">
        <w:t xml:space="preserve">will </w:t>
      </w:r>
      <w:r w:rsidRPr="00DF5C34">
        <w:t>be eliminated.</w:t>
      </w:r>
    </w:p>
    <w:p w:rsidRPr="00DF5C34" w:rsidR="003962D4" w:rsidP="00E22D63" w:rsidRDefault="003962D4" w14:paraId="5901D0FF" w14:textId="77777777">
      <w:pPr>
        <w:rPr>
          <w:color w:val="000000"/>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195"/>
        <w:gridCol w:w="2094"/>
      </w:tblGrid>
      <w:tr w:rsidRPr="00DF5C34" w:rsidR="003962D4" w:rsidTr="003E5F12" w14:paraId="2B5D6852" w14:textId="77777777">
        <w:trPr>
          <w:trHeight w:val="567"/>
          <w:tblHeader/>
        </w:trPr>
        <w:tc>
          <w:tcPr>
            <w:tcW w:w="3873" w:type="pct"/>
            <w:shd w:val="clear" w:color="auto" w:fill="D9D9D9"/>
            <w:vAlign w:val="center"/>
          </w:tcPr>
          <w:p w:rsidRPr="00DF5C34" w:rsidR="003962D4" w:rsidP="00E22D63" w:rsidRDefault="003962D4" w14:paraId="35BBBDB3" w14:textId="77777777">
            <w:pPr>
              <w:keepNext/>
              <w:keepLines/>
              <w:jc w:val="center"/>
              <w:rPr>
                <w:b/>
              </w:rPr>
            </w:pPr>
            <w:r w:rsidRPr="00DF5C34">
              <w:rPr>
                <w:b/>
              </w:rPr>
              <w:t>Prize award criteria</w:t>
            </w:r>
          </w:p>
        </w:tc>
        <w:tc>
          <w:tcPr>
            <w:tcW w:w="1127" w:type="pct"/>
            <w:shd w:val="clear" w:color="auto" w:fill="D9D9D9"/>
            <w:vAlign w:val="center"/>
          </w:tcPr>
          <w:p w:rsidRPr="00DF5C34" w:rsidR="003962D4" w:rsidP="00E22D63" w:rsidRDefault="003962D4" w14:paraId="7E695E8E" w14:textId="77777777">
            <w:pPr>
              <w:ind w:left="28"/>
              <w:jc w:val="center"/>
              <w:rPr>
                <w:rFonts w:eastAsia="PMingLiU"/>
                <w:b/>
                <w:bCs/>
              </w:rPr>
            </w:pPr>
            <w:r w:rsidRPr="00DF5C34">
              <w:rPr>
                <w:b/>
              </w:rPr>
              <w:t>Points</w:t>
            </w:r>
          </w:p>
        </w:tc>
      </w:tr>
      <w:tr w:rsidRPr="00DF5C34" w:rsidR="003962D4" w:rsidTr="009128CB" w14:paraId="4FC26D15" w14:textId="77777777">
        <w:trPr>
          <w:trHeight w:val="567"/>
        </w:trPr>
        <w:tc>
          <w:tcPr>
            <w:tcW w:w="3873" w:type="pct"/>
            <w:shd w:val="clear" w:color="auto" w:fill="auto"/>
            <w:vAlign w:val="center"/>
          </w:tcPr>
          <w:p w:rsidRPr="00DF5C34" w:rsidR="003962D4" w:rsidP="00E22D63" w:rsidRDefault="003962D4" w14:paraId="3977D9A5" w14:textId="77777777">
            <w:pPr>
              <w:keepNext/>
              <w:keepLines/>
              <w:rPr>
                <w:b/>
              </w:rPr>
            </w:pPr>
            <w:r w:rsidRPr="00DF5C34">
              <w:rPr>
                <w:b/>
              </w:rPr>
              <w:t>Criterion 1 – Sustainability</w:t>
            </w:r>
          </w:p>
          <w:p w:rsidRPr="00DF5C34" w:rsidR="003962D4" w:rsidP="00E22D63" w:rsidRDefault="003962D4" w14:paraId="45E57033" w14:textId="77777777">
            <w:pPr>
              <w:keepNext/>
              <w:keepLines/>
              <w:rPr>
                <w:b/>
              </w:rPr>
            </w:pPr>
            <w:r w:rsidRPr="00DF5C34">
              <w:t>This criterion will assess the potential of the proposed initiative to have a long-term impact and to inspire others in Europe, i.e. to be applied or adapted to the same category of beneficiaries or to another category of beneficiaries elsewhere in the same or in another Member State of the EU.</w:t>
            </w:r>
          </w:p>
        </w:tc>
        <w:tc>
          <w:tcPr>
            <w:tcW w:w="1127" w:type="pct"/>
            <w:shd w:val="clear" w:color="auto" w:fill="auto"/>
            <w:vAlign w:val="center"/>
          </w:tcPr>
          <w:p w:rsidRPr="00DF5C34" w:rsidR="003962D4" w:rsidDel="006D633D" w:rsidP="00E22D63" w:rsidRDefault="00A80A66" w14:paraId="0E0E2587" w14:textId="77777777">
            <w:pPr>
              <w:ind w:left="28"/>
              <w:jc w:val="center"/>
              <w:rPr>
                <w:rFonts w:eastAsia="PMingLiU"/>
                <w:b/>
                <w:bCs/>
              </w:rPr>
            </w:pPr>
            <w:r w:rsidRPr="00DF5C34">
              <w:rPr>
                <w:b/>
              </w:rPr>
              <w:t>35</w:t>
            </w:r>
            <w:r w:rsidRPr="00DF5C34" w:rsidR="00035949">
              <w:rPr>
                <w:b/>
              </w:rPr>
              <w:t xml:space="preserve"> points</w:t>
            </w:r>
          </w:p>
        </w:tc>
      </w:tr>
      <w:tr w:rsidRPr="00DF5C34" w:rsidR="003962D4" w:rsidTr="009128CB" w14:paraId="4D50D2CF" w14:textId="77777777">
        <w:tc>
          <w:tcPr>
            <w:tcW w:w="3873" w:type="pct"/>
            <w:shd w:val="clear" w:color="auto" w:fill="auto"/>
            <w:vAlign w:val="center"/>
          </w:tcPr>
          <w:p w:rsidRPr="00DF5C34" w:rsidR="003962D4" w:rsidP="00E22D63" w:rsidRDefault="003962D4" w14:paraId="70DF8B94" w14:textId="77777777">
            <w:pPr>
              <w:keepNext/>
              <w:keepLines/>
              <w:rPr>
                <w:b/>
              </w:rPr>
            </w:pPr>
            <w:r w:rsidRPr="00DF5C34">
              <w:rPr>
                <w:b/>
              </w:rPr>
              <w:t>Criterion 2 – Participation and collaboration</w:t>
            </w:r>
          </w:p>
          <w:p w:rsidRPr="00DF5C34" w:rsidR="003962D4" w:rsidP="00E22D63" w:rsidRDefault="003962D4" w14:paraId="4AFA9B82" w14:textId="77777777">
            <w:pPr>
              <w:keepNext/>
              <w:keepLines/>
            </w:pPr>
            <w:r w:rsidRPr="00DF5C34">
              <w:t xml:space="preserve">This criterion will assess, on the one hand, how far the proposed initiative actively involves beneficiaries and, on the other hand, its ability to share good practice and raise awareness on issues related to the theme for which the civil society prize is awarded. </w:t>
            </w:r>
            <w:r w:rsidRPr="00DF5C34" w:rsidR="00233359">
              <w:t>I</w:t>
            </w:r>
            <w:r w:rsidRPr="00DF5C34" w:rsidR="00F47E0C">
              <w:t>n</w:t>
            </w:r>
            <w:r w:rsidRPr="00DF5C34" w:rsidR="00233359">
              <w:t xml:space="preserve"> this context both in</w:t>
            </w:r>
            <w:r w:rsidRPr="00DF5C34" w:rsidR="00F47E0C">
              <w:t>tersectional</w:t>
            </w:r>
            <w:r w:rsidRPr="00DF5C34" w:rsidR="00233359">
              <w:t>ity</w:t>
            </w:r>
            <w:r w:rsidRPr="00DF5C34" w:rsidR="00F47E0C">
              <w:t xml:space="preserve"> and t</w:t>
            </w:r>
            <w:r w:rsidRPr="00DF5C34">
              <w:t>he collaborative approach with other relevant actors will also be taken into consideration.</w:t>
            </w:r>
          </w:p>
        </w:tc>
        <w:tc>
          <w:tcPr>
            <w:tcW w:w="1127" w:type="pct"/>
            <w:shd w:val="clear" w:color="auto" w:fill="auto"/>
            <w:vAlign w:val="center"/>
          </w:tcPr>
          <w:p w:rsidRPr="00DF5C34" w:rsidR="003962D4" w:rsidP="00E22D63" w:rsidRDefault="00A80A66" w14:paraId="0B2CB60D" w14:textId="77777777">
            <w:pPr>
              <w:ind w:left="28"/>
              <w:jc w:val="center"/>
              <w:rPr>
                <w:rFonts w:eastAsia="PMingLiU"/>
                <w:bCs/>
              </w:rPr>
            </w:pPr>
            <w:r w:rsidRPr="00DF5C34">
              <w:rPr>
                <w:b/>
              </w:rPr>
              <w:t>35</w:t>
            </w:r>
            <w:r w:rsidRPr="00DF5C34" w:rsidR="00035949">
              <w:rPr>
                <w:b/>
              </w:rPr>
              <w:t xml:space="preserve"> points</w:t>
            </w:r>
          </w:p>
        </w:tc>
      </w:tr>
      <w:tr w:rsidRPr="00DF5C34" w:rsidR="003962D4" w:rsidTr="009128CB" w14:paraId="32990E4A" w14:textId="77777777">
        <w:trPr>
          <w:trHeight w:val="567"/>
        </w:trPr>
        <w:tc>
          <w:tcPr>
            <w:tcW w:w="3873" w:type="pct"/>
            <w:shd w:val="clear" w:color="auto" w:fill="auto"/>
            <w:vAlign w:val="center"/>
          </w:tcPr>
          <w:p w:rsidRPr="00DF5C34" w:rsidR="003962D4" w:rsidP="00E22D63" w:rsidRDefault="003962D4" w14:paraId="30B430FB" w14:textId="77777777">
            <w:pPr>
              <w:keepNext/>
              <w:keepLines/>
              <w:rPr>
                <w:b/>
              </w:rPr>
            </w:pPr>
            <w:r w:rsidRPr="00DF5C34">
              <w:rPr>
                <w:b/>
              </w:rPr>
              <w:t>Criterion 3 – Innovation</w:t>
            </w:r>
          </w:p>
          <w:p w:rsidRPr="00DF5C34" w:rsidR="003962D4" w:rsidP="00E22D63" w:rsidRDefault="003962D4" w14:paraId="0BC7E89A" w14:textId="77777777">
            <w:pPr>
              <w:keepNext/>
              <w:keepLines/>
              <w:rPr>
                <w:b/>
              </w:rPr>
            </w:pPr>
            <w:r w:rsidRPr="00DF5C34">
              <w:t xml:space="preserve">This criterion will assess the creativity of the proposed initiative, its uniqueness and degree of innovation in its specific context. To this end, innovation is understood </w:t>
            </w:r>
            <w:r w:rsidRPr="00DF5C34" w:rsidR="00505559">
              <w:t xml:space="preserve">to mean </w:t>
            </w:r>
            <w:r w:rsidRPr="00DF5C34">
              <w:t>both new ideas and new or improved ways to implement an existing solution or approach or to adapt it to a different context or target group.</w:t>
            </w:r>
          </w:p>
        </w:tc>
        <w:tc>
          <w:tcPr>
            <w:tcW w:w="1127" w:type="pct"/>
            <w:shd w:val="clear" w:color="auto" w:fill="auto"/>
            <w:vAlign w:val="center"/>
          </w:tcPr>
          <w:p w:rsidRPr="00DF5C34" w:rsidR="003962D4" w:rsidP="00E22D63" w:rsidRDefault="00A80A66" w14:paraId="0F330024" w14:textId="77777777">
            <w:pPr>
              <w:ind w:left="28"/>
              <w:jc w:val="center"/>
              <w:rPr>
                <w:rFonts w:eastAsia="PMingLiU"/>
                <w:b/>
                <w:bCs/>
              </w:rPr>
            </w:pPr>
            <w:r w:rsidRPr="00DF5C34">
              <w:rPr>
                <w:b/>
              </w:rPr>
              <w:t>3</w:t>
            </w:r>
            <w:r w:rsidRPr="00DF5C34" w:rsidR="00035949">
              <w:rPr>
                <w:b/>
              </w:rPr>
              <w:t>0 points</w:t>
            </w:r>
          </w:p>
        </w:tc>
      </w:tr>
      <w:tr w:rsidRPr="00DF5C34" w:rsidR="003962D4" w:rsidTr="009128CB" w14:paraId="0F8CBA99" w14:textId="77777777">
        <w:trPr>
          <w:trHeight w:val="567"/>
        </w:trPr>
        <w:tc>
          <w:tcPr>
            <w:tcW w:w="3873" w:type="pct"/>
            <w:shd w:val="clear" w:color="auto" w:fill="auto"/>
            <w:vAlign w:val="center"/>
          </w:tcPr>
          <w:p w:rsidRPr="00DF5C34" w:rsidR="003962D4" w:rsidP="00E22D63" w:rsidRDefault="003962D4" w14:paraId="34C602FA" w14:textId="77777777">
            <w:pPr>
              <w:rPr>
                <w:b/>
              </w:rPr>
            </w:pPr>
            <w:r w:rsidRPr="00DF5C34">
              <w:rPr>
                <w:b/>
              </w:rPr>
              <w:t>Total points</w:t>
            </w:r>
          </w:p>
        </w:tc>
        <w:tc>
          <w:tcPr>
            <w:tcW w:w="1127" w:type="pct"/>
            <w:shd w:val="clear" w:color="auto" w:fill="auto"/>
            <w:vAlign w:val="center"/>
          </w:tcPr>
          <w:p w:rsidRPr="00DF5C34" w:rsidR="003962D4" w:rsidP="00E22D63" w:rsidRDefault="003962D4" w14:paraId="2B6CFF59" w14:textId="77777777">
            <w:pPr>
              <w:ind w:left="28"/>
              <w:jc w:val="center"/>
              <w:rPr>
                <w:rFonts w:eastAsia="PMingLiU"/>
                <w:b/>
                <w:bCs/>
              </w:rPr>
            </w:pPr>
            <w:r w:rsidRPr="00DF5C34">
              <w:rPr>
                <w:b/>
              </w:rPr>
              <w:t xml:space="preserve">100 points </w:t>
            </w:r>
            <w:r w:rsidRPr="00DF5C34">
              <w:rPr>
                <w:b/>
              </w:rPr>
              <w:br/>
              <w:t>(minimum 50 points)</w:t>
            </w:r>
          </w:p>
        </w:tc>
      </w:tr>
    </w:tbl>
    <w:p w:rsidRPr="00DF5C34" w:rsidR="003962D4" w:rsidP="00E22D63" w:rsidRDefault="003962D4" w14:paraId="24DF3B14" w14:textId="77777777"/>
    <w:p w:rsidRPr="00DF5C34" w:rsidR="009007B9" w:rsidP="00E22D63" w:rsidRDefault="009007B9" w14:paraId="22EA2A49" w14:textId="77777777">
      <w:pPr>
        <w:pStyle w:val="Heading3"/>
        <w:keepNext/>
        <w:rPr>
          <w:b/>
        </w:rPr>
      </w:pPr>
      <w:r w:rsidRPr="00DF5C34">
        <w:rPr>
          <w:b/>
        </w:rPr>
        <w:t>Award of the prize</w:t>
      </w:r>
    </w:p>
    <w:p w:rsidRPr="00DF5C34" w:rsidR="009007B9" w:rsidP="00E22D63" w:rsidRDefault="009007B9" w14:paraId="0C64F8F5" w14:textId="77777777">
      <w:pPr>
        <w:keepNext/>
      </w:pPr>
    </w:p>
    <w:p w:rsidRPr="00DF5C34" w:rsidR="009007B9" w:rsidP="00E22D63" w:rsidRDefault="009007B9" w14:paraId="18AF7898" w14:textId="77777777">
      <w:r w:rsidRPr="00DF5C34">
        <w:t xml:space="preserve">The prize will be awarded by the Committee, on the basis of the evaluation provided by the evaluation panel, who </w:t>
      </w:r>
      <w:r w:rsidRPr="00DF5C34" w:rsidR="00505559">
        <w:t xml:space="preserve">will </w:t>
      </w:r>
      <w:r w:rsidRPr="00DF5C34">
        <w:t xml:space="preserve">be free to decide whether to recommend </w:t>
      </w:r>
      <w:r w:rsidRPr="00DF5C34" w:rsidR="00505559">
        <w:t xml:space="preserve">that </w:t>
      </w:r>
      <w:r w:rsidRPr="00DF5C34">
        <w:t>prizes</w:t>
      </w:r>
      <w:r w:rsidRPr="00DF5C34" w:rsidR="00505559">
        <w:t xml:space="preserve"> be awarded</w:t>
      </w:r>
      <w:r w:rsidRPr="00DF5C34">
        <w:t>, depending on their appraisal of the quality of the entries.</w:t>
      </w:r>
    </w:p>
    <w:p w:rsidRPr="00DF5C34" w:rsidR="009007B9" w:rsidP="00E22D63" w:rsidRDefault="009007B9" w14:paraId="1EB20B6E" w14:textId="77777777"/>
    <w:p w:rsidRPr="00DF5C34" w:rsidR="009007B9" w:rsidP="00E22D63" w:rsidRDefault="009007B9" w14:paraId="2F6D34E2" w14:textId="77777777">
      <w:r w:rsidRPr="00DF5C34">
        <w:t xml:space="preserve">The EESC may award a maximum of 5 prizes to the 5 </w:t>
      </w:r>
      <w:r w:rsidRPr="00DF5C34" w:rsidR="00505559">
        <w:t xml:space="preserve">top </w:t>
      </w:r>
      <w:r w:rsidRPr="00DF5C34">
        <w:t>ranked candidates.</w:t>
      </w:r>
    </w:p>
    <w:p w:rsidRPr="00DF5C34" w:rsidR="009007B9" w:rsidP="00E22D63" w:rsidRDefault="009007B9" w14:paraId="0B92853E" w14:textId="77777777"/>
    <w:p w:rsidRPr="00DF5C34" w:rsidR="003962D4" w:rsidP="00E22D63" w:rsidRDefault="003962D4" w14:paraId="0F0E4569" w14:textId="77777777">
      <w:pPr>
        <w:pStyle w:val="Heading1"/>
        <w:keepNext/>
        <w:overflowPunct w:val="0"/>
        <w:autoSpaceDE w:val="0"/>
        <w:autoSpaceDN w:val="0"/>
        <w:adjustRightInd w:val="0"/>
        <w:textAlignment w:val="baseline"/>
        <w:rPr>
          <w:b/>
        </w:rPr>
      </w:pPr>
      <w:r w:rsidRPr="00DF5C34">
        <w:rPr>
          <w:b/>
        </w:rPr>
        <w:t>Prize money</w:t>
      </w:r>
    </w:p>
    <w:p w:rsidRPr="00DF5C34" w:rsidR="003962D4" w:rsidP="00E22D63" w:rsidRDefault="003962D4" w14:paraId="3189953A" w14:textId="77777777">
      <w:pPr>
        <w:keepNext/>
      </w:pPr>
    </w:p>
    <w:p w:rsidRPr="00DF5C34" w:rsidR="003962D4" w:rsidP="00E22D63" w:rsidRDefault="003962D4" w14:paraId="062EA1DF" w14:textId="77777777">
      <w:r w:rsidRPr="00DF5C34">
        <w:t xml:space="preserve">The Committee plans to award a maximum of five prizes. The first prize has a value of EUR 14 000. The amount of the second, third, fourth and fifth prize is EUR 9 000. If place one is shared among more than one winner </w:t>
      </w:r>
      <w:r w:rsidRPr="00F67124">
        <w:rPr>
          <w:i/>
        </w:rPr>
        <w:t>ex aequo</w:t>
      </w:r>
      <w:r w:rsidRPr="00DF5C34">
        <w:t>, the amount of each of the first prizes is respectively EUR 11 500 for two first prizes, EUR 10 600 for three first prizes, EUR 10 250 for four first prizes and EUR 10 000 for five first prizes. The Committee is not bound to award all five prizes. The EESC may decide not to award the Civil Society Prize.</w:t>
      </w:r>
    </w:p>
    <w:p w:rsidRPr="00DF5C34" w:rsidR="003962D4" w:rsidP="00E22D63" w:rsidRDefault="003962D4" w14:paraId="4604ACA5" w14:textId="77777777"/>
    <w:p w:rsidRPr="00DF5C34" w:rsidR="003962D4" w:rsidP="00E22D63" w:rsidRDefault="003962D4" w14:paraId="3C601E78" w14:textId="77777777">
      <w:r w:rsidRPr="00DF5C34">
        <w:t>The prize award ceremony will take place during the EESC plenary session</w:t>
      </w:r>
      <w:r w:rsidRPr="00DF5C34" w:rsidR="00D57B44">
        <w:t xml:space="preserve"> on </w:t>
      </w:r>
      <w:r w:rsidRPr="00DF5C34" w:rsidR="00D57B44">
        <w:rPr>
          <w:b/>
        </w:rPr>
        <w:t>11-12 December 2019</w:t>
      </w:r>
      <w:r w:rsidRPr="00DF5C34">
        <w:t>. Two representatives per winner will be invited to the ceremony, with travel and accommodation organised by the EESC according to the rules which will be notified to winners in due time.</w:t>
      </w:r>
    </w:p>
    <w:p w:rsidRPr="00DF5C34" w:rsidR="003962D4" w:rsidP="00E22D63" w:rsidRDefault="003962D4" w14:paraId="4E7DA3FB" w14:textId="77777777"/>
    <w:p w:rsidRPr="00DF5C34" w:rsidR="003962D4" w:rsidP="00E22D63" w:rsidRDefault="003962D4" w14:paraId="4508AB7A" w14:textId="77777777">
      <w:r w:rsidRPr="00DF5C34">
        <w:t xml:space="preserve">Prizes will be paid by bank transfer within 30 days </w:t>
      </w:r>
      <w:r w:rsidRPr="00DF5C34" w:rsidR="00E94B73">
        <w:t xml:space="preserve">of </w:t>
      </w:r>
      <w:r w:rsidRPr="00DF5C34">
        <w:t>the award ceremony, provided the winners have submitted all the requested documents. Winners are responsible for the payment of taxes and charges applicable when using the prize money.</w:t>
      </w:r>
    </w:p>
    <w:p w:rsidRPr="00DF5C34" w:rsidR="003962D4" w:rsidP="00E22D63" w:rsidRDefault="003962D4" w14:paraId="78A7323F" w14:textId="77777777"/>
    <w:p w:rsidRPr="00DF5C34" w:rsidR="003962D4" w:rsidP="00E22D63" w:rsidRDefault="003962D4" w14:paraId="413F8D4D" w14:textId="77777777">
      <w:pPr>
        <w:pStyle w:val="Heading1"/>
        <w:keepNext/>
        <w:overflowPunct w:val="0"/>
        <w:autoSpaceDE w:val="0"/>
        <w:autoSpaceDN w:val="0"/>
        <w:adjustRightInd w:val="0"/>
        <w:textAlignment w:val="baseline"/>
        <w:rPr>
          <w:b/>
        </w:rPr>
      </w:pPr>
      <w:r w:rsidRPr="00DF5C34">
        <w:rPr>
          <w:b/>
        </w:rPr>
        <w:t>Personal data</w:t>
      </w:r>
    </w:p>
    <w:p w:rsidRPr="00DF5C34" w:rsidR="003962D4" w:rsidP="00E22D63" w:rsidRDefault="003962D4" w14:paraId="3E1CAAE6" w14:textId="77777777">
      <w:pPr>
        <w:keepNext/>
      </w:pPr>
    </w:p>
    <w:p w:rsidRPr="00DF5C34" w:rsidR="003962D4" w:rsidP="00E22D63" w:rsidRDefault="003962D4" w14:paraId="6CD510EB" w14:textId="77777777">
      <w:r w:rsidRPr="00DF5C34">
        <w:t>Personal data contained in the application documents (such as name</w:t>
      </w:r>
      <w:r w:rsidRPr="00DF5C34" w:rsidR="00E94B73">
        <w:t xml:space="preserve"> and </w:t>
      </w:r>
      <w:r w:rsidRPr="00DF5C34">
        <w:t xml:space="preserve">address) will be processed pursuant to Regulation </w:t>
      </w:r>
      <w:r w:rsidRPr="00DF5C34" w:rsidR="00222101">
        <w:rPr>
          <w:bCs/>
        </w:rPr>
        <w:t>(EU) 2018/1725 on the protection of natural persons with regard to the processing of personal data by the Union institutions, bodies, offices and agencies and on the free movement of such data</w:t>
      </w:r>
      <w:r w:rsidRPr="00DF5C34" w:rsidR="00222101">
        <w:rPr>
          <w:rStyle w:val="FootnoteReference"/>
          <w:bCs/>
        </w:rPr>
        <w:footnoteReference w:id="27"/>
      </w:r>
      <w:r w:rsidRPr="00DF5C34" w:rsidR="00E94B73">
        <w:rPr>
          <w:bCs/>
        </w:rPr>
        <w:t>.</w:t>
      </w:r>
      <w:r w:rsidRPr="00DF5C34">
        <w:t xml:space="preserve"> Unless indicated otherwise, the replies to the questions and any personal data requested to evaluate the application in accordance with the contest rules will be processed solely for that purpose by the Communication Department. Details concerning the processing of personal data are attached (Appendix 2).</w:t>
      </w:r>
    </w:p>
    <w:p w:rsidRPr="00DF5C34" w:rsidR="003962D4" w:rsidP="00E22D63" w:rsidRDefault="003962D4" w14:paraId="44F6FFA2" w14:textId="77777777"/>
    <w:p w:rsidRPr="00DF5C34" w:rsidR="00222101" w:rsidP="00E22D63" w:rsidRDefault="00222101" w14:paraId="52B9B1DB" w14:textId="77777777">
      <w:r w:rsidRPr="00DF5C34">
        <w:t>The candidate's p</w:t>
      </w:r>
      <w:r w:rsidRPr="00DF5C34" w:rsidR="003962D4">
        <w:t>ersonal data may be registered in the Early Detection and Exclusion System (EDES) if the</w:t>
      </w:r>
      <w:r w:rsidRPr="00DF5C34">
        <w:t xml:space="preserve"> candidate is </w:t>
      </w:r>
      <w:r w:rsidRPr="00DF5C34" w:rsidR="003962D4">
        <w:t xml:space="preserve">in one of the situations mentioned in Article </w:t>
      </w:r>
      <w:r w:rsidRPr="00DF5C34">
        <w:t>136</w:t>
      </w:r>
      <w:r w:rsidRPr="00DF5C34" w:rsidR="003962D4">
        <w:t xml:space="preserve"> of the Financial Regulation and indicated in the declaration on honour. For more information, see the Privacy Statement </w:t>
      </w:r>
      <w:r w:rsidRPr="00DF5C34">
        <w:t xml:space="preserve">on </w:t>
      </w:r>
      <w:hyperlink w:history="1" r:id="rId18">
        <w:r w:rsidRPr="00DF5C34">
          <w:rPr>
            <w:rStyle w:val="Hyperlink"/>
          </w:rPr>
          <w:t>http://ec.europa.eu/budget/explained/management/protecting/protect_en.cfm</w:t>
        </w:r>
      </w:hyperlink>
    </w:p>
    <w:p w:rsidRPr="00DF5C34" w:rsidR="003962D4" w:rsidP="00E22D63" w:rsidRDefault="003962D4" w14:paraId="38E90DC1" w14:textId="77777777"/>
    <w:p w:rsidRPr="00DF5C34" w:rsidR="003962D4" w:rsidP="00E22D63" w:rsidRDefault="003962D4" w14:paraId="5FC16DDE" w14:textId="77777777">
      <w:pPr>
        <w:pStyle w:val="Heading1"/>
        <w:keepNext/>
        <w:overflowPunct w:val="0"/>
        <w:autoSpaceDE w:val="0"/>
        <w:autoSpaceDN w:val="0"/>
        <w:adjustRightInd w:val="0"/>
        <w:textAlignment w:val="baseline"/>
        <w:rPr>
          <w:b/>
        </w:rPr>
      </w:pPr>
      <w:r w:rsidRPr="00DF5C34">
        <w:rPr>
          <w:b/>
        </w:rPr>
        <w:t>Disclosure requirements</w:t>
      </w:r>
    </w:p>
    <w:p w:rsidRPr="00DF5C34" w:rsidR="009F7AE0" w:rsidP="00E22D63" w:rsidRDefault="009F7AE0" w14:paraId="1AA0C5CD" w14:textId="77777777">
      <w:pPr>
        <w:keepNext/>
      </w:pPr>
    </w:p>
    <w:p w:rsidRPr="00DF5C34" w:rsidR="003962D4" w:rsidP="00E22D63" w:rsidRDefault="003962D4" w14:paraId="24D10F62" w14:textId="77777777">
      <w:r w:rsidRPr="00DF5C34">
        <w:t>Without prejudice to point 7 above, the candidates grant the EESC the right to communicate to the public in any language and by any medium and any kind of technique, the name of the candidates, their activities and the amount of the prizes awarded to the winners.</w:t>
      </w:r>
    </w:p>
    <w:p w:rsidRPr="00DF5C34" w:rsidR="003962D4" w:rsidP="00E22D63" w:rsidRDefault="003962D4" w14:paraId="0347E824" w14:textId="77777777"/>
    <w:p w:rsidRPr="00DF5C34" w:rsidR="003962D4" w:rsidP="00E22D63" w:rsidRDefault="003962D4" w14:paraId="78A14FC4" w14:textId="77777777">
      <w:r w:rsidRPr="00DF5C34">
        <w:t xml:space="preserve">Any communication or publication by the winners about the activity for which the prize was awarded </w:t>
      </w:r>
      <w:r w:rsidRPr="00DF5C34" w:rsidR="00E94B73">
        <w:t xml:space="preserve">must </w:t>
      </w:r>
      <w:r w:rsidRPr="00DF5C34">
        <w:t>indicate that the activity has been awarded the EESC Civil Society Prize. This obligation applies for one year from the date of the prize award.</w:t>
      </w:r>
    </w:p>
    <w:p w:rsidRPr="00DF5C34" w:rsidR="003962D4" w:rsidP="00E22D63" w:rsidRDefault="003962D4" w14:paraId="5F7E163A" w14:textId="77777777"/>
    <w:p w:rsidRPr="00DF5C34" w:rsidR="003962D4" w:rsidP="00E22D63" w:rsidRDefault="00E94B73" w14:paraId="0327A1F0" w14:textId="77777777">
      <w:pPr>
        <w:pStyle w:val="Heading1"/>
        <w:keepNext/>
        <w:overflowPunct w:val="0"/>
        <w:autoSpaceDE w:val="0"/>
        <w:autoSpaceDN w:val="0"/>
        <w:adjustRightInd w:val="0"/>
        <w:textAlignment w:val="baseline"/>
        <w:rPr>
          <w:b/>
        </w:rPr>
      </w:pPr>
      <w:r w:rsidRPr="00DF5C34">
        <w:rPr>
          <w:b/>
        </w:rPr>
        <w:t>Liability</w:t>
      </w:r>
    </w:p>
    <w:p w:rsidRPr="00DF5C34" w:rsidR="003962D4" w:rsidP="00E22D63" w:rsidRDefault="003962D4" w14:paraId="227C3920" w14:textId="77777777">
      <w:pPr>
        <w:keepNext/>
      </w:pPr>
    </w:p>
    <w:p w:rsidRPr="00DF5C34" w:rsidR="003962D4" w:rsidP="00E22D63" w:rsidRDefault="003962D4" w14:paraId="12A8384D" w14:textId="77777777">
      <w:r w:rsidRPr="00DF5C34">
        <w:t xml:space="preserve">Candidates have sole liability in </w:t>
      </w:r>
      <w:r w:rsidRPr="00DF5C34" w:rsidR="00681A70">
        <w:t xml:space="preserve">the event </w:t>
      </w:r>
      <w:r w:rsidRPr="00DF5C34">
        <w:t>of a claim relating to the activities carried out in the framework of the prize.</w:t>
      </w:r>
    </w:p>
    <w:p w:rsidRPr="00DF5C34" w:rsidR="003962D4" w:rsidP="00E22D63" w:rsidRDefault="003962D4" w14:paraId="5A84AAE0" w14:textId="77777777"/>
    <w:p w:rsidRPr="00DF5C34" w:rsidR="003962D4" w:rsidP="00E22D63" w:rsidRDefault="003962D4" w14:paraId="2E9C4977" w14:textId="77777777">
      <w:pPr>
        <w:pStyle w:val="Heading1"/>
        <w:keepNext/>
        <w:overflowPunct w:val="0"/>
        <w:autoSpaceDE w:val="0"/>
        <w:autoSpaceDN w:val="0"/>
        <w:adjustRightInd w:val="0"/>
        <w:textAlignment w:val="baseline"/>
        <w:rPr>
          <w:b/>
        </w:rPr>
      </w:pPr>
      <w:r w:rsidRPr="00DF5C34">
        <w:rPr>
          <w:b/>
        </w:rPr>
        <w:t>Checks and audits</w:t>
      </w:r>
    </w:p>
    <w:p w:rsidRPr="00DF5C34" w:rsidR="003962D4" w:rsidP="00E22D63" w:rsidRDefault="003962D4" w14:paraId="3CBB17E6" w14:textId="77777777">
      <w:pPr>
        <w:keepNext/>
      </w:pPr>
    </w:p>
    <w:p w:rsidRPr="00DF5C34" w:rsidR="003962D4" w:rsidP="00E22D63" w:rsidRDefault="003962D4" w14:paraId="709098D6" w14:textId="77777777">
      <w:r w:rsidRPr="00DF5C34">
        <w:t xml:space="preserve">The winners </w:t>
      </w:r>
      <w:r w:rsidRPr="00DF5C34" w:rsidR="00681A70">
        <w:t xml:space="preserve">must </w:t>
      </w:r>
      <w:r w:rsidRPr="00DF5C34">
        <w:t xml:space="preserve">accept </w:t>
      </w:r>
      <w:r w:rsidRPr="00DF5C34" w:rsidR="00681A70">
        <w:t xml:space="preserve">the </w:t>
      </w:r>
      <w:r w:rsidRPr="00DF5C34">
        <w:t xml:space="preserve">checks and audits by the EESC, the European Anti-Fraud Office (OLAF) and the Court of Auditors </w:t>
      </w:r>
      <w:r w:rsidRPr="00DF5C34" w:rsidR="000C4796">
        <w:t xml:space="preserve">referred to in Article 129 of the Financial Regulation </w:t>
      </w:r>
      <w:r w:rsidRPr="00DF5C34">
        <w:t>and the publicity obligations in relation to the contest and the received prize, as detailed in point 8 above.</w:t>
      </w:r>
    </w:p>
    <w:p w:rsidRPr="00DF5C34" w:rsidR="003962D4" w:rsidP="00E22D63" w:rsidRDefault="003962D4" w14:paraId="7644321D" w14:textId="77777777"/>
    <w:p w:rsidRPr="00DF5C34" w:rsidR="003962D4" w:rsidP="00E22D63" w:rsidRDefault="003962D4" w14:paraId="314383CA" w14:textId="77777777">
      <w:pPr>
        <w:pStyle w:val="Heading1"/>
        <w:keepNext/>
        <w:overflowPunct w:val="0"/>
        <w:autoSpaceDE w:val="0"/>
        <w:autoSpaceDN w:val="0"/>
        <w:adjustRightInd w:val="0"/>
        <w:textAlignment w:val="baseline"/>
        <w:rPr>
          <w:b/>
        </w:rPr>
      </w:pPr>
      <w:r w:rsidRPr="00DF5C34">
        <w:rPr>
          <w:b/>
        </w:rPr>
        <w:t>Law applicable, complaints and competent court</w:t>
      </w:r>
    </w:p>
    <w:p w:rsidRPr="00DF5C34" w:rsidR="003962D4" w:rsidP="00E22D63" w:rsidRDefault="003962D4" w14:paraId="06239C9A" w14:textId="77777777">
      <w:pPr>
        <w:keepNext/>
      </w:pPr>
    </w:p>
    <w:p w:rsidRPr="00DF5C34" w:rsidR="003962D4" w:rsidP="00E22D63" w:rsidRDefault="003962D4" w14:paraId="1F3B669C" w14:textId="77777777">
      <w:r w:rsidRPr="00DF5C34">
        <w:t xml:space="preserve">The Civil Society Prize </w:t>
      </w:r>
      <w:r w:rsidRPr="00DF5C34" w:rsidR="00681A70">
        <w:t>is</w:t>
      </w:r>
      <w:r w:rsidRPr="00DF5C34">
        <w:t xml:space="preserve"> governed by EU law, complemented, where necessary, by the national law of Belgium.</w:t>
      </w:r>
    </w:p>
    <w:p w:rsidRPr="00DF5C34" w:rsidR="003962D4" w:rsidP="00E22D63" w:rsidRDefault="003962D4" w14:paraId="44DC3E05" w14:textId="77777777"/>
    <w:p w:rsidRPr="00DF5C34" w:rsidR="003962D4" w:rsidP="00E22D63" w:rsidRDefault="003962D4" w14:paraId="50442D5E" w14:textId="77777777">
      <w:r w:rsidRPr="00DF5C34">
        <w:t>Observation</w:t>
      </w:r>
      <w:r w:rsidRPr="00DF5C34" w:rsidR="00681A70">
        <w:t>s</w:t>
      </w:r>
      <w:r w:rsidRPr="00DF5C34">
        <w:t xml:space="preserve"> concerning the prize award procedure may be submitted to the authority awarding the prize</w:t>
      </w:r>
      <w:r w:rsidRPr="00DF5C34" w:rsidR="000C4796">
        <w:t xml:space="preserve"> using the contact details indicated in point 13 below</w:t>
      </w:r>
      <w:r w:rsidRPr="00DF5C34">
        <w:t>.</w:t>
      </w:r>
    </w:p>
    <w:p w:rsidRPr="00DF5C34" w:rsidR="003962D4" w:rsidP="00E22D63" w:rsidRDefault="003962D4" w14:paraId="628D4A09" w14:textId="77777777"/>
    <w:p w:rsidRPr="00DF5C34" w:rsidR="003962D4" w:rsidP="00E22D63" w:rsidRDefault="000C4796" w14:paraId="615E21C5" w14:textId="77777777">
      <w:r w:rsidRPr="00DF5C34">
        <w:t>If candidates believe that maladministration</w:t>
      </w:r>
      <w:r w:rsidRPr="00DF5C34" w:rsidR="00681A70">
        <w:t xml:space="preserve"> has occurred</w:t>
      </w:r>
      <w:r w:rsidRPr="00DF5C34">
        <w:t xml:space="preserve">, they may lodge a complaint </w:t>
      </w:r>
      <w:r w:rsidRPr="00DF5C34" w:rsidR="00681A70">
        <w:t>with</w:t>
      </w:r>
      <w:r w:rsidRPr="00DF5C34">
        <w:t xml:space="preserve"> the European Ombudsman within two years of the date when they become aware of the facts which form the basis for the complaint (see </w:t>
      </w:r>
      <w:hyperlink w:history="1" r:id="rId19">
        <w:r w:rsidRPr="00DF5C34">
          <w:rPr>
            <w:rStyle w:val="Hyperlink"/>
          </w:rPr>
          <w:t>http://www.ombudsman.europa.eu</w:t>
        </w:r>
      </w:hyperlink>
      <w:r w:rsidRPr="00DF5C34">
        <w:t>).</w:t>
      </w:r>
    </w:p>
    <w:p w:rsidRPr="00DF5C34" w:rsidR="003962D4" w:rsidP="00E22D63" w:rsidRDefault="003962D4" w14:paraId="73426EFC" w14:textId="77777777"/>
    <w:p w:rsidRPr="00DF5C34" w:rsidR="003962D4" w:rsidP="00E22D63" w:rsidRDefault="003962D4" w14:paraId="56A8B361" w14:textId="77777777">
      <w:pPr>
        <w:keepNext/>
      </w:pPr>
      <w:r w:rsidRPr="00DF5C34">
        <w:t>The court responsible for matters relating to this prize is the General Court of the European Union:</w:t>
      </w:r>
    </w:p>
    <w:p w:rsidRPr="00DF5C34" w:rsidR="003962D4" w:rsidP="00E22D63" w:rsidRDefault="003962D4" w14:paraId="20F67791" w14:textId="77777777">
      <w:pPr>
        <w:keepNext/>
      </w:pPr>
    </w:p>
    <w:p w:rsidRPr="00DF5C34" w:rsidR="003962D4" w:rsidP="00E22D63" w:rsidRDefault="003962D4" w14:paraId="2A55BBA9" w14:textId="77777777">
      <w:pPr>
        <w:keepNext/>
        <w:ind w:firstLine="720"/>
      </w:pPr>
      <w:r w:rsidRPr="00DF5C34">
        <w:t xml:space="preserve">General Court of the European Union </w:t>
      </w:r>
    </w:p>
    <w:p w:rsidRPr="00DF5C34" w:rsidR="003962D4" w:rsidP="00E22D63" w:rsidRDefault="003962D4" w14:paraId="360D0EE6" w14:textId="77777777">
      <w:pPr>
        <w:keepNext/>
        <w:ind w:firstLine="720"/>
      </w:pPr>
      <w:r w:rsidRPr="00DF5C34">
        <w:t>Rue du Fort Niedergrünewald</w:t>
      </w:r>
    </w:p>
    <w:p w:rsidRPr="00DF5C34" w:rsidR="003962D4" w:rsidP="00E22D63" w:rsidRDefault="003962D4" w14:paraId="2E01527D" w14:textId="77777777">
      <w:pPr>
        <w:keepNext/>
        <w:ind w:firstLine="720"/>
      </w:pPr>
      <w:r w:rsidRPr="00DF5C34">
        <w:t>L-2925 Luxembourg</w:t>
      </w:r>
    </w:p>
    <w:p w:rsidRPr="00DF5C34" w:rsidR="003962D4" w:rsidP="00E22D63" w:rsidRDefault="00D4305C" w14:paraId="03C66373" w14:textId="77777777">
      <w:pPr>
        <w:ind w:firstLine="720"/>
      </w:pPr>
      <w:r w:rsidRPr="00DF5C34">
        <w:t xml:space="preserve">Tel.: +352 43031 </w:t>
      </w:r>
      <w:r w:rsidRPr="00DF5C34">
        <w:tab/>
        <w:t>Fax.: +352 4303 2100</w:t>
      </w:r>
    </w:p>
    <w:p w:rsidRPr="00DF5C34" w:rsidR="003962D4" w:rsidP="00E22D63" w:rsidRDefault="003962D4" w14:paraId="6CE1E4AD" w14:textId="77777777">
      <w:pPr>
        <w:ind w:firstLine="720"/>
      </w:pPr>
      <w:r w:rsidRPr="00DF5C34">
        <w:t xml:space="preserve">Email: </w:t>
      </w:r>
      <w:hyperlink w:history="1" r:id="rId20">
        <w:r w:rsidRPr="00DF5C34">
          <w:rPr>
            <w:rStyle w:val="Hyperlink"/>
          </w:rPr>
          <w:t>GeneralCourt.Registry@curia.europa.eu</w:t>
        </w:r>
      </w:hyperlink>
    </w:p>
    <w:p w:rsidRPr="00DF5C34" w:rsidR="003962D4" w:rsidP="00E22D63" w:rsidRDefault="003962D4" w14:paraId="310EC001" w14:textId="77777777">
      <w:pPr>
        <w:ind w:firstLine="720"/>
      </w:pPr>
      <w:r w:rsidRPr="00DF5C34">
        <w:t xml:space="preserve">URL: </w:t>
      </w:r>
      <w:hyperlink r:id="rId21">
        <w:r w:rsidRPr="00DF5C34">
          <w:rPr>
            <w:rStyle w:val="Hyperlink"/>
          </w:rPr>
          <w:t>http://curia.europa.eu</w:t>
        </w:r>
      </w:hyperlink>
    </w:p>
    <w:p w:rsidRPr="00DF5C34" w:rsidR="003962D4" w:rsidP="00E22D63" w:rsidRDefault="003962D4" w14:paraId="1DE8A348" w14:textId="77777777"/>
    <w:p w:rsidRPr="00DF5C34" w:rsidR="003962D4" w:rsidP="00E22D63" w:rsidRDefault="003962D4" w14:paraId="00CCCE7D" w14:textId="77777777">
      <w:r w:rsidRPr="00DF5C34">
        <w:t>Information about the lodging of appeals may be obtained at the address indicated above.</w:t>
      </w:r>
    </w:p>
    <w:p w:rsidRPr="00DF5C34" w:rsidR="003962D4" w:rsidP="00E22D63" w:rsidRDefault="003962D4" w14:paraId="4C1A2FE8" w14:textId="77777777"/>
    <w:p w:rsidRPr="00DF5C34" w:rsidR="003962D4" w:rsidP="00E22D63" w:rsidRDefault="003962D4" w14:paraId="23ACAE5A" w14:textId="77777777">
      <w:pPr>
        <w:pStyle w:val="Heading1"/>
        <w:keepNext/>
        <w:overflowPunct w:val="0"/>
        <w:autoSpaceDE w:val="0"/>
        <w:autoSpaceDN w:val="0"/>
        <w:adjustRightInd w:val="0"/>
        <w:textAlignment w:val="baseline"/>
        <w:rPr>
          <w:b/>
        </w:rPr>
      </w:pPr>
      <w:r w:rsidRPr="00DF5C34">
        <w:rPr>
          <w:b/>
        </w:rPr>
        <w:t>Penalties</w:t>
      </w:r>
    </w:p>
    <w:p w:rsidRPr="00DF5C34" w:rsidR="003962D4" w:rsidP="00E22D63" w:rsidRDefault="003962D4" w14:paraId="32A9742F" w14:textId="77777777">
      <w:pPr>
        <w:keepNext/>
      </w:pPr>
    </w:p>
    <w:p w:rsidRPr="00DF5C34" w:rsidR="003962D4" w:rsidP="00E22D63" w:rsidRDefault="003962D4" w14:paraId="29DAFF79" w14:textId="77777777">
      <w:r w:rsidRPr="00DF5C34">
        <w:t xml:space="preserve">Financial penalties of 2 to 10% of the value of the prize and exclusion decisions from all contracts, grants and contests financed by the Union budget may be imposed on participants who have made false declarations (Declaration on honour, Appendix 1), or committed irregularities or fraud, in accordance with the conditions laid down in Article </w:t>
      </w:r>
      <w:r w:rsidRPr="00DF5C34" w:rsidR="000C4796">
        <w:t>136</w:t>
      </w:r>
      <w:r w:rsidRPr="00DF5C34">
        <w:t xml:space="preserve"> of the Financial Regulation.</w:t>
      </w:r>
    </w:p>
    <w:p w:rsidRPr="00DF5C34" w:rsidR="003962D4" w:rsidP="00E22D63" w:rsidRDefault="003962D4" w14:paraId="51879AF9" w14:textId="77777777"/>
    <w:p w:rsidRPr="00DF5C34" w:rsidR="003962D4" w:rsidP="00E22D63" w:rsidRDefault="003962D4" w14:paraId="5A513060" w14:textId="77777777">
      <w:pPr>
        <w:pStyle w:val="Heading1"/>
        <w:keepNext/>
        <w:keepLines/>
        <w:overflowPunct w:val="0"/>
        <w:autoSpaceDE w:val="0"/>
        <w:autoSpaceDN w:val="0"/>
        <w:adjustRightInd w:val="0"/>
        <w:textAlignment w:val="baseline"/>
        <w:rPr>
          <w:b/>
        </w:rPr>
      </w:pPr>
      <w:r w:rsidRPr="00DF5C34">
        <w:rPr>
          <w:b/>
        </w:rPr>
        <w:t>Further information</w:t>
      </w:r>
    </w:p>
    <w:p w:rsidRPr="00DF5C34" w:rsidR="003962D4" w:rsidP="00E22D63" w:rsidRDefault="003962D4" w14:paraId="77B9BE9E" w14:textId="77777777">
      <w:pPr>
        <w:keepNext/>
        <w:keepLines/>
      </w:pPr>
    </w:p>
    <w:p w:rsidRPr="00DF5C34" w:rsidR="003962D4" w:rsidP="00E22D63" w:rsidRDefault="003962D4" w14:paraId="2BD2BB3F" w14:textId="77777777">
      <w:pPr>
        <w:keepNext/>
        <w:keepLines/>
      </w:pPr>
      <w:r w:rsidRPr="00DF5C34">
        <w:t>For more information, please contact:</w:t>
      </w:r>
    </w:p>
    <w:p w:rsidRPr="00DF5C34" w:rsidR="003962D4" w:rsidP="00E22D63" w:rsidRDefault="003962D4" w14:paraId="4E661F80" w14:textId="77777777">
      <w:pPr>
        <w:keepNext/>
        <w:keepLines/>
      </w:pPr>
    </w:p>
    <w:p w:rsidRPr="00DF5C34" w:rsidR="003962D4" w:rsidP="00E22D63" w:rsidRDefault="003962D4" w14:paraId="3ED35382" w14:textId="77777777">
      <w:pPr>
        <w:keepNext/>
        <w:keepLines/>
      </w:pPr>
      <w:r w:rsidRPr="00DF5C34">
        <w:t>Ms Anna Comi, secretariat of the EESC Communication Department</w:t>
      </w:r>
    </w:p>
    <w:p w:rsidRPr="00DF5C34" w:rsidR="003962D4" w:rsidP="00E22D63" w:rsidRDefault="00D4305C" w14:paraId="4C376C2E" w14:textId="77777777">
      <w:pPr>
        <w:keepNext/>
        <w:keepLines/>
      </w:pPr>
      <w:r w:rsidRPr="00DF5C34">
        <w:t>Tel.: +32 2 546 93 67</w:t>
      </w:r>
    </w:p>
    <w:p w:rsidRPr="00DF5C34" w:rsidR="00D03CF5" w:rsidP="00E22D63" w:rsidRDefault="00D03CF5" w14:paraId="053E0545" w14:textId="77777777">
      <w:pPr>
        <w:keepNext/>
        <w:keepLines/>
      </w:pPr>
    </w:p>
    <w:p w:rsidRPr="00DF5C34" w:rsidR="00D03CF5" w:rsidP="00E22D63" w:rsidRDefault="00D03CF5" w14:paraId="375CD267" w14:textId="77777777">
      <w:pPr>
        <w:keepNext/>
        <w:keepLines/>
      </w:pPr>
      <w:r w:rsidRPr="00DF5C34">
        <w:t>or</w:t>
      </w:r>
    </w:p>
    <w:p w:rsidRPr="00DF5C34" w:rsidR="00D03CF5" w:rsidP="00E22D63" w:rsidRDefault="00D03CF5" w14:paraId="7F0084F1" w14:textId="77777777">
      <w:pPr>
        <w:keepNext/>
        <w:keepLines/>
      </w:pPr>
    </w:p>
    <w:p w:rsidRPr="00DF5C34" w:rsidR="00D03CF5" w:rsidP="00E22D63" w:rsidRDefault="00D03CF5" w14:paraId="51F91559" w14:textId="77777777">
      <w:pPr>
        <w:keepNext/>
        <w:keepLines/>
      </w:pPr>
      <w:r w:rsidRPr="00DF5C34">
        <w:t>Ms Chantal Hocquet, secretariat of the EESC Communication Department</w:t>
      </w:r>
    </w:p>
    <w:p w:rsidRPr="00DF5C34" w:rsidR="00D03CF5" w:rsidP="00E22D63" w:rsidRDefault="00D4305C" w14:paraId="5BB4E4A7" w14:textId="77777777">
      <w:pPr>
        <w:keepLines/>
      </w:pPr>
      <w:r w:rsidRPr="00DF5C34">
        <w:t>Tel.: +32 2 546 92 99</w:t>
      </w:r>
    </w:p>
    <w:p w:rsidRPr="00DF5C34" w:rsidR="00D03CF5" w:rsidP="00E22D63" w:rsidRDefault="00D03CF5" w14:paraId="45B4B508" w14:textId="77777777"/>
    <w:p w:rsidRPr="00DF5C34" w:rsidR="003962D4" w:rsidP="00E22D63" w:rsidRDefault="003962D4" w14:paraId="4091CFFE" w14:textId="77777777">
      <w:r w:rsidRPr="00DF5C34">
        <w:t xml:space="preserve">You may also send an email to </w:t>
      </w:r>
      <w:hyperlink w:history="1" r:id="rId22">
        <w:r w:rsidRPr="00DF5C34">
          <w:rPr>
            <w:rStyle w:val="Hyperlink"/>
          </w:rPr>
          <w:t>civilsocietyprize@eesc.europa.eu</w:t>
        </w:r>
      </w:hyperlink>
      <w:r w:rsidRPr="00DF5C34">
        <w:t>.</w:t>
      </w:r>
    </w:p>
    <w:p w:rsidRPr="00DF5C34" w:rsidR="003962D4" w:rsidP="00E22D63" w:rsidRDefault="003962D4" w14:paraId="34E5262E" w14:textId="77777777"/>
    <w:p w:rsidRPr="00DF5C34" w:rsidR="003962D4" w:rsidP="00E22D63" w:rsidRDefault="003962D4" w14:paraId="55F6838F" w14:textId="77777777">
      <w:r w:rsidRPr="00DF5C34">
        <w:t xml:space="preserve">If relevant </w:t>
      </w:r>
      <w:r w:rsidRPr="00DF5C34" w:rsidR="004D3D3C">
        <w:t xml:space="preserve">to </w:t>
      </w:r>
      <w:r w:rsidRPr="00DF5C34">
        <w:t>other potential candidates, questions and answers will be published on the Civil Society Prize page of the EESC website (</w:t>
      </w:r>
      <w:hyperlink w:history="1" r:id="rId23">
        <w:r w:rsidRPr="00DF5C34">
          <w:rPr>
            <w:rStyle w:val="Hyperlink"/>
          </w:rPr>
          <w:t>www.eesc.europa.eu/civilsocietyprize</w:t>
        </w:r>
      </w:hyperlink>
      <w:r w:rsidRPr="00DF5C34">
        <w:t>). The EESC recommends that candidates check the prize website regularly in order to get the most up-to-date</w:t>
      </w:r>
      <w:r w:rsidRPr="00DF5C34" w:rsidR="004D3D3C">
        <w:t xml:space="preserve"> </w:t>
      </w:r>
      <w:r w:rsidRPr="00DF5C34">
        <w:t>information.</w:t>
      </w:r>
    </w:p>
    <w:p w:rsidRPr="00DF5C34" w:rsidR="003962D4" w:rsidP="00E22D63" w:rsidRDefault="003962D4" w14:paraId="6D21DE69" w14:textId="77777777"/>
    <w:p w:rsidRPr="00DF5C34" w:rsidR="00857AA3" w:rsidP="00E22D63" w:rsidRDefault="00857AA3" w14:paraId="475E5DB3" w14:textId="77777777"/>
    <w:p w:rsidRPr="00DF5C34" w:rsidR="00A34FBF" w:rsidP="00914B74" w:rsidRDefault="00A34FBF" w14:paraId="4EC6725B" w14:textId="319E38A1">
      <w:pPr>
        <w:widowControl w:val="0"/>
      </w:pPr>
    </w:p>
    <w:sectPr w:rsidRPr="00DF5C34" w:rsidR="00A34FBF" w:rsidSect="008A583F">
      <w:headerReference w:type="even" r:id="rId24"/>
      <w:headerReference w:type="default" r:id="rId25"/>
      <w:footerReference w:type="even" r:id="rId26"/>
      <w:footerReference w:type="default" r:id="rId27"/>
      <w:headerReference w:type="first" r:id="rId28"/>
      <w:footerReference w:type="first" r:id="rId29"/>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534" w:rsidRDefault="00D26534" w14:paraId="358FB330" w14:textId="77777777">
      <w:r>
        <w:separator/>
      </w:r>
    </w:p>
  </w:endnote>
  <w:endnote w:type="continuationSeparator" w:id="0">
    <w:p w:rsidR="00D26534" w:rsidRDefault="00D26534" w14:paraId="1AA61A5E" w14:textId="77777777">
      <w:r>
        <w:continuationSeparator/>
      </w:r>
    </w:p>
  </w:endnote>
  <w:endnote w:type="continuationNotice" w:id="1">
    <w:p w:rsidR="00D26534" w:rsidRDefault="00D26534" w14:paraId="633AE4CF"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8A583F" w:rsidR="00E22D63" w:rsidP="008A583F" w:rsidRDefault="00E22D63" w14:paraId="13E212AD"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8A583F" w:rsidR="00E94B73" w:rsidP="008A583F" w:rsidRDefault="008A583F" w14:paraId="252A40A6" w14:textId="2E4F0ABB">
    <w:pPr>
      <w:pStyle w:val="Footer"/>
    </w:pPr>
    <w:r>
      <w:t xml:space="preserve">EESC-2019-01915-00-01-INFO-TRA (EN) </w:t>
    </w:r>
    <w:r>
      <w:fldChar w:fldCharType="begin"/>
    </w:r>
    <w:r>
      <w:instrText xml:space="preserve"> PAGE  \* Arabic  \* MERGEFORMAT </w:instrText>
    </w:r>
    <w:r>
      <w:fldChar w:fldCharType="separate"/>
    </w:r>
    <w:r w:rsidR="00F30A06">
      <w:rPr>
        <w:noProof/>
      </w:rPr>
      <w:t>1</w:t>
    </w:r>
    <w:r>
      <w:fldChar w:fldCharType="end"/>
    </w:r>
    <w:r>
      <w:t>/</w:t>
    </w:r>
    <w:r w:rsidR="005C1CAB">
      <w:fldChar w:fldCharType="begin"/>
    </w:r>
    <w:r w:rsidR="005C1CAB">
      <w:instrText xml:space="preserve"> NUMPAGES </w:instrText>
    </w:r>
    <w:r w:rsidR="005C1CAB">
      <w:fldChar w:fldCharType="separate"/>
    </w:r>
    <w:r w:rsidR="00F30A06">
      <w:rPr>
        <w:noProof/>
      </w:rPr>
      <w:t>2</w:t>
    </w:r>
    <w:r w:rsidR="005C1CA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8A583F" w:rsidR="00E22D63" w:rsidP="008A583F" w:rsidRDefault="00E22D63" w14:paraId="1BE19B57"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534" w:rsidRDefault="00D26534" w14:paraId="5890C518" w14:textId="77777777">
      <w:r>
        <w:separator/>
      </w:r>
    </w:p>
  </w:footnote>
  <w:footnote w:type="continuationSeparator" w:id="0">
    <w:p w:rsidR="00D26534" w:rsidRDefault="00D26534" w14:paraId="461522C7" w14:textId="77777777">
      <w:r>
        <w:continuationSeparator/>
      </w:r>
    </w:p>
  </w:footnote>
  <w:footnote w:type="continuationNotice" w:id="1">
    <w:p w:rsidR="00D26534" w:rsidRDefault="00D26534" w14:paraId="4E4A9255" w14:textId="77777777">
      <w:pPr>
        <w:spacing w:line="240" w:lineRule="auto"/>
      </w:pPr>
    </w:p>
  </w:footnote>
  <w:footnote w:id="2">
    <w:p w:rsidRPr="00DF5C34" w:rsidR="00D57B44" w:rsidP="00D57B44" w:rsidRDefault="00D57B44" w14:paraId="5401651D" w14:textId="77777777">
      <w:pPr>
        <w:pStyle w:val="FootnoteText"/>
      </w:pPr>
      <w:r w:rsidRPr="00DF5C34">
        <w:rPr>
          <w:rStyle w:val="FootnoteReference"/>
        </w:rPr>
        <w:footnoteRef/>
      </w:r>
      <w:r w:rsidRPr="00DF5C34">
        <w:tab/>
        <w:t>UN sustainable development goal No 5: achieve gender equality and empower all women and girls.</w:t>
      </w:r>
    </w:p>
  </w:footnote>
  <w:footnote w:id="3">
    <w:p w:rsidRPr="00DF5C34" w:rsidR="00E94B73" w:rsidP="00F30A06" w:rsidRDefault="00E94B73" w14:paraId="5490E9BE" w14:textId="77777777">
      <w:pPr>
        <w:pStyle w:val="FootnoteText"/>
      </w:pPr>
      <w:r w:rsidRPr="00DF5C34">
        <w:rPr>
          <w:rStyle w:val="FootnoteReference"/>
        </w:rPr>
        <w:footnoteRef/>
      </w:r>
      <w:r w:rsidRPr="00DF5C34">
        <w:tab/>
        <w:t>Articles 2 and 3 TEU; 8, 19 and 153 TFEU; 23 of the Charter of Fundamental Rights of the EU.</w:t>
      </w:r>
    </w:p>
  </w:footnote>
  <w:footnote w:id="4">
    <w:p w:rsidRPr="00DF5C34" w:rsidR="00E94B73" w:rsidP="00F30A06" w:rsidRDefault="00E94B73" w14:paraId="5664008E" w14:textId="77777777">
      <w:pPr>
        <w:pStyle w:val="FootnoteText"/>
      </w:pPr>
      <w:r w:rsidRPr="00DF5C34">
        <w:rPr>
          <w:rStyle w:val="FootnoteReference"/>
        </w:rPr>
        <w:footnoteRef/>
      </w:r>
      <w:r w:rsidRPr="00DF5C34">
        <w:tab/>
        <w:t xml:space="preserve">Eurofound (2016): </w:t>
      </w:r>
      <w:hyperlink w:history="1" r:id="rId1">
        <w:r w:rsidRPr="00DF5C34">
          <w:rPr>
            <w:rStyle w:val="Hyperlink"/>
          </w:rPr>
          <w:t>The gender employment gap: Challenges and solutions</w:t>
        </w:r>
      </w:hyperlink>
      <w:r w:rsidRPr="00DF5C34">
        <w:t>.</w:t>
      </w:r>
    </w:p>
  </w:footnote>
  <w:footnote w:id="5">
    <w:p w:rsidRPr="00F67124" w:rsidR="002F659B" w:rsidRDefault="002F659B" w14:paraId="55761BF4" w14:textId="7758766A">
      <w:pPr>
        <w:pStyle w:val="FootnoteText"/>
        <w:rPr>
          <w:lang w:val="pt-PT"/>
        </w:rPr>
      </w:pPr>
      <w:r>
        <w:rPr>
          <w:rStyle w:val="FootnoteReference"/>
        </w:rPr>
        <w:footnoteRef/>
      </w:r>
      <w:r>
        <w:t xml:space="preserve"> </w:t>
      </w:r>
      <w:r>
        <w:rPr>
          <w:lang w:val="pt-PT"/>
        </w:rPr>
        <w:tab/>
      </w:r>
      <w:hyperlink w:history="1" r:id="rId2">
        <w:r w:rsidRPr="00203ABA" w:rsidR="000202A4">
          <w:rPr>
            <w:rStyle w:val="Hyperlink"/>
            <w:lang w:val="pt-PT"/>
          </w:rPr>
          <w:t>https://ec.europa.eu/eurostat/statistics-explained/index.php/Gender_statistics#Earnings</w:t>
        </w:r>
      </w:hyperlink>
      <w:r>
        <w:rPr>
          <w:lang w:val="pt-PT"/>
        </w:rPr>
        <w:t>.</w:t>
      </w:r>
    </w:p>
  </w:footnote>
  <w:footnote w:id="6">
    <w:p w:rsidRPr="00F67124" w:rsidR="002F659B" w:rsidRDefault="002F659B" w14:paraId="45811270" w14:textId="77777777">
      <w:pPr>
        <w:pStyle w:val="FootnoteText"/>
        <w:rPr>
          <w:lang w:val="pt-PT"/>
        </w:rPr>
      </w:pPr>
      <w:r>
        <w:rPr>
          <w:rStyle w:val="FootnoteReference"/>
        </w:rPr>
        <w:footnoteRef/>
      </w:r>
      <w:r>
        <w:t xml:space="preserve"> </w:t>
      </w:r>
      <w:r>
        <w:rPr>
          <w:lang w:val="pt-PT"/>
        </w:rPr>
        <w:tab/>
        <w:t>Idem.</w:t>
      </w:r>
    </w:p>
  </w:footnote>
  <w:footnote w:id="7">
    <w:p w:rsidRPr="00F67124" w:rsidR="005F0C18" w:rsidRDefault="005F0C18" w14:paraId="03AD2BEE" w14:textId="30F5BC5B">
      <w:pPr>
        <w:pStyle w:val="FootnoteText"/>
        <w:rPr>
          <w:lang w:val="pt-PT"/>
        </w:rPr>
      </w:pPr>
      <w:r>
        <w:rPr>
          <w:rStyle w:val="FootnoteReference"/>
        </w:rPr>
        <w:footnoteRef/>
      </w:r>
      <w:r>
        <w:t xml:space="preserve"> </w:t>
      </w:r>
      <w:r>
        <w:rPr>
          <w:lang w:val="pt-PT"/>
        </w:rPr>
        <w:tab/>
      </w:r>
      <w:hyperlink w:history="1" r:id="rId3">
        <w:r w:rsidRPr="00203ABA" w:rsidR="000202A4">
          <w:rPr>
            <w:rStyle w:val="Hyperlink"/>
            <w:lang w:val="pt-PT"/>
          </w:rPr>
          <w:t>https://eige.europa.eu/publications/poverty-gender-and-intersecting-inequalities-in-the-eu</w:t>
        </w:r>
      </w:hyperlink>
      <w:r w:rsidR="00A13BC5">
        <w:rPr>
          <w:lang w:val="pt-PT"/>
        </w:rPr>
        <w:t>.</w:t>
      </w:r>
    </w:p>
  </w:footnote>
  <w:footnote w:id="8">
    <w:p w:rsidRPr="00F67124" w:rsidR="00A13BC5" w:rsidP="00F67124" w:rsidRDefault="00A13BC5" w14:paraId="257B09C0" w14:textId="277DCFC2">
      <w:pPr>
        <w:pStyle w:val="FootnoteText"/>
        <w:jc w:val="left"/>
        <w:rPr>
          <w:lang w:val="pt-PT"/>
        </w:rPr>
      </w:pPr>
      <w:r>
        <w:rPr>
          <w:rStyle w:val="FootnoteReference"/>
        </w:rPr>
        <w:footnoteRef/>
      </w:r>
      <w:r>
        <w:t xml:space="preserve"> </w:t>
      </w:r>
      <w:r>
        <w:rPr>
          <w:lang w:val="pt-PT"/>
        </w:rPr>
        <w:tab/>
      </w:r>
      <w:hyperlink w:history="1" r:id="rId4">
        <w:r w:rsidRPr="00203ABA" w:rsidR="000202A4">
          <w:rPr>
            <w:rStyle w:val="Hyperlink"/>
            <w:lang w:val="pt-PT"/>
          </w:rPr>
          <w:t>https://ec.europa.eu/eurostat/statistics-explained/index.php/Employment_statistics#Rise_of_part-time_and_temporary_work</w:t>
        </w:r>
      </w:hyperlink>
      <w:r w:rsidR="00C65CBA">
        <w:rPr>
          <w:lang w:val="pt-PT"/>
        </w:rPr>
        <w:t>.</w:t>
      </w:r>
    </w:p>
  </w:footnote>
  <w:footnote w:id="9">
    <w:p w:rsidRPr="00F67124" w:rsidR="009674EC" w:rsidRDefault="009674EC" w14:paraId="7C31DEBE" w14:textId="2FCBB58A">
      <w:pPr>
        <w:pStyle w:val="FootnoteText"/>
        <w:rPr>
          <w:lang w:val="pt-PT"/>
        </w:rPr>
      </w:pPr>
      <w:r>
        <w:rPr>
          <w:rStyle w:val="FootnoteReference"/>
        </w:rPr>
        <w:footnoteRef/>
      </w:r>
      <w:r>
        <w:t xml:space="preserve"> </w:t>
      </w:r>
      <w:r>
        <w:rPr>
          <w:lang w:val="pt-PT"/>
        </w:rPr>
        <w:tab/>
      </w:r>
      <w:hyperlink w:history="1" r:id="rId5">
        <w:r w:rsidRPr="00203ABA" w:rsidR="000202A4">
          <w:rPr>
            <w:rStyle w:val="Hyperlink"/>
            <w:lang w:val="pt-PT"/>
          </w:rPr>
          <w:t>https://ec.europa.eu/eurostat/statistics-explained/index.php/Gender_pay_gap_statistics</w:t>
        </w:r>
      </w:hyperlink>
      <w:r>
        <w:rPr>
          <w:lang w:val="pt-PT"/>
        </w:rPr>
        <w:t>.</w:t>
      </w:r>
    </w:p>
  </w:footnote>
  <w:footnote w:id="10">
    <w:p w:rsidRPr="00F67124" w:rsidR="009674EC" w:rsidRDefault="009674EC" w14:paraId="203B109E" w14:textId="2F9531DE">
      <w:pPr>
        <w:pStyle w:val="FootnoteText"/>
        <w:rPr>
          <w:lang w:val="pt-PT"/>
        </w:rPr>
      </w:pPr>
      <w:r>
        <w:rPr>
          <w:rStyle w:val="FootnoteReference"/>
        </w:rPr>
        <w:footnoteRef/>
      </w:r>
      <w:r>
        <w:t xml:space="preserve"> </w:t>
      </w:r>
      <w:r>
        <w:rPr>
          <w:lang w:val="pt-PT"/>
        </w:rPr>
        <w:tab/>
      </w:r>
      <w:hyperlink w:history="1" r:id="rId6">
        <w:r w:rsidRPr="00203ABA" w:rsidR="000202A4">
          <w:rPr>
            <w:rStyle w:val="Hyperlink"/>
            <w:lang w:val="pt-PT"/>
          </w:rPr>
          <w:t>https://www.equalpayday.be/europa/</w:t>
        </w:r>
      </w:hyperlink>
      <w:r>
        <w:rPr>
          <w:lang w:val="pt-PT"/>
        </w:rPr>
        <w:t>.</w:t>
      </w:r>
    </w:p>
  </w:footnote>
  <w:footnote w:id="11">
    <w:p w:rsidRPr="00F67124" w:rsidR="009674EC" w:rsidRDefault="009674EC" w14:paraId="14F93EF7" w14:textId="67937A93">
      <w:pPr>
        <w:pStyle w:val="FootnoteText"/>
        <w:rPr>
          <w:lang w:val="pt-PT"/>
        </w:rPr>
      </w:pPr>
      <w:r>
        <w:rPr>
          <w:rStyle w:val="FootnoteReference"/>
        </w:rPr>
        <w:footnoteRef/>
      </w:r>
      <w:r>
        <w:t xml:space="preserve"> </w:t>
      </w:r>
      <w:r>
        <w:rPr>
          <w:lang w:val="pt-PT"/>
        </w:rPr>
        <w:tab/>
      </w:r>
      <w:hyperlink w:history="1" r:id="rId7">
        <w:r w:rsidRPr="00203ABA" w:rsidR="000202A4">
          <w:rPr>
            <w:rStyle w:val="Hyperlink"/>
            <w:lang w:val="pt-PT"/>
          </w:rPr>
          <w:t>https://eige.europa.eu/resources/ti_pubpdf_mh0217250enn_pdfweb_20170503163908.pdf</w:t>
        </w:r>
      </w:hyperlink>
      <w:r>
        <w:rPr>
          <w:lang w:val="pt-PT"/>
        </w:rPr>
        <w:t>.</w:t>
      </w:r>
    </w:p>
  </w:footnote>
  <w:footnote w:id="12">
    <w:p w:rsidRPr="00F67124" w:rsidR="002940A3" w:rsidRDefault="002940A3" w14:paraId="38F13ABC" w14:textId="2275BCAD">
      <w:pPr>
        <w:pStyle w:val="FootnoteText"/>
        <w:rPr>
          <w:lang w:val="pt-PT"/>
        </w:rPr>
      </w:pPr>
      <w:r>
        <w:rPr>
          <w:rStyle w:val="FootnoteReference"/>
        </w:rPr>
        <w:footnoteRef/>
      </w:r>
      <w:r>
        <w:tab/>
      </w:r>
      <w:hyperlink w:history="1" r:id="rId8">
        <w:r w:rsidRPr="00203ABA" w:rsidR="000202A4">
          <w:rPr>
            <w:rStyle w:val="Hyperlink"/>
          </w:rPr>
          <w:t>http://europa.eu/rapid/press-release_IP-17-481_en.htm</w:t>
        </w:r>
      </w:hyperlink>
      <w:r>
        <w:t>.</w:t>
      </w:r>
    </w:p>
  </w:footnote>
  <w:footnote w:id="13">
    <w:p w:rsidRPr="00F67124" w:rsidR="002940A3" w:rsidRDefault="002940A3" w14:paraId="19671032" w14:textId="157993B7">
      <w:pPr>
        <w:pStyle w:val="FootnoteText"/>
        <w:rPr>
          <w:lang w:val="pt-PT"/>
        </w:rPr>
      </w:pPr>
      <w:r>
        <w:rPr>
          <w:rStyle w:val="FootnoteReference"/>
        </w:rPr>
        <w:footnoteRef/>
      </w:r>
      <w:r>
        <w:t xml:space="preserve"> </w:t>
      </w:r>
      <w:r>
        <w:rPr>
          <w:lang w:val="pt-PT"/>
        </w:rPr>
        <w:tab/>
      </w:r>
      <w:hyperlink w:history="1" r:id="rId9">
        <w:r w:rsidRPr="00203ABA" w:rsidR="000202A4">
          <w:rPr>
            <w:rStyle w:val="Hyperlink"/>
            <w:lang w:val="pt-PT"/>
          </w:rPr>
          <w:t>https://www.schooleducationgateway.eu/en/pub/experts/role_models_leading_girls_into.htm</w:t>
        </w:r>
      </w:hyperlink>
      <w:r>
        <w:rPr>
          <w:lang w:val="pt-PT"/>
        </w:rPr>
        <w:t xml:space="preserve">. </w:t>
      </w:r>
    </w:p>
  </w:footnote>
  <w:footnote w:id="14">
    <w:p w:rsidRPr="00F67124" w:rsidR="001420F5" w:rsidRDefault="001420F5" w14:paraId="21E51619" w14:textId="21EB1949">
      <w:pPr>
        <w:pStyle w:val="FootnoteText"/>
        <w:rPr>
          <w:lang w:val="pt-PT"/>
        </w:rPr>
      </w:pPr>
      <w:r>
        <w:rPr>
          <w:rStyle w:val="FootnoteReference"/>
        </w:rPr>
        <w:footnoteRef/>
      </w:r>
      <w:r>
        <w:t xml:space="preserve"> </w:t>
      </w:r>
      <w:r>
        <w:rPr>
          <w:lang w:val="pt-PT"/>
        </w:rPr>
        <w:tab/>
      </w:r>
      <w:hyperlink w:history="1" r:id="rId10">
        <w:r w:rsidRPr="00203ABA" w:rsidR="000202A4">
          <w:rPr>
            <w:rStyle w:val="Hyperlink"/>
            <w:lang w:val="pt-PT"/>
          </w:rPr>
          <w:t>http://europa.eu/rapid/press-release_IP-19-1495_en.htm</w:t>
        </w:r>
      </w:hyperlink>
      <w:r>
        <w:rPr>
          <w:lang w:val="pt-PT"/>
        </w:rPr>
        <w:t>.</w:t>
      </w:r>
    </w:p>
  </w:footnote>
  <w:footnote w:id="15">
    <w:p w:rsidRPr="00F67124" w:rsidR="001420F5" w:rsidRDefault="001420F5" w14:paraId="6C8D7EF1" w14:textId="2D5C9800">
      <w:pPr>
        <w:pStyle w:val="FootnoteText"/>
        <w:rPr>
          <w:lang w:val="pt-PT"/>
        </w:rPr>
      </w:pPr>
      <w:r>
        <w:rPr>
          <w:rStyle w:val="FootnoteReference"/>
        </w:rPr>
        <w:footnoteRef/>
      </w:r>
      <w:r>
        <w:t xml:space="preserve"> </w:t>
      </w:r>
      <w:r>
        <w:rPr>
          <w:lang w:val="pt-PT"/>
        </w:rPr>
        <w:tab/>
      </w:r>
      <w:hyperlink w:history="1" r:id="rId11">
        <w:r w:rsidRPr="00203ABA" w:rsidR="000202A4">
          <w:rPr>
            <w:rStyle w:val="Hyperlink"/>
            <w:lang w:val="pt-PT"/>
          </w:rPr>
          <w:t>https://cor.europa.eu/en/events/Pages/europe-for-her.aspx</w:t>
        </w:r>
      </w:hyperlink>
      <w:r>
        <w:rPr>
          <w:lang w:val="pt-PT"/>
        </w:rPr>
        <w:t>.</w:t>
      </w:r>
    </w:p>
  </w:footnote>
  <w:footnote w:id="16">
    <w:p w:rsidRPr="00F67124" w:rsidR="002F659B" w:rsidRDefault="002F659B" w14:paraId="0B4BD6CB" w14:textId="1978A630">
      <w:pPr>
        <w:pStyle w:val="FootnoteText"/>
        <w:rPr>
          <w:lang w:val="pt-PT"/>
        </w:rPr>
      </w:pPr>
      <w:r>
        <w:rPr>
          <w:rStyle w:val="FootnoteReference"/>
        </w:rPr>
        <w:footnoteRef/>
      </w:r>
      <w:r>
        <w:t xml:space="preserve"> </w:t>
      </w:r>
      <w:r>
        <w:rPr>
          <w:lang w:val="pt-PT"/>
        </w:rPr>
        <w:tab/>
      </w:r>
      <w:hyperlink w:history="1" r:id="rId12">
        <w:r w:rsidRPr="00203ABA" w:rsidR="000202A4">
          <w:rPr>
            <w:rStyle w:val="Hyperlink"/>
            <w:lang w:val="pt-PT"/>
          </w:rPr>
          <w:t>https://ec.europa.eu/eurostat/web/products-eurostat-news/-/EDN-20190306-2</w:t>
        </w:r>
      </w:hyperlink>
      <w:r>
        <w:rPr>
          <w:lang w:val="pt-PT"/>
        </w:rPr>
        <w:t>.</w:t>
      </w:r>
    </w:p>
  </w:footnote>
  <w:footnote w:id="17">
    <w:p w:rsidRPr="00F67124" w:rsidR="00C1675D" w:rsidRDefault="00C1675D" w14:paraId="777BEB4E" w14:textId="08EACBB5">
      <w:pPr>
        <w:pStyle w:val="FootnoteText"/>
        <w:rPr>
          <w:lang w:val="pt-PT"/>
        </w:rPr>
      </w:pPr>
      <w:r>
        <w:rPr>
          <w:rStyle w:val="FootnoteReference"/>
        </w:rPr>
        <w:footnoteRef/>
      </w:r>
      <w:r>
        <w:t xml:space="preserve"> </w:t>
      </w:r>
      <w:r>
        <w:tab/>
      </w:r>
      <w:hyperlink w:history="1" r:id="rId13">
        <w:r w:rsidRPr="00203ABA" w:rsidR="000202A4">
          <w:rPr>
            <w:rStyle w:val="Hyperlink"/>
            <w:lang w:val="pt-PT"/>
          </w:rPr>
          <w:t>http://europa.eu/rapid/press-release_IP-19-1495_en.htm</w:t>
        </w:r>
      </w:hyperlink>
      <w:r>
        <w:rPr>
          <w:lang w:val="pt-PT"/>
        </w:rPr>
        <w:t>.</w:t>
      </w:r>
    </w:p>
  </w:footnote>
  <w:footnote w:id="18">
    <w:p w:rsidRPr="00F67124" w:rsidR="00CB722A" w:rsidRDefault="00CB722A" w14:paraId="67FF0D10" w14:textId="4634D5C1">
      <w:pPr>
        <w:pStyle w:val="FootnoteText"/>
        <w:rPr>
          <w:lang w:val="pt-PT"/>
        </w:rPr>
      </w:pPr>
      <w:r>
        <w:rPr>
          <w:rStyle w:val="FootnoteReference"/>
        </w:rPr>
        <w:footnoteRef/>
      </w:r>
      <w:r>
        <w:rPr>
          <w:lang w:val="pt-PT"/>
        </w:rPr>
        <w:tab/>
      </w:r>
      <w:hyperlink w:history="1" r:id="rId14">
        <w:r w:rsidRPr="00203ABA" w:rsidR="000202A4">
          <w:rPr>
            <w:rStyle w:val="Hyperlink"/>
            <w:lang w:val="pt-PT"/>
          </w:rPr>
          <w:t>http://ec.europa.eu/newsroom/just/document.cfm?doc_id=50074</w:t>
        </w:r>
      </w:hyperlink>
      <w:r>
        <w:rPr>
          <w:lang w:val="pt-PT"/>
        </w:rPr>
        <w:t xml:space="preserve">. </w:t>
      </w:r>
    </w:p>
  </w:footnote>
  <w:footnote w:id="19">
    <w:p w:rsidRPr="00DF5C34" w:rsidR="00E94B73" w:rsidP="00F30A06" w:rsidRDefault="00E94B73" w14:paraId="5E78BB93" w14:textId="77777777">
      <w:pPr>
        <w:pStyle w:val="FootnoteText"/>
      </w:pPr>
      <w:r w:rsidRPr="00DF5C34">
        <w:rPr>
          <w:rStyle w:val="FootnoteReference"/>
        </w:rPr>
        <w:footnoteRef/>
      </w:r>
      <w:r w:rsidRPr="00DF5C34">
        <w:tab/>
        <w:t>See, for instance, Directives 2006/54/EC; 2014/124/EU; 79/7/EEC; 2004/113/EEC; 92/85/EEC; and 2010/18/EU.</w:t>
      </w:r>
    </w:p>
  </w:footnote>
  <w:footnote w:id="20">
    <w:p w:rsidRPr="00F67124" w:rsidR="00CB722A" w:rsidRDefault="00CB722A" w14:paraId="58C0D662" w14:textId="6076B818">
      <w:pPr>
        <w:pStyle w:val="FootnoteText"/>
        <w:rPr>
          <w:lang w:val="pt-PT"/>
        </w:rPr>
      </w:pPr>
      <w:r>
        <w:rPr>
          <w:rStyle w:val="FootnoteReference"/>
        </w:rPr>
        <w:footnoteRef/>
      </w:r>
      <w:r>
        <w:t xml:space="preserve"> </w:t>
      </w:r>
      <w:r>
        <w:rPr>
          <w:lang w:val="pt-PT"/>
        </w:rPr>
        <w:tab/>
      </w:r>
      <w:hyperlink w:history="1" r:id="rId15">
        <w:r w:rsidRPr="00203ABA" w:rsidR="000202A4">
          <w:rPr>
            <w:rStyle w:val="Hyperlink"/>
            <w:lang w:val="pt-PT"/>
          </w:rPr>
          <w:t>http://www.europarl.europa.eu/doceo/document/A-8-2017-0046_EN.html?redirect</w:t>
        </w:r>
      </w:hyperlink>
      <w:r>
        <w:rPr>
          <w:lang w:val="pt-PT"/>
        </w:rPr>
        <w:t>.</w:t>
      </w:r>
    </w:p>
  </w:footnote>
  <w:footnote w:id="21">
    <w:p w:rsidRPr="00DF5C34" w:rsidR="00E94B73" w:rsidP="00F30A06" w:rsidRDefault="00E94B73" w14:paraId="78ED6196" w14:textId="77777777">
      <w:pPr>
        <w:pStyle w:val="FootnoteText"/>
      </w:pPr>
      <w:r w:rsidRPr="00DF5C34">
        <w:rPr>
          <w:rStyle w:val="FootnoteReference"/>
        </w:rPr>
        <w:footnoteRef/>
      </w:r>
      <w:r w:rsidRPr="00DF5C34">
        <w:tab/>
        <w:t xml:space="preserve">Trio Presidency Declaration on Equality Between Women and Men, available at: </w:t>
      </w:r>
      <w:hyperlink w:history="1" r:id="rId16">
        <w:r w:rsidRPr="00DF5C34">
          <w:rPr>
            <w:rStyle w:val="Hyperlink"/>
          </w:rPr>
          <w:t>https://www.eu2017.ee/sites/default/files/inline-files/EU2017EE%20Trio%20Presidency%20Declaration%20on%20Equality%20Between%20Women%20and%20Men_0.pdf</w:t>
        </w:r>
      </w:hyperlink>
      <w:r w:rsidRPr="00DF5C34">
        <w:t xml:space="preserve"> </w:t>
      </w:r>
    </w:p>
  </w:footnote>
  <w:footnote w:id="22">
    <w:p w:rsidRPr="00DF5C34" w:rsidR="00E94B73" w:rsidP="00BA2605" w:rsidRDefault="00E94B73" w14:paraId="45C5BE96" w14:textId="549FE492">
      <w:pPr>
        <w:pStyle w:val="FootnoteText"/>
        <w:spacing w:after="0"/>
      </w:pPr>
      <w:r w:rsidRPr="00DF5C34">
        <w:rPr>
          <w:rStyle w:val="FootnoteReference"/>
        </w:rPr>
        <w:footnoteRef/>
      </w:r>
      <w:r w:rsidRPr="00DF5C34">
        <w:tab/>
        <w:t xml:space="preserve">Opinion of the European Economic and Social Committee on </w:t>
      </w:r>
      <w:r w:rsidRPr="00F30A06">
        <w:rPr>
          <w:i/>
        </w:rPr>
        <w:t>Gender equality issues</w:t>
      </w:r>
      <w:r w:rsidRPr="00DF5C34">
        <w:t xml:space="preserve"> (SOC/610)</w:t>
      </w:r>
      <w:r w:rsidR="00534024">
        <w:t>, adopted on 15 May 2019, pt. 1.3</w:t>
      </w:r>
      <w:r w:rsidRPr="00DF5C34">
        <w:t>.</w:t>
      </w:r>
    </w:p>
  </w:footnote>
  <w:footnote w:id="23">
    <w:p w:rsidRPr="00DF5C34" w:rsidR="00231FDE" w:rsidP="00BA2605" w:rsidRDefault="00231FDE" w14:paraId="4E2D6D83" w14:textId="77777777">
      <w:pPr>
        <w:pStyle w:val="FootnoteText"/>
        <w:spacing w:after="0"/>
      </w:pPr>
      <w:r w:rsidRPr="00DF5C34">
        <w:rPr>
          <w:rStyle w:val="FootnoteReference"/>
        </w:rPr>
        <w:footnoteRef/>
      </w:r>
      <w:r w:rsidRPr="00DF5C34">
        <w:tab/>
        <w:t xml:space="preserve">European Commission, </w:t>
      </w:r>
      <w:hyperlink w:history="1" r:id="rId17">
        <w:r w:rsidRPr="00DF5C34">
          <w:rPr>
            <w:rStyle w:val="Hyperlink"/>
            <w:i/>
          </w:rPr>
          <w:t>Strategic Engagement for Gender Equality 2016-2019</w:t>
        </w:r>
      </w:hyperlink>
      <w:r w:rsidRPr="00DF5C34" w:rsidR="005B3747">
        <w:t xml:space="preserve"> (SWD (2015) 278 final</w:t>
      </w:r>
      <w:r w:rsidRPr="00DF5C34" w:rsidR="00962A18">
        <w:t xml:space="preserve"> </w:t>
      </w:r>
      <w:r w:rsidRPr="00DF5C34" w:rsidR="005B3747">
        <w:t>of 3.12.</w:t>
      </w:r>
      <w:r w:rsidRPr="00DF5C34" w:rsidR="00962A18">
        <w:t>2015</w:t>
      </w:r>
      <w:r w:rsidRPr="00DF5C34" w:rsidR="005B3747">
        <w:t xml:space="preserve">, </w:t>
      </w:r>
      <w:r w:rsidRPr="00DF5C34" w:rsidR="00962A18">
        <w:t>ISBN 978-92-79-53451-5), p. 9.</w:t>
      </w:r>
    </w:p>
  </w:footnote>
  <w:footnote w:id="24">
    <w:p w:rsidRPr="00DF5C34" w:rsidR="00E94B73" w:rsidP="000413A4" w:rsidRDefault="00E94B73" w14:paraId="3FCF1F72" w14:textId="77777777">
      <w:pPr>
        <w:pStyle w:val="FootnoteText"/>
      </w:pPr>
      <w:r w:rsidRPr="00DF5C34">
        <w:rPr>
          <w:rStyle w:val="FootnoteReference"/>
        </w:rPr>
        <w:footnoteRef/>
      </w:r>
      <w:r w:rsidRPr="00DF5C34">
        <w:tab/>
        <w:t xml:space="preserve">Opinion of the Economic and Social Committee on </w:t>
      </w:r>
      <w:r w:rsidRPr="00DF5C34">
        <w:rPr>
          <w:i/>
        </w:rPr>
        <w:t xml:space="preserve">The role and contribution of civil society organisations in the building of Europe </w:t>
      </w:r>
      <w:r w:rsidRPr="00DF5C34">
        <w:t>– CESE 851/1999 of 22 September 1999 (</w:t>
      </w:r>
      <w:hyperlink w:history="1" r:id="rId18">
        <w:r w:rsidRPr="00DF5C34">
          <w:rPr>
            <w:rStyle w:val="Hyperlink"/>
          </w:rPr>
          <w:t xml:space="preserve">OJ </w:t>
        </w:r>
        <w:r w:rsidRPr="00DF5C34">
          <w:rPr>
            <w:rStyle w:val="Hyperlink"/>
            <w:iCs/>
          </w:rPr>
          <w:t>C 329, 17.11.1999, p. 30</w:t>
        </w:r>
      </w:hyperlink>
      <w:r w:rsidRPr="00DF5C34">
        <w:t>).</w:t>
      </w:r>
    </w:p>
  </w:footnote>
  <w:footnote w:id="25">
    <w:p w:rsidRPr="00DF5C34" w:rsidR="00E94B73" w:rsidP="00FD41A6" w:rsidRDefault="00E94B73" w14:paraId="07F61EA0" w14:textId="77777777">
      <w:pPr>
        <w:pStyle w:val="FootnoteText"/>
      </w:pPr>
      <w:r w:rsidRPr="00DF5C34">
        <w:rPr>
          <w:rStyle w:val="FootnoteReference"/>
        </w:rPr>
        <w:footnoteRef/>
      </w:r>
      <w:r w:rsidRPr="00DF5C34">
        <w:tab/>
        <w:t>This applies for instance to Austrian labour-market players.</w:t>
      </w:r>
    </w:p>
  </w:footnote>
  <w:footnote w:id="26">
    <w:p w:rsidRPr="00DF5C34" w:rsidR="00E94B73" w:rsidP="00436607" w:rsidRDefault="00E94B73" w14:paraId="08019B2C" w14:textId="77777777">
      <w:pPr>
        <w:pStyle w:val="FootnoteText"/>
      </w:pPr>
      <w:r w:rsidRPr="00DF5C34">
        <w:rPr>
          <w:rStyle w:val="FootnoteReference"/>
        </w:rPr>
        <w:footnoteRef/>
      </w:r>
      <w:r w:rsidRPr="00DF5C34">
        <w:tab/>
        <w:t>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w:t>
      </w:r>
      <w:hyperlink w:history="1" r:id="rId19">
        <w:r w:rsidRPr="00DF5C34">
          <w:rPr>
            <w:rStyle w:val="Hyperlink"/>
          </w:rPr>
          <w:t>OJ L 193, 30.7.2018, p. 1</w:t>
        </w:r>
      </w:hyperlink>
      <w:r w:rsidRPr="00DF5C34">
        <w:t xml:space="preserve">). </w:t>
      </w:r>
    </w:p>
  </w:footnote>
  <w:footnote w:id="27">
    <w:p w:rsidRPr="00DF5C34" w:rsidR="00E94B73" w:rsidRDefault="00E94B73" w14:paraId="40AA9F8E" w14:textId="77777777">
      <w:pPr>
        <w:pStyle w:val="FootnoteText"/>
      </w:pPr>
      <w:r w:rsidRPr="00DF5C34">
        <w:rPr>
          <w:rStyle w:val="FootnoteReference"/>
        </w:rPr>
        <w:footnoteRef/>
      </w:r>
      <w:r w:rsidRPr="00DF5C34">
        <w:tab/>
        <w:t xml:space="preserve">Regulation </w:t>
      </w:r>
      <w:r w:rsidRPr="00DF5C34">
        <w:rPr>
          <w:bCs/>
        </w:rPr>
        <w:t>(EU)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w:t>
      </w:r>
      <w:hyperlink w:history="1" r:id="rId20">
        <w:r w:rsidRPr="00DF5C34">
          <w:rPr>
            <w:rStyle w:val="Hyperlink"/>
            <w:bCs/>
          </w:rPr>
          <w:t>OJ l 295, 21.11.2018, p. 93</w:t>
        </w:r>
      </w:hyperlink>
      <w:r w:rsidRPr="00DF5C34">
        <w:rPr>
          <w:b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8A583F" w:rsidR="00E22D63" w:rsidP="008A583F" w:rsidRDefault="00E22D63" w14:paraId="00D6A833"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8A583F" w:rsidR="00E22D63" w:rsidP="008A583F" w:rsidRDefault="00E22D63" w14:paraId="713B1639" w14:textId="71DEA1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8A583F" w:rsidR="00E22D63" w:rsidP="008A583F" w:rsidRDefault="00E22D63" w14:paraId="2E6DCA88"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8406A26"/>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rPr>
        <w:b w:val="0"/>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6416E11"/>
    <w:multiLevelType w:val="hybridMultilevel"/>
    <w:tmpl w:val="81307150"/>
    <w:lvl w:ilvl="0" w:tplc="23AA9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BD746D4"/>
    <w:multiLevelType w:val="hybridMultilevel"/>
    <w:tmpl w:val="D322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9337B7"/>
    <w:multiLevelType w:val="hybridMultilevel"/>
    <w:tmpl w:val="6772FCB6"/>
    <w:lvl w:ilvl="0" w:tplc="20C224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20C224E8">
      <w:start w:val="1"/>
      <w:numFmt w:val="bullet"/>
      <w:lvlText w:val=""/>
      <w:lvlJc w:val="left"/>
      <w:pPr>
        <w:ind w:left="121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534858"/>
    <w:multiLevelType w:val="hybridMultilevel"/>
    <w:tmpl w:val="D1C61A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6E3A8A"/>
    <w:multiLevelType w:val="singleLevel"/>
    <w:tmpl w:val="6772FCB6"/>
    <w:lvl w:ilvl="0">
      <w:start w:val="1"/>
      <w:numFmt w:val="bullet"/>
      <w:lvlText w:val=""/>
      <w:lvlJc w:val="left"/>
      <w:pPr>
        <w:ind w:left="720" w:hanging="360"/>
      </w:pPr>
      <w:rPr>
        <w:rFonts w:ascii="Symbol" w:hAnsi="Symbol" w:hint="default"/>
      </w:rPr>
    </w:lvl>
  </w:abstractNum>
  <w:abstractNum w:abstractNumId="6">
    <w:nsid w:val="27C729E2"/>
    <w:multiLevelType w:val="hybridMultilevel"/>
    <w:tmpl w:val="46602F0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1356893"/>
    <w:multiLevelType w:val="hybridMultilevel"/>
    <w:tmpl w:val="58508A5E"/>
    <w:lvl w:ilvl="0" w:tplc="080C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EB0BDA"/>
    <w:multiLevelType w:val="hybridMultilevel"/>
    <w:tmpl w:val="A4920D66"/>
    <w:lvl w:ilvl="0" w:tplc="0C705E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E660B24"/>
    <w:multiLevelType w:val="singleLevel"/>
    <w:tmpl w:val="A944FE8A"/>
    <w:lvl w:ilvl="0">
      <w:start w:val="1"/>
      <w:numFmt w:val="decimal"/>
      <w:lvlText w:val="%1."/>
      <w:lvlJc w:val="left"/>
      <w:pPr>
        <w:ind w:left="720" w:hanging="360"/>
      </w:pPr>
      <w:rPr>
        <w:rFonts w:hint="default"/>
      </w:rPr>
    </w:lvl>
  </w:abstractNum>
  <w:abstractNum w:abstractNumId="11">
    <w:nsid w:val="44F51BC2"/>
    <w:multiLevelType w:val="hybridMultilevel"/>
    <w:tmpl w:val="3D9262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457D0DF5"/>
    <w:multiLevelType w:val="hybridMultilevel"/>
    <w:tmpl w:val="137C0094"/>
    <w:lvl w:ilvl="0" w:tplc="080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5C01FA"/>
    <w:multiLevelType w:val="hybridMultilevel"/>
    <w:tmpl w:val="29B45D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72E6E8A"/>
    <w:multiLevelType w:val="hybridMultilevel"/>
    <w:tmpl w:val="E9BA1552"/>
    <w:lvl w:ilvl="0" w:tplc="20C224E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47DE4CF0"/>
    <w:multiLevelType w:val="hybridMultilevel"/>
    <w:tmpl w:val="A944FE8A"/>
    <w:lvl w:ilvl="0" w:tplc="080C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20C224E8">
      <w:start w:val="1"/>
      <w:numFmt w:val="bullet"/>
      <w:lvlText w:val=""/>
      <w:lvlJc w:val="left"/>
      <w:pPr>
        <w:ind w:left="121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1C68C4"/>
    <w:multiLevelType w:val="hybridMultilevel"/>
    <w:tmpl w:val="FED84558"/>
    <w:lvl w:ilvl="0" w:tplc="23AA9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9C829F0"/>
    <w:multiLevelType w:val="hybridMultilevel"/>
    <w:tmpl w:val="B1D022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5BF6309F"/>
    <w:multiLevelType w:val="hybridMultilevel"/>
    <w:tmpl w:val="0544475A"/>
    <w:lvl w:ilvl="0" w:tplc="6C9E67D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5C0154E0"/>
    <w:multiLevelType w:val="hybridMultilevel"/>
    <w:tmpl w:val="D50E1938"/>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C31750"/>
    <w:multiLevelType w:val="hybridMultilevel"/>
    <w:tmpl w:val="098C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157714"/>
    <w:multiLevelType w:val="hybridMultilevel"/>
    <w:tmpl w:val="49E67D14"/>
    <w:lvl w:ilvl="0" w:tplc="88247476">
      <w:numFmt w:val="bullet"/>
      <w:lvlText w:val="-"/>
      <w:lvlJc w:val="left"/>
      <w:pPr>
        <w:ind w:left="720" w:hanging="360"/>
      </w:pPr>
      <w:rPr>
        <w:rFonts w:ascii="Calibri" w:eastAsia="Calibri" w:hAnsi="Calibri"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F280EEF"/>
    <w:multiLevelType w:val="hybridMultilevel"/>
    <w:tmpl w:val="4B322FE8"/>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781620"/>
    <w:multiLevelType w:val="singleLevel"/>
    <w:tmpl w:val="6772FCB6"/>
    <w:lvl w:ilvl="0">
      <w:start w:val="1"/>
      <w:numFmt w:val="bullet"/>
      <w:lvlText w:val=""/>
      <w:lvlJc w:val="left"/>
      <w:pPr>
        <w:ind w:left="720" w:hanging="360"/>
      </w:pPr>
      <w:rPr>
        <w:rFonts w:ascii="Symbol" w:hAnsi="Symbol" w:hint="default"/>
      </w:rPr>
    </w:lvl>
  </w:abstractNum>
  <w:abstractNum w:abstractNumId="25">
    <w:nsid w:val="76F02581"/>
    <w:multiLevelType w:val="hybridMultilevel"/>
    <w:tmpl w:val="00724E00"/>
    <w:lvl w:ilvl="0" w:tplc="2020DA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A5F52DD"/>
    <w:multiLevelType w:val="hybridMultilevel"/>
    <w:tmpl w:val="77A0CA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9"/>
  </w:num>
  <w:num w:numId="3">
    <w:abstractNumId w:val="22"/>
  </w:num>
  <w:num w:numId="4">
    <w:abstractNumId w:val="12"/>
  </w:num>
  <w:num w:numId="5">
    <w:abstractNumId w:val="4"/>
  </w:num>
  <w:num w:numId="6">
    <w:abstractNumId w:val="20"/>
  </w:num>
  <w:num w:numId="7">
    <w:abstractNumId w:val="11"/>
  </w:num>
  <w:num w:numId="8">
    <w:abstractNumId w:val="17"/>
  </w:num>
  <w:num w:numId="9">
    <w:abstractNumId w:val="3"/>
  </w:num>
  <w:num w:numId="10">
    <w:abstractNumId w:val="15"/>
  </w:num>
  <w:num w:numId="11">
    <w:abstractNumId w:val="18"/>
  </w:num>
  <w:num w:numId="12">
    <w:abstractNumId w:val="14"/>
  </w:num>
  <w:num w:numId="13">
    <w:abstractNumId w:val="10"/>
  </w:num>
  <w:num w:numId="14">
    <w:abstractNumId w:val="24"/>
  </w:num>
  <w:num w:numId="15">
    <w:abstractNumId w:val="5"/>
  </w:num>
  <w:num w:numId="16">
    <w:abstractNumId w:val="1"/>
  </w:num>
  <w:num w:numId="17">
    <w:abstractNumId w:val="16"/>
  </w:num>
  <w:num w:numId="18">
    <w:abstractNumId w:val="19"/>
  </w:num>
  <w:num w:numId="19">
    <w:abstractNumId w:val="25"/>
  </w:num>
  <w:num w:numId="20">
    <w:abstractNumId w:val="8"/>
  </w:num>
  <w:num w:numId="21">
    <w:abstractNumId w:val="2"/>
  </w:num>
  <w:num w:numId="22">
    <w:abstractNumId w:val="13"/>
  </w:num>
  <w:num w:numId="23">
    <w:abstractNumId w:val="26"/>
  </w:num>
  <w:num w:numId="24">
    <w:abstractNumId w:val="7"/>
  </w:num>
  <w:num w:numId="25">
    <w:abstractNumId w:val="21"/>
  </w:num>
  <w:num w:numId="26">
    <w:abstractNumId w:val="6"/>
  </w:num>
  <w:num w:numId="27">
    <w:abstractNumId w:val="23"/>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com">
    <w15:presenceInfo w15:providerId="None" w15:userId="acom"/>
  </w15:person>
  <w15:person w15:author="mkop">
    <w15:presenceInfo w15:providerId="None" w15:userId="mko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100353"/>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3DC"/>
    <w:rsid w:val="000010D4"/>
    <w:rsid w:val="00002DEA"/>
    <w:rsid w:val="00005AA3"/>
    <w:rsid w:val="00011319"/>
    <w:rsid w:val="00011D96"/>
    <w:rsid w:val="00012C38"/>
    <w:rsid w:val="000202A4"/>
    <w:rsid w:val="00021E5F"/>
    <w:rsid w:val="0002547C"/>
    <w:rsid w:val="00025FB9"/>
    <w:rsid w:val="000274D3"/>
    <w:rsid w:val="000324CD"/>
    <w:rsid w:val="000348D3"/>
    <w:rsid w:val="00034F0C"/>
    <w:rsid w:val="00035949"/>
    <w:rsid w:val="000413A4"/>
    <w:rsid w:val="0004213A"/>
    <w:rsid w:val="00044D32"/>
    <w:rsid w:val="00045576"/>
    <w:rsid w:val="00046E2A"/>
    <w:rsid w:val="00052ECC"/>
    <w:rsid w:val="00056D33"/>
    <w:rsid w:val="00061CE1"/>
    <w:rsid w:val="000620E2"/>
    <w:rsid w:val="00062F13"/>
    <w:rsid w:val="00067742"/>
    <w:rsid w:val="00071A83"/>
    <w:rsid w:val="00071D24"/>
    <w:rsid w:val="00073D4A"/>
    <w:rsid w:val="000779CF"/>
    <w:rsid w:val="000815A4"/>
    <w:rsid w:val="00081B00"/>
    <w:rsid w:val="00082476"/>
    <w:rsid w:val="000855E9"/>
    <w:rsid w:val="00085873"/>
    <w:rsid w:val="000934DB"/>
    <w:rsid w:val="000940A5"/>
    <w:rsid w:val="000948AD"/>
    <w:rsid w:val="00095278"/>
    <w:rsid w:val="000967F9"/>
    <w:rsid w:val="000A21E5"/>
    <w:rsid w:val="000A6960"/>
    <w:rsid w:val="000A6A76"/>
    <w:rsid w:val="000B189D"/>
    <w:rsid w:val="000B1B6F"/>
    <w:rsid w:val="000B50EB"/>
    <w:rsid w:val="000B5EF5"/>
    <w:rsid w:val="000B62AC"/>
    <w:rsid w:val="000B70DC"/>
    <w:rsid w:val="000B719D"/>
    <w:rsid w:val="000C3C5F"/>
    <w:rsid w:val="000C4033"/>
    <w:rsid w:val="000C4796"/>
    <w:rsid w:val="000C6754"/>
    <w:rsid w:val="000C70CF"/>
    <w:rsid w:val="000C760C"/>
    <w:rsid w:val="000C7F62"/>
    <w:rsid w:val="000D010A"/>
    <w:rsid w:val="000D1576"/>
    <w:rsid w:val="000D2D92"/>
    <w:rsid w:val="000D55B2"/>
    <w:rsid w:val="000E0A69"/>
    <w:rsid w:val="000E1441"/>
    <w:rsid w:val="000E2721"/>
    <w:rsid w:val="000E2AFE"/>
    <w:rsid w:val="000E378B"/>
    <w:rsid w:val="000E3C2F"/>
    <w:rsid w:val="000E426C"/>
    <w:rsid w:val="000F2825"/>
    <w:rsid w:val="000F402F"/>
    <w:rsid w:val="000F61EB"/>
    <w:rsid w:val="000F6AED"/>
    <w:rsid w:val="00100EDE"/>
    <w:rsid w:val="00101241"/>
    <w:rsid w:val="00102791"/>
    <w:rsid w:val="00102EFA"/>
    <w:rsid w:val="00105E4D"/>
    <w:rsid w:val="001068C7"/>
    <w:rsid w:val="0011070A"/>
    <w:rsid w:val="001143C1"/>
    <w:rsid w:val="00115639"/>
    <w:rsid w:val="00120BDA"/>
    <w:rsid w:val="00126933"/>
    <w:rsid w:val="00131AC4"/>
    <w:rsid w:val="00132141"/>
    <w:rsid w:val="00134FC1"/>
    <w:rsid w:val="00135A1C"/>
    <w:rsid w:val="00135B37"/>
    <w:rsid w:val="00135D88"/>
    <w:rsid w:val="00137387"/>
    <w:rsid w:val="00140B9D"/>
    <w:rsid w:val="001420F5"/>
    <w:rsid w:val="00142209"/>
    <w:rsid w:val="001428BF"/>
    <w:rsid w:val="00143488"/>
    <w:rsid w:val="001447C9"/>
    <w:rsid w:val="00151BA7"/>
    <w:rsid w:val="0015349A"/>
    <w:rsid w:val="001545AB"/>
    <w:rsid w:val="0015578A"/>
    <w:rsid w:val="00156F94"/>
    <w:rsid w:val="001572A3"/>
    <w:rsid w:val="0015755F"/>
    <w:rsid w:val="001612A7"/>
    <w:rsid w:val="00164690"/>
    <w:rsid w:val="00172C5D"/>
    <w:rsid w:val="001743AC"/>
    <w:rsid w:val="00177CCD"/>
    <w:rsid w:val="00182F42"/>
    <w:rsid w:val="001848BF"/>
    <w:rsid w:val="001901F2"/>
    <w:rsid w:val="001916D3"/>
    <w:rsid w:val="00192B37"/>
    <w:rsid w:val="00195645"/>
    <w:rsid w:val="001A133D"/>
    <w:rsid w:val="001A13A6"/>
    <w:rsid w:val="001A170B"/>
    <w:rsid w:val="001A2323"/>
    <w:rsid w:val="001A272B"/>
    <w:rsid w:val="001A2AC8"/>
    <w:rsid w:val="001A4D6A"/>
    <w:rsid w:val="001A50B6"/>
    <w:rsid w:val="001A7CB7"/>
    <w:rsid w:val="001B004A"/>
    <w:rsid w:val="001B069F"/>
    <w:rsid w:val="001B1E85"/>
    <w:rsid w:val="001B3630"/>
    <w:rsid w:val="001C18FE"/>
    <w:rsid w:val="001C25B0"/>
    <w:rsid w:val="001C2DB1"/>
    <w:rsid w:val="001C46A1"/>
    <w:rsid w:val="001C492E"/>
    <w:rsid w:val="001C6810"/>
    <w:rsid w:val="001D39DE"/>
    <w:rsid w:val="001D4140"/>
    <w:rsid w:val="001D7852"/>
    <w:rsid w:val="001E1553"/>
    <w:rsid w:val="001E50AB"/>
    <w:rsid w:val="001E6302"/>
    <w:rsid w:val="001F1132"/>
    <w:rsid w:val="001F120F"/>
    <w:rsid w:val="001F1D5F"/>
    <w:rsid w:val="001F2C94"/>
    <w:rsid w:val="001F7818"/>
    <w:rsid w:val="002036D6"/>
    <w:rsid w:val="00205D04"/>
    <w:rsid w:val="00206968"/>
    <w:rsid w:val="002112A8"/>
    <w:rsid w:val="00213367"/>
    <w:rsid w:val="00216856"/>
    <w:rsid w:val="0022150C"/>
    <w:rsid w:val="0022180D"/>
    <w:rsid w:val="002218FF"/>
    <w:rsid w:val="0022201E"/>
    <w:rsid w:val="00222101"/>
    <w:rsid w:val="00224504"/>
    <w:rsid w:val="00230B79"/>
    <w:rsid w:val="00231B85"/>
    <w:rsid w:val="00231FDE"/>
    <w:rsid w:val="00233359"/>
    <w:rsid w:val="0024163A"/>
    <w:rsid w:val="00242363"/>
    <w:rsid w:val="002479C8"/>
    <w:rsid w:val="00251917"/>
    <w:rsid w:val="00251A85"/>
    <w:rsid w:val="0025325A"/>
    <w:rsid w:val="00254DC5"/>
    <w:rsid w:val="00256BE2"/>
    <w:rsid w:val="002608EC"/>
    <w:rsid w:val="00260ADF"/>
    <w:rsid w:val="002621AB"/>
    <w:rsid w:val="00263A39"/>
    <w:rsid w:val="00265B7B"/>
    <w:rsid w:val="00266A1B"/>
    <w:rsid w:val="00267B63"/>
    <w:rsid w:val="00270D35"/>
    <w:rsid w:val="00271EB8"/>
    <w:rsid w:val="002769B9"/>
    <w:rsid w:val="0028498F"/>
    <w:rsid w:val="00286766"/>
    <w:rsid w:val="002874E9"/>
    <w:rsid w:val="00287898"/>
    <w:rsid w:val="00292A90"/>
    <w:rsid w:val="002940A3"/>
    <w:rsid w:val="0029583B"/>
    <w:rsid w:val="00296F5B"/>
    <w:rsid w:val="002977DD"/>
    <w:rsid w:val="002A0A60"/>
    <w:rsid w:val="002A1B12"/>
    <w:rsid w:val="002A41D8"/>
    <w:rsid w:val="002A58F5"/>
    <w:rsid w:val="002A7A2A"/>
    <w:rsid w:val="002A7E2F"/>
    <w:rsid w:val="002B1563"/>
    <w:rsid w:val="002B38A4"/>
    <w:rsid w:val="002B500D"/>
    <w:rsid w:val="002B5F47"/>
    <w:rsid w:val="002B6BD1"/>
    <w:rsid w:val="002B7ACD"/>
    <w:rsid w:val="002B7CCA"/>
    <w:rsid w:val="002C2340"/>
    <w:rsid w:val="002C2354"/>
    <w:rsid w:val="002C38FF"/>
    <w:rsid w:val="002C412F"/>
    <w:rsid w:val="002D182F"/>
    <w:rsid w:val="002D1CAA"/>
    <w:rsid w:val="002D1F7E"/>
    <w:rsid w:val="002D2C31"/>
    <w:rsid w:val="002D31C6"/>
    <w:rsid w:val="002D4DB9"/>
    <w:rsid w:val="002D4F1F"/>
    <w:rsid w:val="002D7284"/>
    <w:rsid w:val="002E30AE"/>
    <w:rsid w:val="002E50CD"/>
    <w:rsid w:val="002E64E0"/>
    <w:rsid w:val="002F1BAB"/>
    <w:rsid w:val="002F659B"/>
    <w:rsid w:val="002F7841"/>
    <w:rsid w:val="00303CA9"/>
    <w:rsid w:val="00306485"/>
    <w:rsid w:val="00306546"/>
    <w:rsid w:val="00306A10"/>
    <w:rsid w:val="00311389"/>
    <w:rsid w:val="00311789"/>
    <w:rsid w:val="003125E1"/>
    <w:rsid w:val="003166EA"/>
    <w:rsid w:val="00316CCE"/>
    <w:rsid w:val="00316E7D"/>
    <w:rsid w:val="003173D2"/>
    <w:rsid w:val="003226EB"/>
    <w:rsid w:val="0032325B"/>
    <w:rsid w:val="00325E63"/>
    <w:rsid w:val="0032608E"/>
    <w:rsid w:val="003276EC"/>
    <w:rsid w:val="00331BA1"/>
    <w:rsid w:val="00333CAE"/>
    <w:rsid w:val="00335C6E"/>
    <w:rsid w:val="003404C2"/>
    <w:rsid w:val="00341941"/>
    <w:rsid w:val="00341E32"/>
    <w:rsid w:val="00343EBE"/>
    <w:rsid w:val="00345224"/>
    <w:rsid w:val="00346A85"/>
    <w:rsid w:val="0034744B"/>
    <w:rsid w:val="003504CF"/>
    <w:rsid w:val="00351D9C"/>
    <w:rsid w:val="00352B61"/>
    <w:rsid w:val="00352EBC"/>
    <w:rsid w:val="003540B7"/>
    <w:rsid w:val="00355212"/>
    <w:rsid w:val="00355331"/>
    <w:rsid w:val="00356687"/>
    <w:rsid w:val="0036127E"/>
    <w:rsid w:val="00362C8B"/>
    <w:rsid w:val="00363233"/>
    <w:rsid w:val="00366B12"/>
    <w:rsid w:val="003756C9"/>
    <w:rsid w:val="00375832"/>
    <w:rsid w:val="00376D23"/>
    <w:rsid w:val="003809D4"/>
    <w:rsid w:val="00380E61"/>
    <w:rsid w:val="00385D33"/>
    <w:rsid w:val="003904B4"/>
    <w:rsid w:val="0039076B"/>
    <w:rsid w:val="00391025"/>
    <w:rsid w:val="00391060"/>
    <w:rsid w:val="00391A83"/>
    <w:rsid w:val="00395B7C"/>
    <w:rsid w:val="003962D4"/>
    <w:rsid w:val="003A129E"/>
    <w:rsid w:val="003A12D5"/>
    <w:rsid w:val="003A12DD"/>
    <w:rsid w:val="003A25ED"/>
    <w:rsid w:val="003A276E"/>
    <w:rsid w:val="003A2E7C"/>
    <w:rsid w:val="003A3657"/>
    <w:rsid w:val="003A70CF"/>
    <w:rsid w:val="003A79D0"/>
    <w:rsid w:val="003B06A1"/>
    <w:rsid w:val="003B0BAE"/>
    <w:rsid w:val="003B296A"/>
    <w:rsid w:val="003B3655"/>
    <w:rsid w:val="003B3BB1"/>
    <w:rsid w:val="003B3FF4"/>
    <w:rsid w:val="003B68A7"/>
    <w:rsid w:val="003C1C84"/>
    <w:rsid w:val="003D0365"/>
    <w:rsid w:val="003D1599"/>
    <w:rsid w:val="003D3762"/>
    <w:rsid w:val="003D3827"/>
    <w:rsid w:val="003D62F0"/>
    <w:rsid w:val="003E341C"/>
    <w:rsid w:val="003E3821"/>
    <w:rsid w:val="003E3BB5"/>
    <w:rsid w:val="003E43B0"/>
    <w:rsid w:val="003E5473"/>
    <w:rsid w:val="003E5F12"/>
    <w:rsid w:val="003E60AC"/>
    <w:rsid w:val="003E6D1D"/>
    <w:rsid w:val="003E7C00"/>
    <w:rsid w:val="003F1161"/>
    <w:rsid w:val="003F19C1"/>
    <w:rsid w:val="003F36F3"/>
    <w:rsid w:val="003F5FA5"/>
    <w:rsid w:val="003F6483"/>
    <w:rsid w:val="004077C9"/>
    <w:rsid w:val="0041572B"/>
    <w:rsid w:val="00417FE3"/>
    <w:rsid w:val="00426F2B"/>
    <w:rsid w:val="0043096B"/>
    <w:rsid w:val="004354BA"/>
    <w:rsid w:val="00436607"/>
    <w:rsid w:val="004378F7"/>
    <w:rsid w:val="00437CFB"/>
    <w:rsid w:val="0044479D"/>
    <w:rsid w:val="00446B9F"/>
    <w:rsid w:val="00446F11"/>
    <w:rsid w:val="0044791D"/>
    <w:rsid w:val="0045099E"/>
    <w:rsid w:val="00450F31"/>
    <w:rsid w:val="00451F70"/>
    <w:rsid w:val="00453D94"/>
    <w:rsid w:val="00455304"/>
    <w:rsid w:val="00456005"/>
    <w:rsid w:val="00456160"/>
    <w:rsid w:val="00456419"/>
    <w:rsid w:val="004616FA"/>
    <w:rsid w:val="00462012"/>
    <w:rsid w:val="00463C27"/>
    <w:rsid w:val="0046616C"/>
    <w:rsid w:val="004661E0"/>
    <w:rsid w:val="004701DD"/>
    <w:rsid w:val="00470FB3"/>
    <w:rsid w:val="00477352"/>
    <w:rsid w:val="004803B8"/>
    <w:rsid w:val="004825F0"/>
    <w:rsid w:val="004873AC"/>
    <w:rsid w:val="004932B7"/>
    <w:rsid w:val="004961E5"/>
    <w:rsid w:val="004A3E23"/>
    <w:rsid w:val="004A51C4"/>
    <w:rsid w:val="004A54EC"/>
    <w:rsid w:val="004A7179"/>
    <w:rsid w:val="004A7765"/>
    <w:rsid w:val="004B019E"/>
    <w:rsid w:val="004B271E"/>
    <w:rsid w:val="004B2915"/>
    <w:rsid w:val="004B714E"/>
    <w:rsid w:val="004B73D4"/>
    <w:rsid w:val="004C11E2"/>
    <w:rsid w:val="004C230F"/>
    <w:rsid w:val="004C32FF"/>
    <w:rsid w:val="004C3508"/>
    <w:rsid w:val="004C55EC"/>
    <w:rsid w:val="004C5B8D"/>
    <w:rsid w:val="004D0FEE"/>
    <w:rsid w:val="004D1C8C"/>
    <w:rsid w:val="004D1FC7"/>
    <w:rsid w:val="004D3186"/>
    <w:rsid w:val="004D331F"/>
    <w:rsid w:val="004D3D3C"/>
    <w:rsid w:val="004D4CC2"/>
    <w:rsid w:val="004D50A4"/>
    <w:rsid w:val="004E15FB"/>
    <w:rsid w:val="004E1780"/>
    <w:rsid w:val="004E292E"/>
    <w:rsid w:val="004E5568"/>
    <w:rsid w:val="004E5C82"/>
    <w:rsid w:val="004F0233"/>
    <w:rsid w:val="004F02ED"/>
    <w:rsid w:val="004F0DA4"/>
    <w:rsid w:val="004F29A3"/>
    <w:rsid w:val="00501F3E"/>
    <w:rsid w:val="0050220F"/>
    <w:rsid w:val="005033A0"/>
    <w:rsid w:val="00505559"/>
    <w:rsid w:val="00505D6A"/>
    <w:rsid w:val="00505DDF"/>
    <w:rsid w:val="00505F86"/>
    <w:rsid w:val="00507E23"/>
    <w:rsid w:val="00513640"/>
    <w:rsid w:val="00513860"/>
    <w:rsid w:val="0051459A"/>
    <w:rsid w:val="00514EA8"/>
    <w:rsid w:val="00523356"/>
    <w:rsid w:val="00524B39"/>
    <w:rsid w:val="005279EF"/>
    <w:rsid w:val="005313A9"/>
    <w:rsid w:val="00534024"/>
    <w:rsid w:val="00535163"/>
    <w:rsid w:val="005442BF"/>
    <w:rsid w:val="00545111"/>
    <w:rsid w:val="00547546"/>
    <w:rsid w:val="005500D1"/>
    <w:rsid w:val="00550998"/>
    <w:rsid w:val="00551DC4"/>
    <w:rsid w:val="005612D3"/>
    <w:rsid w:val="00561B85"/>
    <w:rsid w:val="005622A9"/>
    <w:rsid w:val="00562BD7"/>
    <w:rsid w:val="00563573"/>
    <w:rsid w:val="0056570E"/>
    <w:rsid w:val="00566FB9"/>
    <w:rsid w:val="0057319F"/>
    <w:rsid w:val="00573906"/>
    <w:rsid w:val="00574643"/>
    <w:rsid w:val="00576E3A"/>
    <w:rsid w:val="005814CA"/>
    <w:rsid w:val="005875F8"/>
    <w:rsid w:val="005905C0"/>
    <w:rsid w:val="0059109C"/>
    <w:rsid w:val="00595466"/>
    <w:rsid w:val="005961D2"/>
    <w:rsid w:val="005A26D1"/>
    <w:rsid w:val="005A3BF9"/>
    <w:rsid w:val="005A4D54"/>
    <w:rsid w:val="005A6406"/>
    <w:rsid w:val="005B02C9"/>
    <w:rsid w:val="005B2C1D"/>
    <w:rsid w:val="005B3747"/>
    <w:rsid w:val="005B3C7F"/>
    <w:rsid w:val="005B4E3D"/>
    <w:rsid w:val="005B5315"/>
    <w:rsid w:val="005B662F"/>
    <w:rsid w:val="005B6BD2"/>
    <w:rsid w:val="005C01D0"/>
    <w:rsid w:val="005C56E8"/>
    <w:rsid w:val="005C5BF4"/>
    <w:rsid w:val="005C6AD3"/>
    <w:rsid w:val="005C6CF8"/>
    <w:rsid w:val="005C79E1"/>
    <w:rsid w:val="005D1AB5"/>
    <w:rsid w:val="005D5AC8"/>
    <w:rsid w:val="005E038C"/>
    <w:rsid w:val="005E3AF0"/>
    <w:rsid w:val="005E4C08"/>
    <w:rsid w:val="005E4C61"/>
    <w:rsid w:val="005E523B"/>
    <w:rsid w:val="005E7FBE"/>
    <w:rsid w:val="005F0C18"/>
    <w:rsid w:val="005F3C09"/>
    <w:rsid w:val="005F4AE9"/>
    <w:rsid w:val="005F59AC"/>
    <w:rsid w:val="006000C8"/>
    <w:rsid w:val="006028FB"/>
    <w:rsid w:val="00603965"/>
    <w:rsid w:val="00603C23"/>
    <w:rsid w:val="00606530"/>
    <w:rsid w:val="006065C8"/>
    <w:rsid w:val="00610713"/>
    <w:rsid w:val="00611182"/>
    <w:rsid w:val="00613A86"/>
    <w:rsid w:val="00615D74"/>
    <w:rsid w:val="006211B8"/>
    <w:rsid w:val="00621C0E"/>
    <w:rsid w:val="00623451"/>
    <w:rsid w:val="00623F7E"/>
    <w:rsid w:val="0062671D"/>
    <w:rsid w:val="00626EF6"/>
    <w:rsid w:val="00630A46"/>
    <w:rsid w:val="00633E7F"/>
    <w:rsid w:val="006358F2"/>
    <w:rsid w:val="00635A62"/>
    <w:rsid w:val="0063703D"/>
    <w:rsid w:val="0064071A"/>
    <w:rsid w:val="00640822"/>
    <w:rsid w:val="006411D9"/>
    <w:rsid w:val="006430AF"/>
    <w:rsid w:val="00645480"/>
    <w:rsid w:val="00645E81"/>
    <w:rsid w:val="0065448F"/>
    <w:rsid w:val="00654D5A"/>
    <w:rsid w:val="00664841"/>
    <w:rsid w:val="00666EE4"/>
    <w:rsid w:val="00666FB9"/>
    <w:rsid w:val="00667170"/>
    <w:rsid w:val="00671B89"/>
    <w:rsid w:val="00671C9B"/>
    <w:rsid w:val="006732AC"/>
    <w:rsid w:val="00674FC7"/>
    <w:rsid w:val="006775B6"/>
    <w:rsid w:val="00681A70"/>
    <w:rsid w:val="00681ADE"/>
    <w:rsid w:val="00681BED"/>
    <w:rsid w:val="00682072"/>
    <w:rsid w:val="006831C2"/>
    <w:rsid w:val="0068325D"/>
    <w:rsid w:val="006839B8"/>
    <w:rsid w:val="006844F2"/>
    <w:rsid w:val="00685A32"/>
    <w:rsid w:val="00687A0C"/>
    <w:rsid w:val="00692418"/>
    <w:rsid w:val="00693FC3"/>
    <w:rsid w:val="006959AD"/>
    <w:rsid w:val="00696DAE"/>
    <w:rsid w:val="00697DF3"/>
    <w:rsid w:val="006A0081"/>
    <w:rsid w:val="006A0B44"/>
    <w:rsid w:val="006A1E5C"/>
    <w:rsid w:val="006A2AEB"/>
    <w:rsid w:val="006B09F8"/>
    <w:rsid w:val="006B4B33"/>
    <w:rsid w:val="006B4FD7"/>
    <w:rsid w:val="006B6DF1"/>
    <w:rsid w:val="006B6E57"/>
    <w:rsid w:val="006C2038"/>
    <w:rsid w:val="006C4A8C"/>
    <w:rsid w:val="006C66A2"/>
    <w:rsid w:val="006D186D"/>
    <w:rsid w:val="006D2098"/>
    <w:rsid w:val="006D2315"/>
    <w:rsid w:val="006D391E"/>
    <w:rsid w:val="006D5B35"/>
    <w:rsid w:val="006D7D8A"/>
    <w:rsid w:val="006E1C64"/>
    <w:rsid w:val="006E1F15"/>
    <w:rsid w:val="006E3270"/>
    <w:rsid w:val="006E416C"/>
    <w:rsid w:val="006F04DC"/>
    <w:rsid w:val="006F476C"/>
    <w:rsid w:val="006F4F1D"/>
    <w:rsid w:val="006F549E"/>
    <w:rsid w:val="006F5627"/>
    <w:rsid w:val="006F79B0"/>
    <w:rsid w:val="006F7ADF"/>
    <w:rsid w:val="00701457"/>
    <w:rsid w:val="0070341E"/>
    <w:rsid w:val="0070359D"/>
    <w:rsid w:val="0070400A"/>
    <w:rsid w:val="00704515"/>
    <w:rsid w:val="0070469E"/>
    <w:rsid w:val="0070471B"/>
    <w:rsid w:val="00707F48"/>
    <w:rsid w:val="00710824"/>
    <w:rsid w:val="007125F2"/>
    <w:rsid w:val="007143E4"/>
    <w:rsid w:val="00715DE8"/>
    <w:rsid w:val="0072034F"/>
    <w:rsid w:val="007206ED"/>
    <w:rsid w:val="00721DE2"/>
    <w:rsid w:val="007220A5"/>
    <w:rsid w:val="00723753"/>
    <w:rsid w:val="00723BC0"/>
    <w:rsid w:val="00723EB1"/>
    <w:rsid w:val="00727095"/>
    <w:rsid w:val="00731A11"/>
    <w:rsid w:val="00731E69"/>
    <w:rsid w:val="00732984"/>
    <w:rsid w:val="00734A1E"/>
    <w:rsid w:val="00740909"/>
    <w:rsid w:val="0074218F"/>
    <w:rsid w:val="007446D7"/>
    <w:rsid w:val="007468CD"/>
    <w:rsid w:val="0074694E"/>
    <w:rsid w:val="00746D75"/>
    <w:rsid w:val="00747110"/>
    <w:rsid w:val="0075499B"/>
    <w:rsid w:val="00757BDB"/>
    <w:rsid w:val="00761914"/>
    <w:rsid w:val="00762711"/>
    <w:rsid w:val="00764440"/>
    <w:rsid w:val="00764DBE"/>
    <w:rsid w:val="00765457"/>
    <w:rsid w:val="007668FF"/>
    <w:rsid w:val="00766B94"/>
    <w:rsid w:val="0076796B"/>
    <w:rsid w:val="0077217C"/>
    <w:rsid w:val="00773F7F"/>
    <w:rsid w:val="0078010A"/>
    <w:rsid w:val="007824B7"/>
    <w:rsid w:val="007826CE"/>
    <w:rsid w:val="00792E14"/>
    <w:rsid w:val="00793CA7"/>
    <w:rsid w:val="00796F3C"/>
    <w:rsid w:val="007A098E"/>
    <w:rsid w:val="007A4B60"/>
    <w:rsid w:val="007A52D0"/>
    <w:rsid w:val="007A7E60"/>
    <w:rsid w:val="007B0E6A"/>
    <w:rsid w:val="007B2DBF"/>
    <w:rsid w:val="007B4E4C"/>
    <w:rsid w:val="007B5FF9"/>
    <w:rsid w:val="007B6022"/>
    <w:rsid w:val="007B6F97"/>
    <w:rsid w:val="007B71CE"/>
    <w:rsid w:val="007B7751"/>
    <w:rsid w:val="007C03FE"/>
    <w:rsid w:val="007C1C9B"/>
    <w:rsid w:val="007C5EA8"/>
    <w:rsid w:val="007C5F19"/>
    <w:rsid w:val="007C6F46"/>
    <w:rsid w:val="007C72A2"/>
    <w:rsid w:val="007D302D"/>
    <w:rsid w:val="007D3726"/>
    <w:rsid w:val="007D4A33"/>
    <w:rsid w:val="007D5B84"/>
    <w:rsid w:val="007E1DBD"/>
    <w:rsid w:val="007E2455"/>
    <w:rsid w:val="007E2A83"/>
    <w:rsid w:val="007F1B01"/>
    <w:rsid w:val="007F277E"/>
    <w:rsid w:val="007F55F5"/>
    <w:rsid w:val="007F5A72"/>
    <w:rsid w:val="007F68B7"/>
    <w:rsid w:val="007F7995"/>
    <w:rsid w:val="008012B6"/>
    <w:rsid w:val="00802957"/>
    <w:rsid w:val="00803311"/>
    <w:rsid w:val="0080390A"/>
    <w:rsid w:val="00804436"/>
    <w:rsid w:val="00810C8B"/>
    <w:rsid w:val="008240BC"/>
    <w:rsid w:val="008243D0"/>
    <w:rsid w:val="00831552"/>
    <w:rsid w:val="00834FCB"/>
    <w:rsid w:val="008355D8"/>
    <w:rsid w:val="00835D18"/>
    <w:rsid w:val="00836ECF"/>
    <w:rsid w:val="008402A1"/>
    <w:rsid w:val="008425D0"/>
    <w:rsid w:val="00846C4B"/>
    <w:rsid w:val="00847CC5"/>
    <w:rsid w:val="008544CF"/>
    <w:rsid w:val="00855311"/>
    <w:rsid w:val="00855B9F"/>
    <w:rsid w:val="008569FF"/>
    <w:rsid w:val="00857AA3"/>
    <w:rsid w:val="008614A8"/>
    <w:rsid w:val="00862052"/>
    <w:rsid w:val="00870D0C"/>
    <w:rsid w:val="0087542D"/>
    <w:rsid w:val="008762AF"/>
    <w:rsid w:val="00877684"/>
    <w:rsid w:val="008806AC"/>
    <w:rsid w:val="00883EBE"/>
    <w:rsid w:val="00884583"/>
    <w:rsid w:val="00885164"/>
    <w:rsid w:val="00885C90"/>
    <w:rsid w:val="00887169"/>
    <w:rsid w:val="00891DAC"/>
    <w:rsid w:val="008937F2"/>
    <w:rsid w:val="00895916"/>
    <w:rsid w:val="008A26ED"/>
    <w:rsid w:val="008A2922"/>
    <w:rsid w:val="008A3303"/>
    <w:rsid w:val="008A3887"/>
    <w:rsid w:val="008A5250"/>
    <w:rsid w:val="008A5506"/>
    <w:rsid w:val="008A583F"/>
    <w:rsid w:val="008A6AAA"/>
    <w:rsid w:val="008A6EE3"/>
    <w:rsid w:val="008A76E8"/>
    <w:rsid w:val="008B0B34"/>
    <w:rsid w:val="008B2CC7"/>
    <w:rsid w:val="008B5FE1"/>
    <w:rsid w:val="008B69EF"/>
    <w:rsid w:val="008B7E13"/>
    <w:rsid w:val="008C0DAE"/>
    <w:rsid w:val="008C60E9"/>
    <w:rsid w:val="008C7831"/>
    <w:rsid w:val="008D25D5"/>
    <w:rsid w:val="008D352C"/>
    <w:rsid w:val="008D522E"/>
    <w:rsid w:val="008D5AB9"/>
    <w:rsid w:val="008D61D3"/>
    <w:rsid w:val="008D6A0A"/>
    <w:rsid w:val="008D6BF0"/>
    <w:rsid w:val="008D700A"/>
    <w:rsid w:val="008E1733"/>
    <w:rsid w:val="008E2A65"/>
    <w:rsid w:val="008E4089"/>
    <w:rsid w:val="008E50F7"/>
    <w:rsid w:val="008E5A91"/>
    <w:rsid w:val="008E7336"/>
    <w:rsid w:val="008F0CA2"/>
    <w:rsid w:val="008F1008"/>
    <w:rsid w:val="008F42A6"/>
    <w:rsid w:val="008F5113"/>
    <w:rsid w:val="008F6A0A"/>
    <w:rsid w:val="009007B9"/>
    <w:rsid w:val="009007E2"/>
    <w:rsid w:val="00906F90"/>
    <w:rsid w:val="00907C6F"/>
    <w:rsid w:val="00910FF7"/>
    <w:rsid w:val="009128CB"/>
    <w:rsid w:val="00912AA1"/>
    <w:rsid w:val="0091310D"/>
    <w:rsid w:val="00914B74"/>
    <w:rsid w:val="00921C1D"/>
    <w:rsid w:val="00922EB7"/>
    <w:rsid w:val="00926C0B"/>
    <w:rsid w:val="00931550"/>
    <w:rsid w:val="00932978"/>
    <w:rsid w:val="00933827"/>
    <w:rsid w:val="00933D49"/>
    <w:rsid w:val="00935360"/>
    <w:rsid w:val="00937D8B"/>
    <w:rsid w:val="00940895"/>
    <w:rsid w:val="009408E4"/>
    <w:rsid w:val="00940DAC"/>
    <w:rsid w:val="00944699"/>
    <w:rsid w:val="009464F6"/>
    <w:rsid w:val="00953E18"/>
    <w:rsid w:val="00954D63"/>
    <w:rsid w:val="00955CC4"/>
    <w:rsid w:val="00960F5F"/>
    <w:rsid w:val="0096136A"/>
    <w:rsid w:val="00961B87"/>
    <w:rsid w:val="00962A18"/>
    <w:rsid w:val="00966308"/>
    <w:rsid w:val="009674EC"/>
    <w:rsid w:val="009702FB"/>
    <w:rsid w:val="00970418"/>
    <w:rsid w:val="00972169"/>
    <w:rsid w:val="00975B88"/>
    <w:rsid w:val="00976208"/>
    <w:rsid w:val="00976F0F"/>
    <w:rsid w:val="00985354"/>
    <w:rsid w:val="0098677E"/>
    <w:rsid w:val="00987600"/>
    <w:rsid w:val="009913A0"/>
    <w:rsid w:val="009938B9"/>
    <w:rsid w:val="00997A74"/>
    <w:rsid w:val="009A0F06"/>
    <w:rsid w:val="009A35CA"/>
    <w:rsid w:val="009A4B39"/>
    <w:rsid w:val="009A5DBF"/>
    <w:rsid w:val="009B00AA"/>
    <w:rsid w:val="009B0A32"/>
    <w:rsid w:val="009B2E5E"/>
    <w:rsid w:val="009B3BBC"/>
    <w:rsid w:val="009B4414"/>
    <w:rsid w:val="009B60B0"/>
    <w:rsid w:val="009C05F7"/>
    <w:rsid w:val="009C483E"/>
    <w:rsid w:val="009C6D2A"/>
    <w:rsid w:val="009C713C"/>
    <w:rsid w:val="009C7F31"/>
    <w:rsid w:val="009D1A4C"/>
    <w:rsid w:val="009D4974"/>
    <w:rsid w:val="009E2DFA"/>
    <w:rsid w:val="009E311D"/>
    <w:rsid w:val="009E31C2"/>
    <w:rsid w:val="009E3BB1"/>
    <w:rsid w:val="009E7C8D"/>
    <w:rsid w:val="009E7FD5"/>
    <w:rsid w:val="009F210B"/>
    <w:rsid w:val="009F43FD"/>
    <w:rsid w:val="009F48CC"/>
    <w:rsid w:val="009F5B43"/>
    <w:rsid w:val="009F6818"/>
    <w:rsid w:val="009F68A2"/>
    <w:rsid w:val="009F7AE0"/>
    <w:rsid w:val="00A0220F"/>
    <w:rsid w:val="00A061E0"/>
    <w:rsid w:val="00A122AF"/>
    <w:rsid w:val="00A12DF4"/>
    <w:rsid w:val="00A13A25"/>
    <w:rsid w:val="00A13BC5"/>
    <w:rsid w:val="00A21F69"/>
    <w:rsid w:val="00A24AF5"/>
    <w:rsid w:val="00A24C47"/>
    <w:rsid w:val="00A25649"/>
    <w:rsid w:val="00A2781D"/>
    <w:rsid w:val="00A32F89"/>
    <w:rsid w:val="00A3332A"/>
    <w:rsid w:val="00A33634"/>
    <w:rsid w:val="00A34FBF"/>
    <w:rsid w:val="00A4445B"/>
    <w:rsid w:val="00A44D7D"/>
    <w:rsid w:val="00A44E54"/>
    <w:rsid w:val="00A519C4"/>
    <w:rsid w:val="00A52440"/>
    <w:rsid w:val="00A54106"/>
    <w:rsid w:val="00A60B69"/>
    <w:rsid w:val="00A6409D"/>
    <w:rsid w:val="00A661D8"/>
    <w:rsid w:val="00A6650C"/>
    <w:rsid w:val="00A72252"/>
    <w:rsid w:val="00A72BD9"/>
    <w:rsid w:val="00A73B08"/>
    <w:rsid w:val="00A74D9D"/>
    <w:rsid w:val="00A772A7"/>
    <w:rsid w:val="00A809D7"/>
    <w:rsid w:val="00A80A66"/>
    <w:rsid w:val="00A814F0"/>
    <w:rsid w:val="00A85376"/>
    <w:rsid w:val="00A90D61"/>
    <w:rsid w:val="00A92E40"/>
    <w:rsid w:val="00A956C3"/>
    <w:rsid w:val="00A95E57"/>
    <w:rsid w:val="00A9601A"/>
    <w:rsid w:val="00A960DB"/>
    <w:rsid w:val="00A96D23"/>
    <w:rsid w:val="00A97A53"/>
    <w:rsid w:val="00A97DE0"/>
    <w:rsid w:val="00AA0C14"/>
    <w:rsid w:val="00AA37FA"/>
    <w:rsid w:val="00AA650B"/>
    <w:rsid w:val="00AB125E"/>
    <w:rsid w:val="00AB233A"/>
    <w:rsid w:val="00AB3131"/>
    <w:rsid w:val="00AB45A9"/>
    <w:rsid w:val="00AB474C"/>
    <w:rsid w:val="00AB7020"/>
    <w:rsid w:val="00AC12B1"/>
    <w:rsid w:val="00AC13B7"/>
    <w:rsid w:val="00AC24D9"/>
    <w:rsid w:val="00AC4FFD"/>
    <w:rsid w:val="00AC5724"/>
    <w:rsid w:val="00AC6090"/>
    <w:rsid w:val="00AC60B0"/>
    <w:rsid w:val="00AC7CB0"/>
    <w:rsid w:val="00AD0074"/>
    <w:rsid w:val="00AD05CC"/>
    <w:rsid w:val="00AD2A69"/>
    <w:rsid w:val="00AD5C55"/>
    <w:rsid w:val="00AE042D"/>
    <w:rsid w:val="00AE0B58"/>
    <w:rsid w:val="00AE28F4"/>
    <w:rsid w:val="00AE2AA6"/>
    <w:rsid w:val="00AE52E9"/>
    <w:rsid w:val="00AE7A9C"/>
    <w:rsid w:val="00AF0965"/>
    <w:rsid w:val="00AF273D"/>
    <w:rsid w:val="00AF3162"/>
    <w:rsid w:val="00AF41D5"/>
    <w:rsid w:val="00AF494A"/>
    <w:rsid w:val="00AF53FF"/>
    <w:rsid w:val="00B00237"/>
    <w:rsid w:val="00B00BD3"/>
    <w:rsid w:val="00B02268"/>
    <w:rsid w:val="00B032A3"/>
    <w:rsid w:val="00B05150"/>
    <w:rsid w:val="00B05DE1"/>
    <w:rsid w:val="00B11DF5"/>
    <w:rsid w:val="00B122A3"/>
    <w:rsid w:val="00B12629"/>
    <w:rsid w:val="00B13EC9"/>
    <w:rsid w:val="00B208D0"/>
    <w:rsid w:val="00B225BF"/>
    <w:rsid w:val="00B30ED3"/>
    <w:rsid w:val="00B30FD6"/>
    <w:rsid w:val="00B33DFE"/>
    <w:rsid w:val="00B34DE7"/>
    <w:rsid w:val="00B37D02"/>
    <w:rsid w:val="00B409C4"/>
    <w:rsid w:val="00B42D4C"/>
    <w:rsid w:val="00B45D49"/>
    <w:rsid w:val="00B50523"/>
    <w:rsid w:val="00B518D7"/>
    <w:rsid w:val="00B5532B"/>
    <w:rsid w:val="00B60C1F"/>
    <w:rsid w:val="00B62C8E"/>
    <w:rsid w:val="00B64010"/>
    <w:rsid w:val="00B6437B"/>
    <w:rsid w:val="00B6438D"/>
    <w:rsid w:val="00B64509"/>
    <w:rsid w:val="00B67439"/>
    <w:rsid w:val="00B72FEE"/>
    <w:rsid w:val="00B74972"/>
    <w:rsid w:val="00B74B1A"/>
    <w:rsid w:val="00B81CE8"/>
    <w:rsid w:val="00B81E54"/>
    <w:rsid w:val="00B8206A"/>
    <w:rsid w:val="00B82EE8"/>
    <w:rsid w:val="00B86C6A"/>
    <w:rsid w:val="00B87688"/>
    <w:rsid w:val="00B93DC9"/>
    <w:rsid w:val="00B96303"/>
    <w:rsid w:val="00B97313"/>
    <w:rsid w:val="00B975FD"/>
    <w:rsid w:val="00BA00BA"/>
    <w:rsid w:val="00BA0BB2"/>
    <w:rsid w:val="00BA0D8C"/>
    <w:rsid w:val="00BA0E02"/>
    <w:rsid w:val="00BA2605"/>
    <w:rsid w:val="00BA4C22"/>
    <w:rsid w:val="00BA60C6"/>
    <w:rsid w:val="00BB1A40"/>
    <w:rsid w:val="00BB3153"/>
    <w:rsid w:val="00BB33CD"/>
    <w:rsid w:val="00BB50B6"/>
    <w:rsid w:val="00BB5FC2"/>
    <w:rsid w:val="00BB71B3"/>
    <w:rsid w:val="00BC16DA"/>
    <w:rsid w:val="00BC21FF"/>
    <w:rsid w:val="00BC39BA"/>
    <w:rsid w:val="00BC4446"/>
    <w:rsid w:val="00BD21C6"/>
    <w:rsid w:val="00BD2C7A"/>
    <w:rsid w:val="00BD3D8E"/>
    <w:rsid w:val="00BD4C88"/>
    <w:rsid w:val="00BD57AC"/>
    <w:rsid w:val="00BD74B5"/>
    <w:rsid w:val="00BE0E8B"/>
    <w:rsid w:val="00BE0FC6"/>
    <w:rsid w:val="00BE1665"/>
    <w:rsid w:val="00BE1F6E"/>
    <w:rsid w:val="00BE2418"/>
    <w:rsid w:val="00BE2570"/>
    <w:rsid w:val="00BE49DD"/>
    <w:rsid w:val="00BE56F5"/>
    <w:rsid w:val="00BF6C04"/>
    <w:rsid w:val="00C0182D"/>
    <w:rsid w:val="00C05A73"/>
    <w:rsid w:val="00C119D0"/>
    <w:rsid w:val="00C13718"/>
    <w:rsid w:val="00C14225"/>
    <w:rsid w:val="00C15572"/>
    <w:rsid w:val="00C1675D"/>
    <w:rsid w:val="00C16C88"/>
    <w:rsid w:val="00C20599"/>
    <w:rsid w:val="00C25B2C"/>
    <w:rsid w:val="00C26EE7"/>
    <w:rsid w:val="00C27423"/>
    <w:rsid w:val="00C35AE4"/>
    <w:rsid w:val="00C364D1"/>
    <w:rsid w:val="00C4139C"/>
    <w:rsid w:val="00C41E16"/>
    <w:rsid w:val="00C43A27"/>
    <w:rsid w:val="00C446B8"/>
    <w:rsid w:val="00C4479E"/>
    <w:rsid w:val="00C44A0F"/>
    <w:rsid w:val="00C44BE1"/>
    <w:rsid w:val="00C464FF"/>
    <w:rsid w:val="00C50883"/>
    <w:rsid w:val="00C53BEA"/>
    <w:rsid w:val="00C5465F"/>
    <w:rsid w:val="00C556D3"/>
    <w:rsid w:val="00C56285"/>
    <w:rsid w:val="00C5661B"/>
    <w:rsid w:val="00C60159"/>
    <w:rsid w:val="00C60C98"/>
    <w:rsid w:val="00C61360"/>
    <w:rsid w:val="00C63F9C"/>
    <w:rsid w:val="00C6409B"/>
    <w:rsid w:val="00C65CBA"/>
    <w:rsid w:val="00C65E10"/>
    <w:rsid w:val="00C71908"/>
    <w:rsid w:val="00C73BC9"/>
    <w:rsid w:val="00C75AF6"/>
    <w:rsid w:val="00C76454"/>
    <w:rsid w:val="00C766BE"/>
    <w:rsid w:val="00C77A76"/>
    <w:rsid w:val="00C830A2"/>
    <w:rsid w:val="00C834C9"/>
    <w:rsid w:val="00C84987"/>
    <w:rsid w:val="00C84C65"/>
    <w:rsid w:val="00C85DA0"/>
    <w:rsid w:val="00C86199"/>
    <w:rsid w:val="00C86B88"/>
    <w:rsid w:val="00C902B8"/>
    <w:rsid w:val="00C91C01"/>
    <w:rsid w:val="00C91CBC"/>
    <w:rsid w:val="00C940DC"/>
    <w:rsid w:val="00C962B5"/>
    <w:rsid w:val="00C9734F"/>
    <w:rsid w:val="00CA0A55"/>
    <w:rsid w:val="00CA1D54"/>
    <w:rsid w:val="00CA3DC4"/>
    <w:rsid w:val="00CA4055"/>
    <w:rsid w:val="00CA574A"/>
    <w:rsid w:val="00CA5865"/>
    <w:rsid w:val="00CB0742"/>
    <w:rsid w:val="00CB1DF2"/>
    <w:rsid w:val="00CB3B58"/>
    <w:rsid w:val="00CB5433"/>
    <w:rsid w:val="00CB66E1"/>
    <w:rsid w:val="00CB6C7B"/>
    <w:rsid w:val="00CB6CD8"/>
    <w:rsid w:val="00CB722A"/>
    <w:rsid w:val="00CC04D8"/>
    <w:rsid w:val="00CC26FB"/>
    <w:rsid w:val="00CC5583"/>
    <w:rsid w:val="00CC5A29"/>
    <w:rsid w:val="00CC5DA6"/>
    <w:rsid w:val="00CC785A"/>
    <w:rsid w:val="00CD14D4"/>
    <w:rsid w:val="00CD6CE2"/>
    <w:rsid w:val="00CE2533"/>
    <w:rsid w:val="00CE437B"/>
    <w:rsid w:val="00CE609E"/>
    <w:rsid w:val="00CE7B37"/>
    <w:rsid w:val="00CF287D"/>
    <w:rsid w:val="00CF394A"/>
    <w:rsid w:val="00CF3B9E"/>
    <w:rsid w:val="00CF64D6"/>
    <w:rsid w:val="00CF6D1E"/>
    <w:rsid w:val="00D0145E"/>
    <w:rsid w:val="00D02B20"/>
    <w:rsid w:val="00D0312F"/>
    <w:rsid w:val="00D03CF5"/>
    <w:rsid w:val="00D04287"/>
    <w:rsid w:val="00D04EA7"/>
    <w:rsid w:val="00D05FC7"/>
    <w:rsid w:val="00D067B1"/>
    <w:rsid w:val="00D0726B"/>
    <w:rsid w:val="00D07FA7"/>
    <w:rsid w:val="00D108DF"/>
    <w:rsid w:val="00D1348D"/>
    <w:rsid w:val="00D17A6D"/>
    <w:rsid w:val="00D224C4"/>
    <w:rsid w:val="00D25088"/>
    <w:rsid w:val="00D26534"/>
    <w:rsid w:val="00D2774D"/>
    <w:rsid w:val="00D301EB"/>
    <w:rsid w:val="00D33AB5"/>
    <w:rsid w:val="00D34715"/>
    <w:rsid w:val="00D34E05"/>
    <w:rsid w:val="00D3672C"/>
    <w:rsid w:val="00D4305C"/>
    <w:rsid w:val="00D43A4B"/>
    <w:rsid w:val="00D44D5C"/>
    <w:rsid w:val="00D46078"/>
    <w:rsid w:val="00D47437"/>
    <w:rsid w:val="00D4756B"/>
    <w:rsid w:val="00D47B9D"/>
    <w:rsid w:val="00D543A4"/>
    <w:rsid w:val="00D5590B"/>
    <w:rsid w:val="00D5797C"/>
    <w:rsid w:val="00D57B44"/>
    <w:rsid w:val="00D62F8C"/>
    <w:rsid w:val="00D66611"/>
    <w:rsid w:val="00D71AB1"/>
    <w:rsid w:val="00D75B17"/>
    <w:rsid w:val="00D80233"/>
    <w:rsid w:val="00D80E0B"/>
    <w:rsid w:val="00D81B89"/>
    <w:rsid w:val="00D86735"/>
    <w:rsid w:val="00D87753"/>
    <w:rsid w:val="00D878A8"/>
    <w:rsid w:val="00D914C7"/>
    <w:rsid w:val="00D923F2"/>
    <w:rsid w:val="00D948D9"/>
    <w:rsid w:val="00D95EC4"/>
    <w:rsid w:val="00D97D65"/>
    <w:rsid w:val="00DA02C7"/>
    <w:rsid w:val="00DA17FA"/>
    <w:rsid w:val="00DA187D"/>
    <w:rsid w:val="00DA553F"/>
    <w:rsid w:val="00DA5D59"/>
    <w:rsid w:val="00DA629A"/>
    <w:rsid w:val="00DA7E01"/>
    <w:rsid w:val="00DB1FCB"/>
    <w:rsid w:val="00DB2198"/>
    <w:rsid w:val="00DB7985"/>
    <w:rsid w:val="00DC2E37"/>
    <w:rsid w:val="00DC4A4C"/>
    <w:rsid w:val="00DC7A0B"/>
    <w:rsid w:val="00DD20C8"/>
    <w:rsid w:val="00DD2110"/>
    <w:rsid w:val="00DD437F"/>
    <w:rsid w:val="00DD5446"/>
    <w:rsid w:val="00DD6C81"/>
    <w:rsid w:val="00DD6FA2"/>
    <w:rsid w:val="00DD7E3D"/>
    <w:rsid w:val="00DE1347"/>
    <w:rsid w:val="00DE694A"/>
    <w:rsid w:val="00DF09AC"/>
    <w:rsid w:val="00DF2BD8"/>
    <w:rsid w:val="00DF313D"/>
    <w:rsid w:val="00DF56F6"/>
    <w:rsid w:val="00DF5C34"/>
    <w:rsid w:val="00DF60BB"/>
    <w:rsid w:val="00DF735C"/>
    <w:rsid w:val="00E024C9"/>
    <w:rsid w:val="00E05333"/>
    <w:rsid w:val="00E054BE"/>
    <w:rsid w:val="00E061E4"/>
    <w:rsid w:val="00E06798"/>
    <w:rsid w:val="00E1008E"/>
    <w:rsid w:val="00E10D87"/>
    <w:rsid w:val="00E1253F"/>
    <w:rsid w:val="00E16492"/>
    <w:rsid w:val="00E203E4"/>
    <w:rsid w:val="00E22D63"/>
    <w:rsid w:val="00E25654"/>
    <w:rsid w:val="00E25B57"/>
    <w:rsid w:val="00E27342"/>
    <w:rsid w:val="00E27AA5"/>
    <w:rsid w:val="00E31F0E"/>
    <w:rsid w:val="00E32BC9"/>
    <w:rsid w:val="00E33386"/>
    <w:rsid w:val="00E3521D"/>
    <w:rsid w:val="00E36FF4"/>
    <w:rsid w:val="00E37F59"/>
    <w:rsid w:val="00E41033"/>
    <w:rsid w:val="00E4177D"/>
    <w:rsid w:val="00E4241C"/>
    <w:rsid w:val="00E42EB9"/>
    <w:rsid w:val="00E433BE"/>
    <w:rsid w:val="00E443A0"/>
    <w:rsid w:val="00E44858"/>
    <w:rsid w:val="00E46401"/>
    <w:rsid w:val="00E46D78"/>
    <w:rsid w:val="00E47A76"/>
    <w:rsid w:val="00E504EB"/>
    <w:rsid w:val="00E508AC"/>
    <w:rsid w:val="00E51625"/>
    <w:rsid w:val="00E5249D"/>
    <w:rsid w:val="00E61508"/>
    <w:rsid w:val="00E61A73"/>
    <w:rsid w:val="00E624A3"/>
    <w:rsid w:val="00E65B0B"/>
    <w:rsid w:val="00E65CCD"/>
    <w:rsid w:val="00E673F0"/>
    <w:rsid w:val="00E7151A"/>
    <w:rsid w:val="00E75A1B"/>
    <w:rsid w:val="00E75A5E"/>
    <w:rsid w:val="00E807A4"/>
    <w:rsid w:val="00E81CE0"/>
    <w:rsid w:val="00E81CF7"/>
    <w:rsid w:val="00E829A2"/>
    <w:rsid w:val="00E83B74"/>
    <w:rsid w:val="00E84FD1"/>
    <w:rsid w:val="00E87704"/>
    <w:rsid w:val="00E87FFA"/>
    <w:rsid w:val="00E943A1"/>
    <w:rsid w:val="00E94B73"/>
    <w:rsid w:val="00E97A11"/>
    <w:rsid w:val="00EA0C37"/>
    <w:rsid w:val="00EA2888"/>
    <w:rsid w:val="00EA3793"/>
    <w:rsid w:val="00EA50D3"/>
    <w:rsid w:val="00EB0D97"/>
    <w:rsid w:val="00EB1FA4"/>
    <w:rsid w:val="00EB258B"/>
    <w:rsid w:val="00EB2FF9"/>
    <w:rsid w:val="00EB58EE"/>
    <w:rsid w:val="00EB61D5"/>
    <w:rsid w:val="00EB6932"/>
    <w:rsid w:val="00EC1878"/>
    <w:rsid w:val="00EC2EAD"/>
    <w:rsid w:val="00EC4058"/>
    <w:rsid w:val="00EC45A6"/>
    <w:rsid w:val="00ED13FD"/>
    <w:rsid w:val="00ED1AE3"/>
    <w:rsid w:val="00ED36CC"/>
    <w:rsid w:val="00ED5EEF"/>
    <w:rsid w:val="00ED6A67"/>
    <w:rsid w:val="00EE0166"/>
    <w:rsid w:val="00EE06AF"/>
    <w:rsid w:val="00EE29CB"/>
    <w:rsid w:val="00EE3788"/>
    <w:rsid w:val="00EE506C"/>
    <w:rsid w:val="00EE55FF"/>
    <w:rsid w:val="00EF0DC2"/>
    <w:rsid w:val="00EF0F11"/>
    <w:rsid w:val="00EF10BF"/>
    <w:rsid w:val="00EF1AF5"/>
    <w:rsid w:val="00EF360F"/>
    <w:rsid w:val="00EF5457"/>
    <w:rsid w:val="00EF56CE"/>
    <w:rsid w:val="00EF6629"/>
    <w:rsid w:val="00EF66D6"/>
    <w:rsid w:val="00F03595"/>
    <w:rsid w:val="00F05EB9"/>
    <w:rsid w:val="00F07349"/>
    <w:rsid w:val="00F10DFD"/>
    <w:rsid w:val="00F11073"/>
    <w:rsid w:val="00F12A07"/>
    <w:rsid w:val="00F143D8"/>
    <w:rsid w:val="00F16941"/>
    <w:rsid w:val="00F20BC2"/>
    <w:rsid w:val="00F2195D"/>
    <w:rsid w:val="00F23448"/>
    <w:rsid w:val="00F24649"/>
    <w:rsid w:val="00F263BC"/>
    <w:rsid w:val="00F30A06"/>
    <w:rsid w:val="00F32D6E"/>
    <w:rsid w:val="00F33222"/>
    <w:rsid w:val="00F33CCE"/>
    <w:rsid w:val="00F363B1"/>
    <w:rsid w:val="00F3793D"/>
    <w:rsid w:val="00F40F91"/>
    <w:rsid w:val="00F423DC"/>
    <w:rsid w:val="00F44848"/>
    <w:rsid w:val="00F455E0"/>
    <w:rsid w:val="00F46995"/>
    <w:rsid w:val="00F47E0C"/>
    <w:rsid w:val="00F47F8A"/>
    <w:rsid w:val="00F50579"/>
    <w:rsid w:val="00F51558"/>
    <w:rsid w:val="00F51D98"/>
    <w:rsid w:val="00F53C6C"/>
    <w:rsid w:val="00F56608"/>
    <w:rsid w:val="00F60BE1"/>
    <w:rsid w:val="00F611AC"/>
    <w:rsid w:val="00F6227D"/>
    <w:rsid w:val="00F62C56"/>
    <w:rsid w:val="00F63DA7"/>
    <w:rsid w:val="00F64CCE"/>
    <w:rsid w:val="00F663C2"/>
    <w:rsid w:val="00F67124"/>
    <w:rsid w:val="00F6784B"/>
    <w:rsid w:val="00F70F31"/>
    <w:rsid w:val="00F8349B"/>
    <w:rsid w:val="00F846D5"/>
    <w:rsid w:val="00F84E1B"/>
    <w:rsid w:val="00F85630"/>
    <w:rsid w:val="00F85E12"/>
    <w:rsid w:val="00F9282E"/>
    <w:rsid w:val="00F93841"/>
    <w:rsid w:val="00F95C64"/>
    <w:rsid w:val="00F96A04"/>
    <w:rsid w:val="00F9795F"/>
    <w:rsid w:val="00F97BEF"/>
    <w:rsid w:val="00FA28D7"/>
    <w:rsid w:val="00FA40A6"/>
    <w:rsid w:val="00FB5D00"/>
    <w:rsid w:val="00FB7CE1"/>
    <w:rsid w:val="00FC0B94"/>
    <w:rsid w:val="00FD41A6"/>
    <w:rsid w:val="00FD7AC1"/>
    <w:rsid w:val="00FE42D9"/>
    <w:rsid w:val="00FE4DB8"/>
    <w:rsid w:val="00FF33B2"/>
    <w:rsid w:val="00FF47D7"/>
    <w:rsid w:val="00FF58A6"/>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4:docId w14:val="38092FA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5C"/>
    <w:pPr>
      <w:spacing w:line="288" w:lineRule="auto"/>
      <w:jc w:val="both"/>
    </w:pPr>
    <w:rPr>
      <w:sz w:val="22"/>
      <w:szCs w:val="22"/>
      <w:lang w:eastAsia="en-US" w:bidi="ar-SA"/>
    </w:rPr>
  </w:style>
  <w:style w:type="paragraph" w:styleId="Heading1">
    <w:name w:val="heading 1"/>
    <w:basedOn w:val="Normal"/>
    <w:next w:val="Normal"/>
    <w:link w:val="Heading1Char"/>
    <w:qFormat/>
    <w:rsid w:val="00D44D5C"/>
    <w:pPr>
      <w:numPr>
        <w:numId w:val="1"/>
      </w:numPr>
      <w:ind w:left="567" w:hanging="567"/>
      <w:outlineLvl w:val="0"/>
    </w:pPr>
    <w:rPr>
      <w:kern w:val="28"/>
    </w:rPr>
  </w:style>
  <w:style w:type="paragraph" w:styleId="Heading2">
    <w:name w:val="heading 2"/>
    <w:basedOn w:val="Normal"/>
    <w:next w:val="Normal"/>
    <w:link w:val="Heading2Char"/>
    <w:qFormat/>
    <w:rsid w:val="00D44D5C"/>
    <w:pPr>
      <w:numPr>
        <w:ilvl w:val="1"/>
        <w:numId w:val="1"/>
      </w:numPr>
      <w:ind w:left="567" w:hanging="567"/>
      <w:outlineLvl w:val="1"/>
    </w:pPr>
  </w:style>
  <w:style w:type="paragraph" w:styleId="Heading3">
    <w:name w:val="heading 3"/>
    <w:basedOn w:val="Normal"/>
    <w:next w:val="Normal"/>
    <w:link w:val="Heading3Char"/>
    <w:qFormat/>
    <w:rsid w:val="00D44D5C"/>
    <w:pPr>
      <w:numPr>
        <w:ilvl w:val="2"/>
        <w:numId w:val="1"/>
      </w:numPr>
      <w:ind w:left="567" w:hanging="567"/>
      <w:outlineLvl w:val="2"/>
    </w:pPr>
  </w:style>
  <w:style w:type="paragraph" w:styleId="Heading4">
    <w:name w:val="heading 4"/>
    <w:basedOn w:val="Normal"/>
    <w:next w:val="Normal"/>
    <w:link w:val="Heading4Char"/>
    <w:qFormat/>
    <w:rsid w:val="00D44D5C"/>
    <w:pPr>
      <w:numPr>
        <w:ilvl w:val="3"/>
        <w:numId w:val="1"/>
      </w:numPr>
      <w:ind w:left="567" w:hanging="567"/>
      <w:outlineLvl w:val="3"/>
    </w:pPr>
  </w:style>
  <w:style w:type="paragraph" w:styleId="Heading5">
    <w:name w:val="heading 5"/>
    <w:basedOn w:val="Normal"/>
    <w:next w:val="Normal"/>
    <w:link w:val="Heading5Char"/>
    <w:qFormat/>
    <w:rsid w:val="00D44D5C"/>
    <w:pPr>
      <w:numPr>
        <w:ilvl w:val="4"/>
        <w:numId w:val="1"/>
      </w:numPr>
      <w:ind w:left="567" w:hanging="567"/>
      <w:outlineLvl w:val="4"/>
    </w:pPr>
  </w:style>
  <w:style w:type="paragraph" w:styleId="Heading6">
    <w:name w:val="heading 6"/>
    <w:basedOn w:val="Normal"/>
    <w:next w:val="Normal"/>
    <w:link w:val="Heading6Char"/>
    <w:qFormat/>
    <w:rsid w:val="00D44D5C"/>
    <w:pPr>
      <w:numPr>
        <w:ilvl w:val="5"/>
        <w:numId w:val="1"/>
      </w:numPr>
      <w:ind w:left="567" w:hanging="567"/>
      <w:outlineLvl w:val="5"/>
    </w:pPr>
  </w:style>
  <w:style w:type="paragraph" w:styleId="Heading7">
    <w:name w:val="heading 7"/>
    <w:basedOn w:val="Normal"/>
    <w:next w:val="Normal"/>
    <w:link w:val="Heading7Char"/>
    <w:qFormat/>
    <w:rsid w:val="00D44D5C"/>
    <w:pPr>
      <w:numPr>
        <w:ilvl w:val="6"/>
        <w:numId w:val="1"/>
      </w:numPr>
      <w:ind w:left="567" w:hanging="567"/>
      <w:outlineLvl w:val="6"/>
    </w:pPr>
  </w:style>
  <w:style w:type="paragraph" w:styleId="Heading8">
    <w:name w:val="heading 8"/>
    <w:basedOn w:val="Normal"/>
    <w:next w:val="Normal"/>
    <w:link w:val="Heading8Char"/>
    <w:qFormat/>
    <w:rsid w:val="00D44D5C"/>
    <w:pPr>
      <w:numPr>
        <w:ilvl w:val="7"/>
        <w:numId w:val="1"/>
      </w:numPr>
      <w:ind w:left="567" w:hanging="567"/>
      <w:outlineLvl w:val="7"/>
    </w:pPr>
  </w:style>
  <w:style w:type="paragraph" w:styleId="Heading9">
    <w:name w:val="heading 9"/>
    <w:basedOn w:val="Normal"/>
    <w:next w:val="Normal"/>
    <w:link w:val="Heading9Char"/>
    <w:qFormat/>
    <w:rsid w:val="00D44D5C"/>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271"/>
    <w:rPr>
      <w:kern w:val="28"/>
      <w:sz w:val="22"/>
      <w:szCs w:val="22"/>
      <w:lang w:val="en-US" w:eastAsia="en-US" w:bidi="ar-SA"/>
    </w:rPr>
  </w:style>
  <w:style w:type="character" w:customStyle="1" w:styleId="Heading2Char">
    <w:name w:val="Heading 2 Char"/>
    <w:basedOn w:val="DefaultParagraphFont"/>
    <w:link w:val="Heading2"/>
    <w:rsid w:val="007B0271"/>
    <w:rPr>
      <w:sz w:val="22"/>
      <w:szCs w:val="22"/>
      <w:lang w:val="en-US" w:eastAsia="en-US" w:bidi="ar-SA"/>
    </w:rPr>
  </w:style>
  <w:style w:type="character" w:customStyle="1" w:styleId="Heading3Char">
    <w:name w:val="Heading 3 Char"/>
    <w:basedOn w:val="DefaultParagraphFont"/>
    <w:link w:val="Heading3"/>
    <w:rsid w:val="007B0271"/>
    <w:rPr>
      <w:sz w:val="22"/>
      <w:szCs w:val="22"/>
      <w:lang w:val="en-US" w:eastAsia="en-US" w:bidi="ar-SA"/>
    </w:rPr>
  </w:style>
  <w:style w:type="character" w:customStyle="1" w:styleId="Heading4Char">
    <w:name w:val="Heading 4 Char"/>
    <w:basedOn w:val="DefaultParagraphFont"/>
    <w:link w:val="Heading4"/>
    <w:rsid w:val="007B0271"/>
    <w:rPr>
      <w:sz w:val="22"/>
      <w:szCs w:val="22"/>
      <w:lang w:val="en-US" w:eastAsia="en-US" w:bidi="ar-SA"/>
    </w:rPr>
  </w:style>
  <w:style w:type="character" w:customStyle="1" w:styleId="Heading5Char">
    <w:name w:val="Heading 5 Char"/>
    <w:basedOn w:val="DefaultParagraphFont"/>
    <w:link w:val="Heading5"/>
    <w:rsid w:val="007B0271"/>
    <w:rPr>
      <w:sz w:val="22"/>
      <w:szCs w:val="22"/>
      <w:lang w:val="en-US" w:eastAsia="en-US" w:bidi="ar-SA"/>
    </w:rPr>
  </w:style>
  <w:style w:type="character" w:customStyle="1" w:styleId="Heading6Char">
    <w:name w:val="Heading 6 Char"/>
    <w:basedOn w:val="DefaultParagraphFont"/>
    <w:link w:val="Heading6"/>
    <w:rsid w:val="007B0271"/>
    <w:rPr>
      <w:sz w:val="22"/>
      <w:szCs w:val="22"/>
      <w:lang w:val="en-US" w:eastAsia="en-US" w:bidi="ar-SA"/>
    </w:rPr>
  </w:style>
  <w:style w:type="character" w:customStyle="1" w:styleId="Heading7Char">
    <w:name w:val="Heading 7 Char"/>
    <w:basedOn w:val="DefaultParagraphFont"/>
    <w:link w:val="Heading7"/>
    <w:rsid w:val="007B0271"/>
    <w:rPr>
      <w:sz w:val="22"/>
      <w:szCs w:val="22"/>
      <w:lang w:val="en-US" w:eastAsia="en-US" w:bidi="ar-SA"/>
    </w:rPr>
  </w:style>
  <w:style w:type="character" w:customStyle="1" w:styleId="Heading8Char">
    <w:name w:val="Heading 8 Char"/>
    <w:basedOn w:val="DefaultParagraphFont"/>
    <w:link w:val="Heading8"/>
    <w:rsid w:val="007B0271"/>
    <w:rPr>
      <w:sz w:val="22"/>
      <w:szCs w:val="22"/>
      <w:lang w:val="en-US" w:eastAsia="en-US" w:bidi="ar-SA"/>
    </w:rPr>
  </w:style>
  <w:style w:type="character" w:customStyle="1" w:styleId="Heading9Char">
    <w:name w:val="Heading 9 Char"/>
    <w:basedOn w:val="DefaultParagraphFont"/>
    <w:link w:val="Heading9"/>
    <w:rsid w:val="007B0271"/>
    <w:rPr>
      <w:sz w:val="22"/>
      <w:szCs w:val="22"/>
      <w:lang w:val="en-US" w:eastAsia="en-US" w:bidi="ar-SA"/>
    </w:rPr>
  </w:style>
  <w:style w:type="paragraph" w:styleId="Footer">
    <w:name w:val="footer"/>
    <w:basedOn w:val="Normal"/>
    <w:link w:val="FooterChar"/>
    <w:qFormat/>
    <w:rsid w:val="00D44D5C"/>
  </w:style>
  <w:style w:type="character" w:customStyle="1" w:styleId="FooterChar">
    <w:name w:val="Footer Char"/>
    <w:basedOn w:val="DefaultParagraphFont"/>
    <w:link w:val="Footer"/>
    <w:rsid w:val="007B0271"/>
    <w:rPr>
      <w:sz w:val="22"/>
      <w:szCs w:val="22"/>
      <w:lang w:eastAsia="en-US" w:bidi="ar-SA"/>
    </w:rPr>
  </w:style>
  <w:style w:type="paragraph" w:styleId="FootnoteText">
    <w:name w:val="footnote text"/>
    <w:basedOn w:val="Normal"/>
    <w:link w:val="FootnoteTextChar"/>
    <w:qFormat/>
    <w:rsid w:val="00D44D5C"/>
    <w:pPr>
      <w:keepLines/>
      <w:spacing w:after="60" w:line="240" w:lineRule="auto"/>
      <w:ind w:left="567" w:hanging="567"/>
    </w:pPr>
    <w:rPr>
      <w:sz w:val="16"/>
    </w:rPr>
  </w:style>
  <w:style w:type="character" w:customStyle="1" w:styleId="FootnoteTextChar">
    <w:name w:val="Footnote Text Char"/>
    <w:basedOn w:val="DefaultParagraphFont"/>
    <w:link w:val="FootnoteText"/>
    <w:rsid w:val="007B0271"/>
    <w:rPr>
      <w:sz w:val="16"/>
      <w:szCs w:val="22"/>
      <w:lang w:val="en-US" w:eastAsia="en-US" w:bidi="ar-SA"/>
    </w:rPr>
  </w:style>
  <w:style w:type="paragraph" w:styleId="Header">
    <w:name w:val="header"/>
    <w:basedOn w:val="Normal"/>
    <w:link w:val="HeaderChar"/>
    <w:qFormat/>
    <w:rsid w:val="00D44D5C"/>
  </w:style>
  <w:style w:type="character" w:customStyle="1" w:styleId="HeaderChar">
    <w:name w:val="Header Char"/>
    <w:basedOn w:val="DefaultParagraphFont"/>
    <w:link w:val="Header"/>
    <w:rsid w:val="007B0271"/>
    <w:rPr>
      <w:sz w:val="22"/>
      <w:szCs w:val="22"/>
      <w:lang w:eastAsia="en-US" w:bidi="ar-SA"/>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unhideWhenUsed/>
    <w:qFormat/>
    <w:rsid w:val="00D44D5C"/>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styleId="Revision">
    <w:name w:val="Revision"/>
    <w:hidden/>
    <w:uiPriority w:val="99"/>
    <w:semiHidden/>
    <w:rsid w:val="007F5A72"/>
    <w:rPr>
      <w:sz w:val="22"/>
    </w:rPr>
  </w:style>
  <w:style w:type="table" w:styleId="TableGrid">
    <w:name w:val="Table Grid"/>
    <w:basedOn w:val="TableNormal"/>
    <w:rsid w:val="0051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s">
    <w:name w:val="quotes"/>
    <w:basedOn w:val="Normal"/>
    <w:next w:val="Normal"/>
    <w:rsid w:val="00D44D5C"/>
    <w:pPr>
      <w:ind w:left="720"/>
    </w:pPr>
    <w:rPr>
      <w:i/>
    </w:rPr>
  </w:style>
  <w:style w:type="paragraph" w:customStyle="1" w:styleId="Default">
    <w:name w:val="Default"/>
    <w:rsid w:val="003962D4"/>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7468CD"/>
    <w:pPr>
      <w:ind w:left="720"/>
      <w:contextualSpacing/>
    </w:pPr>
  </w:style>
  <w:style w:type="paragraph" w:styleId="BalloonText">
    <w:name w:val="Balloon Text"/>
    <w:basedOn w:val="Normal"/>
    <w:link w:val="BalloonTextChar"/>
    <w:semiHidden/>
    <w:unhideWhenUsed/>
    <w:rsid w:val="0057390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73906"/>
    <w:rPr>
      <w:rFonts w:ascii="Tahoma" w:hAnsi="Tahoma" w:cs="Tahoma"/>
      <w:sz w:val="16"/>
      <w:szCs w:val="16"/>
      <w:lang w:eastAsia="en-US" w:bidi="ar-SA"/>
    </w:rPr>
  </w:style>
  <w:style w:type="character" w:styleId="CommentReference">
    <w:name w:val="annotation reference"/>
    <w:basedOn w:val="DefaultParagraphFont"/>
    <w:semiHidden/>
    <w:unhideWhenUsed/>
    <w:rsid w:val="001E6302"/>
    <w:rPr>
      <w:sz w:val="16"/>
      <w:szCs w:val="16"/>
    </w:rPr>
  </w:style>
  <w:style w:type="paragraph" w:styleId="CommentText">
    <w:name w:val="annotation text"/>
    <w:basedOn w:val="Normal"/>
    <w:link w:val="CommentTextChar"/>
    <w:semiHidden/>
    <w:unhideWhenUsed/>
    <w:rsid w:val="001E6302"/>
    <w:pPr>
      <w:spacing w:line="240" w:lineRule="auto"/>
    </w:pPr>
    <w:rPr>
      <w:sz w:val="20"/>
      <w:szCs w:val="20"/>
    </w:rPr>
  </w:style>
  <w:style w:type="character" w:customStyle="1" w:styleId="CommentTextChar">
    <w:name w:val="Comment Text Char"/>
    <w:basedOn w:val="DefaultParagraphFont"/>
    <w:link w:val="CommentText"/>
    <w:semiHidden/>
    <w:rsid w:val="001E6302"/>
    <w:rPr>
      <w:lang w:eastAsia="en-US" w:bidi="ar-SA"/>
    </w:rPr>
  </w:style>
  <w:style w:type="paragraph" w:styleId="CommentSubject">
    <w:name w:val="annotation subject"/>
    <w:basedOn w:val="CommentText"/>
    <w:next w:val="CommentText"/>
    <w:link w:val="CommentSubjectChar"/>
    <w:semiHidden/>
    <w:unhideWhenUsed/>
    <w:rsid w:val="001E6302"/>
    <w:rPr>
      <w:b/>
      <w:bCs/>
    </w:rPr>
  </w:style>
  <w:style w:type="character" w:customStyle="1" w:styleId="CommentSubjectChar">
    <w:name w:val="Comment Subject Char"/>
    <w:basedOn w:val="CommentTextChar"/>
    <w:link w:val="CommentSubject"/>
    <w:semiHidden/>
    <w:rsid w:val="001E6302"/>
    <w:rPr>
      <w:b/>
      <w:bCs/>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5C"/>
    <w:pPr>
      <w:spacing w:line="288" w:lineRule="auto"/>
      <w:jc w:val="both"/>
    </w:pPr>
    <w:rPr>
      <w:sz w:val="22"/>
      <w:szCs w:val="22"/>
      <w:lang w:eastAsia="en-US" w:bidi="ar-SA"/>
    </w:rPr>
  </w:style>
  <w:style w:type="paragraph" w:styleId="Heading1">
    <w:name w:val="heading 1"/>
    <w:basedOn w:val="Normal"/>
    <w:next w:val="Normal"/>
    <w:link w:val="Heading1Char"/>
    <w:qFormat/>
    <w:rsid w:val="00D44D5C"/>
    <w:pPr>
      <w:numPr>
        <w:numId w:val="1"/>
      </w:numPr>
      <w:ind w:left="567" w:hanging="567"/>
      <w:outlineLvl w:val="0"/>
    </w:pPr>
    <w:rPr>
      <w:kern w:val="28"/>
    </w:rPr>
  </w:style>
  <w:style w:type="paragraph" w:styleId="Heading2">
    <w:name w:val="heading 2"/>
    <w:basedOn w:val="Normal"/>
    <w:next w:val="Normal"/>
    <w:link w:val="Heading2Char"/>
    <w:qFormat/>
    <w:rsid w:val="00D44D5C"/>
    <w:pPr>
      <w:numPr>
        <w:ilvl w:val="1"/>
        <w:numId w:val="1"/>
      </w:numPr>
      <w:ind w:left="567" w:hanging="567"/>
      <w:outlineLvl w:val="1"/>
    </w:pPr>
  </w:style>
  <w:style w:type="paragraph" w:styleId="Heading3">
    <w:name w:val="heading 3"/>
    <w:basedOn w:val="Normal"/>
    <w:next w:val="Normal"/>
    <w:link w:val="Heading3Char"/>
    <w:qFormat/>
    <w:rsid w:val="00D44D5C"/>
    <w:pPr>
      <w:numPr>
        <w:ilvl w:val="2"/>
        <w:numId w:val="1"/>
      </w:numPr>
      <w:ind w:left="567" w:hanging="567"/>
      <w:outlineLvl w:val="2"/>
    </w:pPr>
  </w:style>
  <w:style w:type="paragraph" w:styleId="Heading4">
    <w:name w:val="heading 4"/>
    <w:basedOn w:val="Normal"/>
    <w:next w:val="Normal"/>
    <w:link w:val="Heading4Char"/>
    <w:qFormat/>
    <w:rsid w:val="00D44D5C"/>
    <w:pPr>
      <w:numPr>
        <w:ilvl w:val="3"/>
        <w:numId w:val="1"/>
      </w:numPr>
      <w:ind w:left="567" w:hanging="567"/>
      <w:outlineLvl w:val="3"/>
    </w:pPr>
  </w:style>
  <w:style w:type="paragraph" w:styleId="Heading5">
    <w:name w:val="heading 5"/>
    <w:basedOn w:val="Normal"/>
    <w:next w:val="Normal"/>
    <w:link w:val="Heading5Char"/>
    <w:qFormat/>
    <w:rsid w:val="00D44D5C"/>
    <w:pPr>
      <w:numPr>
        <w:ilvl w:val="4"/>
        <w:numId w:val="1"/>
      </w:numPr>
      <w:ind w:left="567" w:hanging="567"/>
      <w:outlineLvl w:val="4"/>
    </w:pPr>
  </w:style>
  <w:style w:type="paragraph" w:styleId="Heading6">
    <w:name w:val="heading 6"/>
    <w:basedOn w:val="Normal"/>
    <w:next w:val="Normal"/>
    <w:link w:val="Heading6Char"/>
    <w:qFormat/>
    <w:rsid w:val="00D44D5C"/>
    <w:pPr>
      <w:numPr>
        <w:ilvl w:val="5"/>
        <w:numId w:val="1"/>
      </w:numPr>
      <w:ind w:left="567" w:hanging="567"/>
      <w:outlineLvl w:val="5"/>
    </w:pPr>
  </w:style>
  <w:style w:type="paragraph" w:styleId="Heading7">
    <w:name w:val="heading 7"/>
    <w:basedOn w:val="Normal"/>
    <w:next w:val="Normal"/>
    <w:link w:val="Heading7Char"/>
    <w:qFormat/>
    <w:rsid w:val="00D44D5C"/>
    <w:pPr>
      <w:numPr>
        <w:ilvl w:val="6"/>
        <w:numId w:val="1"/>
      </w:numPr>
      <w:ind w:left="567" w:hanging="567"/>
      <w:outlineLvl w:val="6"/>
    </w:pPr>
  </w:style>
  <w:style w:type="paragraph" w:styleId="Heading8">
    <w:name w:val="heading 8"/>
    <w:basedOn w:val="Normal"/>
    <w:next w:val="Normal"/>
    <w:link w:val="Heading8Char"/>
    <w:qFormat/>
    <w:rsid w:val="00D44D5C"/>
    <w:pPr>
      <w:numPr>
        <w:ilvl w:val="7"/>
        <w:numId w:val="1"/>
      </w:numPr>
      <w:ind w:left="567" w:hanging="567"/>
      <w:outlineLvl w:val="7"/>
    </w:pPr>
  </w:style>
  <w:style w:type="paragraph" w:styleId="Heading9">
    <w:name w:val="heading 9"/>
    <w:basedOn w:val="Normal"/>
    <w:next w:val="Normal"/>
    <w:link w:val="Heading9Char"/>
    <w:qFormat/>
    <w:rsid w:val="00D44D5C"/>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271"/>
    <w:rPr>
      <w:kern w:val="28"/>
      <w:sz w:val="22"/>
      <w:szCs w:val="22"/>
      <w:lang w:val="en-US" w:eastAsia="en-US" w:bidi="ar-SA"/>
    </w:rPr>
  </w:style>
  <w:style w:type="character" w:customStyle="1" w:styleId="Heading2Char">
    <w:name w:val="Heading 2 Char"/>
    <w:basedOn w:val="DefaultParagraphFont"/>
    <w:link w:val="Heading2"/>
    <w:rsid w:val="007B0271"/>
    <w:rPr>
      <w:sz w:val="22"/>
      <w:szCs w:val="22"/>
      <w:lang w:val="en-US" w:eastAsia="en-US" w:bidi="ar-SA"/>
    </w:rPr>
  </w:style>
  <w:style w:type="character" w:customStyle="1" w:styleId="Heading3Char">
    <w:name w:val="Heading 3 Char"/>
    <w:basedOn w:val="DefaultParagraphFont"/>
    <w:link w:val="Heading3"/>
    <w:rsid w:val="007B0271"/>
    <w:rPr>
      <w:sz w:val="22"/>
      <w:szCs w:val="22"/>
      <w:lang w:val="en-US" w:eastAsia="en-US" w:bidi="ar-SA"/>
    </w:rPr>
  </w:style>
  <w:style w:type="character" w:customStyle="1" w:styleId="Heading4Char">
    <w:name w:val="Heading 4 Char"/>
    <w:basedOn w:val="DefaultParagraphFont"/>
    <w:link w:val="Heading4"/>
    <w:rsid w:val="007B0271"/>
    <w:rPr>
      <w:sz w:val="22"/>
      <w:szCs w:val="22"/>
      <w:lang w:val="en-US" w:eastAsia="en-US" w:bidi="ar-SA"/>
    </w:rPr>
  </w:style>
  <w:style w:type="character" w:customStyle="1" w:styleId="Heading5Char">
    <w:name w:val="Heading 5 Char"/>
    <w:basedOn w:val="DefaultParagraphFont"/>
    <w:link w:val="Heading5"/>
    <w:rsid w:val="007B0271"/>
    <w:rPr>
      <w:sz w:val="22"/>
      <w:szCs w:val="22"/>
      <w:lang w:val="en-US" w:eastAsia="en-US" w:bidi="ar-SA"/>
    </w:rPr>
  </w:style>
  <w:style w:type="character" w:customStyle="1" w:styleId="Heading6Char">
    <w:name w:val="Heading 6 Char"/>
    <w:basedOn w:val="DefaultParagraphFont"/>
    <w:link w:val="Heading6"/>
    <w:rsid w:val="007B0271"/>
    <w:rPr>
      <w:sz w:val="22"/>
      <w:szCs w:val="22"/>
      <w:lang w:val="en-US" w:eastAsia="en-US" w:bidi="ar-SA"/>
    </w:rPr>
  </w:style>
  <w:style w:type="character" w:customStyle="1" w:styleId="Heading7Char">
    <w:name w:val="Heading 7 Char"/>
    <w:basedOn w:val="DefaultParagraphFont"/>
    <w:link w:val="Heading7"/>
    <w:rsid w:val="007B0271"/>
    <w:rPr>
      <w:sz w:val="22"/>
      <w:szCs w:val="22"/>
      <w:lang w:val="en-US" w:eastAsia="en-US" w:bidi="ar-SA"/>
    </w:rPr>
  </w:style>
  <w:style w:type="character" w:customStyle="1" w:styleId="Heading8Char">
    <w:name w:val="Heading 8 Char"/>
    <w:basedOn w:val="DefaultParagraphFont"/>
    <w:link w:val="Heading8"/>
    <w:rsid w:val="007B0271"/>
    <w:rPr>
      <w:sz w:val="22"/>
      <w:szCs w:val="22"/>
      <w:lang w:val="en-US" w:eastAsia="en-US" w:bidi="ar-SA"/>
    </w:rPr>
  </w:style>
  <w:style w:type="character" w:customStyle="1" w:styleId="Heading9Char">
    <w:name w:val="Heading 9 Char"/>
    <w:basedOn w:val="DefaultParagraphFont"/>
    <w:link w:val="Heading9"/>
    <w:rsid w:val="007B0271"/>
    <w:rPr>
      <w:sz w:val="22"/>
      <w:szCs w:val="22"/>
      <w:lang w:val="en-US" w:eastAsia="en-US" w:bidi="ar-SA"/>
    </w:rPr>
  </w:style>
  <w:style w:type="paragraph" w:styleId="Footer">
    <w:name w:val="footer"/>
    <w:basedOn w:val="Normal"/>
    <w:link w:val="FooterChar"/>
    <w:qFormat/>
    <w:rsid w:val="00D44D5C"/>
  </w:style>
  <w:style w:type="character" w:customStyle="1" w:styleId="FooterChar">
    <w:name w:val="Footer Char"/>
    <w:basedOn w:val="DefaultParagraphFont"/>
    <w:link w:val="Footer"/>
    <w:rsid w:val="007B0271"/>
    <w:rPr>
      <w:sz w:val="22"/>
      <w:szCs w:val="22"/>
      <w:lang w:eastAsia="en-US" w:bidi="ar-SA"/>
    </w:rPr>
  </w:style>
  <w:style w:type="paragraph" w:styleId="FootnoteText">
    <w:name w:val="footnote text"/>
    <w:basedOn w:val="Normal"/>
    <w:link w:val="FootnoteTextChar"/>
    <w:qFormat/>
    <w:rsid w:val="00D44D5C"/>
    <w:pPr>
      <w:keepLines/>
      <w:spacing w:after="60" w:line="240" w:lineRule="auto"/>
      <w:ind w:left="567" w:hanging="567"/>
    </w:pPr>
    <w:rPr>
      <w:sz w:val="16"/>
    </w:rPr>
  </w:style>
  <w:style w:type="character" w:customStyle="1" w:styleId="FootnoteTextChar">
    <w:name w:val="Footnote Text Char"/>
    <w:basedOn w:val="DefaultParagraphFont"/>
    <w:link w:val="FootnoteText"/>
    <w:rsid w:val="007B0271"/>
    <w:rPr>
      <w:sz w:val="16"/>
      <w:szCs w:val="22"/>
      <w:lang w:val="en-US" w:eastAsia="en-US" w:bidi="ar-SA"/>
    </w:rPr>
  </w:style>
  <w:style w:type="paragraph" w:styleId="Header">
    <w:name w:val="header"/>
    <w:basedOn w:val="Normal"/>
    <w:link w:val="HeaderChar"/>
    <w:qFormat/>
    <w:rsid w:val="00D44D5C"/>
  </w:style>
  <w:style w:type="character" w:customStyle="1" w:styleId="HeaderChar">
    <w:name w:val="Header Char"/>
    <w:basedOn w:val="DefaultParagraphFont"/>
    <w:link w:val="Header"/>
    <w:rsid w:val="007B0271"/>
    <w:rPr>
      <w:sz w:val="22"/>
      <w:szCs w:val="22"/>
      <w:lang w:eastAsia="en-US" w:bidi="ar-SA"/>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unhideWhenUsed/>
    <w:qFormat/>
    <w:rsid w:val="00D44D5C"/>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styleId="Revision">
    <w:name w:val="Revision"/>
    <w:hidden/>
    <w:uiPriority w:val="99"/>
    <w:semiHidden/>
    <w:rsid w:val="007F5A72"/>
    <w:rPr>
      <w:sz w:val="22"/>
    </w:rPr>
  </w:style>
  <w:style w:type="table" w:styleId="TableGrid">
    <w:name w:val="Table Grid"/>
    <w:basedOn w:val="TableNormal"/>
    <w:rsid w:val="0051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s">
    <w:name w:val="quotes"/>
    <w:basedOn w:val="Normal"/>
    <w:next w:val="Normal"/>
    <w:rsid w:val="00D44D5C"/>
    <w:pPr>
      <w:ind w:left="720"/>
    </w:pPr>
    <w:rPr>
      <w:i/>
    </w:rPr>
  </w:style>
  <w:style w:type="paragraph" w:customStyle="1" w:styleId="Default">
    <w:name w:val="Default"/>
    <w:rsid w:val="003962D4"/>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7468CD"/>
    <w:pPr>
      <w:ind w:left="720"/>
      <w:contextualSpacing/>
    </w:pPr>
  </w:style>
  <w:style w:type="paragraph" w:styleId="BalloonText">
    <w:name w:val="Balloon Text"/>
    <w:basedOn w:val="Normal"/>
    <w:link w:val="BalloonTextChar"/>
    <w:semiHidden/>
    <w:unhideWhenUsed/>
    <w:rsid w:val="0057390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73906"/>
    <w:rPr>
      <w:rFonts w:ascii="Tahoma" w:hAnsi="Tahoma" w:cs="Tahoma"/>
      <w:sz w:val="16"/>
      <w:szCs w:val="16"/>
      <w:lang w:eastAsia="en-US" w:bidi="ar-SA"/>
    </w:rPr>
  </w:style>
  <w:style w:type="character" w:styleId="CommentReference">
    <w:name w:val="annotation reference"/>
    <w:basedOn w:val="DefaultParagraphFont"/>
    <w:semiHidden/>
    <w:unhideWhenUsed/>
    <w:rsid w:val="001E6302"/>
    <w:rPr>
      <w:sz w:val="16"/>
      <w:szCs w:val="16"/>
    </w:rPr>
  </w:style>
  <w:style w:type="paragraph" w:styleId="CommentText">
    <w:name w:val="annotation text"/>
    <w:basedOn w:val="Normal"/>
    <w:link w:val="CommentTextChar"/>
    <w:semiHidden/>
    <w:unhideWhenUsed/>
    <w:rsid w:val="001E6302"/>
    <w:pPr>
      <w:spacing w:line="240" w:lineRule="auto"/>
    </w:pPr>
    <w:rPr>
      <w:sz w:val="20"/>
      <w:szCs w:val="20"/>
    </w:rPr>
  </w:style>
  <w:style w:type="character" w:customStyle="1" w:styleId="CommentTextChar">
    <w:name w:val="Comment Text Char"/>
    <w:basedOn w:val="DefaultParagraphFont"/>
    <w:link w:val="CommentText"/>
    <w:semiHidden/>
    <w:rsid w:val="001E6302"/>
    <w:rPr>
      <w:lang w:eastAsia="en-US" w:bidi="ar-SA"/>
    </w:rPr>
  </w:style>
  <w:style w:type="paragraph" w:styleId="CommentSubject">
    <w:name w:val="annotation subject"/>
    <w:basedOn w:val="CommentText"/>
    <w:next w:val="CommentText"/>
    <w:link w:val="CommentSubjectChar"/>
    <w:semiHidden/>
    <w:unhideWhenUsed/>
    <w:rsid w:val="001E6302"/>
    <w:rPr>
      <w:b/>
      <w:bCs/>
    </w:rPr>
  </w:style>
  <w:style w:type="character" w:customStyle="1" w:styleId="CommentSubjectChar">
    <w:name w:val="Comment Subject Char"/>
    <w:basedOn w:val="CommentTextChar"/>
    <w:link w:val="CommentSubject"/>
    <w:semiHidden/>
    <w:rsid w:val="001E6302"/>
    <w:rPr>
      <w:b/>
      <w:bCs/>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23986">
      <w:bodyDiv w:val="1"/>
      <w:marLeft w:val="0"/>
      <w:marRight w:val="0"/>
      <w:marTop w:val="0"/>
      <w:marBottom w:val="0"/>
      <w:divBdr>
        <w:top w:val="none" w:sz="0" w:space="0" w:color="auto"/>
        <w:left w:val="none" w:sz="0" w:space="0" w:color="auto"/>
        <w:bottom w:val="none" w:sz="0" w:space="0" w:color="auto"/>
        <w:right w:val="none" w:sz="0" w:space="0" w:color="auto"/>
      </w:divBdr>
    </w:div>
    <w:div w:id="761608837">
      <w:bodyDiv w:val="1"/>
      <w:marLeft w:val="0"/>
      <w:marRight w:val="0"/>
      <w:marTop w:val="0"/>
      <w:marBottom w:val="0"/>
      <w:divBdr>
        <w:top w:val="none" w:sz="0" w:space="0" w:color="auto"/>
        <w:left w:val="none" w:sz="0" w:space="0" w:color="auto"/>
        <w:bottom w:val="none" w:sz="0" w:space="0" w:color="auto"/>
        <w:right w:val="none" w:sz="0" w:space="0" w:color="auto"/>
      </w:divBdr>
    </w:div>
    <w:div w:id="1189756692">
      <w:bodyDiv w:val="1"/>
      <w:marLeft w:val="390"/>
      <w:marRight w:val="390"/>
      <w:marTop w:val="0"/>
      <w:marBottom w:val="0"/>
      <w:divBdr>
        <w:top w:val="none" w:sz="0" w:space="0" w:color="auto"/>
        <w:left w:val="none" w:sz="0" w:space="0" w:color="auto"/>
        <w:bottom w:val="none" w:sz="0" w:space="0" w:color="auto"/>
        <w:right w:val="none" w:sz="0" w:space="0" w:color="auto"/>
      </w:divBdr>
      <w:divsChild>
        <w:div w:id="145949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ec.europa.eu/budget/explained/management/protecting/protect_en.cf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curia.europa.e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ec.europa.eu/info/publications/financial-identification_en"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c.europa.eu/info/publications/legal-entities_en" TargetMode="External"/><Relationship Id="rId20" Type="http://schemas.openxmlformats.org/officeDocument/2006/relationships/hyperlink" Target="mailto:GeneralCourt.Registry@curia.europa.e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1.xm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eesc.europa.eu/civilsocietyprize" TargetMode="External"/><Relationship Id="rId23" Type="http://schemas.openxmlformats.org/officeDocument/2006/relationships/hyperlink" Target="http://www.eesc.europa.eu/civilsocietyprize" TargetMode="External"/><Relationship Id="rId28"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www.ombudsman.europa.e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c.europa.eu/anti-trafficking/sites/antitrafficking/files/strategic_engagement_for_gender_equality_en.pdf" TargetMode="External"/><Relationship Id="rId22" Type="http://schemas.openxmlformats.org/officeDocument/2006/relationships/hyperlink" Target="mailto:civilsocietyprize@eesc.europa.eu"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uropa.eu/rapid/press-release_IP-17-481_en.htm" TargetMode="External"/><Relationship Id="rId13" Type="http://schemas.openxmlformats.org/officeDocument/2006/relationships/hyperlink" Target="http://europa.eu/rapid/press-release_IP-19-1495_en.htm" TargetMode="External"/><Relationship Id="rId18" Type="http://schemas.openxmlformats.org/officeDocument/2006/relationships/hyperlink" Target="https://eur-lex.europa.eu/legal-content/EN/TXT/?uri=CELEX%3A51999IE0851" TargetMode="External"/><Relationship Id="rId3" Type="http://schemas.openxmlformats.org/officeDocument/2006/relationships/hyperlink" Target="https://eige.europa.eu/publications/poverty-gender-and-intersecting-inequalities-in-the-eu" TargetMode="External"/><Relationship Id="rId7" Type="http://schemas.openxmlformats.org/officeDocument/2006/relationships/hyperlink" Target="https://eige.europa.eu/resources/ti_pubpdf_mh0217250enn_pdfweb_20170503163908.pdf" TargetMode="External"/><Relationship Id="rId12" Type="http://schemas.openxmlformats.org/officeDocument/2006/relationships/hyperlink" Target="https://ec.europa.eu/eurostat/web/products-eurostat-news/-/EDN-20190306-2" TargetMode="External"/><Relationship Id="rId17" Type="http://schemas.openxmlformats.org/officeDocument/2006/relationships/hyperlink" Target="https://ec.europa.eu/anti-trafficking/sites/antitrafficking/files/strategic_engagement_for_gender_equality_en.pdf" TargetMode="External"/><Relationship Id="rId2" Type="http://schemas.openxmlformats.org/officeDocument/2006/relationships/hyperlink" Target="https://ec.europa.eu/eurostat/statistics-explained/index.php/Gender_statistics#Earnings" TargetMode="External"/><Relationship Id="rId16" Type="http://schemas.openxmlformats.org/officeDocument/2006/relationships/hyperlink" Target="https://www.eu2017.ee/sites/default/files/inline-files/EU2017EE%20Trio%20Presidency%20Declaration%20on%20Equality%20Between%20Women%20and%20Men_0.pdf" TargetMode="External"/><Relationship Id="rId20" Type="http://schemas.openxmlformats.org/officeDocument/2006/relationships/hyperlink" Target="https://eur-lex.europa.eu/legal-content/EN/TXT/PDF/?uri=CELEX:32018R1725&amp;from=EN" TargetMode="External"/><Relationship Id="rId1" Type="http://schemas.openxmlformats.org/officeDocument/2006/relationships/hyperlink" Target="https://ec.europa.eu/eurostat/cros/system/files/43-2015-the_gender_employment_gap-challenges_and_solutions.pdf" TargetMode="External"/><Relationship Id="rId6" Type="http://schemas.openxmlformats.org/officeDocument/2006/relationships/hyperlink" Target="https://www.equalpayday.be/europa/" TargetMode="External"/><Relationship Id="rId11" Type="http://schemas.openxmlformats.org/officeDocument/2006/relationships/hyperlink" Target="https://cor.europa.eu/en/events/Pages/europe-for-her.aspx" TargetMode="External"/><Relationship Id="rId5" Type="http://schemas.openxmlformats.org/officeDocument/2006/relationships/hyperlink" Target="https://ec.europa.eu/eurostat/statistics-explained/index.php/Gender_pay_gap_statistics" TargetMode="External"/><Relationship Id="rId15" Type="http://schemas.openxmlformats.org/officeDocument/2006/relationships/hyperlink" Target="http://www.europarl.europa.eu/doceo/document/A-8-2017-0046_EN.html?redirect" TargetMode="External"/><Relationship Id="rId10" Type="http://schemas.openxmlformats.org/officeDocument/2006/relationships/hyperlink" Target="http://europa.eu/rapid/press-release_IP-19-1495_en.htm" TargetMode="External"/><Relationship Id="rId19" Type="http://schemas.openxmlformats.org/officeDocument/2006/relationships/hyperlink" Target="https://eur-lex.europa.eu/legal-content/EN/TXT/?uri=uriserv:OJ.L_.2018.193.01.0001.01.ENG&amp;toc=OJ:L:2018:193:TOC" TargetMode="External"/><Relationship Id="rId4" Type="http://schemas.openxmlformats.org/officeDocument/2006/relationships/hyperlink" Target="https://ec.europa.eu/eurostat/statistics-explained/index.php/Employment_statistics#Rise_of_part-time_and_temporary_work" TargetMode="External"/><Relationship Id="rId9" Type="http://schemas.openxmlformats.org/officeDocument/2006/relationships/hyperlink" Target="https://www.schooleducationgateway.eu/en/pub/experts/role_models_leading_girls_into.htm" TargetMode="External"/><Relationship Id="rId14" Type="http://schemas.openxmlformats.org/officeDocument/2006/relationships/hyperlink" Target="http://ec.europa.eu/newsroom/just/document.cfm?doc_id=50074"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CTJJHAUHWN5E-1741767729-5165</_dlc_DocId>
    <_dlc_DocIdUrl xmlns="bfc960a6-20da-4c94-8684-71380fca093b">
      <Url>http://dm2016/eesc/2019/_layouts/15/DocIdRedir.aspx?ID=CTJJHAUHWN5E-1741767729-5165</Url>
      <Description>CTJJHAUHWN5E-1741767729-5165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2019-05-16T12:00:00+00:00</ProductionDate>
    <FicheYear xmlns="bfc960a6-20da-4c94-8684-71380fca093b">2019</FicheYear>
    <DocumentNumber xmlns="6cbcf4cf-e730-47de-961e-b7987213c417">1915</DocumentNumber>
    <DocumentVersion xmlns="bfc960a6-20da-4c94-8684-71380fca093b">1</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11</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5223</FicheNumber>
    <DocumentPart xmlns="bfc960a6-20da-4c94-8684-71380fca093b">0</DocumentPart>
    <AdoptionDate xmlns="bfc960a6-20da-4c94-8684-71380fca093b" xsi:nil="true"/>
    <RequestingService xmlns="bfc960a6-20da-4c94-8684-71380fca093b">Département D - Communication</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6cbcf4cf-e730-47de-961e-b7987213c417" xsi:nil="true"/>
    <DossierName_0 xmlns="http://schemas.microsoft.com/sharepoint/v3/fields">
      <Terms xmlns="http://schemas.microsoft.com/office/infopath/2007/PartnerControls"/>
    </DossierName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7BD53362FFBC664E91C0C82BDF70E843" ma:contentTypeVersion="4" ma:contentTypeDescription="Defines the documents for Document Manager V2" ma:contentTypeScope="" ma:versionID="188a2fab6d5ae6ff5e0bdaea837052df">
  <xsd:schema xmlns:xsd="http://www.w3.org/2001/XMLSchema" xmlns:xs="http://www.w3.org/2001/XMLSchema" xmlns:p="http://schemas.microsoft.com/office/2006/metadata/properties" xmlns:ns2="bfc960a6-20da-4c94-8684-71380fca093b" xmlns:ns3="http://schemas.microsoft.com/sharepoint/v3/fields" xmlns:ns4="6cbcf4cf-e730-47de-961e-b7987213c417" targetNamespace="http://schemas.microsoft.com/office/2006/metadata/properties" ma:root="true" ma:fieldsID="540a514fdb074b5ca017f44daa8a17f1" ns2:_="" ns3:_="" ns4:_="">
    <xsd:import namespace="bfc960a6-20da-4c94-8684-71380fca093b"/>
    <xsd:import namespace="http://schemas.microsoft.com/sharepoint/v3/fields"/>
    <xsd:import namespace="6cbcf4cf-e730-47de-961e-b7987213c41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bcf4cf-e730-47de-961e-b7987213c417"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59D982F-591D-4ACF-95D5-48D9B89EB598}"/>
</file>

<file path=customXml/itemProps2.xml><?xml version="1.0" encoding="utf-8"?>
<ds:datastoreItem xmlns:ds="http://schemas.openxmlformats.org/officeDocument/2006/customXml" ds:itemID="{2C8F273E-1B7F-4E89-A46B-A5B20D120A60}"/>
</file>

<file path=customXml/itemProps3.xml><?xml version="1.0" encoding="utf-8"?>
<ds:datastoreItem xmlns:ds="http://schemas.openxmlformats.org/officeDocument/2006/customXml" ds:itemID="{F963E6A8-4059-499E-B8BD-609473CBFED7}"/>
</file>

<file path=customXml/itemProps4.xml><?xml version="1.0" encoding="utf-8"?>
<ds:datastoreItem xmlns:ds="http://schemas.openxmlformats.org/officeDocument/2006/customXml" ds:itemID="{0A1EB1D5-B264-49F9-A450-AA9E79EDD5D1}"/>
</file>

<file path=customXml/itemProps5.xml><?xml version="1.0" encoding="utf-8"?>
<ds:datastoreItem xmlns:ds="http://schemas.openxmlformats.org/officeDocument/2006/customXml" ds:itemID="{20E2A93C-33CB-4B94-B6FD-1F6A2B606500}"/>
</file>

<file path=docProps/app.xml><?xml version="1.0" encoding="utf-8"?>
<Properties xmlns="http://schemas.openxmlformats.org/officeDocument/2006/extended-properties" xmlns:vt="http://schemas.openxmlformats.org/officeDocument/2006/docPropsVTypes">
  <Template>Styles</Template>
  <TotalTime>0</TotalTime>
  <Pages>2</Pages>
  <Words>3440</Words>
  <Characters>19611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PSC 2019 - Rules of procedure</vt:lpstr>
    </vt:vector>
  </TitlesOfParts>
  <Company>CESE-CdR</Company>
  <LinksUpToDate>false</LinksUpToDate>
  <CharactersWithSpaces>23005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PSC 2019 - Rules of procedure </dc:title>
  <dc:subject>Information document</dc:subject>
  <dc:creator>kheid</dc:creator>
  <cp:keywords>EESC-2019-01915-00-01-INFO-TRA-EN</cp:keywords>
  <dc:description>Rapporteur: -  Original language: - EN Date of document: - 16/05/2019 Date of meeting: -  External documents: -  Administrator responsible: - MME Comi Anna</dc:description>
  <cp:lastModifiedBy>TDriveSVCUserProd</cp:lastModifiedBy>
  <cp:revision>4</cp:revision>
  <cp:lastPrinted>2019-03-07T10:54:00Z</cp:lastPrinted>
  <dcterms:created xsi:type="dcterms:W3CDTF">2019-05-16T13:26:00Z</dcterms:created>
  <dcterms:modified xsi:type="dcterms:W3CDTF">2019-05-16T13:28:00Z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16/05/2019, 11/04/2019, 14/03/2019, 13/03/2019, 13/03/2019, 11/03/2019, 11/03/2019, 07/02/2019, 05/02/2019, 25/05/2018, 15/05/2018, 27/04/2018, 27/04/2018, 27/03/2018, 27/03/2018, 27/02/2018, 27/02/2018, 16/06/2017, 07/06/2017, 02/06/2017, 02/06/2017, 18/</vt:lpwstr>
  </property>
  <property fmtid="{D5CDD505-2E9C-101B-9397-08002B2CF9AE}" pid="4" name="Pref_Time">
    <vt:lpwstr>14:46:58, 09:52:59, 12:35:37, 11:50:30, 11:30:47, 10:20:15, 10:17:27, 11:41:03, 14:43:55, 14:35:24, 14:36:09, 11:42:57, 11:30:10, 16:27:47, 14:46:58, 17:09:20, 17:04:41, 15:39:20, 18:19:09, 16:45:54, 16:28:44, 14:15:13, 13:47:29, 12:37:17, 07:19:42, 14:38</vt:lpwstr>
  </property>
  <property fmtid="{D5CDD505-2E9C-101B-9397-08002B2CF9AE}" pid="5" name="Pref_User">
    <vt:lpwstr>mkop, amett, LAchi, jhvi, shalp, enied, ssex, jhvi, hnic, jhvi, hnic, mkop, YMUR, tvoc, ssex, tvoc, ssex, hnic, jhvi, jhvi, nmcg, amett, htoo, amett, enied, tvoc, mkop, tvoc, amett, tvoc, sphil</vt:lpwstr>
  </property>
  <property fmtid="{D5CDD505-2E9C-101B-9397-08002B2CF9AE}" pid="6" name="Pref_FileName">
    <vt:lpwstr>EESC-2019-01915-00-01-INFO-ORI.docx, EESC-2019-01915-00-00-INFO-ORI.docx, EESC-2019-00904-10-02-NB-ORI.docx, EESC-2019-00904-10-01-NB-TRA-EN-CRR.docx, EESC-2019-00904-10-01-NB-CRR-EN.docx, EESC-2019-00904-10-00-NB-TRA-EN-CRR.docx, EESC-2019-00904-10-00-NB</vt:lpwstr>
  </property>
  <property fmtid="{D5CDD505-2E9C-101B-9397-08002B2CF9AE}" pid="7" name="ContentTypeId">
    <vt:lpwstr>0x010100EA97B91038054C99906057A708A1480A007BD53362FFBC664E91C0C82BDF70E843</vt:lpwstr>
  </property>
  <property fmtid="{D5CDD505-2E9C-101B-9397-08002B2CF9AE}" pid="8" name="_dlc_DocIdItemGuid">
    <vt:lpwstr>7d8bd40d-2e4e-4335-8327-bd50b1818b44</vt:lpwstr>
  </property>
  <property fmtid="{D5CDD505-2E9C-101B-9397-08002B2CF9AE}" pid="9" name="AvailableTranslations">
    <vt:lpwstr>17;#ES|e7a6b05b-ae16-40c8-add9-68b64b03aeba;#55;#BG|1a1b3951-7821-4e6a-85f5-5673fc08bd2c;#16;#PL|1e03da61-4678-4e07-b136-b5024ca9197b;#65;#ET|ff6c3f4c-b02c-4c3c-ab07-2c37995a7a0a;#48;#LT|a7ff5ce7-6123-4f68-865a-a57c31810414;#14;#DE|f6b31e5a-26fa-4935-b661-318e46daf27e;#62;#FI|87606a43-d45f-42d6-b8c9-e1a3457db5b7;#21;#IT|0774613c-01ed-4e5d-a25d-11d2388de825;#60;#HU|6b229040-c589-4408-b4c1-4285663d20a8;#49;#EL|6d4f4d51-af9b-4650-94b4-4276bee85c91;#38;#SV|c2ed69e7-a339-43d7-8f22-d93680a92aa0;#45;#NL|55c6556c-b4f4-441d-9acf-c498d4f838bd;#25;#SK|46d9fce0-ef79-4f71-b89b-cd6aa82426b8;#57;#RO|feb747a2-64cd-4299-af12-4833ddc30497;#58;#LV|46f7e311-5d9f-4663-b433-18aeccb7ace7;#4;#EN|f2175f21-25d7-44a3-96da-d6a61b075e1b;#64;#PT|50ccc04a-eadd-42ae-a0cb-acaf45f812ba;#59;#HR|2f555653-ed1a-4fe6-8362-9082d95989e5;#52;#DA|5d49c027-8956-412b-aa16-e85a0f96ad0e;#46;#CS|72f9705b-0217-4fd3-bea2-cbc7ed80e26e;#56;#SL|98a412ae-eb01-49e9-ae3d-585a81724cfc;#10;#FR|d2afafd3-4c81-4f60-8f52-ee33f2f54ff3;#63;#MT|7df99101-6854-4a26-b53a-b88c0da02c26</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1915</vt:i4>
  </property>
  <property fmtid="{D5CDD505-2E9C-101B-9397-08002B2CF9AE}" pid="14" name="FicheYear">
    <vt:i4>2019</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11;#INFO|d9136e7c-93a9-4c42-9d28-92b61e85f80c</vt:lpwstr>
  </property>
  <property fmtid="{D5CDD505-2E9C-101B-9397-08002B2CF9AE}" pid="22" name="RequestingService">
    <vt:lpwstr>Département D - Communication</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11;#INFO|d9136e7c-93a9-4c42-9d28-92b61e85f80c;#7;#Final|ea5e6674-7b27-4bac-b091-73adbb394efe;#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5223</vt:i4>
  </property>
  <property fmtid="{D5CDD505-2E9C-101B-9397-08002B2CF9AE}" pid="37" name="DocumentLanguage">
    <vt:lpwstr>4;#EN|f2175f21-25d7-44a3-96da-d6a61b075e1b</vt:lpwstr>
  </property>
  <property fmtid="{D5CDD505-2E9C-101B-9397-08002B2CF9AE}" pid="38" name="_docset_NoMedatataSyncRequired">
    <vt:lpwstr>False</vt:lpwstr>
  </property>
</Properties>
</file>