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994754" w:rsidRDefault="006A08D5" w:rsidP="00BF27A1">
      <w:pPr>
        <w:snapToGrid w:val="0"/>
        <w:jc w:val="center"/>
        <w:rPr>
          <w:lang w:val="fr-BE"/>
        </w:rPr>
      </w:pPr>
      <w:r w:rsidRPr="00994754">
        <w:rPr>
          <w:lang w:val="fr-BE"/>
        </w:rPr>
        <w:fldChar w:fldCharType="begin"/>
      </w:r>
      <w:r w:rsidRPr="00994754">
        <w:rPr>
          <w:lang w:val="fr-BE"/>
        </w:rPr>
        <w:instrText xml:space="preserve">  </w:instrText>
      </w:r>
      <w:r w:rsidRPr="00994754">
        <w:rPr>
          <w:lang w:val="fr-BE"/>
        </w:rPr>
        <w:fldChar w:fldCharType="end"/>
      </w:r>
      <w:r w:rsidRPr="00994754">
        <w:rPr>
          <w:noProof/>
          <w:lang w:val="fr-BE" w:eastAsia="fr-BE"/>
        </w:rPr>
        <w:drawing>
          <wp:inline distT="0" distB="0" distL="0" distR="0" wp14:anchorId="47935411" wp14:editId="7A0CF1BB">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sidRPr="00994754">
        <w:rPr>
          <w:noProof/>
          <w:sz w:val="20"/>
          <w:lang w:val="fr-BE" w:eastAsia="fr-BE"/>
        </w:rPr>
        <mc:AlternateContent>
          <mc:Choice Requires="wps">
            <w:drawing>
              <wp:anchor distT="0" distB="0" distL="114300" distR="114300" simplePos="0" relativeHeight="251659264" behindDoc="1" locked="0" layoutInCell="0" allowOverlap="1" wp14:anchorId="5DA27FCE" wp14:editId="3E0DD8D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C5" w:rsidRPr="00260E65" w:rsidRDefault="002159C5">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27FC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159C5" w:rsidRPr="00260E65" w:rsidRDefault="002159C5">
                      <w:pPr>
                        <w:jc w:val="center"/>
                        <w:rPr>
                          <w:rFonts w:ascii="Arial" w:hAnsi="Arial" w:cs="Arial"/>
                          <w:b/>
                          <w:bCs/>
                          <w:sz w:val="48"/>
                        </w:rPr>
                      </w:pPr>
                      <w:r>
                        <w:rPr>
                          <w:rFonts w:ascii="Arial" w:hAnsi="Arial"/>
                          <w:b/>
                          <w:bCs/>
                          <w:sz w:val="48"/>
                        </w:rPr>
                        <w:t>FR</w:t>
                      </w:r>
                    </w:p>
                  </w:txbxContent>
                </v:textbox>
                <w10:wrap anchorx="page" anchory="page"/>
              </v:shape>
            </w:pict>
          </mc:Fallback>
        </mc:AlternateContent>
      </w:r>
    </w:p>
    <w:p w:rsidR="008405A0" w:rsidRPr="00994754" w:rsidRDefault="00876D7B" w:rsidP="00BF27A1">
      <w:pPr>
        <w:snapToGrid w:val="0"/>
        <w:jc w:val="center"/>
        <w:rPr>
          <w:rFonts w:ascii="Arial" w:eastAsia="MS Mincho" w:hAnsi="Arial" w:cs="Arial"/>
          <w:b/>
          <w:i/>
          <w:sz w:val="20"/>
          <w:lang w:val="fr-BE"/>
        </w:rPr>
      </w:pPr>
      <w:r w:rsidRPr="00994754">
        <w:rPr>
          <w:rFonts w:ascii="Arial" w:hAnsi="Arial"/>
          <w:b/>
          <w:i/>
          <w:sz w:val="20"/>
          <w:lang w:val="fr-BE"/>
        </w:rPr>
        <w:t>Comité économique et social européen</w:t>
      </w:r>
    </w:p>
    <w:p w:rsidR="008405A0" w:rsidRPr="00994754" w:rsidRDefault="008405A0" w:rsidP="00BF27A1">
      <w:pPr>
        <w:snapToGrid w:val="0"/>
        <w:rPr>
          <w:lang w:val="fr-BE"/>
        </w:rPr>
      </w:pPr>
    </w:p>
    <w:p w:rsidR="008405A0" w:rsidRPr="00994754" w:rsidRDefault="008405A0" w:rsidP="00BF27A1">
      <w:pPr>
        <w:snapToGrid w:val="0"/>
        <w:rPr>
          <w:lang w:val="fr-BE"/>
        </w:rPr>
      </w:pPr>
    </w:p>
    <w:p w:rsidR="008405A0" w:rsidRPr="00994754" w:rsidRDefault="00FC0B2C" w:rsidP="00BF27A1">
      <w:pPr>
        <w:snapToGrid w:val="0"/>
        <w:jc w:val="right"/>
        <w:rPr>
          <w:rFonts w:eastAsia="MS Mincho"/>
          <w:lang w:val="fr-BE"/>
        </w:rPr>
      </w:pPr>
      <w:r w:rsidRPr="00994754">
        <w:rPr>
          <w:lang w:val="fr-BE"/>
        </w:rPr>
        <w:t>Bruxelles, le 17 juin 2019</w:t>
      </w:r>
    </w:p>
    <w:p w:rsidR="008405A0" w:rsidRPr="00994754" w:rsidRDefault="008405A0" w:rsidP="00BF27A1">
      <w:pPr>
        <w:snapToGrid w:val="0"/>
        <w:rPr>
          <w:lang w:val="fr-BE"/>
        </w:rPr>
      </w:pPr>
    </w:p>
    <w:p w:rsidR="008405A0" w:rsidRPr="00994754" w:rsidRDefault="008405A0" w:rsidP="00BF27A1">
      <w:pPr>
        <w:snapToGrid w:val="0"/>
        <w:rPr>
          <w:lang w:val="fr-BE"/>
        </w:rPr>
      </w:pPr>
    </w:p>
    <w:p w:rsidR="00AF6F3E" w:rsidRPr="00994754" w:rsidRDefault="00AF6F3E" w:rsidP="00BF27A1">
      <w:pPr>
        <w:snapToGrid w:val="0"/>
        <w:rPr>
          <w:lang w:val="fr-BE"/>
        </w:rPr>
      </w:pPr>
    </w:p>
    <w:p w:rsidR="006819C8" w:rsidRPr="00994754" w:rsidRDefault="006819C8" w:rsidP="00BF27A1">
      <w:pPr>
        <w:snapToGrid w:val="0"/>
        <w:rPr>
          <w:lang w:val="fr-BE"/>
        </w:rPr>
      </w:pPr>
    </w:p>
    <w:tbl>
      <w:tblPr>
        <w:tblW w:w="0" w:type="auto"/>
        <w:tblLayout w:type="fixed"/>
        <w:tblLook w:val="0000" w:firstRow="0" w:lastRow="0" w:firstColumn="0" w:lastColumn="0" w:noHBand="0" w:noVBand="0"/>
      </w:tblPr>
      <w:tblGrid>
        <w:gridCol w:w="9289"/>
      </w:tblGrid>
      <w:tr w:rsidR="008405A0" w:rsidRPr="00994754" w:rsidTr="00A72D7A">
        <w:tc>
          <w:tcPr>
            <w:tcW w:w="9289" w:type="dxa"/>
            <w:tcBorders>
              <w:top w:val="nil"/>
              <w:left w:val="nil"/>
              <w:bottom w:val="double" w:sz="4" w:space="0" w:color="auto"/>
              <w:right w:val="nil"/>
            </w:tcBorders>
          </w:tcPr>
          <w:p w:rsidR="008405A0" w:rsidRPr="00994754" w:rsidRDefault="00B83060" w:rsidP="00BF27A1">
            <w:pPr>
              <w:snapToGrid w:val="0"/>
              <w:jc w:val="center"/>
              <w:rPr>
                <w:rFonts w:eastAsia="MS Mincho"/>
                <w:b/>
                <w:sz w:val="32"/>
                <w:lang w:val="fr-BE"/>
              </w:rPr>
            </w:pPr>
            <w:r w:rsidRPr="00994754">
              <w:rPr>
                <w:b/>
                <w:sz w:val="32"/>
                <w:lang w:val="fr-BE"/>
              </w:rPr>
              <w:t>SESSION PLÉNIÈRE</w:t>
            </w:r>
            <w:r w:rsidRPr="00994754">
              <w:rPr>
                <w:b/>
                <w:sz w:val="32"/>
                <w:lang w:val="fr-BE"/>
              </w:rPr>
              <w:br/>
            </w:r>
            <w:r w:rsidRPr="00994754">
              <w:rPr>
                <w:b/>
                <w:sz w:val="32"/>
                <w:lang w:val="fr-BE"/>
              </w:rPr>
              <w:br/>
              <w:t>DES 15 ET 16 MAI 2019</w:t>
            </w:r>
            <w:r w:rsidRPr="00994754">
              <w:rPr>
                <w:b/>
                <w:sz w:val="32"/>
                <w:lang w:val="fr-BE"/>
              </w:rPr>
              <w:br/>
            </w:r>
            <w:r w:rsidRPr="00994754">
              <w:rPr>
                <w:b/>
                <w:sz w:val="32"/>
                <w:lang w:val="fr-BE"/>
              </w:rPr>
              <w:br/>
              <w:t>SYNTHÈSE DES AVIS ADOPTÉS</w:t>
            </w:r>
          </w:p>
          <w:p w:rsidR="008405A0" w:rsidRPr="00994754" w:rsidRDefault="008405A0" w:rsidP="00BF27A1">
            <w:pPr>
              <w:rPr>
                <w:lang w:val="fr-BE"/>
              </w:rPr>
            </w:pPr>
          </w:p>
          <w:p w:rsidR="008405A0" w:rsidRPr="00994754" w:rsidRDefault="008405A0" w:rsidP="00BF27A1">
            <w:pPr>
              <w:rPr>
                <w:lang w:val="fr-BE"/>
              </w:rPr>
            </w:pPr>
          </w:p>
        </w:tc>
      </w:tr>
      <w:tr w:rsidR="008405A0" w:rsidRPr="00994754" w:rsidTr="00A72D7A">
        <w:tc>
          <w:tcPr>
            <w:tcW w:w="9289" w:type="dxa"/>
            <w:tcBorders>
              <w:top w:val="double" w:sz="4" w:space="0" w:color="auto"/>
              <w:left w:val="double" w:sz="4" w:space="0" w:color="auto"/>
              <w:bottom w:val="double" w:sz="4" w:space="0" w:color="auto"/>
              <w:right w:val="double" w:sz="4" w:space="0" w:color="auto"/>
            </w:tcBorders>
          </w:tcPr>
          <w:p w:rsidR="00FF15DA" w:rsidRPr="00994754" w:rsidRDefault="00FF15DA" w:rsidP="00BF27A1">
            <w:pPr>
              <w:snapToGrid w:val="0"/>
              <w:jc w:val="center"/>
              <w:rPr>
                <w:b/>
                <w:lang w:val="fr-BE"/>
              </w:rPr>
            </w:pPr>
          </w:p>
          <w:p w:rsidR="00FC0B2C" w:rsidRPr="00994754" w:rsidRDefault="00FC0B2C" w:rsidP="00BF27A1">
            <w:pPr>
              <w:snapToGrid w:val="0"/>
              <w:jc w:val="center"/>
              <w:rPr>
                <w:rFonts w:eastAsia="MS Mincho"/>
                <w:b/>
                <w:lang w:val="fr-BE"/>
              </w:rPr>
            </w:pPr>
            <w:r w:rsidRPr="00994754">
              <w:rPr>
                <w:b/>
                <w:lang w:val="fr-BE"/>
              </w:rPr>
              <w:t>Ce document est accessible dans les langues officielles sur le site internet du Comité à l’adresse suivante:</w:t>
            </w:r>
          </w:p>
          <w:p w:rsidR="00FC0B2C" w:rsidRPr="00994754" w:rsidRDefault="00FC0B2C" w:rsidP="00BF27A1">
            <w:pPr>
              <w:snapToGrid w:val="0"/>
              <w:jc w:val="center"/>
              <w:rPr>
                <w:b/>
                <w:lang w:val="fr-BE"/>
              </w:rPr>
            </w:pPr>
          </w:p>
          <w:p w:rsidR="00FC0B2C" w:rsidRPr="00994754" w:rsidRDefault="00B440FD" w:rsidP="00BF27A1">
            <w:pPr>
              <w:jc w:val="center"/>
              <w:rPr>
                <w:rStyle w:val="Hyperlink"/>
                <w:b/>
                <w:lang w:val="fr-BE"/>
              </w:rPr>
            </w:pPr>
            <w:hyperlink r:id="rId13">
              <w:r w:rsidR="00386B0D" w:rsidRPr="00994754">
                <w:rPr>
                  <w:rStyle w:val="Hyperlink"/>
                  <w:lang w:val="fr-BE"/>
                </w:rPr>
                <w:t>https://www.eesc.europa.eu/fr/our-work/opinions-information-reports/plenary-session-summaries</w:t>
              </w:r>
            </w:hyperlink>
          </w:p>
          <w:p w:rsidR="00FC0B2C" w:rsidRPr="00994754" w:rsidRDefault="00FC0B2C" w:rsidP="00BF27A1">
            <w:pPr>
              <w:snapToGrid w:val="0"/>
              <w:jc w:val="center"/>
              <w:rPr>
                <w:b/>
                <w:lang w:val="fr-BE"/>
              </w:rPr>
            </w:pPr>
          </w:p>
          <w:p w:rsidR="00FC0B2C" w:rsidRPr="00994754" w:rsidRDefault="00FC0B2C" w:rsidP="00BF27A1">
            <w:pPr>
              <w:snapToGrid w:val="0"/>
              <w:jc w:val="center"/>
              <w:rPr>
                <w:rFonts w:eastAsia="SimSun"/>
                <w:b/>
                <w:lang w:val="fr-BE"/>
              </w:rPr>
            </w:pPr>
          </w:p>
          <w:p w:rsidR="00FC0B2C" w:rsidRPr="00994754" w:rsidRDefault="00FC0B2C" w:rsidP="00BF27A1">
            <w:pPr>
              <w:snapToGrid w:val="0"/>
              <w:jc w:val="center"/>
              <w:rPr>
                <w:rFonts w:eastAsia="MS Mincho"/>
                <w:b/>
                <w:lang w:val="fr-BE"/>
              </w:rPr>
            </w:pPr>
            <w:r w:rsidRPr="00994754">
              <w:rPr>
                <w:b/>
                <w:lang w:val="fr-BE"/>
              </w:rPr>
              <w:t>Les avis mentionnés peuvent être consultés en ligne à partir du moteur de recherche du Comité:</w:t>
            </w:r>
          </w:p>
          <w:p w:rsidR="00FC0B2C" w:rsidRPr="00994754" w:rsidRDefault="00FC0B2C" w:rsidP="00BF27A1">
            <w:pPr>
              <w:snapToGrid w:val="0"/>
              <w:jc w:val="center"/>
              <w:rPr>
                <w:b/>
                <w:lang w:val="fr-BE"/>
              </w:rPr>
            </w:pPr>
          </w:p>
          <w:p w:rsidR="00FC0B2C" w:rsidRPr="00994754" w:rsidRDefault="00B440FD" w:rsidP="00BF27A1">
            <w:pPr>
              <w:jc w:val="center"/>
              <w:rPr>
                <w:rStyle w:val="Hyperlink"/>
                <w:b/>
                <w:lang w:val="fr-BE"/>
              </w:rPr>
            </w:pPr>
            <w:hyperlink r:id="rId14">
              <w:r w:rsidR="00386B0D" w:rsidRPr="00994754">
                <w:rPr>
                  <w:rStyle w:val="Hyperlink"/>
                  <w:lang w:val="fr-BE"/>
                </w:rPr>
                <w:t>http://dm.eesc.europa.eu/EESCDocumentSearch/Pages/opinionssearch.aspx?culture=FR</w:t>
              </w:r>
            </w:hyperlink>
          </w:p>
          <w:p w:rsidR="008405A0" w:rsidRPr="00994754" w:rsidRDefault="008405A0" w:rsidP="00BF27A1">
            <w:pPr>
              <w:snapToGrid w:val="0"/>
              <w:jc w:val="center"/>
              <w:rPr>
                <w:b/>
                <w:bCs/>
                <w:lang w:val="fr-BE"/>
              </w:rPr>
            </w:pPr>
          </w:p>
        </w:tc>
      </w:tr>
    </w:tbl>
    <w:p w:rsidR="008F7791" w:rsidRPr="00994754" w:rsidRDefault="008F7791" w:rsidP="00BF27A1">
      <w:pPr>
        <w:rPr>
          <w:rFonts w:eastAsia="SimSun"/>
          <w:lang w:val="fr-BE"/>
        </w:rPr>
      </w:pPr>
    </w:p>
    <w:p w:rsidR="00A9340A" w:rsidRPr="00994754" w:rsidRDefault="00A9340A" w:rsidP="00BF27A1">
      <w:pPr>
        <w:rPr>
          <w:rFonts w:eastAsia="SimSun"/>
          <w:lang w:val="fr-BE"/>
        </w:rPr>
        <w:sectPr w:rsidR="00A9340A" w:rsidRPr="00994754" w:rsidSect="00A60D7F">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994754" w:rsidRDefault="00876D7B" w:rsidP="00BF27A1">
      <w:pPr>
        <w:snapToGrid w:val="0"/>
        <w:rPr>
          <w:b/>
          <w:lang w:val="fr-BE"/>
        </w:rPr>
      </w:pPr>
      <w:r w:rsidRPr="00994754">
        <w:rPr>
          <w:b/>
          <w:lang w:val="fr-BE"/>
        </w:rPr>
        <w:lastRenderedPageBreak/>
        <w:t>Table des matières:</w:t>
      </w:r>
    </w:p>
    <w:p w:rsidR="00D16D76" w:rsidRPr="00994754" w:rsidRDefault="00D16D76" w:rsidP="00BF27A1">
      <w:pPr>
        <w:rPr>
          <w:lang w:val="fr-BE"/>
        </w:rPr>
      </w:pPr>
    </w:p>
    <w:p w:rsidR="00B440FD" w:rsidRDefault="003353E8">
      <w:pPr>
        <w:pStyle w:val="TOC1"/>
        <w:rPr>
          <w:rFonts w:asciiTheme="minorHAnsi" w:eastAsiaTheme="minorEastAsia" w:hAnsiTheme="minorHAnsi" w:cstheme="minorBidi"/>
          <w:noProof/>
          <w:lang w:val="fr-BE" w:eastAsia="fr-BE"/>
        </w:rPr>
      </w:pPr>
      <w:r w:rsidRPr="00994754">
        <w:rPr>
          <w:lang w:val="fr-BE"/>
        </w:rPr>
        <w:fldChar w:fldCharType="begin"/>
      </w:r>
      <w:r w:rsidRPr="00994754">
        <w:rPr>
          <w:lang w:val="fr-BE"/>
        </w:rPr>
        <w:instrText xml:space="preserve"> TOC \o "1-1" \h \z \u </w:instrText>
      </w:r>
      <w:r w:rsidRPr="00994754">
        <w:rPr>
          <w:lang w:val="fr-BE"/>
        </w:rPr>
        <w:fldChar w:fldCharType="separate"/>
      </w:r>
      <w:hyperlink w:anchor="_Toc11658410" w:history="1">
        <w:r w:rsidR="00B440FD" w:rsidRPr="00AA083D">
          <w:rPr>
            <w:rStyle w:val="Hyperlink"/>
            <w:caps/>
            <w:noProof/>
            <w:lang w:val="fr-BE"/>
          </w:rPr>
          <w:t>1.</w:t>
        </w:r>
        <w:r w:rsidR="00B440FD">
          <w:rPr>
            <w:rFonts w:asciiTheme="minorHAnsi" w:eastAsiaTheme="minorEastAsia" w:hAnsiTheme="minorHAnsi" w:cstheme="minorBidi"/>
            <w:noProof/>
            <w:lang w:val="fr-BE" w:eastAsia="fr-BE"/>
          </w:rPr>
          <w:tab/>
        </w:r>
        <w:r w:rsidR="00B440FD" w:rsidRPr="00AA083D">
          <w:rPr>
            <w:rStyle w:val="Hyperlink"/>
            <w:b/>
            <w:caps/>
            <w:noProof/>
            <w:lang w:val="fr-BE"/>
          </w:rPr>
          <w:t>UNION ÉCONOMIQUE ET MONÉTAIRE, COHÉSION ÉCONOMIQUE ET SOCIALE</w:t>
        </w:r>
        <w:r w:rsidR="00B440FD">
          <w:rPr>
            <w:noProof/>
            <w:webHidden/>
          </w:rPr>
          <w:tab/>
        </w:r>
        <w:r w:rsidR="00B440FD">
          <w:rPr>
            <w:noProof/>
            <w:webHidden/>
          </w:rPr>
          <w:fldChar w:fldCharType="begin"/>
        </w:r>
        <w:r w:rsidR="00B440FD">
          <w:rPr>
            <w:noProof/>
            <w:webHidden/>
          </w:rPr>
          <w:instrText xml:space="preserve"> PAGEREF _Toc11658410 \h </w:instrText>
        </w:r>
        <w:r w:rsidR="00B440FD">
          <w:rPr>
            <w:noProof/>
            <w:webHidden/>
          </w:rPr>
        </w:r>
        <w:r w:rsidR="00B440FD">
          <w:rPr>
            <w:noProof/>
            <w:webHidden/>
          </w:rPr>
          <w:fldChar w:fldCharType="separate"/>
        </w:r>
        <w:r w:rsidR="00B440FD">
          <w:rPr>
            <w:noProof/>
            <w:webHidden/>
          </w:rPr>
          <w:t>3</w:t>
        </w:r>
        <w:r w:rsidR="00B440FD">
          <w:rPr>
            <w:noProof/>
            <w:webHidden/>
          </w:rPr>
          <w:fldChar w:fldCharType="end"/>
        </w:r>
      </w:hyperlink>
    </w:p>
    <w:p w:rsidR="00B440FD" w:rsidRDefault="00B440FD">
      <w:pPr>
        <w:pStyle w:val="TOC1"/>
        <w:rPr>
          <w:rFonts w:asciiTheme="minorHAnsi" w:eastAsiaTheme="minorEastAsia" w:hAnsiTheme="minorHAnsi" w:cstheme="minorBidi"/>
          <w:noProof/>
          <w:lang w:val="fr-BE" w:eastAsia="fr-BE"/>
        </w:rPr>
      </w:pPr>
      <w:hyperlink w:anchor="_Toc11658411" w:history="1">
        <w:r w:rsidRPr="00AA083D">
          <w:rPr>
            <w:rStyle w:val="Hyperlink"/>
            <w:noProof/>
            <w:lang w:val="fr-BE"/>
          </w:rPr>
          <w:t>2.</w:t>
        </w:r>
        <w:r>
          <w:rPr>
            <w:rFonts w:asciiTheme="minorHAnsi" w:eastAsiaTheme="minorEastAsia" w:hAnsiTheme="minorHAnsi" w:cstheme="minorBidi"/>
            <w:noProof/>
            <w:lang w:val="fr-BE" w:eastAsia="fr-BE"/>
          </w:rPr>
          <w:tab/>
        </w:r>
        <w:r w:rsidRPr="00AA083D">
          <w:rPr>
            <w:rStyle w:val="Hyperlink"/>
            <w:b/>
            <w:noProof/>
            <w:lang w:val="fr-BE"/>
          </w:rPr>
          <w:t>MARCHÉ UNIQUE, PRODUCTION ET CONSOMMATION</w:t>
        </w:r>
        <w:r>
          <w:rPr>
            <w:noProof/>
            <w:webHidden/>
          </w:rPr>
          <w:tab/>
        </w:r>
        <w:r>
          <w:rPr>
            <w:noProof/>
            <w:webHidden/>
          </w:rPr>
          <w:fldChar w:fldCharType="begin"/>
        </w:r>
        <w:r>
          <w:rPr>
            <w:noProof/>
            <w:webHidden/>
          </w:rPr>
          <w:instrText xml:space="preserve"> PAGEREF _Toc11658411 \h </w:instrText>
        </w:r>
        <w:r>
          <w:rPr>
            <w:noProof/>
            <w:webHidden/>
          </w:rPr>
        </w:r>
        <w:r>
          <w:rPr>
            <w:noProof/>
            <w:webHidden/>
          </w:rPr>
          <w:fldChar w:fldCharType="separate"/>
        </w:r>
        <w:r>
          <w:rPr>
            <w:noProof/>
            <w:webHidden/>
          </w:rPr>
          <w:t>6</w:t>
        </w:r>
        <w:r>
          <w:rPr>
            <w:noProof/>
            <w:webHidden/>
          </w:rPr>
          <w:fldChar w:fldCharType="end"/>
        </w:r>
      </w:hyperlink>
    </w:p>
    <w:p w:rsidR="00B440FD" w:rsidRDefault="00B440FD">
      <w:pPr>
        <w:pStyle w:val="TOC1"/>
        <w:rPr>
          <w:rFonts w:asciiTheme="minorHAnsi" w:eastAsiaTheme="minorEastAsia" w:hAnsiTheme="minorHAnsi" w:cstheme="minorBidi"/>
          <w:noProof/>
          <w:lang w:val="fr-BE" w:eastAsia="fr-BE"/>
        </w:rPr>
      </w:pPr>
      <w:hyperlink w:anchor="_Toc11658412" w:history="1">
        <w:r w:rsidRPr="00AA083D">
          <w:rPr>
            <w:rStyle w:val="Hyperlink"/>
            <w:noProof/>
            <w:lang w:val="fr-BE"/>
          </w:rPr>
          <w:t>3.</w:t>
        </w:r>
        <w:r>
          <w:rPr>
            <w:rFonts w:asciiTheme="minorHAnsi" w:eastAsiaTheme="minorEastAsia" w:hAnsiTheme="minorHAnsi" w:cstheme="minorBidi"/>
            <w:noProof/>
            <w:lang w:val="fr-BE" w:eastAsia="fr-BE"/>
          </w:rPr>
          <w:tab/>
        </w:r>
        <w:r w:rsidRPr="00AA083D">
          <w:rPr>
            <w:rStyle w:val="Hyperlink"/>
            <w:b/>
            <w:noProof/>
            <w:lang w:val="fr-BE"/>
          </w:rPr>
          <w:t>AGRICULTURE, DÉVELOPPEMENT RURAL ET ENVIRONNEMENT</w:t>
        </w:r>
        <w:r>
          <w:rPr>
            <w:noProof/>
            <w:webHidden/>
          </w:rPr>
          <w:tab/>
        </w:r>
        <w:r>
          <w:rPr>
            <w:noProof/>
            <w:webHidden/>
          </w:rPr>
          <w:fldChar w:fldCharType="begin"/>
        </w:r>
        <w:r>
          <w:rPr>
            <w:noProof/>
            <w:webHidden/>
          </w:rPr>
          <w:instrText xml:space="preserve"> PAGEREF _Toc11658412 \h </w:instrText>
        </w:r>
        <w:r>
          <w:rPr>
            <w:noProof/>
            <w:webHidden/>
          </w:rPr>
        </w:r>
        <w:r>
          <w:rPr>
            <w:noProof/>
            <w:webHidden/>
          </w:rPr>
          <w:fldChar w:fldCharType="separate"/>
        </w:r>
        <w:r>
          <w:rPr>
            <w:noProof/>
            <w:webHidden/>
          </w:rPr>
          <w:t>9</w:t>
        </w:r>
        <w:r>
          <w:rPr>
            <w:noProof/>
            <w:webHidden/>
          </w:rPr>
          <w:fldChar w:fldCharType="end"/>
        </w:r>
      </w:hyperlink>
    </w:p>
    <w:p w:rsidR="00B440FD" w:rsidRDefault="00B440FD">
      <w:pPr>
        <w:pStyle w:val="TOC1"/>
        <w:rPr>
          <w:rFonts w:asciiTheme="minorHAnsi" w:eastAsiaTheme="minorEastAsia" w:hAnsiTheme="minorHAnsi" w:cstheme="minorBidi"/>
          <w:noProof/>
          <w:lang w:val="fr-BE" w:eastAsia="fr-BE"/>
        </w:rPr>
      </w:pPr>
      <w:hyperlink w:anchor="_Toc11658413" w:history="1">
        <w:r w:rsidRPr="00AA083D">
          <w:rPr>
            <w:rStyle w:val="Hyperlink"/>
            <w:noProof/>
            <w:lang w:val="fr-BE"/>
          </w:rPr>
          <w:t>4.</w:t>
        </w:r>
        <w:r>
          <w:rPr>
            <w:rFonts w:asciiTheme="minorHAnsi" w:eastAsiaTheme="minorEastAsia" w:hAnsiTheme="minorHAnsi" w:cstheme="minorBidi"/>
            <w:noProof/>
            <w:lang w:val="fr-BE" w:eastAsia="fr-BE"/>
          </w:rPr>
          <w:tab/>
        </w:r>
        <w:r w:rsidRPr="00AA083D">
          <w:rPr>
            <w:rStyle w:val="Hyperlink"/>
            <w:b/>
            <w:noProof/>
            <w:lang w:val="fr-BE"/>
          </w:rPr>
          <w:t>EMPLOI, AFFAIRES SOCIALES ET CITOYENNETÉ</w:t>
        </w:r>
        <w:r>
          <w:rPr>
            <w:noProof/>
            <w:webHidden/>
          </w:rPr>
          <w:tab/>
        </w:r>
        <w:r>
          <w:rPr>
            <w:noProof/>
            <w:webHidden/>
          </w:rPr>
          <w:fldChar w:fldCharType="begin"/>
        </w:r>
        <w:r>
          <w:rPr>
            <w:noProof/>
            <w:webHidden/>
          </w:rPr>
          <w:instrText xml:space="preserve"> PAGEREF _Toc11658413 \h </w:instrText>
        </w:r>
        <w:r>
          <w:rPr>
            <w:noProof/>
            <w:webHidden/>
          </w:rPr>
        </w:r>
        <w:r>
          <w:rPr>
            <w:noProof/>
            <w:webHidden/>
          </w:rPr>
          <w:fldChar w:fldCharType="separate"/>
        </w:r>
        <w:r>
          <w:rPr>
            <w:noProof/>
            <w:webHidden/>
          </w:rPr>
          <w:t>12</w:t>
        </w:r>
        <w:r>
          <w:rPr>
            <w:noProof/>
            <w:webHidden/>
          </w:rPr>
          <w:fldChar w:fldCharType="end"/>
        </w:r>
      </w:hyperlink>
    </w:p>
    <w:p w:rsidR="00B440FD" w:rsidRDefault="00B440FD">
      <w:pPr>
        <w:pStyle w:val="TOC1"/>
        <w:rPr>
          <w:rFonts w:asciiTheme="minorHAnsi" w:eastAsiaTheme="minorEastAsia" w:hAnsiTheme="minorHAnsi" w:cstheme="minorBidi"/>
          <w:noProof/>
          <w:lang w:val="fr-BE" w:eastAsia="fr-BE"/>
        </w:rPr>
      </w:pPr>
      <w:hyperlink w:anchor="_Toc11658414" w:history="1">
        <w:r w:rsidRPr="00AA083D">
          <w:rPr>
            <w:rStyle w:val="Hyperlink"/>
            <w:noProof/>
            <w:lang w:val="fr-BE"/>
          </w:rPr>
          <w:t>5.</w:t>
        </w:r>
        <w:r>
          <w:rPr>
            <w:rFonts w:asciiTheme="minorHAnsi" w:eastAsiaTheme="minorEastAsia" w:hAnsiTheme="minorHAnsi" w:cstheme="minorBidi"/>
            <w:noProof/>
            <w:lang w:val="fr-BE" w:eastAsia="fr-BE"/>
          </w:rPr>
          <w:tab/>
        </w:r>
        <w:r w:rsidRPr="00AA083D">
          <w:rPr>
            <w:rStyle w:val="Hyperlink"/>
            <w:b/>
            <w:noProof/>
            <w:lang w:val="fr-BE"/>
          </w:rPr>
          <w:t>COMMISSION CONSULTATIVE DES MUTATIONS INDUSTRIELLES</w:t>
        </w:r>
        <w:r>
          <w:rPr>
            <w:noProof/>
            <w:webHidden/>
          </w:rPr>
          <w:tab/>
        </w:r>
        <w:r>
          <w:rPr>
            <w:noProof/>
            <w:webHidden/>
          </w:rPr>
          <w:fldChar w:fldCharType="begin"/>
        </w:r>
        <w:r>
          <w:rPr>
            <w:noProof/>
            <w:webHidden/>
          </w:rPr>
          <w:instrText xml:space="preserve"> PAGEREF _Toc11658414 \h </w:instrText>
        </w:r>
        <w:r>
          <w:rPr>
            <w:noProof/>
            <w:webHidden/>
          </w:rPr>
        </w:r>
        <w:r>
          <w:rPr>
            <w:noProof/>
            <w:webHidden/>
          </w:rPr>
          <w:fldChar w:fldCharType="separate"/>
        </w:r>
        <w:r>
          <w:rPr>
            <w:noProof/>
            <w:webHidden/>
          </w:rPr>
          <w:t>15</w:t>
        </w:r>
        <w:r>
          <w:rPr>
            <w:noProof/>
            <w:webHidden/>
          </w:rPr>
          <w:fldChar w:fldCharType="end"/>
        </w:r>
      </w:hyperlink>
    </w:p>
    <w:p w:rsidR="008405A0" w:rsidRPr="00994754" w:rsidRDefault="003353E8" w:rsidP="00BF27A1">
      <w:pPr>
        <w:ind w:left="567" w:hanging="567"/>
        <w:rPr>
          <w:lang w:val="fr-BE"/>
        </w:rPr>
      </w:pPr>
      <w:r w:rsidRPr="00994754">
        <w:rPr>
          <w:lang w:val="fr-BE"/>
        </w:rPr>
        <w:fldChar w:fldCharType="end"/>
      </w:r>
      <w:r w:rsidRPr="00994754">
        <w:rPr>
          <w:lang w:val="fr-BE"/>
        </w:rPr>
        <w:br w:type="page"/>
      </w:r>
      <w:bookmarkStart w:id="0" w:name="_GoBack"/>
      <w:bookmarkEnd w:id="0"/>
    </w:p>
    <w:p w:rsidR="00421682" w:rsidRPr="00994754" w:rsidRDefault="00AD7EE7" w:rsidP="00BF27A1">
      <w:pPr>
        <w:rPr>
          <w:lang w:val="fr-BE"/>
        </w:rPr>
      </w:pPr>
      <w:r w:rsidRPr="00994754">
        <w:rPr>
          <w:lang w:val="fr-BE"/>
        </w:rPr>
        <w:lastRenderedPageBreak/>
        <w:t>Les avis suivants ont été adoptés lors de la session plénière des 15 et 16 mai 2019:</w:t>
      </w:r>
    </w:p>
    <w:p w:rsidR="00A43397" w:rsidRPr="00994754" w:rsidRDefault="00A43397" w:rsidP="00BF27A1">
      <w:pPr>
        <w:rPr>
          <w:lang w:val="fr-BE"/>
        </w:rPr>
      </w:pPr>
    </w:p>
    <w:p w:rsidR="00A43397" w:rsidRPr="00994754" w:rsidRDefault="000C491C" w:rsidP="00BF27A1">
      <w:pPr>
        <w:pStyle w:val="Heading1"/>
        <w:ind w:left="567" w:hanging="567"/>
        <w:rPr>
          <w:b/>
          <w:caps/>
          <w:lang w:val="fr-BE"/>
        </w:rPr>
      </w:pPr>
      <w:bookmarkStart w:id="1" w:name="_Toc11658410"/>
      <w:r w:rsidRPr="00994754">
        <w:rPr>
          <w:b/>
          <w:caps/>
          <w:lang w:val="fr-BE"/>
        </w:rPr>
        <w:t>UNION ÉCONOMIQUE ET MONÉTAIRE, COHÉSION ÉCONOMIQUE ET SOCIALE</w:t>
      </w:r>
      <w:bookmarkEnd w:id="1"/>
    </w:p>
    <w:p w:rsidR="00026116" w:rsidRPr="00994754" w:rsidRDefault="00026116" w:rsidP="00BF27A1">
      <w:pPr>
        <w:jc w:val="left"/>
        <w:rPr>
          <w:b/>
          <w:caps/>
          <w:kern w:val="28"/>
          <w:lang w:val="fr-BE"/>
        </w:rPr>
      </w:pPr>
    </w:p>
    <w:p w:rsidR="008262D3" w:rsidRPr="00994754" w:rsidRDefault="008262D3" w:rsidP="00BF27A1">
      <w:pPr>
        <w:jc w:val="left"/>
        <w:rPr>
          <w:b/>
          <w:caps/>
          <w:kern w:val="28"/>
          <w:lang w:val="fr-BE"/>
        </w:rPr>
      </w:pPr>
      <w:r w:rsidRPr="00994754">
        <w:rPr>
          <w:b/>
          <w:caps/>
          <w:u w:val="single"/>
          <w:lang w:val="fr-BE"/>
        </w:rPr>
        <w:t>ECO/487</w:t>
      </w:r>
    </w:p>
    <w:p w:rsidR="008262D3" w:rsidRPr="00994754" w:rsidRDefault="008262D3" w:rsidP="00033B39">
      <w:pPr>
        <w:keepNext/>
        <w:jc w:val="left"/>
        <w:rPr>
          <w:b/>
          <w:caps/>
          <w:kern w:val="28"/>
          <w:lang w:val="fr-BE"/>
        </w:rPr>
      </w:pPr>
    </w:p>
    <w:p w:rsidR="00847378" w:rsidRPr="00994754" w:rsidRDefault="00E97ECB" w:rsidP="00033B39">
      <w:pPr>
        <w:keepNext/>
        <w:widowControl w:val="0"/>
        <w:numPr>
          <w:ilvl w:val="0"/>
          <w:numId w:val="13"/>
        </w:numPr>
        <w:overflowPunct w:val="0"/>
        <w:autoSpaceDE w:val="0"/>
        <w:autoSpaceDN w:val="0"/>
        <w:adjustRightInd w:val="0"/>
        <w:ind w:left="567" w:hanging="567"/>
        <w:textAlignment w:val="baseline"/>
        <w:rPr>
          <w:b/>
          <w:i/>
          <w:sz w:val="28"/>
          <w:szCs w:val="28"/>
          <w:lang w:val="fr-BE"/>
        </w:rPr>
      </w:pPr>
      <w:r w:rsidRPr="00994754">
        <w:rPr>
          <w:b/>
          <w:i/>
          <w:sz w:val="28"/>
          <w:szCs w:val="28"/>
          <w:lang w:val="fr-BE"/>
        </w:rPr>
        <w:t>Renforcement de la coopération administrative dans la lutte contre la fraude à la TVA (commerce électronique)</w:t>
      </w:r>
    </w:p>
    <w:p w:rsidR="00E97ECB" w:rsidRPr="00994754" w:rsidRDefault="00E97ECB" w:rsidP="00033B39">
      <w:pPr>
        <w:keepNext/>
        <w:tabs>
          <w:tab w:val="center" w:pos="284"/>
          <w:tab w:val="left" w:pos="1701"/>
        </w:tabs>
        <w:ind w:left="266" w:hanging="266"/>
        <w:rPr>
          <w:b/>
          <w:lang w:val="fr-BE"/>
        </w:rPr>
      </w:pPr>
    </w:p>
    <w:p w:rsidR="00847378" w:rsidRPr="00994754" w:rsidRDefault="00847378" w:rsidP="00BF27A1">
      <w:pPr>
        <w:tabs>
          <w:tab w:val="center" w:pos="284"/>
          <w:tab w:val="left" w:pos="1701"/>
        </w:tabs>
        <w:ind w:left="266" w:hanging="266"/>
        <w:rPr>
          <w:lang w:val="fr-BE"/>
        </w:rPr>
      </w:pPr>
      <w:r w:rsidRPr="00994754">
        <w:rPr>
          <w:b/>
          <w:lang w:val="fr-BE"/>
        </w:rPr>
        <w:t>Rapporteur:</w:t>
      </w:r>
      <w:r w:rsidRPr="00994754">
        <w:rPr>
          <w:lang w:val="fr-BE"/>
        </w:rPr>
        <w:tab/>
        <w:t>M. Krister ANDERSSON (groupe des employeurs – Suède)</w:t>
      </w:r>
    </w:p>
    <w:p w:rsidR="00847378" w:rsidRPr="00994754" w:rsidRDefault="00847378" w:rsidP="00BF27A1">
      <w:pPr>
        <w:tabs>
          <w:tab w:val="center" w:pos="284"/>
        </w:tabs>
        <w:ind w:left="266" w:hanging="266"/>
        <w:rPr>
          <w:lang w:val="fr-BE"/>
        </w:rPr>
      </w:pPr>
    </w:p>
    <w:p w:rsidR="00E97ECB" w:rsidRPr="00994754" w:rsidRDefault="00847378" w:rsidP="00BF27A1">
      <w:pPr>
        <w:tabs>
          <w:tab w:val="center" w:pos="284"/>
        </w:tabs>
        <w:ind w:left="266" w:hanging="266"/>
        <w:rPr>
          <w:lang w:val="fr-BE"/>
        </w:rPr>
      </w:pPr>
      <w:r w:rsidRPr="00994754">
        <w:rPr>
          <w:b/>
          <w:lang w:val="fr-BE"/>
        </w:rPr>
        <w:t>Références:</w:t>
      </w:r>
      <w:r w:rsidRPr="00994754">
        <w:rPr>
          <w:b/>
          <w:lang w:val="fr-BE"/>
        </w:rPr>
        <w:tab/>
      </w:r>
      <w:r w:rsidRPr="00994754">
        <w:rPr>
          <w:b/>
          <w:lang w:val="fr-BE"/>
        </w:rPr>
        <w:tab/>
      </w:r>
      <w:r w:rsidRPr="00994754">
        <w:rPr>
          <w:lang w:val="fr-BE"/>
        </w:rPr>
        <w:t>COM(2018) 813 final – 2018/0413 (CNS)</w:t>
      </w:r>
    </w:p>
    <w:p w:rsidR="00847378" w:rsidRPr="00994754" w:rsidRDefault="00E97ECB" w:rsidP="00BF27A1">
      <w:pPr>
        <w:tabs>
          <w:tab w:val="center" w:pos="284"/>
        </w:tabs>
        <w:overflowPunct w:val="0"/>
        <w:autoSpaceDE w:val="0"/>
        <w:autoSpaceDN w:val="0"/>
        <w:adjustRightInd w:val="0"/>
        <w:ind w:left="266" w:hanging="266"/>
        <w:textAlignment w:val="baseline"/>
        <w:rPr>
          <w:lang w:val="fr-BE"/>
        </w:rPr>
      </w:pPr>
      <w:r w:rsidRPr="00994754">
        <w:rPr>
          <w:b/>
          <w:lang w:val="fr-BE"/>
        </w:rPr>
        <w:tab/>
      </w:r>
      <w:r w:rsidRPr="00994754">
        <w:rPr>
          <w:b/>
          <w:lang w:val="fr-BE"/>
        </w:rPr>
        <w:tab/>
      </w:r>
      <w:r w:rsidRPr="00994754">
        <w:rPr>
          <w:b/>
          <w:lang w:val="fr-BE"/>
        </w:rPr>
        <w:tab/>
      </w:r>
      <w:r w:rsidRPr="00994754">
        <w:rPr>
          <w:b/>
          <w:lang w:val="fr-BE"/>
        </w:rPr>
        <w:tab/>
      </w:r>
      <w:r w:rsidRPr="00994754">
        <w:rPr>
          <w:b/>
          <w:lang w:val="fr-BE"/>
        </w:rPr>
        <w:tab/>
      </w:r>
      <w:r w:rsidRPr="00994754">
        <w:rPr>
          <w:lang w:val="fr-BE"/>
        </w:rPr>
        <w:t>EESC-2019-00105-00-00-AC</w:t>
      </w:r>
    </w:p>
    <w:p w:rsidR="00B15573" w:rsidRPr="00994754" w:rsidRDefault="00B15573" w:rsidP="00BF27A1">
      <w:pPr>
        <w:keepNext/>
        <w:keepLines/>
        <w:tabs>
          <w:tab w:val="center" w:pos="284"/>
        </w:tabs>
        <w:ind w:left="266" w:hanging="266"/>
        <w:rPr>
          <w:b/>
          <w:lang w:val="fr-BE"/>
        </w:rPr>
      </w:pPr>
    </w:p>
    <w:p w:rsidR="00847378" w:rsidRPr="00994754" w:rsidRDefault="00AC6F72" w:rsidP="00033B39">
      <w:pPr>
        <w:keepNext/>
        <w:keepLines/>
        <w:tabs>
          <w:tab w:val="center" w:pos="284"/>
        </w:tabs>
        <w:ind w:left="266" w:hanging="266"/>
        <w:rPr>
          <w:b/>
          <w:lang w:val="fr-BE"/>
        </w:rPr>
      </w:pPr>
      <w:r w:rsidRPr="00994754">
        <w:rPr>
          <w:b/>
          <w:lang w:val="fr-BE"/>
        </w:rPr>
        <w:t>Points clés</w:t>
      </w:r>
    </w:p>
    <w:p w:rsidR="00A4696A" w:rsidRPr="00994754" w:rsidRDefault="00A4696A" w:rsidP="00033B39">
      <w:pPr>
        <w:keepNext/>
        <w:jc w:val="left"/>
        <w:rPr>
          <w:lang w:val="fr-BE"/>
        </w:rPr>
      </w:pPr>
    </w:p>
    <w:p w:rsidR="00847378" w:rsidRPr="00994754" w:rsidRDefault="00847378" w:rsidP="00033B39">
      <w:pPr>
        <w:keepNext/>
        <w:jc w:val="left"/>
        <w:rPr>
          <w:lang w:val="fr-BE"/>
        </w:rPr>
      </w:pPr>
      <w:r w:rsidRPr="00994754">
        <w:rPr>
          <w:lang w:val="fr-BE"/>
        </w:rPr>
        <w:t>Le CESE:</w:t>
      </w:r>
    </w:p>
    <w:p w:rsidR="00A4696A" w:rsidRPr="00994754" w:rsidRDefault="00A4696A" w:rsidP="00033B39">
      <w:pPr>
        <w:keepNext/>
        <w:jc w:val="left"/>
        <w:rPr>
          <w:lang w:val="fr-BE"/>
        </w:rPr>
      </w:pPr>
    </w:p>
    <w:p w:rsidR="00A4696A" w:rsidRPr="00994754" w:rsidRDefault="00E97ECB" w:rsidP="00BF27A1">
      <w:pPr>
        <w:pStyle w:val="ListParagraph"/>
        <w:numPr>
          <w:ilvl w:val="0"/>
          <w:numId w:val="26"/>
        </w:numPr>
        <w:rPr>
          <w:lang w:val="fr-BE"/>
        </w:rPr>
      </w:pPr>
      <w:r w:rsidRPr="00994754">
        <w:rPr>
          <w:lang w:val="fr-BE"/>
        </w:rPr>
        <w:t>soutient l’objectif de la Commission visant à mettre en place une collaboration opérationnelle avancée entre les autorités fiscales en matière de fraude à la TVA dans le secteur du commerce électronique, sur la base de dispositions législatives claires;</w:t>
      </w:r>
    </w:p>
    <w:p w:rsidR="00BF754F" w:rsidRPr="00994754" w:rsidRDefault="00BF754F" w:rsidP="00BF27A1">
      <w:pPr>
        <w:ind w:left="360"/>
        <w:rPr>
          <w:lang w:val="fr-BE"/>
        </w:rPr>
      </w:pPr>
    </w:p>
    <w:p w:rsidR="00BF754F" w:rsidRPr="00994754" w:rsidRDefault="00BF754F" w:rsidP="00BF27A1">
      <w:pPr>
        <w:pStyle w:val="ListParagraph"/>
        <w:numPr>
          <w:ilvl w:val="0"/>
          <w:numId w:val="26"/>
        </w:numPr>
        <w:rPr>
          <w:lang w:val="fr-BE"/>
        </w:rPr>
      </w:pPr>
      <w:r w:rsidRPr="00994754">
        <w:rPr>
          <w:lang w:val="fr-BE"/>
        </w:rPr>
        <w:t>recommande que la réponse des pouvoirs publics aux formes sophistiquées de fraude à la TVA s’améliore constamment, qu’il s’agisse de l’efficacité de la mise en œuvre (à l’aide de technologies appropriées, telles que l’intelligence artificielle, par exemple) ou de la coopération entre les autorités nationales concernées;</w:t>
      </w:r>
    </w:p>
    <w:p w:rsidR="00BF754F" w:rsidRPr="00994754" w:rsidRDefault="00BF754F" w:rsidP="00BF27A1">
      <w:pPr>
        <w:rPr>
          <w:lang w:val="fr-BE"/>
        </w:rPr>
      </w:pPr>
    </w:p>
    <w:p w:rsidR="00BF754F" w:rsidRPr="00994754" w:rsidRDefault="00BF754F" w:rsidP="00BF27A1">
      <w:pPr>
        <w:pStyle w:val="ListParagraph"/>
        <w:numPr>
          <w:ilvl w:val="0"/>
          <w:numId w:val="49"/>
        </w:numPr>
        <w:rPr>
          <w:lang w:val="fr-BE"/>
        </w:rPr>
      </w:pPr>
      <w:r w:rsidRPr="00994754">
        <w:rPr>
          <w:lang w:val="fr-BE"/>
        </w:rPr>
        <w:t>souligne la nécessité de continuer à encadrer les dérogations et les limitations aux dispositions du règlement général sur la protection des données afin qu’elles ciblent strictement l’objectif défini de lutte contre la fraude à la TVA. En tant qu’exceptions spécifiques aux règles générales et obligatoires protégeant les données à caractère personnel et la vie privée, ces dérogations doivent être interprétées avec rigueur et précaution par les autorités chargées de faire appliquer la législation;</w:t>
      </w:r>
    </w:p>
    <w:p w:rsidR="00BF754F" w:rsidRPr="00994754" w:rsidRDefault="00BF754F" w:rsidP="00BF27A1">
      <w:pPr>
        <w:rPr>
          <w:lang w:val="fr-BE"/>
        </w:rPr>
      </w:pPr>
    </w:p>
    <w:p w:rsidR="00BF754F" w:rsidRPr="00994754" w:rsidRDefault="00BF754F" w:rsidP="00BF27A1">
      <w:pPr>
        <w:pStyle w:val="ListParagraph"/>
        <w:numPr>
          <w:ilvl w:val="0"/>
          <w:numId w:val="49"/>
        </w:numPr>
        <w:rPr>
          <w:lang w:val="fr-BE"/>
        </w:rPr>
      </w:pPr>
      <w:r w:rsidRPr="00994754">
        <w:rPr>
          <w:lang w:val="fr-BE"/>
        </w:rPr>
        <w:t>exige que la Commission veille à l’avenir, dans la pratique du système au quotidien, à la mise en œuvre intégrale et effective de toutes les garanties relatives aux libertés fondamentales inscrites dans la proposition, ce qui permettra de trouver un juste équilibre entre une application stricte des règles en matière de TVA et la nécessaire protection des droits individuels et des libertés fondamentales.</w:t>
      </w:r>
    </w:p>
    <w:p w:rsidR="00A4696A" w:rsidRPr="00994754" w:rsidRDefault="00A4696A" w:rsidP="00BF27A1">
      <w:pPr>
        <w:pStyle w:val="ListParagraph"/>
        <w:rPr>
          <w:lang w:val="fr-BE"/>
        </w:rPr>
      </w:pPr>
    </w:p>
    <w:p w:rsidR="00BF754F" w:rsidRPr="00994754" w:rsidRDefault="00A4696A" w:rsidP="00BF27A1">
      <w:pPr>
        <w:tabs>
          <w:tab w:val="left" w:pos="1701"/>
        </w:tabs>
        <w:overflowPunct w:val="0"/>
        <w:autoSpaceDE w:val="0"/>
        <w:autoSpaceDN w:val="0"/>
        <w:adjustRightInd w:val="0"/>
        <w:rPr>
          <w:i/>
          <w:iCs/>
          <w:lang w:val="fr-BE"/>
        </w:rPr>
      </w:pPr>
      <w:r w:rsidRPr="00994754">
        <w:rPr>
          <w:b/>
          <w:i/>
          <w:szCs w:val="20"/>
          <w:lang w:val="fr-BE"/>
        </w:rPr>
        <w:t>Contact:</w:t>
      </w:r>
      <w:r w:rsidRPr="00994754">
        <w:rPr>
          <w:lang w:val="fr-BE"/>
        </w:rPr>
        <w:tab/>
      </w:r>
      <w:r w:rsidRPr="00994754">
        <w:rPr>
          <w:bCs/>
          <w:i/>
          <w:iCs/>
          <w:szCs w:val="20"/>
          <w:lang w:val="fr-BE"/>
        </w:rPr>
        <w:t>M. Jüri Soosaar</w:t>
      </w:r>
    </w:p>
    <w:p w:rsidR="00A4696A" w:rsidRPr="00994754" w:rsidRDefault="00A4696A" w:rsidP="00BF27A1">
      <w:pPr>
        <w:tabs>
          <w:tab w:val="left" w:pos="1701"/>
        </w:tabs>
        <w:jc w:val="left"/>
        <w:rPr>
          <w:lang w:val="fr-BE"/>
        </w:rPr>
      </w:pPr>
      <w:r w:rsidRPr="00994754">
        <w:rPr>
          <w:i/>
          <w:szCs w:val="20"/>
          <w:lang w:val="fr-BE"/>
        </w:rPr>
        <w:tab/>
      </w:r>
      <w:r w:rsidRPr="00994754">
        <w:rPr>
          <w:i/>
          <w:iCs/>
          <w:lang w:val="fr-BE"/>
        </w:rPr>
        <w:t>(Tél.: 00 32 2 546 97 40 – courriel:</w:t>
      </w:r>
      <w:r w:rsidRPr="00994754">
        <w:rPr>
          <w:lang w:val="fr-BE"/>
        </w:rPr>
        <w:t xml:space="preserve"> </w:t>
      </w:r>
      <w:r w:rsidRPr="00994754">
        <w:rPr>
          <w:i/>
          <w:lang w:val="fr-BE"/>
        </w:rPr>
        <w:t>Juri.Soosaar</w:t>
      </w:r>
      <w:r w:rsidRPr="00994754">
        <w:rPr>
          <w:i/>
          <w:iCs/>
          <w:lang w:val="fr-BE"/>
        </w:rPr>
        <w:t>@eesc.europa.eu)</w:t>
      </w:r>
    </w:p>
    <w:p w:rsidR="008262D3" w:rsidRPr="00994754" w:rsidRDefault="008262D3">
      <w:pPr>
        <w:spacing w:line="240" w:lineRule="auto"/>
        <w:jc w:val="left"/>
        <w:rPr>
          <w:b/>
          <w:caps/>
          <w:kern w:val="28"/>
          <w:lang w:val="fr-BE"/>
        </w:rPr>
      </w:pPr>
      <w:r w:rsidRPr="00994754">
        <w:rPr>
          <w:lang w:val="fr-BE"/>
        </w:rPr>
        <w:br w:type="page"/>
      </w:r>
    </w:p>
    <w:p w:rsidR="00A33BB9" w:rsidRPr="00994754" w:rsidRDefault="008262D3" w:rsidP="00033B39">
      <w:pPr>
        <w:keepNext/>
        <w:jc w:val="left"/>
        <w:rPr>
          <w:b/>
          <w:caps/>
          <w:kern w:val="28"/>
          <w:u w:val="single"/>
          <w:lang w:val="fr-BE"/>
        </w:rPr>
      </w:pPr>
      <w:r w:rsidRPr="00994754">
        <w:rPr>
          <w:b/>
          <w:caps/>
          <w:u w:val="single"/>
          <w:lang w:val="fr-BE"/>
        </w:rPr>
        <w:lastRenderedPageBreak/>
        <w:t>ECO/488</w:t>
      </w:r>
    </w:p>
    <w:p w:rsidR="008262D3" w:rsidRPr="00994754" w:rsidRDefault="008262D3" w:rsidP="00033B39">
      <w:pPr>
        <w:keepNext/>
        <w:jc w:val="left"/>
        <w:rPr>
          <w:b/>
          <w:caps/>
          <w:kern w:val="28"/>
          <w:lang w:val="fr-BE"/>
        </w:rPr>
      </w:pPr>
    </w:p>
    <w:p w:rsidR="00C04F2D" w:rsidRPr="00994754" w:rsidRDefault="00C04F2D" w:rsidP="00033B39">
      <w:pPr>
        <w:pStyle w:val="ListParagraph"/>
        <w:keepNext/>
        <w:numPr>
          <w:ilvl w:val="0"/>
          <w:numId w:val="50"/>
        </w:numPr>
        <w:ind w:hanging="720"/>
        <w:jc w:val="left"/>
        <w:rPr>
          <w:b/>
          <w:caps/>
          <w:kern w:val="28"/>
          <w:lang w:val="fr-BE"/>
        </w:rPr>
      </w:pPr>
      <w:r w:rsidRPr="00994754">
        <w:rPr>
          <w:b/>
          <w:i/>
          <w:sz w:val="28"/>
          <w:szCs w:val="28"/>
          <w:lang w:val="fr-BE"/>
        </w:rPr>
        <w:t>TVA – Exigences diverses applicables aux prestataires de services de paiement</w:t>
      </w:r>
    </w:p>
    <w:p w:rsidR="00C04F2D" w:rsidRPr="00994754" w:rsidRDefault="00C04F2D" w:rsidP="00033B39">
      <w:pPr>
        <w:keepNext/>
        <w:jc w:val="left"/>
        <w:rPr>
          <w:b/>
          <w:caps/>
          <w:kern w:val="28"/>
          <w:lang w:val="fr-BE"/>
        </w:rPr>
      </w:pPr>
    </w:p>
    <w:p w:rsidR="00C04F2D" w:rsidRPr="00994754" w:rsidRDefault="00C04F2D" w:rsidP="00BF27A1">
      <w:pPr>
        <w:tabs>
          <w:tab w:val="center" w:pos="284"/>
        </w:tabs>
        <w:ind w:left="266" w:hanging="266"/>
        <w:rPr>
          <w:lang w:val="fr-BE"/>
        </w:rPr>
      </w:pPr>
      <w:r w:rsidRPr="00994754">
        <w:rPr>
          <w:b/>
          <w:lang w:val="fr-BE"/>
        </w:rPr>
        <w:t>Rapporteur:</w:t>
      </w:r>
      <w:r w:rsidRPr="00994754">
        <w:rPr>
          <w:lang w:val="fr-BE"/>
        </w:rPr>
        <w:tab/>
        <w:t>M. Krister ANDERSSON (groupe des employeurs – Suède)</w:t>
      </w:r>
    </w:p>
    <w:p w:rsidR="00C04F2D" w:rsidRPr="00994754" w:rsidRDefault="00C04F2D" w:rsidP="00BF27A1">
      <w:pPr>
        <w:tabs>
          <w:tab w:val="center" w:pos="284"/>
        </w:tabs>
        <w:ind w:left="266" w:hanging="266"/>
        <w:rPr>
          <w:lang w:val="fr-BE"/>
        </w:rPr>
      </w:pPr>
    </w:p>
    <w:p w:rsidR="00C04F2D" w:rsidRPr="00994754" w:rsidRDefault="00C04F2D" w:rsidP="00BF27A1">
      <w:pPr>
        <w:tabs>
          <w:tab w:val="center" w:pos="284"/>
          <w:tab w:val="left" w:pos="1701"/>
        </w:tabs>
        <w:ind w:left="266" w:hanging="266"/>
        <w:rPr>
          <w:lang w:val="fr-BE"/>
        </w:rPr>
      </w:pPr>
      <w:r w:rsidRPr="00994754">
        <w:rPr>
          <w:b/>
          <w:lang w:val="fr-BE"/>
        </w:rPr>
        <w:t>Références:</w:t>
      </w:r>
      <w:r w:rsidRPr="00994754">
        <w:rPr>
          <w:b/>
          <w:lang w:val="fr-BE"/>
        </w:rPr>
        <w:tab/>
      </w:r>
      <w:r w:rsidRPr="00994754">
        <w:rPr>
          <w:lang w:val="fr-BE"/>
        </w:rPr>
        <w:t xml:space="preserve">COM(2018) 812 final – 2018/0412(CNS) </w:t>
      </w:r>
    </w:p>
    <w:p w:rsidR="00C04F2D" w:rsidRPr="00994754" w:rsidRDefault="00C04F2D" w:rsidP="00BF27A1">
      <w:pPr>
        <w:tabs>
          <w:tab w:val="center" w:pos="284"/>
          <w:tab w:val="left" w:pos="1701"/>
        </w:tabs>
        <w:ind w:left="266" w:hanging="266"/>
        <w:rPr>
          <w:lang w:val="fr-BE"/>
        </w:rPr>
      </w:pPr>
      <w:r w:rsidRPr="00994754">
        <w:rPr>
          <w:lang w:val="fr-BE"/>
        </w:rPr>
        <w:tab/>
      </w:r>
      <w:r w:rsidRPr="00994754">
        <w:rPr>
          <w:lang w:val="fr-BE"/>
        </w:rPr>
        <w:tab/>
      </w:r>
      <w:r w:rsidRPr="00994754">
        <w:rPr>
          <w:lang w:val="fr-BE"/>
        </w:rPr>
        <w:tab/>
        <w:t xml:space="preserve">COM(2018) 819 final – 2018/0415(CNS) </w:t>
      </w:r>
    </w:p>
    <w:p w:rsidR="00C04F2D" w:rsidRPr="00994754" w:rsidRDefault="00C04F2D" w:rsidP="00BF27A1">
      <w:pPr>
        <w:jc w:val="left"/>
        <w:rPr>
          <w:b/>
          <w:caps/>
          <w:kern w:val="28"/>
          <w:lang w:val="fr-BE"/>
        </w:rPr>
      </w:pPr>
      <w:r w:rsidRPr="00994754">
        <w:rPr>
          <w:lang w:val="fr-BE"/>
        </w:rPr>
        <w:tab/>
      </w:r>
      <w:r w:rsidRPr="00994754">
        <w:rPr>
          <w:lang w:val="fr-BE"/>
        </w:rPr>
        <w:tab/>
      </w:r>
      <w:r w:rsidRPr="00994754">
        <w:rPr>
          <w:lang w:val="fr-BE"/>
        </w:rPr>
        <w:tab/>
        <w:t>EESC-2019-00106-00-00-AC</w:t>
      </w:r>
    </w:p>
    <w:p w:rsidR="00C04F2D" w:rsidRPr="00994754" w:rsidRDefault="00C04F2D" w:rsidP="00BF27A1">
      <w:pPr>
        <w:keepNext/>
        <w:keepLines/>
        <w:tabs>
          <w:tab w:val="center" w:pos="284"/>
        </w:tabs>
        <w:ind w:left="266" w:hanging="266"/>
        <w:rPr>
          <w:b/>
          <w:lang w:val="fr-BE"/>
        </w:rPr>
      </w:pPr>
    </w:p>
    <w:p w:rsidR="00C04F2D" w:rsidRPr="00994754" w:rsidRDefault="00C04F2D" w:rsidP="00BF27A1">
      <w:pPr>
        <w:keepNext/>
        <w:keepLines/>
        <w:tabs>
          <w:tab w:val="center" w:pos="284"/>
        </w:tabs>
        <w:ind w:left="266" w:hanging="266"/>
        <w:rPr>
          <w:b/>
          <w:lang w:val="fr-BE"/>
        </w:rPr>
      </w:pPr>
      <w:r w:rsidRPr="00994754">
        <w:rPr>
          <w:b/>
          <w:lang w:val="fr-BE"/>
        </w:rPr>
        <w:t>Points clés</w:t>
      </w:r>
    </w:p>
    <w:p w:rsidR="00C04F2D" w:rsidRPr="00994754" w:rsidRDefault="00C04F2D" w:rsidP="00033B39">
      <w:pPr>
        <w:keepNext/>
        <w:jc w:val="left"/>
        <w:rPr>
          <w:lang w:val="fr-BE"/>
        </w:rPr>
      </w:pPr>
    </w:p>
    <w:p w:rsidR="00C04F2D" w:rsidRPr="00994754" w:rsidRDefault="00C04F2D" w:rsidP="00033B39">
      <w:pPr>
        <w:keepNext/>
        <w:jc w:val="left"/>
        <w:rPr>
          <w:lang w:val="fr-BE"/>
        </w:rPr>
      </w:pPr>
      <w:r w:rsidRPr="00994754">
        <w:rPr>
          <w:lang w:val="fr-BE"/>
        </w:rPr>
        <w:t>Le CESE:</w:t>
      </w:r>
    </w:p>
    <w:p w:rsidR="00C04F2D" w:rsidRPr="00994754" w:rsidRDefault="00C04F2D" w:rsidP="00033B39">
      <w:pPr>
        <w:keepNext/>
        <w:jc w:val="left"/>
        <w:rPr>
          <w:lang w:val="fr-BE"/>
        </w:rPr>
      </w:pPr>
    </w:p>
    <w:p w:rsidR="00C04F2D" w:rsidRPr="00994754" w:rsidRDefault="00C04F2D" w:rsidP="008262D3">
      <w:pPr>
        <w:pStyle w:val="ListParagraph"/>
        <w:numPr>
          <w:ilvl w:val="0"/>
          <w:numId w:val="51"/>
        </w:numPr>
        <w:rPr>
          <w:lang w:val="fr-BE"/>
        </w:rPr>
      </w:pPr>
      <w:r w:rsidRPr="00994754">
        <w:rPr>
          <w:lang w:val="fr-BE"/>
        </w:rPr>
        <w:t xml:space="preserve">soutient l’objectif de la Commission, à savoir l’introduction de règles supplémentaires visant à garantir la proportionnalité et à renforcer la sécurité juridique pour les opérateurs qui exploitent des interfaces électroniques facilitant la livraison de biens aux consommateurs dans l’Union, en particulier lorsqu’elles sont traitées comme étant réputées être les fournisseurs desdits biens; </w:t>
      </w:r>
    </w:p>
    <w:p w:rsidR="00C04F2D" w:rsidRPr="00994754" w:rsidRDefault="00C04F2D" w:rsidP="00BF27A1">
      <w:pPr>
        <w:rPr>
          <w:lang w:val="fr-BE"/>
        </w:rPr>
      </w:pPr>
    </w:p>
    <w:p w:rsidR="00C04F2D" w:rsidRPr="00994754" w:rsidRDefault="00C04F2D" w:rsidP="008262D3">
      <w:pPr>
        <w:pStyle w:val="ListParagraph"/>
        <w:numPr>
          <w:ilvl w:val="0"/>
          <w:numId w:val="51"/>
        </w:numPr>
        <w:rPr>
          <w:lang w:val="fr-BE"/>
        </w:rPr>
      </w:pPr>
      <w:r w:rsidRPr="00994754">
        <w:rPr>
          <w:lang w:val="fr-BE"/>
        </w:rPr>
        <w:t>soutient par ailleurs la volonté de la Commission d’établir une coopération régulière avec les prestataires de services de paiement sur la base de dispositions législatives claires. Les résultats prometteurs qui sont attendus au terme de la mise en œuvre des nouvelles mesures garantiront de plus amples ressources tant pour les budgets nationaux que pour celui de l’UE, ainsi qu’un environnement simplifié de concurrence équitable pour les entreprises respectueuses de la réglementation fiscale;</w:t>
      </w:r>
    </w:p>
    <w:p w:rsidR="00C04F2D" w:rsidRPr="00994754" w:rsidRDefault="00C04F2D" w:rsidP="00BF27A1">
      <w:pPr>
        <w:rPr>
          <w:lang w:val="fr-BE"/>
        </w:rPr>
      </w:pPr>
    </w:p>
    <w:p w:rsidR="00C04F2D" w:rsidRPr="00994754" w:rsidRDefault="00C04F2D" w:rsidP="008262D3">
      <w:pPr>
        <w:pStyle w:val="ListParagraph"/>
        <w:numPr>
          <w:ilvl w:val="0"/>
          <w:numId w:val="51"/>
        </w:numPr>
        <w:rPr>
          <w:lang w:val="fr-BE"/>
        </w:rPr>
      </w:pPr>
      <w:r w:rsidRPr="00994754">
        <w:rPr>
          <w:lang w:val="fr-BE"/>
        </w:rPr>
        <w:t xml:space="preserve">relève que l’approche réglementaire adoptée par la Commission est conforme au principe de subsidiarité, étant donné que la fraude à la TVA dans le commerce électronique concerne tous les États membres et qu’une législation arrêtée au niveau européen constitue l’outil le plus susceptible de les aider efficacement à obtenir les informations nécessaires afin de contrôler la TVA dans les livraisons transfrontières; </w:t>
      </w:r>
    </w:p>
    <w:p w:rsidR="00C04F2D" w:rsidRPr="00994754" w:rsidRDefault="00C04F2D" w:rsidP="00BF27A1">
      <w:pPr>
        <w:rPr>
          <w:lang w:val="fr-BE"/>
        </w:rPr>
      </w:pPr>
    </w:p>
    <w:p w:rsidR="00C04F2D" w:rsidRPr="00994754" w:rsidRDefault="00C04F2D" w:rsidP="008262D3">
      <w:pPr>
        <w:pStyle w:val="ListParagraph"/>
        <w:numPr>
          <w:ilvl w:val="0"/>
          <w:numId w:val="51"/>
        </w:numPr>
        <w:rPr>
          <w:lang w:val="fr-BE"/>
        </w:rPr>
      </w:pPr>
      <w:r w:rsidRPr="00994754">
        <w:rPr>
          <w:lang w:val="fr-BE"/>
        </w:rPr>
        <w:t>souligne avec force l’importance que revêt le plein respect des dispositions du règlement général sur la protection des données, ainsi que la nécessité de limiter l’utilisation des données au seul objectif, et ce, dans sa définition la plus stricte, de lutter contre la fraude à la TVA, d’une manière qui soit efficace au regard de son coût et acceptable pour le grand public;</w:t>
      </w:r>
    </w:p>
    <w:p w:rsidR="00C04F2D" w:rsidRPr="00994754" w:rsidRDefault="00C04F2D" w:rsidP="00BF27A1">
      <w:pPr>
        <w:rPr>
          <w:lang w:val="fr-BE"/>
        </w:rPr>
      </w:pPr>
    </w:p>
    <w:p w:rsidR="00C04F2D" w:rsidRPr="00994754" w:rsidRDefault="00C04F2D" w:rsidP="00BF27A1">
      <w:pPr>
        <w:pStyle w:val="ListParagraph"/>
        <w:numPr>
          <w:ilvl w:val="0"/>
          <w:numId w:val="50"/>
        </w:numPr>
        <w:ind w:hanging="295"/>
        <w:rPr>
          <w:b/>
          <w:caps/>
          <w:kern w:val="28"/>
          <w:lang w:val="fr-BE"/>
        </w:rPr>
      </w:pPr>
      <w:r w:rsidRPr="00994754">
        <w:rPr>
          <w:lang w:val="fr-BE"/>
        </w:rPr>
        <w:t>recommande à la Commission de procéder à des investissements adéquats dans les actifs physiques et l’informatique afin de garantir la mise en place d’un registre central fonctionnel, et fait valoir que les coûts estimés du projet pourraient être aisément et rapidement couverts par les résultats escomptés en ce qui concerne la réduction de la fraude à la TVA et de l’écart de TVA.</w:t>
      </w:r>
    </w:p>
    <w:p w:rsidR="00C04F2D" w:rsidRPr="00994754" w:rsidRDefault="00C04F2D" w:rsidP="00BF27A1">
      <w:pPr>
        <w:rPr>
          <w:b/>
          <w:caps/>
          <w:kern w:val="28"/>
          <w:lang w:val="fr-BE"/>
        </w:rPr>
      </w:pPr>
    </w:p>
    <w:p w:rsidR="00C04F2D" w:rsidRPr="00994754" w:rsidRDefault="00C04F2D" w:rsidP="00BF27A1">
      <w:pPr>
        <w:tabs>
          <w:tab w:val="left" w:pos="0"/>
        </w:tabs>
        <w:ind w:left="1701" w:right="-141" w:hanging="1701"/>
        <w:rPr>
          <w:i/>
          <w:iCs/>
          <w:lang w:val="fr-BE"/>
        </w:rPr>
      </w:pPr>
      <w:r w:rsidRPr="00994754">
        <w:rPr>
          <w:b/>
          <w:bCs/>
          <w:i/>
          <w:iCs/>
          <w:lang w:val="fr-BE"/>
        </w:rPr>
        <w:t>Contact:</w:t>
      </w:r>
      <w:r w:rsidRPr="00994754">
        <w:rPr>
          <w:b/>
          <w:bCs/>
          <w:i/>
          <w:iCs/>
          <w:lang w:val="fr-BE"/>
        </w:rPr>
        <w:tab/>
      </w:r>
      <w:r w:rsidRPr="00994754">
        <w:rPr>
          <w:bCs/>
          <w:i/>
          <w:iCs/>
          <w:lang w:val="fr-BE"/>
        </w:rPr>
        <w:t xml:space="preserve">M. Jüri Soosaar </w:t>
      </w:r>
      <w:r w:rsidRPr="00994754">
        <w:rPr>
          <w:i/>
          <w:iCs/>
          <w:lang w:val="fr-BE"/>
        </w:rPr>
        <w:tab/>
      </w:r>
    </w:p>
    <w:p w:rsidR="00BF27A1" w:rsidRPr="00994754" w:rsidRDefault="00C04F2D" w:rsidP="00BF27A1">
      <w:pPr>
        <w:rPr>
          <w:i/>
          <w:iCs/>
          <w:lang w:val="fr-BE"/>
        </w:rPr>
      </w:pPr>
      <w:r w:rsidRPr="00994754">
        <w:rPr>
          <w:b/>
          <w:bCs/>
          <w:i/>
          <w:iCs/>
          <w:lang w:val="fr-BE"/>
        </w:rPr>
        <w:tab/>
      </w:r>
      <w:r w:rsidRPr="00994754">
        <w:rPr>
          <w:b/>
          <w:bCs/>
          <w:i/>
          <w:iCs/>
          <w:lang w:val="fr-BE"/>
        </w:rPr>
        <w:tab/>
      </w:r>
      <w:r w:rsidRPr="00994754">
        <w:rPr>
          <w:b/>
          <w:bCs/>
          <w:i/>
          <w:iCs/>
          <w:lang w:val="fr-BE"/>
        </w:rPr>
        <w:tab/>
      </w:r>
      <w:r w:rsidRPr="00994754">
        <w:rPr>
          <w:i/>
          <w:iCs/>
          <w:lang w:val="fr-BE"/>
        </w:rPr>
        <w:t>(Tél.: 00 32 2 546 97 40 – courriel:</w:t>
      </w:r>
      <w:r w:rsidRPr="00994754">
        <w:rPr>
          <w:lang w:val="fr-BE"/>
        </w:rPr>
        <w:t xml:space="preserve"> </w:t>
      </w:r>
      <w:hyperlink r:id="rId21" w:history="1">
        <w:r w:rsidRPr="00994754">
          <w:rPr>
            <w:rStyle w:val="Hyperlink"/>
            <w:i/>
            <w:lang w:val="fr-BE"/>
          </w:rPr>
          <w:t>Juri.Soosaar</w:t>
        </w:r>
        <w:r w:rsidRPr="00994754">
          <w:rPr>
            <w:rStyle w:val="Hyperlink"/>
            <w:i/>
            <w:iCs/>
            <w:lang w:val="fr-BE"/>
          </w:rPr>
          <w:t>@eesc.europa.eu</w:t>
        </w:r>
      </w:hyperlink>
      <w:r w:rsidRPr="00994754">
        <w:rPr>
          <w:i/>
          <w:iCs/>
          <w:lang w:val="fr-BE"/>
        </w:rPr>
        <w:t>)</w:t>
      </w:r>
    </w:p>
    <w:p w:rsidR="00C03049" w:rsidRPr="00994754" w:rsidRDefault="00C03049" w:rsidP="00BF27A1">
      <w:pPr>
        <w:rPr>
          <w:b/>
          <w:caps/>
          <w:kern w:val="28"/>
          <w:lang w:val="fr-BE"/>
        </w:rPr>
      </w:pPr>
      <w:r w:rsidRPr="00994754">
        <w:rPr>
          <w:lang w:val="fr-BE"/>
        </w:rPr>
        <w:br w:type="page"/>
      </w:r>
    </w:p>
    <w:p w:rsidR="00C03049" w:rsidRPr="00994754" w:rsidRDefault="00C03049" w:rsidP="00033B39">
      <w:pPr>
        <w:pStyle w:val="Heading1"/>
        <w:keepNext/>
        <w:ind w:left="567" w:hanging="567"/>
        <w:rPr>
          <w:b/>
          <w:lang w:val="fr-BE"/>
        </w:rPr>
      </w:pPr>
      <w:bookmarkStart w:id="2" w:name="_Toc11658411"/>
      <w:r w:rsidRPr="00994754">
        <w:rPr>
          <w:b/>
          <w:lang w:val="fr-BE"/>
        </w:rPr>
        <w:lastRenderedPageBreak/>
        <w:t>MARCHÉ UNIQUE, PRODUCTION ET CONSOMMATION</w:t>
      </w:r>
      <w:bookmarkEnd w:id="2"/>
    </w:p>
    <w:p w:rsidR="00C03049" w:rsidRPr="00994754" w:rsidRDefault="00C03049" w:rsidP="00033B39">
      <w:pPr>
        <w:keepNext/>
        <w:rPr>
          <w:lang w:val="fr-BE"/>
        </w:rPr>
      </w:pPr>
    </w:p>
    <w:p w:rsidR="008262D3" w:rsidRPr="00994754" w:rsidRDefault="008262D3" w:rsidP="00033B39">
      <w:pPr>
        <w:keepNext/>
        <w:rPr>
          <w:lang w:val="fr-BE"/>
        </w:rPr>
      </w:pPr>
      <w:r w:rsidRPr="00994754">
        <w:rPr>
          <w:b/>
          <w:u w:val="single"/>
          <w:lang w:val="fr-BE"/>
        </w:rPr>
        <w:t>INT/875</w:t>
      </w:r>
    </w:p>
    <w:p w:rsidR="008262D3" w:rsidRPr="00994754" w:rsidRDefault="008262D3" w:rsidP="00033B39">
      <w:pPr>
        <w:keepNext/>
        <w:rPr>
          <w:lang w:val="fr-BE"/>
        </w:rPr>
      </w:pPr>
    </w:p>
    <w:p w:rsidR="00BF1CFD" w:rsidRPr="00994754" w:rsidRDefault="005D0ADC" w:rsidP="00033B39">
      <w:pPr>
        <w:pStyle w:val="ListParagraph"/>
        <w:keepNext/>
        <w:numPr>
          <w:ilvl w:val="0"/>
          <w:numId w:val="50"/>
        </w:numPr>
        <w:ind w:left="567" w:hanging="567"/>
        <w:rPr>
          <w:b/>
          <w:i/>
          <w:sz w:val="28"/>
          <w:szCs w:val="28"/>
          <w:lang w:val="fr-BE"/>
        </w:rPr>
      </w:pPr>
      <w:r w:rsidRPr="00994754">
        <w:rPr>
          <w:b/>
          <w:i/>
          <w:sz w:val="28"/>
          <w:szCs w:val="28"/>
          <w:lang w:val="fr-BE"/>
        </w:rPr>
        <w:t>La contribution des entreprises de l’économie sociale à une Europe plus cohésive et plus démocratique</w:t>
      </w:r>
    </w:p>
    <w:p w:rsidR="00596BBD" w:rsidRPr="00994754" w:rsidRDefault="00596BBD" w:rsidP="00033B39">
      <w:pPr>
        <w:keepNext/>
        <w:rPr>
          <w:lang w:val="fr-BE"/>
        </w:rPr>
      </w:pPr>
    </w:p>
    <w:p w:rsidR="00596BBD" w:rsidRPr="00994754" w:rsidRDefault="00596BBD" w:rsidP="00BF27A1">
      <w:pPr>
        <w:tabs>
          <w:tab w:val="left" w:pos="1701"/>
        </w:tabs>
        <w:rPr>
          <w:lang w:val="fr-BE"/>
        </w:rPr>
      </w:pPr>
      <w:r w:rsidRPr="00994754">
        <w:rPr>
          <w:b/>
          <w:lang w:val="fr-BE"/>
        </w:rPr>
        <w:t>Rapporteur:</w:t>
      </w:r>
      <w:r w:rsidRPr="00994754">
        <w:rPr>
          <w:lang w:val="fr-BE"/>
        </w:rPr>
        <w:t xml:space="preserve"> </w:t>
      </w:r>
      <w:r w:rsidRPr="00994754">
        <w:rPr>
          <w:lang w:val="fr-BE"/>
        </w:rPr>
        <w:tab/>
        <w:t>M. Alain COHEUR (groupe Diversité Europe – Belgique)</w:t>
      </w:r>
    </w:p>
    <w:p w:rsidR="00135611" w:rsidRPr="00994754" w:rsidRDefault="00135611" w:rsidP="00BF27A1">
      <w:pPr>
        <w:tabs>
          <w:tab w:val="center" w:pos="284"/>
          <w:tab w:val="left" w:pos="1701"/>
        </w:tabs>
        <w:ind w:left="266" w:hanging="266"/>
        <w:rPr>
          <w:b/>
          <w:lang w:val="fr-BE"/>
        </w:rPr>
      </w:pPr>
    </w:p>
    <w:p w:rsidR="00596BBD" w:rsidRPr="00994754" w:rsidRDefault="00596BBD" w:rsidP="00BF27A1">
      <w:pPr>
        <w:tabs>
          <w:tab w:val="center" w:pos="284"/>
          <w:tab w:val="left" w:pos="1701"/>
        </w:tabs>
        <w:ind w:left="266" w:hanging="266"/>
        <w:rPr>
          <w:lang w:val="fr-BE"/>
        </w:rPr>
      </w:pPr>
      <w:r w:rsidRPr="00994754">
        <w:rPr>
          <w:b/>
          <w:lang w:val="fr-BE"/>
        </w:rPr>
        <w:t>Références:</w:t>
      </w:r>
      <w:r w:rsidRPr="00994754">
        <w:rPr>
          <w:b/>
          <w:lang w:val="fr-BE"/>
        </w:rPr>
        <w:tab/>
      </w:r>
      <w:r w:rsidRPr="00994754">
        <w:rPr>
          <w:lang w:val="fr-BE"/>
        </w:rPr>
        <w:t>Avis exploratoire</w:t>
      </w:r>
    </w:p>
    <w:p w:rsidR="00596BBD" w:rsidRPr="00994754" w:rsidRDefault="00596BBD" w:rsidP="00BF27A1">
      <w:pPr>
        <w:tabs>
          <w:tab w:val="center" w:pos="284"/>
          <w:tab w:val="left" w:pos="1701"/>
        </w:tabs>
        <w:ind w:left="266" w:hanging="266"/>
        <w:rPr>
          <w:lang w:val="fr-BE"/>
        </w:rPr>
      </w:pPr>
      <w:r w:rsidRPr="00994754">
        <w:rPr>
          <w:lang w:val="fr-BE"/>
        </w:rPr>
        <w:tab/>
      </w:r>
      <w:r w:rsidRPr="00994754">
        <w:rPr>
          <w:lang w:val="fr-BE"/>
        </w:rPr>
        <w:tab/>
      </w:r>
      <w:r w:rsidRPr="00994754">
        <w:rPr>
          <w:lang w:val="fr-BE"/>
        </w:rPr>
        <w:tab/>
        <w:t>EESC-2018-05559-00-00-AC</w:t>
      </w:r>
    </w:p>
    <w:p w:rsidR="00596BBD" w:rsidRPr="00994754" w:rsidRDefault="00596BBD" w:rsidP="00BF27A1">
      <w:pPr>
        <w:tabs>
          <w:tab w:val="center" w:pos="284"/>
        </w:tabs>
        <w:ind w:left="266" w:hanging="266"/>
        <w:rPr>
          <w:szCs w:val="20"/>
          <w:lang w:val="fr-BE"/>
        </w:rPr>
      </w:pPr>
    </w:p>
    <w:p w:rsidR="00596BBD" w:rsidRPr="00994754" w:rsidRDefault="00596BBD" w:rsidP="00033B39">
      <w:pPr>
        <w:keepNext/>
        <w:rPr>
          <w:b/>
          <w:lang w:val="fr-BE"/>
        </w:rPr>
      </w:pPr>
      <w:r w:rsidRPr="00994754">
        <w:rPr>
          <w:b/>
          <w:lang w:val="fr-BE"/>
        </w:rPr>
        <w:t>Points clés</w:t>
      </w:r>
    </w:p>
    <w:p w:rsidR="00596BBD" w:rsidRPr="00994754" w:rsidRDefault="00596BBD" w:rsidP="00033B39">
      <w:pPr>
        <w:keepNext/>
        <w:rPr>
          <w:lang w:val="fr-BE"/>
        </w:rPr>
      </w:pPr>
    </w:p>
    <w:p w:rsidR="00596BBD" w:rsidRPr="00994754" w:rsidRDefault="00596BBD" w:rsidP="00033B39">
      <w:pPr>
        <w:keepNext/>
        <w:rPr>
          <w:lang w:val="fr-BE"/>
        </w:rPr>
      </w:pPr>
      <w:r w:rsidRPr="00994754">
        <w:rPr>
          <w:lang w:val="fr-BE"/>
        </w:rPr>
        <w:t>Le CESE:</w:t>
      </w:r>
    </w:p>
    <w:p w:rsidR="00596BBD" w:rsidRPr="00994754" w:rsidRDefault="00596BBD" w:rsidP="00033B39">
      <w:pPr>
        <w:keepNext/>
        <w:rPr>
          <w:lang w:val="fr-BE"/>
        </w:rPr>
      </w:pPr>
    </w:p>
    <w:p w:rsidR="00596BBD" w:rsidRPr="00994754" w:rsidRDefault="00596BBD"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plaide pour que les États membres et la Commission européenne (CE) reconnaissent la contribution des entreprises de l’économie sociale au développement d’une citoyenneté active et au bien commun, à la promotion du modèle social européen et à la construction d’une identité européenne;</w:t>
      </w:r>
    </w:p>
    <w:p w:rsidR="00596BBD" w:rsidRPr="00994754" w:rsidRDefault="00596BBD" w:rsidP="00BF27A1">
      <w:pPr>
        <w:keepNext/>
        <w:tabs>
          <w:tab w:val="left" w:pos="0"/>
        </w:tabs>
        <w:overflowPunct w:val="0"/>
        <w:autoSpaceDE w:val="0"/>
        <w:autoSpaceDN w:val="0"/>
        <w:adjustRightInd w:val="0"/>
        <w:ind w:left="360"/>
        <w:rPr>
          <w:lang w:val="fr-BE"/>
        </w:rPr>
      </w:pPr>
    </w:p>
    <w:p w:rsidR="00596BBD" w:rsidRPr="00994754" w:rsidRDefault="00596BBD"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rappelle qu’il est indispensable de promouvoir les entreprises de l’économie sociale par des politiques publiques ambitieuses et transversales, ainsi que par un plan d’action européen pour l’économie sociale;</w:t>
      </w:r>
    </w:p>
    <w:p w:rsidR="00596BBD" w:rsidRPr="00994754" w:rsidRDefault="00596BBD" w:rsidP="00BF27A1">
      <w:pPr>
        <w:keepNext/>
        <w:tabs>
          <w:tab w:val="left" w:pos="0"/>
        </w:tabs>
        <w:overflowPunct w:val="0"/>
        <w:autoSpaceDE w:val="0"/>
        <w:autoSpaceDN w:val="0"/>
        <w:adjustRightInd w:val="0"/>
        <w:ind w:left="360"/>
        <w:rPr>
          <w:lang w:val="fr-BE"/>
        </w:rPr>
      </w:pPr>
    </w:p>
    <w:p w:rsidR="00596BBD" w:rsidRPr="00994754" w:rsidRDefault="00596BBD" w:rsidP="00BF27A1">
      <w:pPr>
        <w:pStyle w:val="ListParagraph"/>
        <w:numPr>
          <w:ilvl w:val="0"/>
          <w:numId w:val="35"/>
        </w:numPr>
        <w:rPr>
          <w:lang w:val="fr-BE"/>
        </w:rPr>
      </w:pPr>
      <w:r w:rsidRPr="00994754">
        <w:rPr>
          <w:lang w:val="fr-BE"/>
        </w:rPr>
        <w:t>rappelle le besoin de mener davantage de recherches pour comprendre la portée et les mécanismes par lesquels les entreprises de l’économie sociale contribuent à renforcer la cohésion sociale et la démocratie et à dynamiser l’économie.</w:t>
      </w:r>
    </w:p>
    <w:p w:rsidR="00596BBD" w:rsidRPr="00994754" w:rsidRDefault="00596BBD" w:rsidP="00BF27A1">
      <w:pPr>
        <w:rPr>
          <w:lang w:val="fr-BE"/>
        </w:rPr>
      </w:pPr>
    </w:p>
    <w:p w:rsidR="00282E34" w:rsidRPr="00994754" w:rsidRDefault="00282E34" w:rsidP="00BF27A1">
      <w:pPr>
        <w:tabs>
          <w:tab w:val="left" w:pos="1701"/>
        </w:tabs>
        <w:rPr>
          <w:i/>
          <w:lang w:val="fr-BE"/>
        </w:rPr>
      </w:pPr>
      <w:r w:rsidRPr="00994754">
        <w:rPr>
          <w:b/>
          <w:i/>
          <w:lang w:val="fr-BE"/>
        </w:rPr>
        <w:t>Contact:</w:t>
      </w:r>
      <w:r w:rsidRPr="00994754">
        <w:rPr>
          <w:lang w:val="fr-BE"/>
        </w:rPr>
        <w:tab/>
      </w:r>
      <w:r w:rsidRPr="00994754">
        <w:rPr>
          <w:i/>
          <w:lang w:val="fr-BE"/>
        </w:rPr>
        <w:t>M</w:t>
      </w:r>
      <w:r w:rsidRPr="00994754">
        <w:rPr>
          <w:i/>
          <w:vertAlign w:val="superscript"/>
          <w:lang w:val="fr-BE"/>
        </w:rPr>
        <w:t>me</w:t>
      </w:r>
      <w:r w:rsidRPr="00994754">
        <w:rPr>
          <w:i/>
          <w:lang w:val="fr-BE"/>
        </w:rPr>
        <w:t> Marie-Laurence Drillon</w:t>
      </w:r>
    </w:p>
    <w:p w:rsidR="00596BBD" w:rsidRPr="00994754" w:rsidRDefault="00282E34" w:rsidP="00BF27A1">
      <w:pPr>
        <w:tabs>
          <w:tab w:val="left" w:pos="1701"/>
        </w:tabs>
        <w:rPr>
          <w:i/>
          <w:lang w:val="fr-BE"/>
        </w:rPr>
      </w:pPr>
      <w:r w:rsidRPr="00994754">
        <w:rPr>
          <w:i/>
          <w:lang w:val="fr-BE"/>
        </w:rPr>
        <w:tab/>
        <w:t xml:space="preserve">(Tél.: 00 32 2 546 83 20 – courriel: </w:t>
      </w:r>
      <w:hyperlink r:id="rId22" w:history="1">
        <w:r w:rsidRPr="00994754">
          <w:rPr>
            <w:rStyle w:val="Hyperlink"/>
            <w:i/>
            <w:lang w:val="fr-BE"/>
          </w:rPr>
          <w:t>marie-laurence.drillon@eesc.europa.eu</w:t>
        </w:r>
      </w:hyperlink>
      <w:r w:rsidRPr="00994754">
        <w:rPr>
          <w:i/>
          <w:lang w:val="fr-BE"/>
        </w:rPr>
        <w:t>)</w:t>
      </w:r>
    </w:p>
    <w:p w:rsidR="00282E34" w:rsidRPr="00994754" w:rsidRDefault="00282E34" w:rsidP="00BF27A1">
      <w:pPr>
        <w:tabs>
          <w:tab w:val="left" w:pos="1701"/>
        </w:tabs>
        <w:rPr>
          <w:i/>
          <w:lang w:val="fr-BE"/>
        </w:rPr>
      </w:pPr>
    </w:p>
    <w:p w:rsidR="001355B2" w:rsidRPr="00994754" w:rsidRDefault="001355B2">
      <w:pPr>
        <w:spacing w:line="240" w:lineRule="auto"/>
        <w:jc w:val="left"/>
        <w:rPr>
          <w:b/>
          <w:u w:val="single"/>
          <w:lang w:val="fr-BE"/>
        </w:rPr>
      </w:pPr>
      <w:r w:rsidRPr="00994754">
        <w:rPr>
          <w:lang w:val="fr-BE"/>
        </w:rPr>
        <w:br w:type="page"/>
      </w:r>
    </w:p>
    <w:p w:rsidR="008262D3" w:rsidRPr="00994754" w:rsidRDefault="008262D3" w:rsidP="00033B39">
      <w:pPr>
        <w:keepNext/>
        <w:tabs>
          <w:tab w:val="left" w:pos="1701"/>
        </w:tabs>
        <w:rPr>
          <w:lang w:val="fr-BE"/>
        </w:rPr>
      </w:pPr>
      <w:r w:rsidRPr="00994754">
        <w:rPr>
          <w:b/>
          <w:u w:val="single"/>
          <w:lang w:val="fr-BE"/>
        </w:rPr>
        <w:lastRenderedPageBreak/>
        <w:t>INT/876</w:t>
      </w:r>
    </w:p>
    <w:p w:rsidR="00B15573" w:rsidRPr="00994754" w:rsidRDefault="00B15573" w:rsidP="00033B39">
      <w:pPr>
        <w:keepNext/>
        <w:tabs>
          <w:tab w:val="left" w:pos="1701"/>
        </w:tabs>
        <w:rPr>
          <w:i/>
          <w:lang w:val="fr-BE"/>
        </w:rPr>
      </w:pPr>
    </w:p>
    <w:p w:rsidR="00282E34" w:rsidRPr="00994754" w:rsidRDefault="005D0ADC" w:rsidP="00033B39">
      <w:pPr>
        <w:pStyle w:val="ListParagraph"/>
        <w:keepNext/>
        <w:numPr>
          <w:ilvl w:val="0"/>
          <w:numId w:val="52"/>
        </w:numPr>
        <w:tabs>
          <w:tab w:val="left" w:pos="1701"/>
        </w:tabs>
        <w:ind w:left="567" w:hanging="567"/>
        <w:rPr>
          <w:b/>
          <w:i/>
          <w:sz w:val="28"/>
          <w:szCs w:val="28"/>
          <w:lang w:val="fr-BE"/>
        </w:rPr>
      </w:pPr>
      <w:r w:rsidRPr="00994754">
        <w:rPr>
          <w:b/>
          <w:i/>
          <w:sz w:val="28"/>
          <w:szCs w:val="28"/>
          <w:lang w:val="fr-BE"/>
        </w:rPr>
        <w:t>Communication sur le marché unique</w:t>
      </w:r>
    </w:p>
    <w:p w:rsidR="005D0ADC" w:rsidRPr="00994754" w:rsidRDefault="005D0ADC" w:rsidP="00033B39">
      <w:pPr>
        <w:keepNext/>
        <w:tabs>
          <w:tab w:val="left" w:pos="1701"/>
        </w:tabs>
        <w:rPr>
          <w:lang w:val="fr-BE"/>
        </w:rPr>
      </w:pPr>
    </w:p>
    <w:p w:rsidR="005D0ADC" w:rsidRPr="00994754" w:rsidRDefault="005D0ADC" w:rsidP="00BF27A1">
      <w:pPr>
        <w:tabs>
          <w:tab w:val="left" w:pos="1701"/>
        </w:tabs>
        <w:rPr>
          <w:lang w:val="fr-BE"/>
        </w:rPr>
      </w:pPr>
      <w:r w:rsidRPr="00994754">
        <w:rPr>
          <w:b/>
          <w:lang w:val="fr-BE"/>
        </w:rPr>
        <w:t>Rapporteur:</w:t>
      </w:r>
      <w:r w:rsidRPr="00994754">
        <w:rPr>
          <w:lang w:val="fr-BE"/>
        </w:rPr>
        <w:t xml:space="preserve"> </w:t>
      </w:r>
      <w:r w:rsidRPr="00994754">
        <w:rPr>
          <w:lang w:val="fr-BE"/>
        </w:rPr>
        <w:tab/>
        <w:t>M. Gonçalo LOBO XAVIER (groupe des employeurs – Portugal)</w:t>
      </w:r>
    </w:p>
    <w:p w:rsidR="005D0ADC" w:rsidRPr="00994754" w:rsidRDefault="00135611" w:rsidP="00BF27A1">
      <w:pPr>
        <w:tabs>
          <w:tab w:val="left" w:pos="1701"/>
        </w:tabs>
        <w:rPr>
          <w:lang w:val="fr-BE"/>
        </w:rPr>
      </w:pPr>
      <w:r w:rsidRPr="00994754">
        <w:rPr>
          <w:b/>
          <w:lang w:val="fr-BE"/>
        </w:rPr>
        <w:t>Corapporteur:</w:t>
      </w:r>
      <w:r w:rsidRPr="00994754">
        <w:rPr>
          <w:lang w:val="fr-BE"/>
        </w:rPr>
        <w:tab/>
        <w:t>M. Juan MENDOZA CASTRO (groupe des travailleurs – Espagne)</w:t>
      </w:r>
    </w:p>
    <w:p w:rsidR="00135611" w:rsidRPr="00994754" w:rsidRDefault="00135611" w:rsidP="00BF27A1">
      <w:pPr>
        <w:tabs>
          <w:tab w:val="center" w:pos="284"/>
          <w:tab w:val="left" w:pos="1701"/>
        </w:tabs>
        <w:ind w:left="266" w:hanging="266"/>
        <w:rPr>
          <w:b/>
          <w:lang w:val="fr-BE"/>
        </w:rPr>
      </w:pPr>
    </w:p>
    <w:p w:rsidR="005D0ADC" w:rsidRPr="00994754" w:rsidRDefault="005D0ADC" w:rsidP="00BF27A1">
      <w:pPr>
        <w:tabs>
          <w:tab w:val="center" w:pos="284"/>
          <w:tab w:val="left" w:pos="1701"/>
        </w:tabs>
        <w:ind w:left="266" w:hanging="266"/>
        <w:rPr>
          <w:lang w:val="fr-BE"/>
        </w:rPr>
      </w:pPr>
      <w:r w:rsidRPr="00994754">
        <w:rPr>
          <w:b/>
          <w:lang w:val="fr-BE"/>
        </w:rPr>
        <w:t>Références:</w:t>
      </w:r>
      <w:r w:rsidRPr="00994754">
        <w:rPr>
          <w:b/>
          <w:lang w:val="fr-BE"/>
        </w:rPr>
        <w:tab/>
      </w:r>
      <w:r w:rsidRPr="00994754">
        <w:rPr>
          <w:lang w:val="fr-BE"/>
        </w:rPr>
        <w:t>COM(2018) 772 final</w:t>
      </w:r>
    </w:p>
    <w:p w:rsidR="005D0ADC" w:rsidRPr="00994754" w:rsidRDefault="005D0ADC" w:rsidP="00BF27A1">
      <w:pPr>
        <w:tabs>
          <w:tab w:val="center" w:pos="284"/>
          <w:tab w:val="left" w:pos="1701"/>
        </w:tabs>
        <w:ind w:left="266" w:hanging="266"/>
        <w:rPr>
          <w:lang w:val="fr-BE"/>
        </w:rPr>
      </w:pPr>
      <w:r w:rsidRPr="00994754">
        <w:rPr>
          <w:lang w:val="fr-BE"/>
        </w:rPr>
        <w:tab/>
      </w:r>
      <w:r w:rsidRPr="00994754">
        <w:rPr>
          <w:lang w:val="fr-BE"/>
        </w:rPr>
        <w:tab/>
      </w:r>
      <w:r w:rsidRPr="00994754">
        <w:rPr>
          <w:lang w:val="fr-BE"/>
        </w:rPr>
        <w:tab/>
        <w:t>EESC-2018-05252-00-00-AC</w:t>
      </w:r>
    </w:p>
    <w:p w:rsidR="005D0ADC" w:rsidRPr="00994754" w:rsidRDefault="005D0ADC" w:rsidP="00BF27A1">
      <w:pPr>
        <w:tabs>
          <w:tab w:val="center" w:pos="284"/>
        </w:tabs>
        <w:ind w:left="266" w:hanging="266"/>
        <w:rPr>
          <w:szCs w:val="20"/>
          <w:lang w:val="fr-BE"/>
        </w:rPr>
      </w:pPr>
    </w:p>
    <w:p w:rsidR="005D0ADC" w:rsidRPr="00994754" w:rsidRDefault="005D0ADC" w:rsidP="00033B39">
      <w:pPr>
        <w:keepNext/>
        <w:tabs>
          <w:tab w:val="left" w:pos="1701"/>
        </w:tabs>
        <w:rPr>
          <w:lang w:val="fr-BE"/>
        </w:rPr>
      </w:pPr>
      <w:r w:rsidRPr="00994754">
        <w:rPr>
          <w:b/>
          <w:lang w:val="fr-BE"/>
        </w:rPr>
        <w:t>Points clés</w:t>
      </w:r>
    </w:p>
    <w:p w:rsidR="005D0ADC" w:rsidRPr="00994754" w:rsidRDefault="005D0ADC" w:rsidP="00033B39">
      <w:pPr>
        <w:keepNext/>
        <w:tabs>
          <w:tab w:val="left" w:pos="1701"/>
        </w:tabs>
        <w:rPr>
          <w:sz w:val="24"/>
          <w:szCs w:val="24"/>
          <w:lang w:val="fr-BE"/>
        </w:rPr>
      </w:pPr>
    </w:p>
    <w:p w:rsidR="005D0ADC" w:rsidRPr="00994754" w:rsidRDefault="005D0ADC" w:rsidP="00033B39">
      <w:pPr>
        <w:keepNext/>
        <w:tabs>
          <w:tab w:val="left" w:pos="1701"/>
        </w:tabs>
        <w:rPr>
          <w:sz w:val="24"/>
          <w:szCs w:val="24"/>
          <w:lang w:val="fr-BE"/>
        </w:rPr>
      </w:pPr>
      <w:r w:rsidRPr="00994754">
        <w:rPr>
          <w:sz w:val="24"/>
          <w:szCs w:val="24"/>
          <w:lang w:val="fr-BE"/>
        </w:rPr>
        <w:t>Le CESE:</w:t>
      </w:r>
    </w:p>
    <w:p w:rsidR="005D0ADC" w:rsidRPr="00994754" w:rsidRDefault="005D0ADC" w:rsidP="00033B39">
      <w:pPr>
        <w:keepNext/>
        <w:tabs>
          <w:tab w:val="left" w:pos="1701"/>
        </w:tabs>
        <w:rPr>
          <w:sz w:val="24"/>
          <w:szCs w:val="24"/>
          <w:lang w:val="fr-BE"/>
        </w:rPr>
      </w:pPr>
    </w:p>
    <w:p w:rsidR="005D0ADC" w:rsidRPr="00994754" w:rsidRDefault="005D0ADC"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salue le message fort de la Commission sur le renforcement du marché unique et la nécessité d’un engagement de la part de tous les États membres et de tous les citoyens;</w:t>
      </w:r>
    </w:p>
    <w:p w:rsidR="005D0ADC" w:rsidRPr="00994754" w:rsidRDefault="005D0ADC" w:rsidP="00BF27A1">
      <w:pPr>
        <w:keepNext/>
        <w:tabs>
          <w:tab w:val="left" w:pos="0"/>
        </w:tabs>
        <w:overflowPunct w:val="0"/>
        <w:autoSpaceDE w:val="0"/>
        <w:autoSpaceDN w:val="0"/>
        <w:adjustRightInd w:val="0"/>
        <w:ind w:left="360"/>
        <w:rPr>
          <w:lang w:val="fr-BE"/>
        </w:rPr>
      </w:pPr>
    </w:p>
    <w:p w:rsidR="005D0ADC" w:rsidRPr="00994754" w:rsidRDefault="005D0ADC"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plaide en faveur d’un marché unique qui soit perçu comme un levier pour réaffirmer les valeurs européennes, les droits fondamentaux et le devoir d’apporter le progrès et le bien-être à tous les États membres et à tous les citoyens;</w:t>
      </w:r>
    </w:p>
    <w:p w:rsidR="005D0ADC" w:rsidRPr="00994754" w:rsidRDefault="005D0ADC" w:rsidP="00BF27A1">
      <w:pPr>
        <w:keepNext/>
        <w:tabs>
          <w:tab w:val="left" w:pos="0"/>
        </w:tabs>
        <w:overflowPunct w:val="0"/>
        <w:autoSpaceDE w:val="0"/>
        <w:autoSpaceDN w:val="0"/>
        <w:adjustRightInd w:val="0"/>
        <w:ind w:left="360"/>
        <w:rPr>
          <w:lang w:val="fr-BE"/>
        </w:rPr>
      </w:pPr>
    </w:p>
    <w:p w:rsidR="005D0ADC" w:rsidRPr="00994754" w:rsidRDefault="005D0ADC"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souligne également le rôle déterminant du marché unique s’agissant d’enclencher une stratégie industrielle européenne plus ambitieuse et assortie d’objectifs clairs pour 2030;</w:t>
      </w:r>
    </w:p>
    <w:p w:rsidR="005D0ADC" w:rsidRPr="00994754" w:rsidRDefault="005D0ADC" w:rsidP="00BF27A1">
      <w:pPr>
        <w:keepNext/>
        <w:tabs>
          <w:tab w:val="left" w:pos="0"/>
        </w:tabs>
        <w:overflowPunct w:val="0"/>
        <w:autoSpaceDE w:val="0"/>
        <w:autoSpaceDN w:val="0"/>
        <w:adjustRightInd w:val="0"/>
        <w:ind w:left="360"/>
        <w:rPr>
          <w:lang w:val="fr-BE"/>
        </w:rPr>
      </w:pPr>
    </w:p>
    <w:p w:rsidR="005D0ADC" w:rsidRPr="00994754" w:rsidRDefault="005D0ADC"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 xml:space="preserve">renouvelle son appel à la Commission pour qu’elle élargisse la dimension sociale de l’UE; </w:t>
      </w:r>
    </w:p>
    <w:p w:rsidR="005D0ADC" w:rsidRPr="00994754" w:rsidRDefault="005D0ADC" w:rsidP="00BF27A1">
      <w:pPr>
        <w:keepNext/>
        <w:tabs>
          <w:tab w:val="left" w:pos="0"/>
        </w:tabs>
        <w:overflowPunct w:val="0"/>
        <w:autoSpaceDE w:val="0"/>
        <w:autoSpaceDN w:val="0"/>
        <w:adjustRightInd w:val="0"/>
        <w:ind w:left="360"/>
        <w:rPr>
          <w:lang w:val="fr-BE"/>
        </w:rPr>
      </w:pPr>
    </w:p>
    <w:p w:rsidR="005D0ADC" w:rsidRPr="00994754" w:rsidRDefault="005D0ADC"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juge opportun de mettre en œuvre des politiques sociales;</w:t>
      </w:r>
    </w:p>
    <w:p w:rsidR="005D0ADC" w:rsidRPr="00994754" w:rsidRDefault="005D0ADC" w:rsidP="00BF27A1">
      <w:pPr>
        <w:keepNext/>
        <w:tabs>
          <w:tab w:val="left" w:pos="0"/>
        </w:tabs>
        <w:overflowPunct w:val="0"/>
        <w:autoSpaceDE w:val="0"/>
        <w:autoSpaceDN w:val="0"/>
        <w:adjustRightInd w:val="0"/>
        <w:ind w:left="360"/>
        <w:rPr>
          <w:lang w:val="fr-BE"/>
        </w:rPr>
      </w:pPr>
    </w:p>
    <w:p w:rsidR="005D0ADC" w:rsidRPr="00994754" w:rsidRDefault="005D0ADC"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partage l’avis de la Commission selon lequel le règlement général sur la protection des données (RGPD) joue un rôle essentiel pour garantir la confiance envers le marché unique pour ce qui est des données à caractère personnel mais il tient pour nécessaire d’adopter des mesures supplémentaires afin de mettre en place un cadre amélioré, plus clair et plus convivial pour éviter des malentendus et des charges inutiles;</w:t>
      </w:r>
    </w:p>
    <w:p w:rsidR="005D0ADC" w:rsidRPr="00994754" w:rsidRDefault="005D0ADC" w:rsidP="00BF27A1">
      <w:pPr>
        <w:keepNext/>
        <w:tabs>
          <w:tab w:val="left" w:pos="0"/>
        </w:tabs>
        <w:overflowPunct w:val="0"/>
        <w:autoSpaceDE w:val="0"/>
        <w:autoSpaceDN w:val="0"/>
        <w:adjustRightInd w:val="0"/>
        <w:ind w:left="360"/>
        <w:rPr>
          <w:lang w:val="fr-BE"/>
        </w:rPr>
      </w:pPr>
    </w:p>
    <w:p w:rsidR="005D0ADC" w:rsidRPr="00994754" w:rsidRDefault="005D0ADC"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se félicite des progrès manifestes qui ont été accomplis dans la transformation du mécanisme européen de stabilité (MES) en un Fonds monétaire européen.</w:t>
      </w:r>
    </w:p>
    <w:p w:rsidR="005D0ADC" w:rsidRPr="00994754" w:rsidRDefault="005D0ADC" w:rsidP="00BF27A1">
      <w:pPr>
        <w:rPr>
          <w:b/>
          <w:highlight w:val="lightGray"/>
          <w:lang w:val="fr-BE"/>
        </w:rPr>
      </w:pPr>
    </w:p>
    <w:p w:rsidR="005D0ADC" w:rsidRPr="00994754" w:rsidRDefault="005D0ADC" w:rsidP="00BF27A1">
      <w:pPr>
        <w:tabs>
          <w:tab w:val="left" w:pos="1701"/>
        </w:tabs>
        <w:rPr>
          <w:i/>
          <w:lang w:val="fr-BE"/>
        </w:rPr>
      </w:pPr>
      <w:r w:rsidRPr="00994754">
        <w:rPr>
          <w:b/>
          <w:i/>
          <w:lang w:val="fr-BE"/>
        </w:rPr>
        <w:t>Contact:</w:t>
      </w:r>
      <w:r w:rsidRPr="00994754">
        <w:rPr>
          <w:lang w:val="fr-BE"/>
        </w:rPr>
        <w:tab/>
      </w:r>
      <w:r w:rsidRPr="00994754">
        <w:rPr>
          <w:i/>
          <w:lang w:val="fr-BE"/>
        </w:rPr>
        <w:t>M</w:t>
      </w:r>
      <w:r w:rsidRPr="00994754">
        <w:rPr>
          <w:i/>
          <w:vertAlign w:val="superscript"/>
          <w:lang w:val="fr-BE"/>
        </w:rPr>
        <w:t>me</w:t>
      </w:r>
      <w:r w:rsidRPr="00994754">
        <w:rPr>
          <w:i/>
          <w:lang w:val="fr-BE"/>
        </w:rPr>
        <w:t> Claudia Drewes-Wran</w:t>
      </w:r>
    </w:p>
    <w:p w:rsidR="005D0ADC" w:rsidRPr="00994754" w:rsidRDefault="005D0ADC" w:rsidP="00BF27A1">
      <w:pPr>
        <w:tabs>
          <w:tab w:val="left" w:pos="1701"/>
        </w:tabs>
        <w:rPr>
          <w:i/>
          <w:lang w:val="fr-BE"/>
        </w:rPr>
      </w:pPr>
      <w:r w:rsidRPr="00994754">
        <w:rPr>
          <w:i/>
          <w:lang w:val="fr-BE"/>
        </w:rPr>
        <w:tab/>
        <w:t xml:space="preserve">(Tél.: 00 32 2 546 80 67 – courriel: </w:t>
      </w:r>
      <w:hyperlink r:id="rId23" w:history="1">
        <w:r w:rsidRPr="00994754">
          <w:rPr>
            <w:rStyle w:val="Hyperlink"/>
            <w:i/>
            <w:lang w:val="fr-BE"/>
          </w:rPr>
          <w:t>claudia.drewes-wran@eesc.europa.eu</w:t>
        </w:r>
      </w:hyperlink>
      <w:r w:rsidRPr="00994754">
        <w:rPr>
          <w:i/>
          <w:lang w:val="fr-BE"/>
        </w:rPr>
        <w:t>)</w:t>
      </w:r>
    </w:p>
    <w:p w:rsidR="00E04420" w:rsidRPr="00994754" w:rsidRDefault="00E04420" w:rsidP="00BF27A1">
      <w:pPr>
        <w:tabs>
          <w:tab w:val="left" w:pos="1701"/>
        </w:tabs>
        <w:rPr>
          <w:i/>
          <w:lang w:val="fr-BE"/>
        </w:rPr>
      </w:pPr>
    </w:p>
    <w:p w:rsidR="001355B2" w:rsidRPr="00994754" w:rsidRDefault="001355B2">
      <w:pPr>
        <w:spacing w:line="240" w:lineRule="auto"/>
        <w:jc w:val="left"/>
        <w:rPr>
          <w:b/>
          <w:u w:val="single"/>
          <w:lang w:val="fr-BE"/>
        </w:rPr>
      </w:pPr>
      <w:r w:rsidRPr="00994754">
        <w:rPr>
          <w:lang w:val="fr-BE"/>
        </w:rPr>
        <w:br w:type="page"/>
      </w:r>
    </w:p>
    <w:p w:rsidR="008262D3" w:rsidRPr="00994754" w:rsidRDefault="008262D3" w:rsidP="00033B39">
      <w:pPr>
        <w:keepNext/>
        <w:tabs>
          <w:tab w:val="left" w:pos="1701"/>
        </w:tabs>
        <w:rPr>
          <w:i/>
          <w:lang w:val="fr-BE"/>
        </w:rPr>
      </w:pPr>
      <w:r w:rsidRPr="00994754">
        <w:rPr>
          <w:b/>
          <w:u w:val="single"/>
          <w:lang w:val="fr-BE"/>
        </w:rPr>
        <w:lastRenderedPageBreak/>
        <w:t>INT/877</w:t>
      </w:r>
    </w:p>
    <w:p w:rsidR="00B15573" w:rsidRPr="00994754" w:rsidRDefault="00B15573" w:rsidP="00033B39">
      <w:pPr>
        <w:keepNext/>
        <w:tabs>
          <w:tab w:val="left" w:pos="1701"/>
        </w:tabs>
        <w:rPr>
          <w:i/>
          <w:lang w:val="fr-BE"/>
        </w:rPr>
      </w:pPr>
    </w:p>
    <w:p w:rsidR="00E04420" w:rsidRPr="00994754" w:rsidRDefault="00E04420" w:rsidP="00033B39">
      <w:pPr>
        <w:pStyle w:val="ListParagraph"/>
        <w:keepNext/>
        <w:numPr>
          <w:ilvl w:val="0"/>
          <w:numId w:val="53"/>
        </w:numPr>
        <w:tabs>
          <w:tab w:val="clear" w:pos="0"/>
        </w:tabs>
        <w:ind w:left="567" w:hanging="567"/>
        <w:rPr>
          <w:b/>
          <w:i/>
          <w:sz w:val="28"/>
          <w:szCs w:val="28"/>
          <w:lang w:val="fr-BE"/>
        </w:rPr>
      </w:pPr>
      <w:r w:rsidRPr="00994754">
        <w:rPr>
          <w:b/>
          <w:i/>
          <w:sz w:val="28"/>
          <w:szCs w:val="28"/>
          <w:lang w:val="fr-BE"/>
        </w:rPr>
        <w:t>Plan coordonné sur l’intelligence artificielle</w:t>
      </w:r>
    </w:p>
    <w:p w:rsidR="00E04420" w:rsidRPr="00994754" w:rsidRDefault="00E04420" w:rsidP="00033B39">
      <w:pPr>
        <w:keepNext/>
        <w:rPr>
          <w:b/>
          <w:i/>
          <w:sz w:val="28"/>
          <w:szCs w:val="28"/>
          <w:lang w:val="fr-BE"/>
        </w:rPr>
      </w:pPr>
    </w:p>
    <w:p w:rsidR="00E04420" w:rsidRPr="00994754" w:rsidRDefault="00E04420" w:rsidP="00BF27A1">
      <w:pPr>
        <w:tabs>
          <w:tab w:val="left" w:pos="1701"/>
        </w:tabs>
        <w:rPr>
          <w:lang w:val="fr-BE"/>
        </w:rPr>
      </w:pPr>
      <w:r w:rsidRPr="00994754">
        <w:rPr>
          <w:b/>
          <w:lang w:val="fr-BE"/>
        </w:rPr>
        <w:t>Rapporteure:</w:t>
      </w:r>
      <w:r w:rsidRPr="00994754">
        <w:rPr>
          <w:lang w:val="fr-BE"/>
        </w:rPr>
        <w:t xml:space="preserve"> </w:t>
      </w:r>
      <w:r w:rsidRPr="00994754">
        <w:rPr>
          <w:lang w:val="fr-BE"/>
        </w:rPr>
        <w:tab/>
        <w:t>M</w:t>
      </w:r>
      <w:r w:rsidRPr="00994754">
        <w:rPr>
          <w:vertAlign w:val="superscript"/>
          <w:lang w:val="fr-BE"/>
        </w:rPr>
        <w:t>me</w:t>
      </w:r>
      <w:r w:rsidRPr="00994754">
        <w:rPr>
          <w:lang w:val="fr-BE"/>
        </w:rPr>
        <w:t> Tellervo KYLÄ-HARAKKA-RUONALA (groupe des employeurs – Finlande)</w:t>
      </w:r>
    </w:p>
    <w:p w:rsidR="00135611" w:rsidRPr="00994754" w:rsidRDefault="00135611" w:rsidP="00BF27A1">
      <w:pPr>
        <w:tabs>
          <w:tab w:val="center" w:pos="284"/>
          <w:tab w:val="left" w:pos="1701"/>
        </w:tabs>
        <w:ind w:left="266" w:hanging="266"/>
        <w:rPr>
          <w:b/>
          <w:lang w:val="fr-BE"/>
        </w:rPr>
      </w:pPr>
    </w:p>
    <w:p w:rsidR="00E04420" w:rsidRPr="00994754" w:rsidRDefault="00E04420" w:rsidP="00BF27A1">
      <w:pPr>
        <w:tabs>
          <w:tab w:val="center" w:pos="284"/>
          <w:tab w:val="left" w:pos="1701"/>
        </w:tabs>
        <w:ind w:left="266" w:hanging="266"/>
        <w:rPr>
          <w:lang w:val="fr-BE"/>
        </w:rPr>
      </w:pPr>
      <w:r w:rsidRPr="00994754">
        <w:rPr>
          <w:b/>
          <w:lang w:val="fr-BE"/>
        </w:rPr>
        <w:t>Références:</w:t>
      </w:r>
      <w:r w:rsidRPr="00994754">
        <w:rPr>
          <w:b/>
          <w:lang w:val="fr-BE"/>
        </w:rPr>
        <w:tab/>
      </w:r>
      <w:r w:rsidRPr="00994754">
        <w:rPr>
          <w:lang w:val="fr-BE"/>
        </w:rPr>
        <w:t>COM(2018) 795 final</w:t>
      </w:r>
    </w:p>
    <w:p w:rsidR="00E04420" w:rsidRPr="00994754" w:rsidRDefault="00E04420" w:rsidP="00BF27A1">
      <w:pPr>
        <w:tabs>
          <w:tab w:val="center" w:pos="284"/>
          <w:tab w:val="left" w:pos="1701"/>
        </w:tabs>
        <w:ind w:left="266" w:hanging="266"/>
        <w:rPr>
          <w:lang w:val="fr-BE"/>
        </w:rPr>
      </w:pPr>
      <w:r w:rsidRPr="00994754">
        <w:rPr>
          <w:lang w:val="fr-BE"/>
        </w:rPr>
        <w:tab/>
      </w:r>
      <w:r w:rsidRPr="00994754">
        <w:rPr>
          <w:lang w:val="fr-BE"/>
        </w:rPr>
        <w:tab/>
      </w:r>
      <w:r w:rsidRPr="00994754">
        <w:rPr>
          <w:lang w:val="fr-BE"/>
        </w:rPr>
        <w:tab/>
        <w:t>EESC-2018-05386-00-00-AC</w:t>
      </w:r>
    </w:p>
    <w:p w:rsidR="00E04420" w:rsidRPr="00994754" w:rsidRDefault="00E04420" w:rsidP="00BF27A1">
      <w:pPr>
        <w:tabs>
          <w:tab w:val="center" w:pos="284"/>
        </w:tabs>
        <w:ind w:left="266" w:hanging="266"/>
        <w:rPr>
          <w:szCs w:val="20"/>
          <w:lang w:val="fr-BE"/>
        </w:rPr>
      </w:pPr>
    </w:p>
    <w:p w:rsidR="00E04420" w:rsidRPr="00994754" w:rsidRDefault="00E04420" w:rsidP="00033B39">
      <w:pPr>
        <w:keepNext/>
        <w:rPr>
          <w:b/>
          <w:lang w:val="fr-BE"/>
        </w:rPr>
      </w:pPr>
      <w:r w:rsidRPr="00994754">
        <w:rPr>
          <w:b/>
          <w:lang w:val="fr-BE"/>
        </w:rPr>
        <w:t>Points clés</w:t>
      </w:r>
    </w:p>
    <w:p w:rsidR="00E04420" w:rsidRPr="00994754" w:rsidRDefault="00E04420" w:rsidP="00033B39">
      <w:pPr>
        <w:keepNext/>
        <w:rPr>
          <w:b/>
          <w:lang w:val="fr-BE"/>
        </w:rPr>
      </w:pPr>
    </w:p>
    <w:p w:rsidR="00E04420" w:rsidRPr="00994754" w:rsidRDefault="00E04420" w:rsidP="00033B39">
      <w:pPr>
        <w:keepNext/>
        <w:rPr>
          <w:lang w:val="fr-BE"/>
        </w:rPr>
      </w:pPr>
      <w:r w:rsidRPr="00994754">
        <w:rPr>
          <w:lang w:val="fr-BE"/>
        </w:rPr>
        <w:t>Le CESE:</w:t>
      </w:r>
    </w:p>
    <w:p w:rsidR="00E04420" w:rsidRPr="00994754" w:rsidRDefault="00E04420"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souligne que le développement et l’adoption de l’intelligence artificielle (IA) doivent être inclusifs à l’égard des acteurs de la société civile, notamment les entreprises, les travailleurs et les consommateurs;</w:t>
      </w:r>
    </w:p>
    <w:p w:rsidR="00E04420" w:rsidRPr="00994754" w:rsidRDefault="00E04420" w:rsidP="00BF27A1">
      <w:pPr>
        <w:keepNext/>
        <w:tabs>
          <w:tab w:val="left" w:pos="0"/>
        </w:tabs>
        <w:overflowPunct w:val="0"/>
        <w:autoSpaceDE w:val="0"/>
        <w:autoSpaceDN w:val="0"/>
        <w:adjustRightInd w:val="0"/>
        <w:ind w:left="360"/>
        <w:rPr>
          <w:lang w:val="fr-BE"/>
        </w:rPr>
      </w:pPr>
    </w:p>
    <w:p w:rsidR="00E04420" w:rsidRPr="00994754" w:rsidRDefault="00E04420"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souscrit aux initiatives visant à allouer davantage de financements à l’innovation, à l’infrastructure, à l’éducation et à la formation en lien avec l’IA, au moyen des instruments financiers de l’Union;</w:t>
      </w:r>
    </w:p>
    <w:p w:rsidR="00E04420" w:rsidRPr="00994754" w:rsidRDefault="00E04420" w:rsidP="00BF27A1">
      <w:pPr>
        <w:keepNext/>
        <w:tabs>
          <w:tab w:val="left" w:pos="0"/>
        </w:tabs>
        <w:overflowPunct w:val="0"/>
        <w:autoSpaceDE w:val="0"/>
        <w:autoSpaceDN w:val="0"/>
        <w:adjustRightInd w:val="0"/>
        <w:ind w:left="360"/>
        <w:rPr>
          <w:lang w:val="fr-BE"/>
        </w:rPr>
      </w:pPr>
    </w:p>
    <w:p w:rsidR="00E04420" w:rsidRPr="00994754" w:rsidRDefault="00E04420"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préconise la mise en place d’un environnement favorable aux entreprises, notamment un cadre stratégique et réglementaire propice et stable qui stimule l’innovation et l’investissement en matière d’IA;</w:t>
      </w:r>
    </w:p>
    <w:p w:rsidR="00E04420" w:rsidRPr="00994754" w:rsidRDefault="00E04420" w:rsidP="00BF27A1">
      <w:pPr>
        <w:keepNext/>
        <w:tabs>
          <w:tab w:val="left" w:pos="0"/>
        </w:tabs>
        <w:overflowPunct w:val="0"/>
        <w:autoSpaceDE w:val="0"/>
        <w:autoSpaceDN w:val="0"/>
        <w:adjustRightInd w:val="0"/>
        <w:ind w:left="360"/>
        <w:rPr>
          <w:lang w:val="fr-BE"/>
        </w:rPr>
      </w:pPr>
    </w:p>
    <w:p w:rsidR="00E04420" w:rsidRPr="00994754" w:rsidRDefault="00E04420"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demande instamment de faciliter l’accès aux données publiques et préconise la mise en place de conditions propices à la création de plateformes numériques européennes;</w:t>
      </w:r>
    </w:p>
    <w:p w:rsidR="00E04420" w:rsidRPr="00994754" w:rsidRDefault="00E04420" w:rsidP="00BF27A1">
      <w:pPr>
        <w:keepNext/>
        <w:tabs>
          <w:tab w:val="left" w:pos="0"/>
        </w:tabs>
        <w:overflowPunct w:val="0"/>
        <w:autoSpaceDE w:val="0"/>
        <w:autoSpaceDN w:val="0"/>
        <w:adjustRightInd w:val="0"/>
        <w:ind w:left="360"/>
        <w:rPr>
          <w:lang w:val="fr-BE"/>
        </w:rPr>
      </w:pPr>
    </w:p>
    <w:p w:rsidR="00E04420" w:rsidRPr="00994754" w:rsidRDefault="00E04420"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invite instamment les États membres à adapter leurs systèmes éducatifs à la demande de nouvelles compétences, ce qui nécessite des réformes depuis l’école primaire jusqu’à l’université;</w:t>
      </w:r>
    </w:p>
    <w:p w:rsidR="00E04420" w:rsidRPr="00994754" w:rsidRDefault="00E04420" w:rsidP="00BF27A1">
      <w:pPr>
        <w:keepNext/>
        <w:tabs>
          <w:tab w:val="left" w:pos="0"/>
        </w:tabs>
        <w:overflowPunct w:val="0"/>
        <w:autoSpaceDE w:val="0"/>
        <w:autoSpaceDN w:val="0"/>
        <w:adjustRightInd w:val="0"/>
        <w:ind w:left="360"/>
        <w:rPr>
          <w:lang w:val="fr-BE"/>
        </w:rPr>
      </w:pPr>
    </w:p>
    <w:p w:rsidR="00E04420" w:rsidRPr="00994754" w:rsidRDefault="00E04420" w:rsidP="00BF27A1">
      <w:pPr>
        <w:pStyle w:val="ListParagraph"/>
        <w:keepNext/>
        <w:numPr>
          <w:ilvl w:val="0"/>
          <w:numId w:val="35"/>
        </w:numPr>
        <w:tabs>
          <w:tab w:val="left" w:pos="0"/>
        </w:tabs>
        <w:overflowPunct w:val="0"/>
        <w:autoSpaceDE w:val="0"/>
        <w:autoSpaceDN w:val="0"/>
        <w:adjustRightInd w:val="0"/>
        <w:rPr>
          <w:lang w:val="fr-BE"/>
        </w:rPr>
      </w:pPr>
      <w:r w:rsidRPr="00994754">
        <w:rPr>
          <w:lang w:val="fr-BE"/>
        </w:rPr>
        <w:t>propose que l’Union adopte le cadre du développement durable comme ligne directrice pour le développement futur de l’IA.</w:t>
      </w:r>
    </w:p>
    <w:p w:rsidR="00E04420" w:rsidRPr="00994754" w:rsidRDefault="00E04420" w:rsidP="00BF27A1">
      <w:pPr>
        <w:rPr>
          <w:lang w:val="fr-BE"/>
        </w:rPr>
      </w:pPr>
    </w:p>
    <w:p w:rsidR="00E04420" w:rsidRPr="00994754" w:rsidRDefault="00E04420" w:rsidP="00BF27A1">
      <w:pPr>
        <w:tabs>
          <w:tab w:val="left" w:pos="1701"/>
        </w:tabs>
        <w:rPr>
          <w:i/>
          <w:lang w:val="fr-BE"/>
        </w:rPr>
      </w:pPr>
      <w:r w:rsidRPr="00994754">
        <w:rPr>
          <w:b/>
          <w:i/>
          <w:lang w:val="fr-BE"/>
        </w:rPr>
        <w:t>Contact:</w:t>
      </w:r>
      <w:r w:rsidRPr="00994754">
        <w:rPr>
          <w:lang w:val="fr-BE"/>
        </w:rPr>
        <w:tab/>
      </w:r>
      <w:r w:rsidRPr="00994754">
        <w:rPr>
          <w:i/>
          <w:lang w:val="fr-BE"/>
        </w:rPr>
        <w:t>M</w:t>
      </w:r>
      <w:r w:rsidRPr="00994754">
        <w:rPr>
          <w:i/>
          <w:vertAlign w:val="superscript"/>
          <w:lang w:val="fr-BE"/>
        </w:rPr>
        <w:t>me</w:t>
      </w:r>
      <w:r w:rsidRPr="00994754">
        <w:rPr>
          <w:i/>
          <w:lang w:val="fr-BE"/>
        </w:rPr>
        <w:t> Alice Tétu</w:t>
      </w:r>
    </w:p>
    <w:p w:rsidR="00E04420" w:rsidRPr="00994754" w:rsidRDefault="00E04420" w:rsidP="00BF27A1">
      <w:pPr>
        <w:tabs>
          <w:tab w:val="left" w:pos="1701"/>
        </w:tabs>
        <w:rPr>
          <w:lang w:val="fr-BE"/>
        </w:rPr>
      </w:pPr>
      <w:r w:rsidRPr="00994754">
        <w:rPr>
          <w:i/>
          <w:lang w:val="fr-BE"/>
        </w:rPr>
        <w:tab/>
        <w:t xml:space="preserve">(Tél.: 00 32 2 546 82 86 – courriel: </w:t>
      </w:r>
      <w:hyperlink r:id="rId24" w:history="1">
        <w:r w:rsidRPr="00994754">
          <w:rPr>
            <w:rStyle w:val="Hyperlink"/>
            <w:i/>
            <w:lang w:val="fr-BE"/>
          </w:rPr>
          <w:t>alice.tetu@eesc.europa.eu</w:t>
        </w:r>
      </w:hyperlink>
      <w:r w:rsidRPr="00994754">
        <w:rPr>
          <w:i/>
          <w:lang w:val="fr-BE"/>
        </w:rPr>
        <w:t>)</w:t>
      </w:r>
    </w:p>
    <w:p w:rsidR="00A37F3A" w:rsidRPr="00994754" w:rsidRDefault="00A37F3A" w:rsidP="00BF27A1">
      <w:pPr>
        <w:jc w:val="left"/>
        <w:rPr>
          <w:lang w:val="fr-BE"/>
        </w:rPr>
      </w:pPr>
    </w:p>
    <w:p w:rsidR="00B15573" w:rsidRPr="00994754" w:rsidRDefault="00B15573" w:rsidP="00BF27A1">
      <w:pPr>
        <w:jc w:val="left"/>
        <w:rPr>
          <w:lang w:val="fr-BE"/>
        </w:rPr>
      </w:pPr>
      <w:r w:rsidRPr="00994754">
        <w:rPr>
          <w:lang w:val="fr-BE"/>
        </w:rPr>
        <w:br w:type="page"/>
      </w:r>
    </w:p>
    <w:p w:rsidR="00314C5F" w:rsidRPr="00994754" w:rsidRDefault="00E46EC4" w:rsidP="00994754">
      <w:pPr>
        <w:pStyle w:val="Heading1"/>
        <w:keepNext/>
        <w:rPr>
          <w:b/>
          <w:lang w:val="fr-BE"/>
        </w:rPr>
      </w:pPr>
      <w:r w:rsidRPr="00994754">
        <w:rPr>
          <w:lang w:val="fr-BE"/>
        </w:rPr>
        <w:lastRenderedPageBreak/>
        <w:tab/>
      </w:r>
      <w:bookmarkStart w:id="3" w:name="_Toc11658412"/>
      <w:r w:rsidRPr="00994754">
        <w:rPr>
          <w:b/>
          <w:lang w:val="fr-BE"/>
        </w:rPr>
        <w:t>AGRICULTURE, DÉVELOPPEMENT RURAL ET ENVIRONNEMENT</w:t>
      </w:r>
      <w:bookmarkEnd w:id="3"/>
    </w:p>
    <w:p w:rsidR="00135611" w:rsidRPr="00994754" w:rsidRDefault="00135611" w:rsidP="00994754">
      <w:pPr>
        <w:keepNext/>
        <w:rPr>
          <w:lang w:val="fr-BE"/>
        </w:rPr>
      </w:pPr>
    </w:p>
    <w:p w:rsidR="008262D3" w:rsidRPr="00994754" w:rsidRDefault="008262D3" w:rsidP="00994754">
      <w:pPr>
        <w:keepNext/>
        <w:rPr>
          <w:b/>
          <w:u w:val="single"/>
          <w:lang w:val="fr-BE"/>
        </w:rPr>
      </w:pPr>
      <w:r w:rsidRPr="00994754">
        <w:rPr>
          <w:b/>
          <w:u w:val="single"/>
          <w:lang w:val="fr-BE"/>
        </w:rPr>
        <w:t>NAT/758</w:t>
      </w:r>
    </w:p>
    <w:p w:rsidR="008262D3" w:rsidRPr="00994754" w:rsidRDefault="008262D3" w:rsidP="00994754">
      <w:pPr>
        <w:keepNext/>
        <w:rPr>
          <w:lang w:val="fr-BE"/>
        </w:rPr>
      </w:pPr>
    </w:p>
    <w:p w:rsidR="00135611" w:rsidRPr="00994754" w:rsidRDefault="00135611" w:rsidP="00994754">
      <w:pPr>
        <w:pStyle w:val="ListParagraph"/>
        <w:keepNext/>
        <w:numPr>
          <w:ilvl w:val="0"/>
          <w:numId w:val="53"/>
        </w:numPr>
        <w:ind w:left="567" w:hanging="567"/>
        <w:rPr>
          <w:lang w:val="fr-BE"/>
        </w:rPr>
      </w:pPr>
      <w:r w:rsidRPr="00994754">
        <w:rPr>
          <w:b/>
          <w:bCs/>
          <w:i/>
          <w:iCs/>
          <w:sz w:val="28"/>
          <w:szCs w:val="28"/>
          <w:lang w:val="fr-BE"/>
        </w:rPr>
        <w:t>Communication relative à la mise à jour de la stratégie sur la bioéconomie de 2012</w:t>
      </w:r>
    </w:p>
    <w:p w:rsidR="00135611" w:rsidRPr="00994754" w:rsidRDefault="00135611" w:rsidP="00994754">
      <w:pPr>
        <w:keepNext/>
        <w:rPr>
          <w:lang w:val="fr-BE"/>
        </w:rPr>
      </w:pPr>
    </w:p>
    <w:p w:rsidR="00135611" w:rsidRPr="00994754" w:rsidRDefault="00135611" w:rsidP="00BF27A1">
      <w:pPr>
        <w:tabs>
          <w:tab w:val="left" w:pos="1701"/>
        </w:tabs>
        <w:rPr>
          <w:lang w:val="fr-BE"/>
        </w:rPr>
      </w:pPr>
      <w:r w:rsidRPr="00994754">
        <w:rPr>
          <w:b/>
          <w:lang w:val="fr-BE"/>
        </w:rPr>
        <w:t>Rapporteur:</w:t>
      </w:r>
      <w:r w:rsidRPr="00994754">
        <w:rPr>
          <w:lang w:val="fr-BE"/>
        </w:rPr>
        <w:tab/>
        <w:t>M. Mindaugas MACIULEVIČIUS (groupe Diversité Europe – Lituanie)</w:t>
      </w:r>
    </w:p>
    <w:p w:rsidR="00135611" w:rsidRPr="00994754" w:rsidRDefault="00135611" w:rsidP="00BF27A1">
      <w:pPr>
        <w:rPr>
          <w:lang w:val="fr-BE"/>
        </w:rPr>
      </w:pPr>
      <w:r w:rsidRPr="00994754">
        <w:rPr>
          <w:b/>
          <w:lang w:val="fr-BE"/>
        </w:rPr>
        <w:t>Corapporteur:</w:t>
      </w:r>
      <w:r w:rsidRPr="00994754">
        <w:rPr>
          <w:lang w:val="fr-BE"/>
        </w:rPr>
        <w:tab/>
        <w:t>M. Udo HEMMERLING (groupe des employeurs – Allemagne)</w:t>
      </w:r>
    </w:p>
    <w:p w:rsidR="00135611" w:rsidRPr="00994754" w:rsidRDefault="00135611" w:rsidP="00BF27A1">
      <w:pPr>
        <w:rPr>
          <w:lang w:val="fr-BE"/>
        </w:rPr>
      </w:pPr>
    </w:p>
    <w:p w:rsidR="00135611" w:rsidRPr="00994754" w:rsidRDefault="00135611" w:rsidP="00BF27A1">
      <w:pPr>
        <w:ind w:left="-5"/>
        <w:rPr>
          <w:bCs/>
          <w:lang w:val="fr-BE"/>
        </w:rPr>
      </w:pPr>
      <w:r w:rsidRPr="00994754">
        <w:rPr>
          <w:b/>
          <w:bCs/>
          <w:lang w:val="fr-BE"/>
        </w:rPr>
        <w:t>Références:</w:t>
      </w:r>
      <w:r w:rsidRPr="00994754">
        <w:rPr>
          <w:b/>
          <w:bCs/>
          <w:lang w:val="fr-BE"/>
        </w:rPr>
        <w:tab/>
      </w:r>
      <w:r w:rsidRPr="00994754">
        <w:rPr>
          <w:b/>
          <w:bCs/>
          <w:lang w:val="fr-BE"/>
        </w:rPr>
        <w:tab/>
      </w:r>
      <w:r w:rsidRPr="00994754">
        <w:rPr>
          <w:lang w:val="fr-BE"/>
        </w:rPr>
        <w:t>COM(2018) 673 final</w:t>
      </w:r>
    </w:p>
    <w:p w:rsidR="00135611" w:rsidRPr="00994754" w:rsidRDefault="00135611" w:rsidP="00BF27A1">
      <w:pPr>
        <w:ind w:left="-5"/>
        <w:rPr>
          <w:lang w:val="fr-BE"/>
        </w:rPr>
      </w:pPr>
      <w:r w:rsidRPr="00994754">
        <w:rPr>
          <w:b/>
          <w:bCs/>
          <w:lang w:val="fr-BE"/>
        </w:rPr>
        <w:tab/>
      </w:r>
      <w:r w:rsidRPr="00994754">
        <w:rPr>
          <w:b/>
          <w:bCs/>
          <w:lang w:val="fr-BE"/>
        </w:rPr>
        <w:tab/>
      </w:r>
      <w:r w:rsidRPr="00994754">
        <w:rPr>
          <w:b/>
          <w:bCs/>
          <w:lang w:val="fr-BE"/>
        </w:rPr>
        <w:tab/>
      </w:r>
      <w:r w:rsidRPr="00994754">
        <w:rPr>
          <w:b/>
          <w:bCs/>
          <w:lang w:val="fr-BE"/>
        </w:rPr>
        <w:tab/>
      </w:r>
      <w:r w:rsidRPr="00994754">
        <w:rPr>
          <w:lang w:val="fr-BE"/>
        </w:rPr>
        <w:t>EESC-2018-06204-00-00-AC</w:t>
      </w:r>
    </w:p>
    <w:p w:rsidR="00135611" w:rsidRPr="00994754" w:rsidRDefault="00135611" w:rsidP="00BF27A1">
      <w:pPr>
        <w:rPr>
          <w:b/>
          <w:lang w:val="fr-BE"/>
        </w:rPr>
      </w:pPr>
    </w:p>
    <w:p w:rsidR="00135611" w:rsidRPr="00994754" w:rsidRDefault="00135611" w:rsidP="00994754">
      <w:pPr>
        <w:keepNext/>
        <w:rPr>
          <w:lang w:val="fr-BE"/>
        </w:rPr>
      </w:pPr>
      <w:r w:rsidRPr="00994754">
        <w:rPr>
          <w:b/>
          <w:lang w:val="fr-BE"/>
        </w:rPr>
        <w:t>Points clés</w:t>
      </w:r>
    </w:p>
    <w:p w:rsidR="00D72EB4" w:rsidRPr="00994754" w:rsidRDefault="00D72EB4" w:rsidP="00994754">
      <w:pPr>
        <w:keepNext/>
        <w:jc w:val="left"/>
        <w:rPr>
          <w:iCs/>
          <w:lang w:val="fr-BE"/>
        </w:rPr>
      </w:pPr>
    </w:p>
    <w:p w:rsidR="00591C0D" w:rsidRPr="00994754" w:rsidRDefault="00591C0D" w:rsidP="00BF27A1">
      <w:pPr>
        <w:pStyle w:val="Heading2"/>
        <w:numPr>
          <w:ilvl w:val="0"/>
          <w:numId w:val="0"/>
        </w:numPr>
        <w:overflowPunct w:val="0"/>
        <w:autoSpaceDE w:val="0"/>
        <w:autoSpaceDN w:val="0"/>
        <w:adjustRightInd w:val="0"/>
        <w:textAlignment w:val="baseline"/>
        <w:rPr>
          <w:lang w:val="fr-BE"/>
        </w:rPr>
      </w:pPr>
      <w:r w:rsidRPr="00994754">
        <w:rPr>
          <w:lang w:val="fr-BE"/>
        </w:rPr>
        <w:t>Un sentiment d’urgence planétaire se fait sentir: les défis mondiaux tels que le changement climatique et la croissance démographique nous forcent instamment à trouver des substituts aux combustibles fossiles et à utiliser les bioressources d’une manière plus efficace. L’agriculture et le secteur exploitant les ressources forestières comptent parmi les grands producteurs de biomasse à des fins autres que l’alimentation humaine et animale et, en tant que tels, apportent une contribution importante à la bioéconomie. De nouvelles chaînes de valeur offrent à l’économie rurale des perspectives supplémentaires d’activités, pour opérer la transition d’un système économique fondé sur les combustibles fossiles à une bioéconomie.</w:t>
      </w:r>
    </w:p>
    <w:p w:rsidR="00591C0D" w:rsidRPr="00994754" w:rsidRDefault="00591C0D" w:rsidP="00BF27A1">
      <w:pPr>
        <w:rPr>
          <w:lang w:val="fr-BE"/>
        </w:rPr>
      </w:pPr>
    </w:p>
    <w:p w:rsidR="00591C0D" w:rsidRPr="00994754" w:rsidRDefault="00591C0D" w:rsidP="00BF27A1">
      <w:pPr>
        <w:pStyle w:val="Heading2"/>
        <w:numPr>
          <w:ilvl w:val="0"/>
          <w:numId w:val="0"/>
        </w:numPr>
        <w:overflowPunct w:val="0"/>
        <w:autoSpaceDE w:val="0"/>
        <w:autoSpaceDN w:val="0"/>
        <w:adjustRightInd w:val="0"/>
        <w:textAlignment w:val="baseline"/>
        <w:rPr>
          <w:lang w:val="fr-BE"/>
        </w:rPr>
      </w:pPr>
      <w:r w:rsidRPr="00994754">
        <w:rPr>
          <w:lang w:val="fr-BE"/>
        </w:rPr>
        <w:t>Dans ce contexte, il convient d’accorder la priorité à une meilleure prise de conscience de notre consommation en bioressources, dans la ligne des objectifs climatiques de l’accord de Paris. Il convient qu’en plus de parvenir à être mieux comprises, les activités bioéconomiques mobilisent le consommateur, en lui fournissant régulièrement des conseils et des informations afin de faciliter les changements nécessaires et d’ouvrir la voie à l’instauration de mesures de création de marchés qui stimulent encore sa confiance et encouragent les acheteurs publics à opter pour des bioproduits fabriqués dans l’UE.</w:t>
      </w:r>
    </w:p>
    <w:p w:rsidR="00591C0D" w:rsidRPr="00994754" w:rsidRDefault="00591C0D" w:rsidP="00BF27A1">
      <w:pPr>
        <w:rPr>
          <w:lang w:val="fr-BE"/>
        </w:rPr>
      </w:pPr>
    </w:p>
    <w:p w:rsidR="00591C0D" w:rsidRPr="00994754" w:rsidRDefault="00591C0D" w:rsidP="00BF27A1">
      <w:pPr>
        <w:pStyle w:val="Footer"/>
        <w:rPr>
          <w:lang w:val="fr-BE"/>
        </w:rPr>
      </w:pPr>
      <w:r w:rsidRPr="00994754">
        <w:rPr>
          <w:lang w:val="fr-BE"/>
        </w:rPr>
        <w:t>Cette démarche ouvre des possibilités au profit de la biodiversité, de l’industrie, du développement économique et de l’emploi. Le CESE salue la mise à jour de la stratégie bioéconomique de 2012, qui pose un jalon important dans la bonne direction. S’il existe une demande mondiale pour des bioproduits durables et efficaces du point de vue des ressources utilisées, il n’en reste pas moins qu’en dépit des progrès appréciables enregistrés dans la nouvelle version, certaines des mesures prévues doivent encore trouver une traduction concrète.</w:t>
      </w:r>
    </w:p>
    <w:p w:rsidR="00591C0D" w:rsidRPr="00994754" w:rsidRDefault="00591C0D" w:rsidP="00BF27A1">
      <w:pPr>
        <w:pStyle w:val="Footer"/>
        <w:rPr>
          <w:lang w:val="fr-BE"/>
        </w:rPr>
      </w:pPr>
    </w:p>
    <w:p w:rsidR="00591C0D" w:rsidRPr="00994754" w:rsidRDefault="00591C0D" w:rsidP="00BF27A1">
      <w:pPr>
        <w:pStyle w:val="ListParagraph"/>
        <w:numPr>
          <w:ilvl w:val="2"/>
          <w:numId w:val="54"/>
        </w:numPr>
        <w:overflowPunct w:val="0"/>
        <w:autoSpaceDE w:val="0"/>
        <w:autoSpaceDN w:val="0"/>
        <w:adjustRightInd w:val="0"/>
        <w:textAlignment w:val="baseline"/>
        <w:rPr>
          <w:lang w:val="fr-BE"/>
        </w:rPr>
      </w:pPr>
      <w:r w:rsidRPr="00994754">
        <w:rPr>
          <w:lang w:val="fr-BE"/>
        </w:rPr>
        <w:t>Il y a lieu d’établir des services personnalisés et souples de consultance et de conseil.</w:t>
      </w:r>
    </w:p>
    <w:p w:rsidR="00591C0D" w:rsidRPr="00994754" w:rsidRDefault="00591C0D" w:rsidP="00BF27A1">
      <w:pPr>
        <w:pStyle w:val="ListParagraph"/>
        <w:numPr>
          <w:ilvl w:val="2"/>
          <w:numId w:val="54"/>
        </w:numPr>
        <w:overflowPunct w:val="0"/>
        <w:autoSpaceDE w:val="0"/>
        <w:autoSpaceDN w:val="0"/>
        <w:adjustRightInd w:val="0"/>
        <w:contextualSpacing w:val="0"/>
        <w:textAlignment w:val="baseline"/>
        <w:rPr>
          <w:lang w:val="fr-BE"/>
        </w:rPr>
      </w:pPr>
      <w:r w:rsidRPr="00994754">
        <w:rPr>
          <w:lang w:val="fr-BE"/>
        </w:rPr>
        <w:t>La coopération entre le public et le privé devrait porter l’attention voulue aux producteurs primaires. Ce modèle pourrait être conforté par une série de mesures et instruments ressortissant à la politique agricole commune.</w:t>
      </w:r>
    </w:p>
    <w:p w:rsidR="00591C0D" w:rsidRPr="00994754" w:rsidRDefault="00591C0D" w:rsidP="00BF27A1">
      <w:pPr>
        <w:pStyle w:val="ListParagraph"/>
        <w:numPr>
          <w:ilvl w:val="2"/>
          <w:numId w:val="54"/>
        </w:numPr>
        <w:overflowPunct w:val="0"/>
        <w:autoSpaceDE w:val="0"/>
        <w:autoSpaceDN w:val="0"/>
        <w:adjustRightInd w:val="0"/>
        <w:contextualSpacing w:val="0"/>
        <w:textAlignment w:val="baseline"/>
        <w:rPr>
          <w:lang w:val="fr-BE"/>
        </w:rPr>
      </w:pPr>
      <w:r w:rsidRPr="00994754">
        <w:rPr>
          <w:lang w:val="fr-BE"/>
        </w:rPr>
        <w:lastRenderedPageBreak/>
        <w:t>Si l’on incorpore les activités touchant à la recherche, l’innovation et la bioéconomie dans une stratégie de long terme, il deviendra plus facile de soutenir le développement et la reproduction.</w:t>
      </w:r>
    </w:p>
    <w:p w:rsidR="00591C0D" w:rsidRPr="00994754" w:rsidRDefault="00591C0D" w:rsidP="00BF27A1">
      <w:pPr>
        <w:pStyle w:val="ListParagraph"/>
        <w:numPr>
          <w:ilvl w:val="2"/>
          <w:numId w:val="54"/>
        </w:numPr>
        <w:overflowPunct w:val="0"/>
        <w:autoSpaceDE w:val="0"/>
        <w:autoSpaceDN w:val="0"/>
        <w:adjustRightInd w:val="0"/>
        <w:contextualSpacing w:val="0"/>
        <w:textAlignment w:val="baseline"/>
        <w:rPr>
          <w:lang w:val="fr-BE"/>
        </w:rPr>
      </w:pPr>
      <w:r w:rsidRPr="00994754">
        <w:rPr>
          <w:lang w:val="fr-BE"/>
        </w:rPr>
        <w:t>Poursuivre l’éducation et la formation des travailleurs et des producteurs primaires constitue un enjeu crucial.</w:t>
      </w:r>
    </w:p>
    <w:p w:rsidR="00591C0D" w:rsidRPr="00994754" w:rsidRDefault="00591C0D" w:rsidP="00BF27A1">
      <w:pPr>
        <w:pStyle w:val="ListParagraph"/>
        <w:numPr>
          <w:ilvl w:val="2"/>
          <w:numId w:val="54"/>
        </w:numPr>
        <w:overflowPunct w:val="0"/>
        <w:autoSpaceDE w:val="0"/>
        <w:autoSpaceDN w:val="0"/>
        <w:adjustRightInd w:val="0"/>
        <w:contextualSpacing w:val="0"/>
        <w:textAlignment w:val="baseline"/>
        <w:rPr>
          <w:lang w:val="fr-BE"/>
        </w:rPr>
      </w:pPr>
      <w:r w:rsidRPr="00994754">
        <w:rPr>
          <w:lang w:val="fr-BE"/>
        </w:rPr>
        <w:t>Il convient d’encourager l’économie circulaire et les connexions territoriales intersectorielles, dans l’UE comme au-delà de ses frontières.</w:t>
      </w:r>
    </w:p>
    <w:p w:rsidR="00591C0D" w:rsidRPr="00994754" w:rsidRDefault="00591C0D" w:rsidP="00BF27A1">
      <w:pPr>
        <w:pStyle w:val="ListParagraph"/>
        <w:numPr>
          <w:ilvl w:val="2"/>
          <w:numId w:val="54"/>
        </w:numPr>
        <w:overflowPunct w:val="0"/>
        <w:autoSpaceDE w:val="0"/>
        <w:autoSpaceDN w:val="0"/>
        <w:adjustRightInd w:val="0"/>
        <w:contextualSpacing w:val="0"/>
        <w:textAlignment w:val="baseline"/>
        <w:rPr>
          <w:lang w:val="fr-BE"/>
        </w:rPr>
      </w:pPr>
      <w:r w:rsidRPr="00994754">
        <w:rPr>
          <w:lang w:val="fr-BE"/>
        </w:rPr>
        <w:t>Tous les États membres se doivent d’intégrer une stratégie bioéconomique globale dans leurs politiques et programmes.</w:t>
      </w:r>
    </w:p>
    <w:p w:rsidR="00591C0D" w:rsidRPr="00994754" w:rsidRDefault="00591C0D" w:rsidP="00BF27A1">
      <w:pPr>
        <w:pStyle w:val="ListParagraph"/>
        <w:numPr>
          <w:ilvl w:val="2"/>
          <w:numId w:val="54"/>
        </w:numPr>
        <w:overflowPunct w:val="0"/>
        <w:autoSpaceDE w:val="0"/>
        <w:autoSpaceDN w:val="0"/>
        <w:adjustRightInd w:val="0"/>
        <w:contextualSpacing w:val="0"/>
        <w:textAlignment w:val="baseline"/>
        <w:rPr>
          <w:lang w:val="fr-BE"/>
        </w:rPr>
      </w:pPr>
      <w:r w:rsidRPr="00994754">
        <w:rPr>
          <w:lang w:val="fr-BE"/>
        </w:rPr>
        <w:t>L’Union devrait s’efforcer de parvenir à un système mondial de tarification des émissions de carbone.</w:t>
      </w:r>
    </w:p>
    <w:p w:rsidR="00591C0D" w:rsidRPr="00994754" w:rsidRDefault="00591C0D" w:rsidP="00BF27A1">
      <w:pPr>
        <w:pStyle w:val="ListParagraph"/>
        <w:ind w:left="1224"/>
        <w:rPr>
          <w:lang w:val="fr-BE"/>
        </w:rPr>
      </w:pPr>
    </w:p>
    <w:p w:rsidR="00135611" w:rsidRPr="00994754" w:rsidRDefault="00591C0D" w:rsidP="00BF27A1">
      <w:pPr>
        <w:pStyle w:val="Heading2"/>
        <w:numPr>
          <w:ilvl w:val="0"/>
          <w:numId w:val="0"/>
        </w:numPr>
        <w:rPr>
          <w:lang w:val="fr-BE"/>
        </w:rPr>
      </w:pPr>
      <w:r w:rsidRPr="00994754">
        <w:rPr>
          <w:lang w:val="fr-BE"/>
        </w:rPr>
        <w:t>Pour une «nouvelle» bioéconomie, il est essentiel de respecter les principes de durabilité, et les ressources naturelles doivent être préservées, afin de rester productives. Dans ce domaine, la bioéconomie se doit de se conformer à des critères de durabilité. Pour éviter des distorsions dommageables pour l’environnement, l’économie et la société, il conviendra que les mêmes règles s’appliquent à la biomasse qui provient de l’Union européenne et à celle venue de l’extérieur de ses frontières.</w:t>
      </w:r>
    </w:p>
    <w:p w:rsidR="00135611" w:rsidRPr="00994754" w:rsidRDefault="00135611" w:rsidP="00BF27A1">
      <w:pPr>
        <w:ind w:left="-567"/>
        <w:rPr>
          <w:b/>
          <w:iCs/>
          <w:highlight w:val="yellow"/>
          <w:u w:val="single"/>
          <w:lang w:val="fr-BE"/>
        </w:rPr>
      </w:pPr>
    </w:p>
    <w:p w:rsidR="00135611" w:rsidRPr="00994754" w:rsidRDefault="00135611" w:rsidP="00BF27A1">
      <w:pPr>
        <w:tabs>
          <w:tab w:val="left" w:pos="1701"/>
        </w:tabs>
        <w:rPr>
          <w:i/>
          <w:iCs/>
          <w:lang w:val="fr-BE"/>
        </w:rPr>
      </w:pPr>
      <w:r w:rsidRPr="00994754">
        <w:rPr>
          <w:b/>
          <w:bCs/>
          <w:i/>
          <w:iCs/>
          <w:lang w:val="fr-BE"/>
        </w:rPr>
        <w:t>Contact:</w:t>
      </w:r>
      <w:r w:rsidRPr="00994754">
        <w:rPr>
          <w:b/>
          <w:bCs/>
          <w:i/>
          <w:iCs/>
          <w:lang w:val="fr-BE"/>
        </w:rPr>
        <w:tab/>
      </w:r>
      <w:r w:rsidRPr="00994754">
        <w:rPr>
          <w:i/>
          <w:lang w:val="fr-BE"/>
        </w:rPr>
        <w:t>M</w:t>
      </w:r>
      <w:r w:rsidRPr="00994754">
        <w:rPr>
          <w:i/>
          <w:vertAlign w:val="superscript"/>
          <w:lang w:val="fr-BE"/>
        </w:rPr>
        <w:t>me</w:t>
      </w:r>
      <w:r w:rsidRPr="00994754">
        <w:rPr>
          <w:i/>
          <w:lang w:val="fr-BE"/>
        </w:rPr>
        <w:t xml:space="preserve"> Laura Broomfield </w:t>
      </w:r>
    </w:p>
    <w:p w:rsidR="00135611" w:rsidRPr="00994754" w:rsidRDefault="00135611" w:rsidP="00BF27A1">
      <w:pPr>
        <w:tabs>
          <w:tab w:val="left" w:pos="1701"/>
        </w:tabs>
        <w:jc w:val="left"/>
        <w:rPr>
          <w:i/>
          <w:iCs/>
          <w:lang w:val="fr-BE"/>
        </w:rPr>
      </w:pPr>
      <w:r w:rsidRPr="00994754">
        <w:rPr>
          <w:i/>
          <w:iCs/>
          <w:lang w:val="fr-BE"/>
        </w:rPr>
        <w:tab/>
        <w:t xml:space="preserve">(Tél.: 00 32 2 546 82 58– courriel: </w:t>
      </w:r>
      <w:hyperlink r:id="rId25" w:history="1">
        <w:r w:rsidRPr="00994754">
          <w:rPr>
            <w:rStyle w:val="Hyperlink"/>
            <w:i/>
            <w:iCs/>
            <w:lang w:val="fr-BE"/>
          </w:rPr>
          <w:t>Laura.Broomfield@eesc.europa.eu</w:t>
        </w:r>
      </w:hyperlink>
      <w:r w:rsidRPr="00994754">
        <w:rPr>
          <w:i/>
          <w:iCs/>
          <w:lang w:val="fr-BE"/>
        </w:rPr>
        <w:t>)</w:t>
      </w:r>
    </w:p>
    <w:p w:rsidR="00135611" w:rsidRPr="00994754" w:rsidRDefault="00135611" w:rsidP="00BF27A1">
      <w:pPr>
        <w:tabs>
          <w:tab w:val="left" w:pos="1701"/>
        </w:tabs>
        <w:jc w:val="left"/>
        <w:rPr>
          <w:iCs/>
          <w:lang w:val="fr-BE"/>
        </w:rPr>
      </w:pPr>
    </w:p>
    <w:p w:rsidR="00B15573" w:rsidRPr="00994754" w:rsidRDefault="008262D3" w:rsidP="00BF27A1">
      <w:pPr>
        <w:tabs>
          <w:tab w:val="left" w:pos="1701"/>
        </w:tabs>
        <w:jc w:val="left"/>
        <w:rPr>
          <w:b/>
          <w:iCs/>
          <w:u w:val="single"/>
          <w:lang w:val="fr-BE"/>
        </w:rPr>
      </w:pPr>
      <w:r w:rsidRPr="00994754">
        <w:rPr>
          <w:b/>
          <w:iCs/>
          <w:u w:val="single"/>
          <w:lang w:val="fr-BE"/>
        </w:rPr>
        <w:t>NAT/772</w:t>
      </w:r>
    </w:p>
    <w:p w:rsidR="008262D3" w:rsidRPr="00994754" w:rsidRDefault="008262D3" w:rsidP="00815ACE">
      <w:pPr>
        <w:keepNext/>
        <w:tabs>
          <w:tab w:val="left" w:pos="1701"/>
        </w:tabs>
        <w:jc w:val="left"/>
        <w:rPr>
          <w:iCs/>
          <w:lang w:val="fr-BE"/>
        </w:rPr>
      </w:pPr>
    </w:p>
    <w:p w:rsidR="00135611" w:rsidRPr="00994754" w:rsidRDefault="00135611" w:rsidP="00815ACE">
      <w:pPr>
        <w:pStyle w:val="ListParagraph"/>
        <w:keepNext/>
        <w:numPr>
          <w:ilvl w:val="0"/>
          <w:numId w:val="53"/>
        </w:numPr>
        <w:tabs>
          <w:tab w:val="left" w:pos="1701"/>
        </w:tabs>
        <w:ind w:left="567" w:hanging="567"/>
        <w:jc w:val="left"/>
        <w:rPr>
          <w:iCs/>
          <w:lang w:val="fr-BE"/>
        </w:rPr>
      </w:pPr>
      <w:r w:rsidRPr="00994754">
        <w:rPr>
          <w:b/>
          <w:bCs/>
          <w:i/>
          <w:iCs/>
          <w:sz w:val="28"/>
          <w:szCs w:val="28"/>
          <w:lang w:val="fr-BE"/>
        </w:rPr>
        <w:t>Système mondial de collecte des données relatives à la consommation de fuel-oil des navires</w:t>
      </w:r>
    </w:p>
    <w:p w:rsidR="00135611" w:rsidRPr="00994754" w:rsidRDefault="00135611" w:rsidP="00815ACE">
      <w:pPr>
        <w:keepNext/>
        <w:tabs>
          <w:tab w:val="left" w:pos="1701"/>
        </w:tabs>
        <w:jc w:val="left"/>
        <w:rPr>
          <w:iCs/>
          <w:lang w:val="fr-BE"/>
        </w:rPr>
      </w:pPr>
    </w:p>
    <w:p w:rsidR="00135611" w:rsidRPr="00994754" w:rsidRDefault="00135611" w:rsidP="00BF27A1">
      <w:pPr>
        <w:tabs>
          <w:tab w:val="left" w:pos="1701"/>
        </w:tabs>
        <w:rPr>
          <w:lang w:val="fr-BE"/>
        </w:rPr>
      </w:pPr>
      <w:r w:rsidRPr="00994754">
        <w:rPr>
          <w:b/>
          <w:lang w:val="fr-BE"/>
        </w:rPr>
        <w:t>Rapporteur:</w:t>
      </w:r>
      <w:r w:rsidRPr="00994754">
        <w:rPr>
          <w:lang w:val="fr-BE"/>
        </w:rPr>
        <w:tab/>
        <w:t>M. Constantine CATSAMBIS (groupe des employeurs – Grèce)</w:t>
      </w:r>
    </w:p>
    <w:p w:rsidR="00135611" w:rsidRPr="00994754" w:rsidRDefault="00135611" w:rsidP="00BF27A1">
      <w:pPr>
        <w:rPr>
          <w:lang w:val="fr-BE"/>
        </w:rPr>
      </w:pPr>
    </w:p>
    <w:p w:rsidR="00135611" w:rsidRPr="00994754" w:rsidRDefault="00135611" w:rsidP="00BF27A1">
      <w:pPr>
        <w:ind w:left="-5"/>
        <w:rPr>
          <w:bCs/>
          <w:lang w:val="fr-BE"/>
        </w:rPr>
      </w:pPr>
      <w:r w:rsidRPr="00994754">
        <w:rPr>
          <w:b/>
          <w:bCs/>
          <w:lang w:val="fr-BE"/>
        </w:rPr>
        <w:t>Références:</w:t>
      </w:r>
      <w:r w:rsidRPr="00994754">
        <w:rPr>
          <w:b/>
          <w:bCs/>
          <w:lang w:val="fr-BE"/>
        </w:rPr>
        <w:tab/>
      </w:r>
      <w:r w:rsidRPr="00994754">
        <w:rPr>
          <w:b/>
          <w:bCs/>
          <w:lang w:val="fr-BE"/>
        </w:rPr>
        <w:tab/>
      </w:r>
      <w:r w:rsidRPr="00994754">
        <w:rPr>
          <w:lang w:val="fr-BE"/>
        </w:rPr>
        <w:t>COM(2019) 38 final – 2019/0017(COD)</w:t>
      </w:r>
    </w:p>
    <w:p w:rsidR="00135611" w:rsidRPr="00994754" w:rsidRDefault="00135611" w:rsidP="00BF27A1">
      <w:pPr>
        <w:ind w:left="-5"/>
        <w:rPr>
          <w:lang w:val="fr-BE"/>
        </w:rPr>
      </w:pPr>
      <w:r w:rsidRPr="00994754">
        <w:rPr>
          <w:b/>
          <w:bCs/>
          <w:lang w:val="fr-BE"/>
        </w:rPr>
        <w:tab/>
      </w:r>
      <w:r w:rsidRPr="00994754">
        <w:rPr>
          <w:b/>
          <w:bCs/>
          <w:lang w:val="fr-BE"/>
        </w:rPr>
        <w:tab/>
      </w:r>
      <w:r w:rsidRPr="00994754">
        <w:rPr>
          <w:b/>
          <w:bCs/>
          <w:lang w:val="fr-BE"/>
        </w:rPr>
        <w:tab/>
      </w:r>
      <w:r w:rsidRPr="00994754">
        <w:rPr>
          <w:b/>
          <w:bCs/>
          <w:lang w:val="fr-BE"/>
        </w:rPr>
        <w:tab/>
      </w:r>
      <w:r w:rsidRPr="00994754">
        <w:rPr>
          <w:lang w:val="fr-BE"/>
        </w:rPr>
        <w:t>EESC-2019-01686-00-00-AC</w:t>
      </w:r>
    </w:p>
    <w:p w:rsidR="00135611" w:rsidRPr="00994754" w:rsidRDefault="00135611" w:rsidP="00BF27A1">
      <w:pPr>
        <w:tabs>
          <w:tab w:val="left" w:pos="1701"/>
        </w:tabs>
        <w:jc w:val="left"/>
        <w:rPr>
          <w:b/>
          <w:lang w:val="fr-BE"/>
        </w:rPr>
      </w:pPr>
    </w:p>
    <w:p w:rsidR="00135611" w:rsidRPr="00994754" w:rsidRDefault="00135611" w:rsidP="00994754">
      <w:pPr>
        <w:keepNext/>
        <w:tabs>
          <w:tab w:val="left" w:pos="1701"/>
        </w:tabs>
        <w:jc w:val="left"/>
        <w:rPr>
          <w:b/>
          <w:lang w:val="fr-BE"/>
        </w:rPr>
      </w:pPr>
      <w:r w:rsidRPr="00994754">
        <w:rPr>
          <w:b/>
          <w:lang w:val="fr-BE"/>
        </w:rPr>
        <w:t>Points clés</w:t>
      </w:r>
    </w:p>
    <w:p w:rsidR="00135611" w:rsidRPr="00994754" w:rsidRDefault="00135611" w:rsidP="00994754">
      <w:pPr>
        <w:keepNext/>
        <w:tabs>
          <w:tab w:val="left" w:pos="1701"/>
        </w:tabs>
        <w:jc w:val="left"/>
        <w:rPr>
          <w:b/>
          <w:lang w:val="fr-BE"/>
        </w:rPr>
      </w:pPr>
    </w:p>
    <w:p w:rsidR="00591C0D" w:rsidRPr="00994754" w:rsidRDefault="00591C0D" w:rsidP="00BF27A1">
      <w:pPr>
        <w:keepLines/>
        <w:rPr>
          <w:lang w:val="fr-BE"/>
        </w:rPr>
      </w:pPr>
      <w:r w:rsidRPr="00994754">
        <w:rPr>
          <w:lang w:val="fr-BE"/>
        </w:rPr>
        <w:t>Le CESE est d’avis que l’alignement partiel proposé entraînera des obligations de surveillance et de déclaration doubles, contraignantes et inefficaces, les obligations de déclaration demeurant régies par deux systèmes distincts, à savoir un système régional (le règlement MRV de l’UE) et un autre mondial (OMI). En conséquence, les navires devront respecter aussi bien les obligations de surveillance et de présentation de rapports prévues par le règlement MRV de l’UE que celles prévues par le système mondial de collecte de données de l’OMI. Les modèles de déclaration de l’UE et de l’OMI sont différents, ce qui accroît la charge de travail, la charge administrative et les coûts pour les équipages des navires et le secteur du transport maritime.</w:t>
      </w:r>
    </w:p>
    <w:p w:rsidR="00591C0D" w:rsidRPr="00994754" w:rsidRDefault="00591C0D" w:rsidP="00BF27A1">
      <w:pPr>
        <w:keepLines/>
        <w:rPr>
          <w:lang w:val="fr-BE"/>
        </w:rPr>
      </w:pPr>
    </w:p>
    <w:p w:rsidR="00135611" w:rsidRPr="00994754" w:rsidRDefault="00591C0D" w:rsidP="00BF27A1">
      <w:pPr>
        <w:keepLines/>
        <w:rPr>
          <w:lang w:val="fr-BE"/>
        </w:rPr>
      </w:pPr>
      <w:r w:rsidRPr="00994754">
        <w:rPr>
          <w:lang w:val="fr-BE"/>
        </w:rPr>
        <w:lastRenderedPageBreak/>
        <w:t>L’alignement complet du règlement MRV de l’UE sur le système mondial de collecte de données de l’OMI faciliterait non seulement la création d’une base de données unique et fiable à l’échelon international pour les émissions de CO</w:t>
      </w:r>
      <w:r w:rsidRPr="00994754">
        <w:rPr>
          <w:vertAlign w:val="subscript"/>
          <w:lang w:val="fr-BE"/>
        </w:rPr>
        <w:t>2</w:t>
      </w:r>
      <w:r w:rsidRPr="00994754">
        <w:rPr>
          <w:lang w:val="fr-BE"/>
        </w:rPr>
        <w:t xml:space="preserve"> des navires, mais serait également conforme au programme de la Commission européenne pour une meilleure réglementation, qui vise une réglementation mieux ciblée, en mesure d’atteindre ses objectifs et bénéfique pour l’économie européenne à un coût minimal. Un tel alignement garantirait également des conditions de concurrence équitables au niveau international pour la flotte européenne.</w:t>
      </w:r>
    </w:p>
    <w:p w:rsidR="00135611" w:rsidRPr="00994754" w:rsidRDefault="00135611" w:rsidP="00BF27A1">
      <w:pPr>
        <w:rPr>
          <w:lang w:val="fr-BE"/>
        </w:rPr>
      </w:pPr>
    </w:p>
    <w:p w:rsidR="00135611" w:rsidRPr="00994754" w:rsidRDefault="00135611" w:rsidP="00BF27A1">
      <w:pPr>
        <w:tabs>
          <w:tab w:val="left" w:pos="770"/>
        </w:tabs>
        <w:ind w:left="1701" w:hanging="1701"/>
        <w:rPr>
          <w:i/>
          <w:iCs/>
          <w:lang w:val="fr-BE"/>
        </w:rPr>
      </w:pPr>
      <w:r w:rsidRPr="00994754">
        <w:rPr>
          <w:b/>
          <w:bCs/>
          <w:i/>
          <w:iCs/>
          <w:lang w:val="fr-BE"/>
        </w:rPr>
        <w:t>Contact:</w:t>
      </w:r>
      <w:r w:rsidRPr="00994754">
        <w:rPr>
          <w:b/>
          <w:bCs/>
          <w:i/>
          <w:iCs/>
          <w:lang w:val="fr-BE"/>
        </w:rPr>
        <w:tab/>
      </w:r>
      <w:r w:rsidRPr="00994754">
        <w:rPr>
          <w:bCs/>
          <w:i/>
          <w:iCs/>
          <w:lang w:val="fr-BE"/>
        </w:rPr>
        <w:t>M. Conrad Ganslandt</w:t>
      </w:r>
    </w:p>
    <w:p w:rsidR="00135611" w:rsidRPr="00994754" w:rsidRDefault="00135611" w:rsidP="00BF27A1">
      <w:pPr>
        <w:tabs>
          <w:tab w:val="left" w:pos="1701"/>
        </w:tabs>
        <w:jc w:val="left"/>
        <w:rPr>
          <w:iCs/>
          <w:lang w:val="fr-BE"/>
        </w:rPr>
      </w:pPr>
      <w:r w:rsidRPr="00994754">
        <w:rPr>
          <w:i/>
          <w:iCs/>
          <w:lang w:val="fr-BE"/>
        </w:rPr>
        <w:tab/>
        <w:t xml:space="preserve">(Tél.: 00 32 2 546 82 75 – courriel: </w:t>
      </w:r>
      <w:hyperlink r:id="rId26" w:history="1">
        <w:r w:rsidRPr="00994754">
          <w:rPr>
            <w:rStyle w:val="Hyperlink"/>
            <w:i/>
            <w:iCs/>
            <w:lang w:val="fr-BE"/>
          </w:rPr>
          <w:t>Conrad.Ganslandt</w:t>
        </w:r>
        <w:r w:rsidRPr="00994754">
          <w:rPr>
            <w:rStyle w:val="Hyperlink"/>
            <w:lang w:val="fr-BE"/>
          </w:rPr>
          <w:t>@eesc.europa.eu</w:t>
        </w:r>
      </w:hyperlink>
      <w:r w:rsidRPr="00994754">
        <w:rPr>
          <w:i/>
          <w:iCs/>
          <w:lang w:val="fr-BE"/>
        </w:rPr>
        <w:t>)</w:t>
      </w:r>
    </w:p>
    <w:p w:rsidR="00B15573" w:rsidRPr="00994754" w:rsidRDefault="00B15573" w:rsidP="00BF27A1">
      <w:pPr>
        <w:jc w:val="left"/>
        <w:rPr>
          <w:iCs/>
          <w:lang w:val="fr-BE"/>
        </w:rPr>
      </w:pPr>
      <w:r w:rsidRPr="00994754">
        <w:rPr>
          <w:lang w:val="fr-BE"/>
        </w:rPr>
        <w:br w:type="page"/>
      </w:r>
    </w:p>
    <w:p w:rsidR="00387229" w:rsidRPr="00994754" w:rsidRDefault="00E46EC4" w:rsidP="00437F39">
      <w:pPr>
        <w:pStyle w:val="Heading1"/>
        <w:keepNext/>
        <w:rPr>
          <w:b/>
          <w:lang w:val="fr-BE"/>
        </w:rPr>
      </w:pPr>
      <w:bookmarkStart w:id="4" w:name="_Toc514234507"/>
      <w:bookmarkStart w:id="5" w:name="_Toc514234754"/>
      <w:bookmarkStart w:id="6" w:name="_Toc514235001"/>
      <w:bookmarkStart w:id="7" w:name="_Toc514235125"/>
      <w:bookmarkStart w:id="8" w:name="_Toc514235248"/>
      <w:bookmarkStart w:id="9" w:name="_Toc514235368"/>
      <w:bookmarkStart w:id="10" w:name="_Toc514235486"/>
      <w:bookmarkStart w:id="11" w:name="_Toc514235604"/>
      <w:bookmarkStart w:id="12" w:name="_Toc514235720"/>
      <w:bookmarkStart w:id="13" w:name="_Toc514234508"/>
      <w:bookmarkStart w:id="14" w:name="_Toc514234755"/>
      <w:bookmarkStart w:id="15" w:name="_Toc514235002"/>
      <w:bookmarkStart w:id="16" w:name="_Toc514235126"/>
      <w:bookmarkStart w:id="17" w:name="_Toc514235249"/>
      <w:bookmarkStart w:id="18" w:name="_Toc514235369"/>
      <w:bookmarkStart w:id="19" w:name="_Toc514235487"/>
      <w:bookmarkStart w:id="20" w:name="_Toc514235605"/>
      <w:bookmarkStart w:id="21" w:name="_Toc514235721"/>
      <w:bookmarkStart w:id="22" w:name="_Toc514234509"/>
      <w:bookmarkStart w:id="23" w:name="_Toc514234756"/>
      <w:bookmarkStart w:id="24" w:name="_Toc514235003"/>
      <w:bookmarkStart w:id="25" w:name="_Toc514235127"/>
      <w:bookmarkStart w:id="26" w:name="_Toc514235250"/>
      <w:bookmarkStart w:id="27" w:name="_Toc514235370"/>
      <w:bookmarkStart w:id="28" w:name="_Toc514235488"/>
      <w:bookmarkStart w:id="29" w:name="_Toc514235606"/>
      <w:bookmarkStart w:id="30" w:name="_Toc514235722"/>
      <w:bookmarkStart w:id="31" w:name="_Toc514234510"/>
      <w:bookmarkStart w:id="32" w:name="_Toc514234757"/>
      <w:bookmarkStart w:id="33" w:name="_Toc514235004"/>
      <w:bookmarkStart w:id="34" w:name="_Toc514235128"/>
      <w:bookmarkStart w:id="35" w:name="_Toc514235251"/>
      <w:bookmarkStart w:id="36" w:name="_Toc514235371"/>
      <w:bookmarkStart w:id="37" w:name="_Toc514235489"/>
      <w:bookmarkStart w:id="38" w:name="_Toc514235607"/>
      <w:bookmarkStart w:id="39" w:name="_Toc514235723"/>
      <w:bookmarkStart w:id="40" w:name="_Toc514234511"/>
      <w:bookmarkStart w:id="41" w:name="_Toc514234758"/>
      <w:bookmarkStart w:id="42" w:name="_Toc514235005"/>
      <w:bookmarkStart w:id="43" w:name="_Toc514235129"/>
      <w:bookmarkStart w:id="44" w:name="_Toc514235252"/>
      <w:bookmarkStart w:id="45" w:name="_Toc514235372"/>
      <w:bookmarkStart w:id="46" w:name="_Toc514235490"/>
      <w:bookmarkStart w:id="47" w:name="_Toc514235608"/>
      <w:bookmarkStart w:id="48" w:name="_Toc514235724"/>
      <w:bookmarkStart w:id="49" w:name="_Toc514234512"/>
      <w:bookmarkStart w:id="50" w:name="_Toc514234759"/>
      <w:bookmarkStart w:id="51" w:name="_Toc514235006"/>
      <w:bookmarkStart w:id="52" w:name="_Toc514235130"/>
      <w:bookmarkStart w:id="53" w:name="_Toc514235253"/>
      <w:bookmarkStart w:id="54" w:name="_Toc514235373"/>
      <w:bookmarkStart w:id="55" w:name="_Toc514235491"/>
      <w:bookmarkStart w:id="56" w:name="_Toc514235609"/>
      <w:bookmarkStart w:id="57" w:name="_Toc514235725"/>
      <w:bookmarkStart w:id="58" w:name="_Toc514234513"/>
      <w:bookmarkStart w:id="59" w:name="_Toc514234760"/>
      <w:bookmarkStart w:id="60" w:name="_Toc514235007"/>
      <w:bookmarkStart w:id="61" w:name="_Toc514235131"/>
      <w:bookmarkStart w:id="62" w:name="_Toc514235254"/>
      <w:bookmarkStart w:id="63" w:name="_Toc514235374"/>
      <w:bookmarkStart w:id="64" w:name="_Toc514235492"/>
      <w:bookmarkStart w:id="65" w:name="_Toc514235610"/>
      <w:bookmarkStart w:id="66" w:name="_Toc514235726"/>
      <w:bookmarkStart w:id="67" w:name="_Toc514234514"/>
      <w:bookmarkStart w:id="68" w:name="_Toc514234761"/>
      <w:bookmarkStart w:id="69" w:name="_Toc514235008"/>
      <w:bookmarkStart w:id="70" w:name="_Toc514235132"/>
      <w:bookmarkStart w:id="71" w:name="_Toc514235255"/>
      <w:bookmarkStart w:id="72" w:name="_Toc514235375"/>
      <w:bookmarkStart w:id="73" w:name="_Toc514235493"/>
      <w:bookmarkStart w:id="74" w:name="_Toc514235611"/>
      <w:bookmarkStart w:id="75" w:name="_Toc514235727"/>
      <w:bookmarkStart w:id="76" w:name="_Toc514234515"/>
      <w:bookmarkStart w:id="77" w:name="_Toc514234762"/>
      <w:bookmarkStart w:id="78" w:name="_Toc514235009"/>
      <w:bookmarkStart w:id="79" w:name="_Toc514235133"/>
      <w:bookmarkStart w:id="80" w:name="_Toc514235256"/>
      <w:bookmarkStart w:id="81" w:name="_Toc514235376"/>
      <w:bookmarkStart w:id="82" w:name="_Toc514235494"/>
      <w:bookmarkStart w:id="83" w:name="_Toc514235612"/>
      <w:bookmarkStart w:id="84" w:name="_Toc514235728"/>
      <w:bookmarkStart w:id="85" w:name="_Toc514234516"/>
      <w:bookmarkStart w:id="86" w:name="_Toc514234763"/>
      <w:bookmarkStart w:id="87" w:name="_Toc514235010"/>
      <w:bookmarkStart w:id="88" w:name="_Toc514235134"/>
      <w:bookmarkStart w:id="89" w:name="_Toc514235257"/>
      <w:bookmarkStart w:id="90" w:name="_Toc514235377"/>
      <w:bookmarkStart w:id="91" w:name="_Toc514235495"/>
      <w:bookmarkStart w:id="92" w:name="_Toc514235613"/>
      <w:bookmarkStart w:id="93" w:name="_Toc514235729"/>
      <w:bookmarkStart w:id="94" w:name="_Toc514234517"/>
      <w:bookmarkStart w:id="95" w:name="_Toc514234764"/>
      <w:bookmarkStart w:id="96" w:name="_Toc514235011"/>
      <w:bookmarkStart w:id="97" w:name="_Toc514235135"/>
      <w:bookmarkStart w:id="98" w:name="_Toc514235258"/>
      <w:bookmarkStart w:id="99" w:name="_Toc514235378"/>
      <w:bookmarkStart w:id="100" w:name="_Toc514235496"/>
      <w:bookmarkStart w:id="101" w:name="_Toc514235614"/>
      <w:bookmarkStart w:id="102" w:name="_Toc514235730"/>
      <w:bookmarkStart w:id="103" w:name="_Toc514234518"/>
      <w:bookmarkStart w:id="104" w:name="_Toc514234765"/>
      <w:bookmarkStart w:id="105" w:name="_Toc514235012"/>
      <w:bookmarkStart w:id="106" w:name="_Toc514235136"/>
      <w:bookmarkStart w:id="107" w:name="_Toc514235259"/>
      <w:bookmarkStart w:id="108" w:name="_Toc514235379"/>
      <w:bookmarkStart w:id="109" w:name="_Toc514235497"/>
      <w:bookmarkStart w:id="110" w:name="_Toc514235615"/>
      <w:bookmarkStart w:id="111" w:name="_Toc514235731"/>
      <w:bookmarkStart w:id="112" w:name="_Toc514234519"/>
      <w:bookmarkStart w:id="113" w:name="_Toc514234766"/>
      <w:bookmarkStart w:id="114" w:name="_Toc514235013"/>
      <w:bookmarkStart w:id="115" w:name="_Toc514235137"/>
      <w:bookmarkStart w:id="116" w:name="_Toc514235260"/>
      <w:bookmarkStart w:id="117" w:name="_Toc514235380"/>
      <w:bookmarkStart w:id="118" w:name="_Toc514235498"/>
      <w:bookmarkStart w:id="119" w:name="_Toc514235616"/>
      <w:bookmarkStart w:id="120" w:name="_Toc514235732"/>
      <w:bookmarkStart w:id="121" w:name="_Toc514234520"/>
      <w:bookmarkStart w:id="122" w:name="_Toc514234767"/>
      <w:bookmarkStart w:id="123" w:name="_Toc514235014"/>
      <w:bookmarkStart w:id="124" w:name="_Toc514235138"/>
      <w:bookmarkStart w:id="125" w:name="_Toc514235261"/>
      <w:bookmarkStart w:id="126" w:name="_Toc514235381"/>
      <w:bookmarkStart w:id="127" w:name="_Toc514235499"/>
      <w:bookmarkStart w:id="128" w:name="_Toc514235617"/>
      <w:bookmarkStart w:id="129" w:name="_Toc514235733"/>
      <w:bookmarkStart w:id="130" w:name="_Toc514234521"/>
      <w:bookmarkStart w:id="131" w:name="_Toc514234768"/>
      <w:bookmarkStart w:id="132" w:name="_Toc514235015"/>
      <w:bookmarkStart w:id="133" w:name="_Toc514235139"/>
      <w:bookmarkStart w:id="134" w:name="_Toc514235262"/>
      <w:bookmarkStart w:id="135" w:name="_Toc514235382"/>
      <w:bookmarkStart w:id="136" w:name="_Toc514235500"/>
      <w:bookmarkStart w:id="137" w:name="_Toc514235618"/>
      <w:bookmarkStart w:id="138" w:name="_Toc514235734"/>
      <w:bookmarkStart w:id="139" w:name="_Toc514234522"/>
      <w:bookmarkStart w:id="140" w:name="_Toc514234769"/>
      <w:bookmarkStart w:id="141" w:name="_Toc514235016"/>
      <w:bookmarkStart w:id="142" w:name="_Toc514235140"/>
      <w:bookmarkStart w:id="143" w:name="_Toc514235263"/>
      <w:bookmarkStart w:id="144" w:name="_Toc514235383"/>
      <w:bookmarkStart w:id="145" w:name="_Toc514235501"/>
      <w:bookmarkStart w:id="146" w:name="_Toc514235619"/>
      <w:bookmarkStart w:id="147" w:name="_Toc514235735"/>
      <w:bookmarkStart w:id="148" w:name="_Toc514234523"/>
      <w:bookmarkStart w:id="149" w:name="_Toc514234770"/>
      <w:bookmarkStart w:id="150" w:name="_Toc514235017"/>
      <w:bookmarkStart w:id="151" w:name="_Toc514235141"/>
      <w:bookmarkStart w:id="152" w:name="_Toc514235264"/>
      <w:bookmarkStart w:id="153" w:name="_Toc514235384"/>
      <w:bookmarkStart w:id="154" w:name="_Toc514235502"/>
      <w:bookmarkStart w:id="155" w:name="_Toc514235620"/>
      <w:bookmarkStart w:id="156" w:name="_Toc514235736"/>
      <w:bookmarkStart w:id="157" w:name="_Toc514234524"/>
      <w:bookmarkStart w:id="158" w:name="_Toc514234771"/>
      <w:bookmarkStart w:id="159" w:name="_Toc514235018"/>
      <w:bookmarkStart w:id="160" w:name="_Toc514235142"/>
      <w:bookmarkStart w:id="161" w:name="_Toc514235265"/>
      <w:bookmarkStart w:id="162" w:name="_Toc514235385"/>
      <w:bookmarkStart w:id="163" w:name="_Toc514235503"/>
      <w:bookmarkStart w:id="164" w:name="_Toc514235621"/>
      <w:bookmarkStart w:id="165" w:name="_Toc5142357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994754">
        <w:rPr>
          <w:lang w:val="fr-BE"/>
        </w:rPr>
        <w:lastRenderedPageBreak/>
        <w:tab/>
      </w:r>
      <w:bookmarkStart w:id="166" w:name="_Toc11658413"/>
      <w:r w:rsidRPr="00994754">
        <w:rPr>
          <w:b/>
          <w:lang w:val="fr-BE"/>
        </w:rPr>
        <w:t>EMPLOI, AFFAIRES SOCIALES ET CITOYENNETÉ</w:t>
      </w:r>
      <w:bookmarkEnd w:id="166"/>
    </w:p>
    <w:p w:rsidR="008262D3" w:rsidRPr="00994754" w:rsidRDefault="008262D3" w:rsidP="00437F39">
      <w:pPr>
        <w:keepNext/>
        <w:rPr>
          <w:lang w:val="fr-BE"/>
        </w:rPr>
      </w:pPr>
    </w:p>
    <w:p w:rsidR="008262D3" w:rsidRPr="00994754" w:rsidRDefault="008262D3" w:rsidP="00437F39">
      <w:pPr>
        <w:keepNext/>
        <w:rPr>
          <w:b/>
          <w:u w:val="single"/>
          <w:lang w:val="fr-BE"/>
        </w:rPr>
      </w:pPr>
      <w:r w:rsidRPr="00994754">
        <w:rPr>
          <w:b/>
          <w:u w:val="single"/>
          <w:lang w:val="fr-BE"/>
        </w:rPr>
        <w:t>SOC/610</w:t>
      </w:r>
    </w:p>
    <w:p w:rsidR="008262D3" w:rsidRPr="00994754" w:rsidRDefault="008262D3" w:rsidP="00437F39">
      <w:pPr>
        <w:keepNext/>
        <w:rPr>
          <w:lang w:val="fr-BE"/>
        </w:rPr>
      </w:pPr>
    </w:p>
    <w:p w:rsidR="000102A1" w:rsidRPr="00994754" w:rsidRDefault="000102A1" w:rsidP="00437F39">
      <w:pPr>
        <w:pStyle w:val="ListParagraph"/>
        <w:keepNext/>
        <w:numPr>
          <w:ilvl w:val="0"/>
          <w:numId w:val="53"/>
        </w:numPr>
        <w:ind w:left="567" w:hanging="567"/>
        <w:rPr>
          <w:lang w:val="fr-BE"/>
        </w:rPr>
      </w:pPr>
      <w:r w:rsidRPr="00994754">
        <w:rPr>
          <w:b/>
          <w:i/>
          <w:sz w:val="28"/>
          <w:szCs w:val="28"/>
          <w:lang w:val="fr-BE"/>
        </w:rPr>
        <w:t>Questions relatives à l’égalité entre les hommes et les femmes</w:t>
      </w:r>
    </w:p>
    <w:p w:rsidR="000102A1" w:rsidRPr="00994754" w:rsidRDefault="000102A1" w:rsidP="00437F39">
      <w:pPr>
        <w:keepNext/>
        <w:rPr>
          <w:lang w:val="fr-BE"/>
        </w:rPr>
      </w:pPr>
    </w:p>
    <w:p w:rsidR="000102A1" w:rsidRPr="00994754" w:rsidRDefault="000102A1" w:rsidP="00BF27A1">
      <w:pPr>
        <w:tabs>
          <w:tab w:val="left" w:pos="1701"/>
        </w:tabs>
        <w:overflowPunct w:val="0"/>
        <w:autoSpaceDE w:val="0"/>
        <w:autoSpaceDN w:val="0"/>
        <w:adjustRightInd w:val="0"/>
        <w:textAlignment w:val="baseline"/>
        <w:rPr>
          <w:b/>
          <w:szCs w:val="20"/>
          <w:lang w:val="fr-BE"/>
        </w:rPr>
      </w:pPr>
      <w:r w:rsidRPr="00994754">
        <w:rPr>
          <w:b/>
          <w:szCs w:val="20"/>
          <w:lang w:val="fr-BE"/>
        </w:rPr>
        <w:t>Rapporteure:</w:t>
      </w:r>
      <w:r w:rsidRPr="00994754">
        <w:rPr>
          <w:b/>
          <w:szCs w:val="20"/>
          <w:lang w:val="fr-BE"/>
        </w:rPr>
        <w:tab/>
      </w:r>
      <w:r w:rsidRPr="00994754">
        <w:rPr>
          <w:lang w:val="fr-BE"/>
        </w:rPr>
        <w:t>M</w:t>
      </w:r>
      <w:r w:rsidRPr="00994754">
        <w:rPr>
          <w:vertAlign w:val="superscript"/>
          <w:lang w:val="fr-BE"/>
        </w:rPr>
        <w:t>me</w:t>
      </w:r>
      <w:r w:rsidRPr="00994754">
        <w:rPr>
          <w:lang w:val="fr-BE"/>
        </w:rPr>
        <w:t> Indrė VAREIKYTĖ (groupe Diversité Europe – Lituanie)</w:t>
      </w:r>
    </w:p>
    <w:p w:rsidR="000102A1" w:rsidRPr="00994754" w:rsidRDefault="000102A1" w:rsidP="00BF27A1">
      <w:pPr>
        <w:rPr>
          <w:b/>
          <w:szCs w:val="20"/>
          <w:lang w:val="fr-BE"/>
        </w:rPr>
      </w:pPr>
    </w:p>
    <w:p w:rsidR="008262D3" w:rsidRPr="00994754" w:rsidRDefault="000102A1" w:rsidP="00BF27A1">
      <w:pPr>
        <w:tabs>
          <w:tab w:val="left" w:pos="1701"/>
        </w:tabs>
        <w:rPr>
          <w:b/>
          <w:szCs w:val="20"/>
          <w:lang w:val="fr-BE"/>
        </w:rPr>
      </w:pPr>
      <w:r w:rsidRPr="00994754">
        <w:rPr>
          <w:b/>
          <w:szCs w:val="20"/>
          <w:lang w:val="fr-BE"/>
        </w:rPr>
        <w:t>Références:</w:t>
      </w:r>
      <w:r w:rsidRPr="00994754">
        <w:rPr>
          <w:b/>
          <w:szCs w:val="20"/>
          <w:lang w:val="fr-BE"/>
        </w:rPr>
        <w:tab/>
      </w:r>
      <w:r w:rsidRPr="00994754">
        <w:rPr>
          <w:lang w:val="fr-BE"/>
        </w:rPr>
        <w:t>Avis d’initiative</w:t>
      </w:r>
    </w:p>
    <w:p w:rsidR="000102A1" w:rsidRPr="00994754" w:rsidRDefault="000102A1" w:rsidP="00EF7A77">
      <w:pPr>
        <w:tabs>
          <w:tab w:val="left" w:pos="1701"/>
        </w:tabs>
        <w:ind w:left="1701"/>
        <w:rPr>
          <w:lang w:val="fr-BE"/>
        </w:rPr>
      </w:pPr>
      <w:r w:rsidRPr="00994754">
        <w:rPr>
          <w:lang w:val="fr-BE"/>
        </w:rPr>
        <w:t>EESC-2018-04753-00-00-AC</w:t>
      </w:r>
    </w:p>
    <w:p w:rsidR="000102A1" w:rsidRPr="00994754" w:rsidRDefault="000102A1" w:rsidP="00BF27A1">
      <w:pPr>
        <w:tabs>
          <w:tab w:val="left" w:pos="1701"/>
        </w:tabs>
        <w:rPr>
          <w:lang w:val="fr-BE"/>
        </w:rPr>
      </w:pPr>
    </w:p>
    <w:p w:rsidR="00445275" w:rsidRPr="00994754" w:rsidRDefault="00445275" w:rsidP="00BF27A1">
      <w:pPr>
        <w:rPr>
          <w:b/>
          <w:lang w:val="fr-BE"/>
        </w:rPr>
      </w:pPr>
      <w:r w:rsidRPr="00994754">
        <w:rPr>
          <w:b/>
          <w:lang w:val="fr-BE"/>
        </w:rPr>
        <w:t>Points clés</w:t>
      </w:r>
    </w:p>
    <w:p w:rsidR="00445275" w:rsidRPr="00994754" w:rsidRDefault="00445275" w:rsidP="00BF27A1">
      <w:pPr>
        <w:rPr>
          <w:lang w:val="fr-BE"/>
        </w:rPr>
      </w:pPr>
    </w:p>
    <w:p w:rsidR="000102A1" w:rsidRPr="00994754" w:rsidRDefault="000102A1" w:rsidP="00437F39">
      <w:pPr>
        <w:keepNext/>
        <w:rPr>
          <w:lang w:val="fr-BE"/>
        </w:rPr>
      </w:pPr>
      <w:r w:rsidRPr="00994754">
        <w:rPr>
          <w:lang w:val="fr-BE"/>
        </w:rPr>
        <w:t>Le CESE:</w:t>
      </w:r>
    </w:p>
    <w:p w:rsidR="000102A1" w:rsidRPr="00994754" w:rsidRDefault="000102A1" w:rsidP="00437F39">
      <w:pPr>
        <w:keepNext/>
        <w:rPr>
          <w:lang w:val="fr-BE"/>
        </w:rPr>
      </w:pPr>
    </w:p>
    <w:p w:rsidR="000102A1" w:rsidRPr="00994754" w:rsidRDefault="000102A1" w:rsidP="00BF27A1">
      <w:pPr>
        <w:pStyle w:val="ListParagraph"/>
        <w:numPr>
          <w:ilvl w:val="0"/>
          <w:numId w:val="55"/>
        </w:numPr>
        <w:rPr>
          <w:lang w:val="fr-BE"/>
        </w:rPr>
      </w:pPr>
      <w:r w:rsidRPr="00994754">
        <w:rPr>
          <w:lang w:val="fr-BE"/>
        </w:rPr>
        <w:t>estime que l’UE et ses États membres doivent tout mettre en œuvre pour réaliser, d’ici à 2030, l’ODD 5 relatif à l’égalité entre les femmes et les hommes. Aussi préconise-t-il que l’UE adopte une stratégie quinquennale audacieuse en faveur de l’égalité entre les femmes et les hommes, qui couvre le mandat de la prochaine Commission et du prochain Parlement européen, et qu’un engagement fort soit pris en la matière par les institutions européennes, les pouvoirs publics, la société civile et le secteur privé, dans l’objectif de traiter simultanément et avec efficacité tous les aspects de l’égalité dans leur globalité, en prenant des mesures de même échelle;</w:t>
      </w:r>
    </w:p>
    <w:p w:rsidR="000102A1" w:rsidRPr="00994754" w:rsidRDefault="000102A1" w:rsidP="00BF27A1">
      <w:pPr>
        <w:ind w:left="360"/>
        <w:rPr>
          <w:lang w:val="fr-BE" w:bidi="en-GB"/>
        </w:rPr>
      </w:pPr>
    </w:p>
    <w:p w:rsidR="000102A1" w:rsidRPr="00994754" w:rsidRDefault="000102A1" w:rsidP="00BF27A1">
      <w:pPr>
        <w:pStyle w:val="ListParagraph"/>
        <w:numPr>
          <w:ilvl w:val="0"/>
          <w:numId w:val="55"/>
        </w:numPr>
        <w:rPr>
          <w:lang w:val="fr-BE"/>
        </w:rPr>
      </w:pPr>
      <w:r w:rsidRPr="00994754">
        <w:rPr>
          <w:lang w:val="fr-BE"/>
        </w:rPr>
        <w:t>demande que l’égalité entre les femmes et les hommes demeure un objectif autonome dans les futurs cadres financiers, qu’un engagement clair soit pris en ce sens, ainsi qu’en faveur de l’intégration de cette question dans les politiques de l’UE, et que soient inclus dans tous les programmes et domaines des indicateurs sexospécifiques, une évaluation de l’impact selon le sexe et une budgétisation sensible à cette problématique;</w:t>
      </w:r>
    </w:p>
    <w:p w:rsidR="000102A1" w:rsidRPr="00994754" w:rsidRDefault="000102A1" w:rsidP="00BF27A1">
      <w:pPr>
        <w:ind w:left="360"/>
        <w:rPr>
          <w:lang w:val="fr-BE" w:bidi="en-GB"/>
        </w:rPr>
      </w:pPr>
    </w:p>
    <w:p w:rsidR="000102A1" w:rsidRPr="00994754" w:rsidRDefault="000102A1" w:rsidP="00BF27A1">
      <w:pPr>
        <w:pStyle w:val="ListParagraph"/>
        <w:numPr>
          <w:ilvl w:val="0"/>
          <w:numId w:val="55"/>
        </w:numPr>
        <w:rPr>
          <w:lang w:val="fr-BE"/>
        </w:rPr>
      </w:pPr>
      <w:r w:rsidRPr="00994754">
        <w:rPr>
          <w:lang w:val="fr-BE"/>
        </w:rPr>
        <w:t>invite le Conseil à maintenir ses efforts et à poursuivre la discussion sur la directive relative à la présence des femmes dans les conseils des sociétés. Le Comité invite également les entreprises à jouer un rôle de premier plan et à accroître la participation des femmes aux postes à hautes responsabilités;</w:t>
      </w:r>
    </w:p>
    <w:p w:rsidR="000102A1" w:rsidRPr="00994754" w:rsidRDefault="000102A1" w:rsidP="00BF27A1">
      <w:pPr>
        <w:ind w:left="360"/>
        <w:rPr>
          <w:lang w:val="fr-BE" w:bidi="en-GB"/>
        </w:rPr>
      </w:pPr>
    </w:p>
    <w:p w:rsidR="000102A1" w:rsidRPr="00994754" w:rsidRDefault="000102A1" w:rsidP="00BF27A1">
      <w:pPr>
        <w:pStyle w:val="ListParagraph"/>
        <w:numPr>
          <w:ilvl w:val="0"/>
          <w:numId w:val="55"/>
        </w:numPr>
        <w:rPr>
          <w:lang w:val="fr-BE"/>
        </w:rPr>
      </w:pPr>
      <w:r w:rsidRPr="00994754">
        <w:rPr>
          <w:lang w:val="fr-BE"/>
        </w:rPr>
        <w:t>invite la Commission européenne à lancer un train de mesures sur les services de soins afin de stimuler la mise en œuvre du socle européen des droits sociaux et de revoir les objectifs de Barcelone en matière de garde d’enfants;</w:t>
      </w:r>
    </w:p>
    <w:p w:rsidR="000102A1" w:rsidRPr="00994754" w:rsidRDefault="000102A1" w:rsidP="00BF27A1">
      <w:pPr>
        <w:ind w:left="360"/>
        <w:rPr>
          <w:lang w:val="fr-BE" w:bidi="en-GB"/>
        </w:rPr>
      </w:pPr>
    </w:p>
    <w:p w:rsidR="000102A1" w:rsidRPr="00994754" w:rsidRDefault="000102A1" w:rsidP="00BF27A1">
      <w:pPr>
        <w:pStyle w:val="ListParagraph"/>
        <w:numPr>
          <w:ilvl w:val="0"/>
          <w:numId w:val="55"/>
        </w:numPr>
        <w:rPr>
          <w:lang w:val="fr-BE"/>
        </w:rPr>
      </w:pPr>
      <w:r w:rsidRPr="00994754">
        <w:rPr>
          <w:lang w:val="fr-BE"/>
        </w:rPr>
        <w:t>condamne toutes les formes de violence à l’égard des femmes et encourage les États membres qui n’ont pas encore ratifié la convention d’Istanbul à revoir leur position;</w:t>
      </w:r>
    </w:p>
    <w:p w:rsidR="000102A1" w:rsidRPr="00994754" w:rsidRDefault="000102A1" w:rsidP="00BF27A1">
      <w:pPr>
        <w:ind w:left="360"/>
        <w:rPr>
          <w:lang w:val="fr-BE" w:bidi="en-GB"/>
        </w:rPr>
      </w:pPr>
    </w:p>
    <w:p w:rsidR="000102A1" w:rsidRPr="00994754" w:rsidRDefault="000102A1" w:rsidP="00BF27A1">
      <w:pPr>
        <w:pStyle w:val="ListParagraph"/>
        <w:numPr>
          <w:ilvl w:val="0"/>
          <w:numId w:val="55"/>
        </w:numPr>
        <w:rPr>
          <w:lang w:val="fr-BE"/>
        </w:rPr>
      </w:pPr>
      <w:r w:rsidRPr="00994754">
        <w:rPr>
          <w:lang w:val="fr-BE"/>
        </w:rPr>
        <w:t>propose la création d’un fonds juridique d’urgence au niveau de l’Union, destiné à soutenir les organisations de la société civile qui contestent devant les tribunaux la législation nationale ou locale qui viole les droits des femmes;</w:t>
      </w:r>
    </w:p>
    <w:p w:rsidR="000102A1" w:rsidRPr="00994754" w:rsidRDefault="000102A1" w:rsidP="00BF27A1">
      <w:pPr>
        <w:pStyle w:val="ListParagraph"/>
        <w:numPr>
          <w:ilvl w:val="0"/>
          <w:numId w:val="56"/>
        </w:numPr>
        <w:ind w:left="714" w:hanging="357"/>
        <w:rPr>
          <w:lang w:val="fr-BE"/>
        </w:rPr>
      </w:pPr>
      <w:r w:rsidRPr="00994754">
        <w:rPr>
          <w:lang w:val="fr-BE"/>
        </w:rPr>
        <w:lastRenderedPageBreak/>
        <w:t>invite le Conseil à revoir ses lignes directrices relatives à la nomination des membres du CESE et recommande que les États membres proposent des membres sur la base de la parité entre les femmes et les hommes. En ce qui le concerne, le Comité s’efforcera de garantir l’égalité entre les femmes et les hommes dans le cadre de ses activités, d’intégrer l’égalité dans son processus de travail et de mettre en place un groupe de suivi chargé d’élaborer des lignes directrices adéquates.</w:t>
      </w:r>
    </w:p>
    <w:p w:rsidR="000102A1" w:rsidRPr="00994754" w:rsidRDefault="000102A1" w:rsidP="00BF27A1">
      <w:pPr>
        <w:rPr>
          <w:lang w:val="fr-BE"/>
        </w:rPr>
      </w:pPr>
    </w:p>
    <w:p w:rsidR="000102A1" w:rsidRPr="00994754" w:rsidRDefault="000102A1" w:rsidP="00BF27A1">
      <w:pPr>
        <w:tabs>
          <w:tab w:val="left" w:pos="1701"/>
        </w:tabs>
        <w:overflowPunct w:val="0"/>
        <w:autoSpaceDE w:val="0"/>
        <w:autoSpaceDN w:val="0"/>
        <w:adjustRightInd w:val="0"/>
        <w:textAlignment w:val="baseline"/>
        <w:rPr>
          <w:i/>
          <w:szCs w:val="20"/>
          <w:lang w:val="fr-BE"/>
        </w:rPr>
      </w:pPr>
      <w:r w:rsidRPr="00994754">
        <w:rPr>
          <w:b/>
          <w:i/>
          <w:szCs w:val="20"/>
          <w:lang w:val="fr-BE"/>
        </w:rPr>
        <w:t>Contact:</w:t>
      </w:r>
      <w:r w:rsidRPr="00994754">
        <w:rPr>
          <w:i/>
          <w:szCs w:val="20"/>
          <w:lang w:val="fr-BE"/>
        </w:rPr>
        <w:t xml:space="preserve"> </w:t>
      </w:r>
      <w:r w:rsidRPr="00994754">
        <w:rPr>
          <w:i/>
          <w:szCs w:val="20"/>
          <w:lang w:val="fr-BE"/>
        </w:rPr>
        <w:tab/>
        <w:t>M</w:t>
      </w:r>
      <w:r w:rsidRPr="00994754">
        <w:rPr>
          <w:i/>
          <w:szCs w:val="20"/>
          <w:vertAlign w:val="superscript"/>
          <w:lang w:val="fr-BE"/>
        </w:rPr>
        <w:t>me</w:t>
      </w:r>
      <w:r w:rsidRPr="00994754">
        <w:rPr>
          <w:i/>
          <w:szCs w:val="20"/>
          <w:lang w:val="fr-BE"/>
        </w:rPr>
        <w:t> Judite Berkemeier</w:t>
      </w:r>
    </w:p>
    <w:p w:rsidR="000102A1" w:rsidRPr="00994754" w:rsidRDefault="00C20F69" w:rsidP="00BF27A1">
      <w:pPr>
        <w:tabs>
          <w:tab w:val="left" w:pos="1701"/>
        </w:tabs>
        <w:rPr>
          <w:i/>
          <w:szCs w:val="20"/>
          <w:lang w:val="fr-BE"/>
        </w:rPr>
      </w:pPr>
      <w:r w:rsidRPr="00994754">
        <w:rPr>
          <w:i/>
          <w:szCs w:val="20"/>
          <w:lang w:val="fr-BE"/>
        </w:rPr>
        <w:tab/>
        <w:t xml:space="preserve">(Tél.: 00 32 2 546 98 97 – courriel: </w:t>
      </w:r>
      <w:hyperlink r:id="rId27" w:history="1">
        <w:r w:rsidRPr="00994754">
          <w:rPr>
            <w:rStyle w:val="Hyperlink"/>
            <w:lang w:val="fr-BE"/>
          </w:rPr>
          <w:t>mariajudite.berkemeier@eesc.europa.eu</w:t>
        </w:r>
      </w:hyperlink>
      <w:r w:rsidRPr="00994754">
        <w:rPr>
          <w:i/>
          <w:szCs w:val="20"/>
          <w:lang w:val="fr-BE"/>
        </w:rPr>
        <w:t>)</w:t>
      </w:r>
    </w:p>
    <w:p w:rsidR="00445275" w:rsidRPr="00994754" w:rsidRDefault="00445275" w:rsidP="00BF27A1">
      <w:pPr>
        <w:tabs>
          <w:tab w:val="left" w:pos="1701"/>
        </w:tabs>
        <w:rPr>
          <w:i/>
          <w:szCs w:val="20"/>
          <w:lang w:val="fr-BE"/>
        </w:rPr>
      </w:pPr>
    </w:p>
    <w:p w:rsidR="008262D3" w:rsidRPr="00994754" w:rsidRDefault="008262D3" w:rsidP="00437F39">
      <w:pPr>
        <w:keepNext/>
        <w:tabs>
          <w:tab w:val="left" w:pos="1701"/>
        </w:tabs>
        <w:rPr>
          <w:i/>
          <w:szCs w:val="20"/>
          <w:lang w:val="fr-BE"/>
        </w:rPr>
      </w:pPr>
      <w:r w:rsidRPr="00994754">
        <w:rPr>
          <w:b/>
          <w:u w:val="single"/>
          <w:lang w:val="fr-BE"/>
        </w:rPr>
        <w:t>SOC/611</w:t>
      </w:r>
    </w:p>
    <w:p w:rsidR="00B15573" w:rsidRPr="00994754" w:rsidRDefault="00B15573" w:rsidP="00437F39">
      <w:pPr>
        <w:keepNext/>
        <w:tabs>
          <w:tab w:val="left" w:pos="1701"/>
        </w:tabs>
        <w:rPr>
          <w:i/>
          <w:szCs w:val="20"/>
          <w:lang w:val="fr-BE"/>
        </w:rPr>
      </w:pPr>
    </w:p>
    <w:p w:rsidR="00445275" w:rsidRPr="00994754" w:rsidRDefault="00445275" w:rsidP="00437F39">
      <w:pPr>
        <w:pStyle w:val="ListParagraph"/>
        <w:keepNext/>
        <w:numPr>
          <w:ilvl w:val="0"/>
          <w:numId w:val="53"/>
        </w:numPr>
        <w:tabs>
          <w:tab w:val="left" w:pos="1701"/>
        </w:tabs>
        <w:ind w:left="567" w:hanging="567"/>
        <w:rPr>
          <w:lang w:val="fr-BE"/>
        </w:rPr>
      </w:pPr>
      <w:r w:rsidRPr="00994754">
        <w:rPr>
          <w:b/>
          <w:i/>
          <w:sz w:val="28"/>
          <w:szCs w:val="28"/>
          <w:lang w:val="fr-BE"/>
        </w:rPr>
        <w:t>La philanthropie européenne: un potentiel inexploité</w:t>
      </w:r>
    </w:p>
    <w:p w:rsidR="00445275" w:rsidRPr="00994754" w:rsidRDefault="00445275" w:rsidP="00437F39">
      <w:pPr>
        <w:keepNext/>
        <w:tabs>
          <w:tab w:val="left" w:pos="1701"/>
        </w:tabs>
        <w:rPr>
          <w:lang w:val="fr-BE"/>
        </w:rPr>
      </w:pPr>
    </w:p>
    <w:p w:rsidR="00445275" w:rsidRPr="00994754" w:rsidRDefault="00445275" w:rsidP="00BF27A1">
      <w:pPr>
        <w:overflowPunct w:val="0"/>
        <w:autoSpaceDE w:val="0"/>
        <w:autoSpaceDN w:val="0"/>
        <w:adjustRightInd w:val="0"/>
        <w:textAlignment w:val="baseline"/>
        <w:rPr>
          <w:b/>
          <w:szCs w:val="20"/>
          <w:lang w:val="fr-BE"/>
        </w:rPr>
      </w:pPr>
      <w:r w:rsidRPr="00994754">
        <w:rPr>
          <w:b/>
          <w:szCs w:val="20"/>
          <w:lang w:val="fr-BE"/>
        </w:rPr>
        <w:t>Rapporteur:</w:t>
      </w:r>
      <w:r w:rsidRPr="00994754">
        <w:rPr>
          <w:b/>
          <w:szCs w:val="20"/>
          <w:lang w:val="fr-BE"/>
        </w:rPr>
        <w:tab/>
      </w:r>
      <w:r w:rsidRPr="00994754">
        <w:rPr>
          <w:lang w:val="fr-BE"/>
        </w:rPr>
        <w:t>M. Petru Sorin DANDEA (groupe des travailleurs – Roumanie)</w:t>
      </w:r>
    </w:p>
    <w:p w:rsidR="00445275" w:rsidRPr="00994754" w:rsidRDefault="00445275" w:rsidP="00BF27A1">
      <w:pPr>
        <w:tabs>
          <w:tab w:val="left" w:pos="1701"/>
        </w:tabs>
        <w:rPr>
          <w:b/>
          <w:szCs w:val="20"/>
          <w:lang w:val="fr-BE"/>
        </w:rPr>
      </w:pPr>
    </w:p>
    <w:p w:rsidR="008262D3" w:rsidRPr="00994754" w:rsidRDefault="00445275" w:rsidP="00BF27A1">
      <w:pPr>
        <w:tabs>
          <w:tab w:val="left" w:pos="1701"/>
        </w:tabs>
        <w:rPr>
          <w:b/>
          <w:szCs w:val="20"/>
          <w:lang w:val="fr-BE"/>
        </w:rPr>
      </w:pPr>
      <w:r w:rsidRPr="00994754">
        <w:rPr>
          <w:b/>
          <w:szCs w:val="20"/>
          <w:lang w:val="fr-BE"/>
        </w:rPr>
        <w:t>Références:</w:t>
      </w:r>
      <w:r w:rsidRPr="00994754">
        <w:rPr>
          <w:b/>
          <w:szCs w:val="20"/>
          <w:lang w:val="fr-BE"/>
        </w:rPr>
        <w:tab/>
      </w:r>
      <w:r w:rsidRPr="00994754">
        <w:rPr>
          <w:lang w:val="fr-BE"/>
        </w:rPr>
        <w:t>Avis exploratoire</w:t>
      </w:r>
    </w:p>
    <w:p w:rsidR="00445275" w:rsidRPr="00994754" w:rsidRDefault="00445275" w:rsidP="00EF7A77">
      <w:pPr>
        <w:tabs>
          <w:tab w:val="left" w:pos="1701"/>
        </w:tabs>
        <w:ind w:left="1701"/>
        <w:rPr>
          <w:lang w:val="fr-BE"/>
        </w:rPr>
      </w:pPr>
      <w:r w:rsidRPr="00994754">
        <w:rPr>
          <w:lang w:val="fr-BE"/>
        </w:rPr>
        <w:t>EESC-2018-05416-00-00-AC</w:t>
      </w:r>
    </w:p>
    <w:p w:rsidR="00445275" w:rsidRPr="00994754" w:rsidRDefault="00445275" w:rsidP="00BF27A1">
      <w:pPr>
        <w:tabs>
          <w:tab w:val="left" w:pos="1701"/>
        </w:tabs>
        <w:rPr>
          <w:lang w:val="fr-BE"/>
        </w:rPr>
      </w:pPr>
    </w:p>
    <w:p w:rsidR="00445275" w:rsidRPr="00994754" w:rsidRDefault="00445275" w:rsidP="00437F39">
      <w:pPr>
        <w:keepNext/>
        <w:tabs>
          <w:tab w:val="left" w:pos="1701"/>
        </w:tabs>
        <w:rPr>
          <w:lang w:val="fr-BE"/>
        </w:rPr>
      </w:pPr>
      <w:r w:rsidRPr="00994754">
        <w:rPr>
          <w:b/>
          <w:lang w:val="fr-BE"/>
        </w:rPr>
        <w:t>Points clés</w:t>
      </w:r>
    </w:p>
    <w:p w:rsidR="00445275" w:rsidRPr="00994754" w:rsidRDefault="00445275" w:rsidP="00437F39">
      <w:pPr>
        <w:keepNext/>
        <w:tabs>
          <w:tab w:val="left" w:pos="1701"/>
        </w:tabs>
        <w:rPr>
          <w:lang w:val="fr-BE"/>
        </w:rPr>
      </w:pPr>
    </w:p>
    <w:p w:rsidR="00445275" w:rsidRPr="00994754" w:rsidRDefault="00445275" w:rsidP="00BF27A1">
      <w:pPr>
        <w:pStyle w:val="ListParagraph"/>
        <w:numPr>
          <w:ilvl w:val="0"/>
          <w:numId w:val="23"/>
        </w:numPr>
        <w:rPr>
          <w:lang w:val="fr-BE"/>
        </w:rPr>
      </w:pPr>
      <w:r w:rsidRPr="00994754">
        <w:rPr>
          <w:lang w:val="fr-BE"/>
        </w:rPr>
        <w:t xml:space="preserve">Le CESE reconnaît pleinement la valeur ajoutée, complémentaire et innovante, que la philanthropie peut apporter à la cohésion sociale en soutenant des valeurs communes et en rendant notre société plus résiliente. Le Comité recommande aux États membres de reconnaître la philanthropie comme un moyen de faire preuve d’engagement et de dévouement envers la société, de créer un espace favorable à la philanthropie et de nouer le dialogue avec les acteurs philanthropiques, par des initiatives législatives ou non législatives appropriées. </w:t>
      </w:r>
    </w:p>
    <w:p w:rsidR="00445275" w:rsidRPr="00994754" w:rsidRDefault="00445275" w:rsidP="00BF27A1">
      <w:pPr>
        <w:rPr>
          <w:lang w:val="fr-BE"/>
        </w:rPr>
      </w:pPr>
    </w:p>
    <w:p w:rsidR="00445275" w:rsidRPr="00994754" w:rsidRDefault="00445275" w:rsidP="00BF27A1">
      <w:pPr>
        <w:pStyle w:val="ListParagraph"/>
        <w:numPr>
          <w:ilvl w:val="0"/>
          <w:numId w:val="23"/>
        </w:numPr>
        <w:rPr>
          <w:lang w:val="fr-BE"/>
        </w:rPr>
      </w:pPr>
      <w:r w:rsidRPr="00994754">
        <w:rPr>
          <w:lang w:val="fr-BE"/>
        </w:rPr>
        <w:t>Le CESE invite les États membres, d’une part, à mettre en place un environnement propice à la philanthropie, conformément aux libertés et aux droits fondamentaux de l’Union, qui favorise l’action philanthropique et citoyenne, le don privé en faveur de causes d’intérêt général et la création d’organisations philanthropiques et, d’autre part, à s’assurer que les mesures de sécurité nationales et européennes sont basées sur les risques, proportionnées et fondées sur des données factuelles, mais aussi qu’elles favorisent la transparence de l’action philanthropique.</w:t>
      </w:r>
    </w:p>
    <w:p w:rsidR="00445275" w:rsidRPr="00994754" w:rsidRDefault="00445275" w:rsidP="00BF27A1">
      <w:pPr>
        <w:rPr>
          <w:lang w:val="fr-BE"/>
        </w:rPr>
      </w:pPr>
    </w:p>
    <w:p w:rsidR="00445275" w:rsidRPr="00994754" w:rsidRDefault="00445275" w:rsidP="00BF27A1">
      <w:pPr>
        <w:pStyle w:val="ListParagraph"/>
        <w:numPr>
          <w:ilvl w:val="0"/>
          <w:numId w:val="23"/>
        </w:numPr>
        <w:rPr>
          <w:lang w:val="fr-BE"/>
        </w:rPr>
      </w:pPr>
      <w:r w:rsidRPr="00994754">
        <w:rPr>
          <w:lang w:val="fr-BE"/>
        </w:rPr>
        <w:t xml:space="preserve">Le Comité est d’avis que les États membres devraient renforcer les systèmes de protection sociale. Cela permettra d’améliorer la complémentarité des organisations philanthropiques ainsi que leur capacité à répondre aux besoins réels des personnes les plus vulnérables et à résoudre des problèmes qui ne sont pas entièrement pris en charge par les institutions publiques ou le secteur privé. </w:t>
      </w:r>
    </w:p>
    <w:p w:rsidR="00445275" w:rsidRPr="00994754" w:rsidRDefault="00445275" w:rsidP="00BF27A1">
      <w:pPr>
        <w:rPr>
          <w:lang w:val="fr-BE"/>
        </w:rPr>
      </w:pPr>
    </w:p>
    <w:p w:rsidR="00445275" w:rsidRPr="00994754" w:rsidRDefault="00445275" w:rsidP="00BF27A1">
      <w:pPr>
        <w:pStyle w:val="ListParagraph"/>
        <w:numPr>
          <w:ilvl w:val="0"/>
          <w:numId w:val="23"/>
        </w:numPr>
        <w:rPr>
          <w:lang w:val="fr-BE"/>
        </w:rPr>
      </w:pPr>
      <w:r w:rsidRPr="00994754">
        <w:rPr>
          <w:lang w:val="fr-BE"/>
        </w:rPr>
        <w:t xml:space="preserve">Étant donné que la libre circulation des capitaux est au cœur du marché unique de l’Union, le CESE estime que garantir l’application juridique et pratique de cette liberté fondamentale, associée au principe de non-discrimination, en vue de faciliter les dons et investissements </w:t>
      </w:r>
      <w:r w:rsidRPr="00994754">
        <w:rPr>
          <w:lang w:val="fr-BE"/>
        </w:rPr>
        <w:lastRenderedPageBreak/>
        <w:t>philanthropiques par-delà les frontières, devrait figurer parmi les priorités de l’UE et des États membres. Il conviendrait également d’envisager des formes juridiques supranationales destinées à faciliter l’engagement philanthropique.</w:t>
      </w:r>
    </w:p>
    <w:p w:rsidR="00445275" w:rsidRPr="00994754" w:rsidRDefault="00445275" w:rsidP="00BF27A1">
      <w:pPr>
        <w:rPr>
          <w:lang w:val="fr-BE"/>
        </w:rPr>
      </w:pPr>
    </w:p>
    <w:p w:rsidR="00445275" w:rsidRPr="00994754" w:rsidRDefault="00445275" w:rsidP="00BF27A1">
      <w:pPr>
        <w:pStyle w:val="ListParagraph"/>
        <w:numPr>
          <w:ilvl w:val="0"/>
          <w:numId w:val="23"/>
        </w:numPr>
        <w:rPr>
          <w:lang w:val="fr-BE"/>
        </w:rPr>
      </w:pPr>
      <w:r w:rsidRPr="00994754">
        <w:rPr>
          <w:lang w:val="fr-BE"/>
        </w:rPr>
        <w:t>L’Union pourrait renforcer l’incidence des ressources privées sur le bien commun en mettant en place des instruments financiers, comme le programme InvestEU pour 2018, qui servent de catalyseur pour l’octroi de ressources conjointement avec le secteur philanthropique, stimulent les co-investissements et les investissements à impact social, et offrent des outils de garantie afin de réduire les risques financiers des investissements liés aux missions réalisés par les organisations philanthropiques. Il importe par ailleurs de faciliter l’engagement dans l’innovation sociale.</w:t>
      </w:r>
    </w:p>
    <w:p w:rsidR="00445275" w:rsidRPr="00994754" w:rsidRDefault="00445275" w:rsidP="00BF27A1">
      <w:pPr>
        <w:rPr>
          <w:szCs w:val="24"/>
          <w:lang w:val="fr-BE"/>
        </w:rPr>
      </w:pPr>
    </w:p>
    <w:p w:rsidR="00445275" w:rsidRPr="00994754" w:rsidRDefault="00445275" w:rsidP="00BF27A1">
      <w:pPr>
        <w:tabs>
          <w:tab w:val="left" w:pos="1701"/>
        </w:tabs>
        <w:rPr>
          <w:i/>
          <w:lang w:val="fr-BE"/>
        </w:rPr>
      </w:pPr>
      <w:r w:rsidRPr="00994754">
        <w:rPr>
          <w:b/>
          <w:i/>
          <w:lang w:val="fr-BE"/>
        </w:rPr>
        <w:t>Contact:</w:t>
      </w:r>
      <w:r w:rsidRPr="00994754">
        <w:rPr>
          <w:i/>
          <w:lang w:val="fr-BE"/>
        </w:rPr>
        <w:t xml:space="preserve"> </w:t>
      </w:r>
      <w:r w:rsidRPr="00994754">
        <w:rPr>
          <w:i/>
          <w:lang w:val="fr-BE"/>
        </w:rPr>
        <w:tab/>
        <w:t>M</w:t>
      </w:r>
      <w:r w:rsidRPr="00994754">
        <w:rPr>
          <w:i/>
          <w:vertAlign w:val="superscript"/>
          <w:lang w:val="fr-BE"/>
        </w:rPr>
        <w:t>me</w:t>
      </w:r>
      <w:r w:rsidRPr="00994754">
        <w:rPr>
          <w:i/>
          <w:lang w:val="fr-BE"/>
        </w:rPr>
        <w:t> Valeria Atzori</w:t>
      </w:r>
    </w:p>
    <w:p w:rsidR="00445275" w:rsidRPr="00994754" w:rsidRDefault="00445275" w:rsidP="00BF27A1">
      <w:pPr>
        <w:tabs>
          <w:tab w:val="left" w:pos="1701"/>
        </w:tabs>
        <w:rPr>
          <w:lang w:val="fr-BE"/>
        </w:rPr>
      </w:pPr>
      <w:r w:rsidRPr="00994754">
        <w:rPr>
          <w:i/>
          <w:lang w:val="fr-BE"/>
        </w:rPr>
        <w:tab/>
        <w:t xml:space="preserve">(Tél.: 00 32 2 546 87 74 – courriel: </w:t>
      </w:r>
      <w:hyperlink r:id="rId28" w:history="1">
        <w:r w:rsidRPr="00994754">
          <w:rPr>
            <w:rStyle w:val="Hyperlink"/>
            <w:i/>
            <w:lang w:val="fr-BE"/>
          </w:rPr>
          <w:t>valeria.atzori@eesc.europa.eu</w:t>
        </w:r>
      </w:hyperlink>
      <w:r w:rsidRPr="00994754">
        <w:rPr>
          <w:i/>
          <w:lang w:val="fr-BE"/>
        </w:rPr>
        <w:t>)</w:t>
      </w:r>
    </w:p>
    <w:p w:rsidR="00B15573" w:rsidRPr="00994754" w:rsidRDefault="00B15573" w:rsidP="00BF27A1">
      <w:pPr>
        <w:jc w:val="left"/>
        <w:rPr>
          <w:lang w:val="fr-BE"/>
        </w:rPr>
      </w:pPr>
      <w:r w:rsidRPr="00994754">
        <w:rPr>
          <w:lang w:val="fr-BE"/>
        </w:rPr>
        <w:br w:type="page"/>
      </w:r>
    </w:p>
    <w:p w:rsidR="00815415" w:rsidRPr="00994754" w:rsidRDefault="00815415" w:rsidP="00BF27A1">
      <w:pPr>
        <w:pStyle w:val="Heading1"/>
        <w:keepNext/>
        <w:keepLines/>
        <w:tabs>
          <w:tab w:val="left" w:pos="567"/>
        </w:tabs>
        <w:rPr>
          <w:b/>
          <w:lang w:val="fr-BE"/>
        </w:rPr>
      </w:pPr>
      <w:r w:rsidRPr="00994754">
        <w:rPr>
          <w:lang w:val="fr-BE"/>
        </w:rPr>
        <w:lastRenderedPageBreak/>
        <w:tab/>
      </w:r>
      <w:bookmarkStart w:id="167" w:name="_Toc11658414"/>
      <w:r w:rsidRPr="00994754">
        <w:rPr>
          <w:b/>
          <w:lang w:val="fr-BE"/>
        </w:rPr>
        <w:t>COMMISSION CONSULTATIVE DES MUTATIONS INDUSTRIELLES</w:t>
      </w:r>
      <w:bookmarkEnd w:id="167"/>
    </w:p>
    <w:p w:rsidR="00815415" w:rsidRPr="00994754" w:rsidRDefault="00815415" w:rsidP="00BF27A1">
      <w:pPr>
        <w:keepNext/>
        <w:keepLines/>
        <w:rPr>
          <w:lang w:val="fr-BE"/>
        </w:rPr>
      </w:pPr>
    </w:p>
    <w:p w:rsidR="008262D3" w:rsidRPr="00994754" w:rsidRDefault="008262D3" w:rsidP="00BF27A1">
      <w:pPr>
        <w:keepNext/>
        <w:keepLines/>
        <w:rPr>
          <w:lang w:val="fr-BE"/>
        </w:rPr>
      </w:pPr>
      <w:r w:rsidRPr="00994754">
        <w:rPr>
          <w:b/>
          <w:u w:val="single"/>
          <w:lang w:val="fr-BE"/>
        </w:rPr>
        <w:t>CCMI/165</w:t>
      </w:r>
    </w:p>
    <w:p w:rsidR="008262D3" w:rsidRPr="00994754" w:rsidRDefault="008262D3" w:rsidP="00BF27A1">
      <w:pPr>
        <w:keepNext/>
        <w:keepLines/>
        <w:rPr>
          <w:lang w:val="fr-BE"/>
        </w:rPr>
      </w:pPr>
    </w:p>
    <w:p w:rsidR="00815415" w:rsidRPr="00994754" w:rsidRDefault="001901B3" w:rsidP="00BF27A1">
      <w:pPr>
        <w:pStyle w:val="ListParagraph"/>
        <w:numPr>
          <w:ilvl w:val="0"/>
          <w:numId w:val="53"/>
        </w:numPr>
        <w:ind w:left="567" w:hanging="567"/>
        <w:rPr>
          <w:sz w:val="28"/>
          <w:szCs w:val="28"/>
          <w:lang w:val="fr-BE"/>
        </w:rPr>
      </w:pPr>
      <w:r w:rsidRPr="00994754">
        <w:rPr>
          <w:b/>
          <w:i/>
          <w:sz w:val="28"/>
          <w:szCs w:val="28"/>
          <w:lang w:val="fr-BE"/>
        </w:rPr>
        <w:t>Mutation économique, technologique et sociale des services avancés de santé à la personne âgée</w:t>
      </w:r>
    </w:p>
    <w:p w:rsidR="001901B3" w:rsidRPr="00994754" w:rsidRDefault="001901B3" w:rsidP="00BF27A1">
      <w:pPr>
        <w:rPr>
          <w:lang w:val="fr-BE"/>
        </w:rPr>
      </w:pPr>
    </w:p>
    <w:p w:rsidR="001901B3" w:rsidRPr="00994754" w:rsidRDefault="001901B3" w:rsidP="00BF27A1">
      <w:pPr>
        <w:tabs>
          <w:tab w:val="left" w:pos="1701"/>
        </w:tabs>
        <w:ind w:left="-39"/>
        <w:rPr>
          <w:lang w:val="fr-BE"/>
        </w:rPr>
      </w:pPr>
      <w:r w:rsidRPr="00994754">
        <w:rPr>
          <w:b/>
          <w:lang w:val="fr-BE"/>
        </w:rPr>
        <w:t>Rapporteur:</w:t>
      </w:r>
      <w:r w:rsidRPr="00994754">
        <w:rPr>
          <w:b/>
          <w:lang w:val="fr-BE"/>
        </w:rPr>
        <w:tab/>
      </w:r>
      <w:r w:rsidRPr="00994754">
        <w:rPr>
          <w:lang w:val="fr-BE"/>
        </w:rPr>
        <w:t>M. Marian KRZAKLEWSKI (groupe des travailleurs – Pologne)</w:t>
      </w:r>
    </w:p>
    <w:p w:rsidR="001901B3" w:rsidRPr="00994754" w:rsidRDefault="001901B3" w:rsidP="00BF27A1">
      <w:pPr>
        <w:tabs>
          <w:tab w:val="left" w:pos="1701"/>
        </w:tabs>
        <w:ind w:left="-39"/>
        <w:rPr>
          <w:b/>
          <w:lang w:val="fr-BE"/>
        </w:rPr>
      </w:pPr>
      <w:r w:rsidRPr="00994754">
        <w:rPr>
          <w:b/>
          <w:bCs/>
          <w:lang w:val="fr-BE"/>
        </w:rPr>
        <w:t>Corapporteur:</w:t>
      </w:r>
      <w:r w:rsidRPr="00994754">
        <w:rPr>
          <w:lang w:val="fr-BE"/>
        </w:rPr>
        <w:t xml:space="preserve"> </w:t>
      </w:r>
      <w:r w:rsidRPr="00994754">
        <w:rPr>
          <w:lang w:val="fr-BE"/>
        </w:rPr>
        <w:tab/>
        <w:t>M. Jean-Pierre HABER (catégorie 1 – France)</w:t>
      </w:r>
    </w:p>
    <w:p w:rsidR="001901B3" w:rsidRPr="00994754" w:rsidRDefault="001901B3" w:rsidP="00BF27A1">
      <w:pPr>
        <w:tabs>
          <w:tab w:val="left" w:pos="1701"/>
        </w:tabs>
        <w:ind w:left="-39"/>
        <w:rPr>
          <w:b/>
          <w:bCs/>
          <w:lang w:val="fr-BE"/>
        </w:rPr>
      </w:pPr>
    </w:p>
    <w:p w:rsidR="008262D3" w:rsidRPr="00994754" w:rsidRDefault="001901B3" w:rsidP="00BF27A1">
      <w:pPr>
        <w:tabs>
          <w:tab w:val="left" w:pos="1701"/>
        </w:tabs>
        <w:ind w:left="-39"/>
        <w:rPr>
          <w:b/>
          <w:lang w:val="fr-BE"/>
        </w:rPr>
      </w:pPr>
      <w:r w:rsidRPr="00994754">
        <w:rPr>
          <w:b/>
          <w:lang w:val="fr-BE"/>
        </w:rPr>
        <w:t>Références:</w:t>
      </w:r>
      <w:r w:rsidRPr="00994754">
        <w:rPr>
          <w:b/>
          <w:lang w:val="fr-BE"/>
        </w:rPr>
        <w:tab/>
      </w:r>
      <w:r w:rsidRPr="00994754">
        <w:rPr>
          <w:lang w:val="fr-BE"/>
        </w:rPr>
        <w:t>Avis d’initiative</w:t>
      </w:r>
    </w:p>
    <w:p w:rsidR="001901B3" w:rsidRPr="00994754" w:rsidRDefault="001901B3" w:rsidP="00EF7A77">
      <w:pPr>
        <w:tabs>
          <w:tab w:val="left" w:pos="1701"/>
        </w:tabs>
        <w:ind w:left="1701"/>
        <w:rPr>
          <w:b/>
          <w:lang w:val="fr-BE"/>
        </w:rPr>
      </w:pPr>
      <w:r w:rsidRPr="00994754">
        <w:rPr>
          <w:lang w:val="fr-BE"/>
        </w:rPr>
        <w:t>EESC-2018-04518-00-00-AC</w:t>
      </w:r>
    </w:p>
    <w:p w:rsidR="001901B3" w:rsidRPr="00994754" w:rsidRDefault="001901B3" w:rsidP="00BF27A1">
      <w:pPr>
        <w:tabs>
          <w:tab w:val="left" w:pos="1701"/>
        </w:tabs>
        <w:ind w:left="-39"/>
        <w:rPr>
          <w:b/>
          <w:lang w:val="fr-BE"/>
        </w:rPr>
      </w:pPr>
    </w:p>
    <w:p w:rsidR="001901B3" w:rsidRPr="00994754" w:rsidRDefault="001901B3" w:rsidP="00994754">
      <w:pPr>
        <w:keepNext/>
        <w:tabs>
          <w:tab w:val="left" w:pos="1701"/>
        </w:tabs>
        <w:ind w:left="-39"/>
        <w:rPr>
          <w:b/>
          <w:lang w:val="fr-BE"/>
        </w:rPr>
      </w:pPr>
      <w:r w:rsidRPr="00994754">
        <w:rPr>
          <w:b/>
          <w:lang w:val="fr-BE"/>
        </w:rPr>
        <w:t>Points clés</w:t>
      </w:r>
    </w:p>
    <w:p w:rsidR="001901B3" w:rsidRPr="00994754" w:rsidRDefault="001901B3" w:rsidP="00994754">
      <w:pPr>
        <w:keepNext/>
        <w:tabs>
          <w:tab w:val="left" w:pos="1701"/>
        </w:tabs>
        <w:ind w:left="-39"/>
        <w:rPr>
          <w:b/>
          <w:lang w:val="fr-BE"/>
        </w:rPr>
      </w:pPr>
    </w:p>
    <w:p w:rsidR="001901B3" w:rsidRPr="00994754" w:rsidRDefault="001901B3" w:rsidP="00BF27A1">
      <w:pPr>
        <w:pStyle w:val="ListParagraph"/>
        <w:numPr>
          <w:ilvl w:val="0"/>
          <w:numId w:val="53"/>
        </w:numPr>
        <w:tabs>
          <w:tab w:val="left" w:pos="1701"/>
        </w:tabs>
        <w:ind w:left="709"/>
        <w:rPr>
          <w:b/>
          <w:lang w:val="fr-BE"/>
        </w:rPr>
      </w:pPr>
      <w:r w:rsidRPr="00994754">
        <w:rPr>
          <w:lang w:val="fr-BE"/>
        </w:rPr>
        <w:t>Compte tenu du large éventail des activités de services à la personne âgée, ces services ne sont pas considérés comme un secteur économique cohérent au sein de l’UE. Il conviendrait dès lors d’envisager une définition juridique générale des services à la personne âgée dans l’UE.</w:t>
      </w:r>
    </w:p>
    <w:p w:rsidR="001901B3" w:rsidRPr="00994754" w:rsidRDefault="001901B3" w:rsidP="00BF27A1">
      <w:pPr>
        <w:tabs>
          <w:tab w:val="left" w:pos="1701"/>
        </w:tabs>
        <w:rPr>
          <w:b/>
          <w:lang w:val="fr-BE"/>
        </w:rPr>
      </w:pPr>
    </w:p>
    <w:p w:rsidR="001901B3" w:rsidRPr="00994754" w:rsidRDefault="00B04D0C" w:rsidP="00BF27A1">
      <w:pPr>
        <w:pStyle w:val="ListParagraph"/>
        <w:numPr>
          <w:ilvl w:val="0"/>
          <w:numId w:val="53"/>
        </w:numPr>
        <w:tabs>
          <w:tab w:val="left" w:pos="1701"/>
        </w:tabs>
        <w:ind w:left="709"/>
        <w:rPr>
          <w:b/>
          <w:lang w:val="fr-BE"/>
        </w:rPr>
      </w:pPr>
      <w:r w:rsidRPr="00994754">
        <w:rPr>
          <w:lang w:val="fr-BE"/>
        </w:rPr>
        <w:t xml:space="preserve">Le CESE recommande que le droit au vieillissement dans la dignité soit reconnu comme un droit fondamental de la personne humaine. </w:t>
      </w:r>
    </w:p>
    <w:p w:rsidR="00B04D0C" w:rsidRPr="00994754" w:rsidRDefault="00B04D0C" w:rsidP="00BF27A1">
      <w:pPr>
        <w:tabs>
          <w:tab w:val="left" w:pos="1701"/>
        </w:tabs>
        <w:rPr>
          <w:b/>
          <w:lang w:val="fr-BE"/>
        </w:rPr>
      </w:pPr>
    </w:p>
    <w:p w:rsidR="00B04D0C" w:rsidRPr="00994754" w:rsidRDefault="00B04D0C" w:rsidP="00BF27A1">
      <w:pPr>
        <w:pStyle w:val="ListParagraph"/>
        <w:numPr>
          <w:ilvl w:val="0"/>
          <w:numId w:val="53"/>
        </w:numPr>
        <w:tabs>
          <w:tab w:val="left" w:pos="1701"/>
        </w:tabs>
        <w:ind w:left="709"/>
        <w:rPr>
          <w:b/>
          <w:lang w:val="fr-BE"/>
        </w:rPr>
      </w:pPr>
      <w:r w:rsidRPr="00994754">
        <w:rPr>
          <w:lang w:val="fr-BE"/>
        </w:rPr>
        <w:t>Le CESE recommande que soient articulées les politiques du logement et les politiques du vieillissement autour de formules d’habitat innovantes (telles que les appartements modulaires, l’habitat groupé, l’habitat intergénérationnel et solidaire, etc.) et qu’elles bénéficient d’un programme d’aide spécifique issu des Fonds structurels européens.</w:t>
      </w:r>
    </w:p>
    <w:p w:rsidR="00B04D0C" w:rsidRPr="00994754" w:rsidRDefault="00B04D0C" w:rsidP="00BF27A1">
      <w:pPr>
        <w:tabs>
          <w:tab w:val="left" w:pos="1701"/>
        </w:tabs>
        <w:rPr>
          <w:b/>
          <w:lang w:val="fr-BE"/>
        </w:rPr>
      </w:pPr>
    </w:p>
    <w:p w:rsidR="00B04D0C" w:rsidRPr="00994754" w:rsidRDefault="00B04D0C" w:rsidP="00BF27A1">
      <w:pPr>
        <w:pStyle w:val="ListParagraph"/>
        <w:numPr>
          <w:ilvl w:val="0"/>
          <w:numId w:val="53"/>
        </w:numPr>
        <w:tabs>
          <w:tab w:val="left" w:pos="1701"/>
        </w:tabs>
        <w:ind w:left="709"/>
        <w:rPr>
          <w:b/>
          <w:lang w:val="fr-BE"/>
        </w:rPr>
      </w:pPr>
      <w:r w:rsidRPr="00994754">
        <w:rPr>
          <w:lang w:val="fr-BE"/>
        </w:rPr>
        <w:t>L’UE devrait envisager la création d’une plateforme de coordination des activités des observatoires du vieillissement chargée, entre autres, de proposer des formations continues et de diffuser les bonnes pratiques en développant une banque de données publique des meilleurs produits, dispositifs, équipements et architectures sécurisant la vie quotidienne des aînés.</w:t>
      </w:r>
    </w:p>
    <w:p w:rsidR="00B04D0C" w:rsidRPr="00994754" w:rsidRDefault="00B04D0C" w:rsidP="00BF27A1">
      <w:pPr>
        <w:tabs>
          <w:tab w:val="left" w:pos="1701"/>
        </w:tabs>
        <w:ind w:left="709"/>
        <w:rPr>
          <w:b/>
          <w:lang w:val="fr-BE"/>
        </w:rPr>
      </w:pPr>
    </w:p>
    <w:p w:rsidR="00B04D0C" w:rsidRPr="00994754" w:rsidRDefault="00B04D0C" w:rsidP="00BF27A1">
      <w:pPr>
        <w:pStyle w:val="ListParagraph"/>
        <w:numPr>
          <w:ilvl w:val="0"/>
          <w:numId w:val="53"/>
        </w:numPr>
        <w:tabs>
          <w:tab w:val="left" w:pos="1701"/>
        </w:tabs>
        <w:ind w:left="709"/>
        <w:rPr>
          <w:b/>
          <w:lang w:val="fr-BE"/>
        </w:rPr>
      </w:pPr>
      <w:r w:rsidRPr="00994754">
        <w:rPr>
          <w:lang w:val="fr-BE"/>
        </w:rPr>
        <w:t>Le CESE préconise une meilleure utilisation des innovations issues des technologies numériques par l’ensemble des parties prenantes du secteur médico-social: télémédecine, capteurs, carte clinique et dossier médical informatisés, domotique et plus généralement la mise en œuvre des techniques d’intelligence artificielle dans l’espace des seniors.</w:t>
      </w:r>
    </w:p>
    <w:p w:rsidR="00B04D0C" w:rsidRPr="00994754" w:rsidRDefault="00B04D0C" w:rsidP="00BF27A1">
      <w:pPr>
        <w:tabs>
          <w:tab w:val="left" w:pos="1701"/>
        </w:tabs>
        <w:ind w:left="709"/>
        <w:rPr>
          <w:b/>
          <w:lang w:val="fr-BE"/>
        </w:rPr>
      </w:pPr>
    </w:p>
    <w:p w:rsidR="00B04D0C" w:rsidRPr="00994754" w:rsidRDefault="00B04D0C" w:rsidP="00BF27A1">
      <w:pPr>
        <w:pStyle w:val="ListParagraph"/>
        <w:numPr>
          <w:ilvl w:val="0"/>
          <w:numId w:val="53"/>
        </w:numPr>
        <w:tabs>
          <w:tab w:val="left" w:pos="1701"/>
        </w:tabs>
        <w:ind w:left="709"/>
        <w:rPr>
          <w:b/>
          <w:lang w:val="fr-BE"/>
        </w:rPr>
      </w:pPr>
      <w:r w:rsidRPr="00994754">
        <w:rPr>
          <w:lang w:val="fr-BE"/>
        </w:rPr>
        <w:t>Le CESE souhaite que l’innovation soit stimulée en mettant fin à la fragmentation des marchés et à des approches corporatistes qui constituent de véritables barrières techniques. Il attire l’attention sur le manque de normes et de certifications européennes en matière de matériel et d’équipements destinés aux seniors.</w:t>
      </w:r>
    </w:p>
    <w:p w:rsidR="00B04D0C" w:rsidRPr="00994754" w:rsidRDefault="00B04D0C" w:rsidP="00BF27A1">
      <w:pPr>
        <w:tabs>
          <w:tab w:val="left" w:pos="1701"/>
        </w:tabs>
        <w:ind w:left="709"/>
        <w:rPr>
          <w:b/>
          <w:lang w:val="fr-BE"/>
        </w:rPr>
      </w:pPr>
    </w:p>
    <w:p w:rsidR="00B04D0C" w:rsidRPr="00994754" w:rsidRDefault="00B04D0C" w:rsidP="00BF27A1">
      <w:pPr>
        <w:pStyle w:val="ListParagraph"/>
        <w:numPr>
          <w:ilvl w:val="0"/>
          <w:numId w:val="53"/>
        </w:numPr>
        <w:tabs>
          <w:tab w:val="left" w:pos="1701"/>
        </w:tabs>
        <w:ind w:left="709"/>
        <w:rPr>
          <w:b/>
          <w:lang w:val="fr-BE"/>
        </w:rPr>
      </w:pPr>
      <w:r w:rsidRPr="00994754">
        <w:rPr>
          <w:lang w:val="fr-BE"/>
        </w:rPr>
        <w:t>Le CESE préconise une mutualisation dans l’utilisation des nouveaux outils technologiques issus du numérique afin de stimuler un véritable marché couvrant les besoins des seniors et de pérenniser les investissements en Europe.</w:t>
      </w:r>
    </w:p>
    <w:p w:rsidR="00B04D0C" w:rsidRPr="00994754" w:rsidRDefault="00B04D0C" w:rsidP="00BF27A1">
      <w:pPr>
        <w:tabs>
          <w:tab w:val="left" w:pos="1701"/>
        </w:tabs>
        <w:ind w:left="709"/>
        <w:rPr>
          <w:b/>
          <w:lang w:val="fr-BE"/>
        </w:rPr>
      </w:pPr>
    </w:p>
    <w:p w:rsidR="00B04D0C" w:rsidRPr="00994754" w:rsidRDefault="00B04D0C" w:rsidP="00BF27A1">
      <w:pPr>
        <w:pStyle w:val="ListParagraph"/>
        <w:numPr>
          <w:ilvl w:val="0"/>
          <w:numId w:val="53"/>
        </w:numPr>
        <w:tabs>
          <w:tab w:val="left" w:pos="1701"/>
        </w:tabs>
        <w:ind w:left="709"/>
        <w:rPr>
          <w:b/>
          <w:lang w:val="fr-BE"/>
        </w:rPr>
      </w:pPr>
      <w:r w:rsidRPr="00994754">
        <w:rPr>
          <w:lang w:val="fr-BE"/>
        </w:rPr>
        <w:t>La formation professionnelle du secteur doit être fortement soutenue.</w:t>
      </w:r>
    </w:p>
    <w:p w:rsidR="00B04D0C" w:rsidRPr="00994754" w:rsidRDefault="00B04D0C" w:rsidP="00BF27A1">
      <w:pPr>
        <w:tabs>
          <w:tab w:val="left" w:pos="1701"/>
        </w:tabs>
        <w:rPr>
          <w:b/>
          <w:lang w:val="fr-BE"/>
        </w:rPr>
      </w:pPr>
    </w:p>
    <w:p w:rsidR="00B04D0C" w:rsidRPr="00994754" w:rsidRDefault="00B04D0C" w:rsidP="00BF27A1">
      <w:pPr>
        <w:tabs>
          <w:tab w:val="left" w:pos="1701"/>
        </w:tabs>
        <w:rPr>
          <w:i/>
          <w:lang w:val="fr-BE"/>
        </w:rPr>
      </w:pPr>
      <w:r w:rsidRPr="00994754">
        <w:rPr>
          <w:b/>
          <w:i/>
          <w:lang w:val="fr-BE"/>
        </w:rPr>
        <w:t>Contact:</w:t>
      </w:r>
      <w:r w:rsidRPr="00994754">
        <w:rPr>
          <w:b/>
          <w:i/>
          <w:lang w:val="fr-BE"/>
        </w:rPr>
        <w:tab/>
      </w:r>
      <w:r w:rsidRPr="00994754">
        <w:rPr>
          <w:i/>
          <w:lang w:val="fr-BE"/>
        </w:rPr>
        <w:t>M</w:t>
      </w:r>
      <w:r w:rsidRPr="00994754">
        <w:rPr>
          <w:i/>
          <w:vertAlign w:val="superscript"/>
          <w:lang w:val="fr-BE"/>
        </w:rPr>
        <w:t>me</w:t>
      </w:r>
      <w:r w:rsidRPr="00994754">
        <w:rPr>
          <w:i/>
          <w:lang w:val="fr-BE"/>
        </w:rPr>
        <w:t> Amelia Muñoz Cabezón</w:t>
      </w:r>
    </w:p>
    <w:p w:rsidR="00B04D0C" w:rsidRPr="00994754" w:rsidRDefault="00B04D0C" w:rsidP="00BF27A1">
      <w:pPr>
        <w:tabs>
          <w:tab w:val="left" w:pos="1701"/>
        </w:tabs>
        <w:rPr>
          <w:b/>
          <w:lang w:val="fr-BE"/>
        </w:rPr>
      </w:pPr>
      <w:r w:rsidRPr="00994754">
        <w:rPr>
          <w:i/>
          <w:lang w:val="fr-BE"/>
        </w:rPr>
        <w:tab/>
        <w:t>(Tél.: 00 32 2 546 8373 – courriel:</w:t>
      </w:r>
      <w:r w:rsidRPr="00994754">
        <w:rPr>
          <w:lang w:val="fr-BE"/>
        </w:rPr>
        <w:t xml:space="preserve"> </w:t>
      </w:r>
      <w:r w:rsidRPr="00994754">
        <w:rPr>
          <w:i/>
          <w:lang w:val="fr-BE"/>
        </w:rPr>
        <w:t>Amelia.Munoz.Cabezon@eesc.europa.eu)</w:t>
      </w:r>
    </w:p>
    <w:p w:rsidR="00B04D0C" w:rsidRPr="00994754" w:rsidRDefault="00B04D0C" w:rsidP="00BF27A1">
      <w:pPr>
        <w:tabs>
          <w:tab w:val="left" w:pos="1701"/>
        </w:tabs>
        <w:rPr>
          <w:b/>
          <w:lang w:val="fr-BE"/>
        </w:rPr>
      </w:pPr>
    </w:p>
    <w:p w:rsidR="00B15573" w:rsidRPr="00994754" w:rsidRDefault="008262D3" w:rsidP="00437F39">
      <w:pPr>
        <w:keepNext/>
        <w:tabs>
          <w:tab w:val="left" w:pos="1701"/>
        </w:tabs>
        <w:rPr>
          <w:b/>
          <w:lang w:val="fr-BE"/>
        </w:rPr>
      </w:pPr>
      <w:r w:rsidRPr="00994754">
        <w:rPr>
          <w:b/>
          <w:u w:val="single"/>
          <w:lang w:val="fr-BE"/>
        </w:rPr>
        <w:t>CCMI/166</w:t>
      </w:r>
    </w:p>
    <w:p w:rsidR="008262D3" w:rsidRPr="00994754" w:rsidRDefault="008262D3" w:rsidP="00437F39">
      <w:pPr>
        <w:keepNext/>
        <w:tabs>
          <w:tab w:val="left" w:pos="1701"/>
        </w:tabs>
        <w:rPr>
          <w:b/>
          <w:lang w:val="fr-BE"/>
        </w:rPr>
      </w:pPr>
    </w:p>
    <w:p w:rsidR="00E26CE4" w:rsidRPr="00994754" w:rsidRDefault="00935826" w:rsidP="00437F39">
      <w:pPr>
        <w:pStyle w:val="ListParagraph"/>
        <w:keepNext/>
        <w:numPr>
          <w:ilvl w:val="0"/>
          <w:numId w:val="57"/>
        </w:numPr>
        <w:tabs>
          <w:tab w:val="left" w:pos="1701"/>
        </w:tabs>
        <w:ind w:left="567" w:hanging="567"/>
        <w:rPr>
          <w:b/>
          <w:lang w:val="fr-BE"/>
        </w:rPr>
      </w:pPr>
      <w:r w:rsidRPr="00994754">
        <w:rPr>
          <w:b/>
          <w:i/>
          <w:sz w:val="28"/>
          <w:szCs w:val="28"/>
          <w:lang w:val="fr-BE"/>
        </w:rPr>
        <w:t>Travail avec l’amiante dans la rénovation énergétique</w:t>
      </w:r>
    </w:p>
    <w:p w:rsidR="00935826" w:rsidRPr="00994754" w:rsidRDefault="00935826" w:rsidP="00437F39">
      <w:pPr>
        <w:keepNext/>
        <w:tabs>
          <w:tab w:val="left" w:pos="1701"/>
        </w:tabs>
        <w:rPr>
          <w:b/>
          <w:lang w:val="fr-BE"/>
        </w:rPr>
      </w:pPr>
    </w:p>
    <w:p w:rsidR="00935826" w:rsidRPr="00994754" w:rsidRDefault="00935826" w:rsidP="00BF27A1">
      <w:pPr>
        <w:tabs>
          <w:tab w:val="left" w:pos="1701"/>
        </w:tabs>
        <w:ind w:left="-39"/>
        <w:rPr>
          <w:lang w:val="fr-BE"/>
        </w:rPr>
      </w:pPr>
      <w:r w:rsidRPr="00994754">
        <w:rPr>
          <w:b/>
          <w:lang w:val="fr-BE"/>
        </w:rPr>
        <w:t>Rapporteur:</w:t>
      </w:r>
      <w:r w:rsidRPr="00994754">
        <w:rPr>
          <w:b/>
          <w:lang w:val="fr-BE"/>
        </w:rPr>
        <w:tab/>
      </w:r>
      <w:r w:rsidRPr="00994754">
        <w:rPr>
          <w:lang w:val="fr-BE"/>
        </w:rPr>
        <w:t>M. Aurel Laurenţiu PLOSCEANU (groupe des employeurs – Roumanie)</w:t>
      </w:r>
    </w:p>
    <w:p w:rsidR="00935826" w:rsidRPr="00994754" w:rsidRDefault="00935826" w:rsidP="00BF27A1">
      <w:pPr>
        <w:tabs>
          <w:tab w:val="left" w:pos="1701"/>
        </w:tabs>
        <w:ind w:left="-39"/>
        <w:rPr>
          <w:lang w:val="fr-BE"/>
        </w:rPr>
      </w:pPr>
      <w:r w:rsidRPr="00994754">
        <w:rPr>
          <w:b/>
          <w:bCs/>
          <w:lang w:val="fr-BE"/>
        </w:rPr>
        <w:t>Corapporteur:</w:t>
      </w:r>
      <w:r w:rsidRPr="00994754">
        <w:rPr>
          <w:lang w:val="fr-BE"/>
        </w:rPr>
        <w:t xml:space="preserve"> </w:t>
      </w:r>
      <w:r w:rsidRPr="00994754">
        <w:rPr>
          <w:lang w:val="fr-BE"/>
        </w:rPr>
        <w:tab/>
        <w:t>M. Enrico GIBELLIERI (catégorie 2 – Italie)</w:t>
      </w:r>
    </w:p>
    <w:p w:rsidR="00192485" w:rsidRPr="00994754" w:rsidRDefault="00192485" w:rsidP="00BF27A1">
      <w:pPr>
        <w:ind w:left="-39"/>
        <w:rPr>
          <w:b/>
          <w:bCs/>
          <w:lang w:val="fr-BE"/>
        </w:rPr>
      </w:pPr>
    </w:p>
    <w:p w:rsidR="008262D3" w:rsidRPr="00994754" w:rsidRDefault="00935826" w:rsidP="00BF27A1">
      <w:pPr>
        <w:ind w:left="-39"/>
        <w:rPr>
          <w:b/>
          <w:lang w:val="fr-BE"/>
        </w:rPr>
      </w:pPr>
      <w:r w:rsidRPr="00994754">
        <w:rPr>
          <w:b/>
          <w:lang w:val="fr-BE"/>
        </w:rPr>
        <w:t>Références:</w:t>
      </w:r>
      <w:r w:rsidRPr="00994754">
        <w:rPr>
          <w:b/>
          <w:lang w:val="fr-BE"/>
        </w:rPr>
        <w:tab/>
      </w:r>
      <w:r w:rsidRPr="00994754">
        <w:rPr>
          <w:b/>
          <w:lang w:val="fr-BE"/>
        </w:rPr>
        <w:tab/>
      </w:r>
      <w:r w:rsidRPr="00994754">
        <w:rPr>
          <w:lang w:val="fr-BE"/>
        </w:rPr>
        <w:t>Avis d’initiative</w:t>
      </w:r>
    </w:p>
    <w:p w:rsidR="00192485" w:rsidRPr="00994754" w:rsidRDefault="00192485" w:rsidP="00EF7A77">
      <w:pPr>
        <w:ind w:left="1701"/>
        <w:rPr>
          <w:lang w:val="fr-BE"/>
        </w:rPr>
      </w:pPr>
      <w:r w:rsidRPr="00994754">
        <w:rPr>
          <w:lang w:val="fr-BE"/>
        </w:rPr>
        <w:t xml:space="preserve">EESC-2018-04791-00-00-AC </w:t>
      </w:r>
    </w:p>
    <w:p w:rsidR="00192485" w:rsidRPr="00994754" w:rsidRDefault="00192485" w:rsidP="00BF27A1">
      <w:pPr>
        <w:ind w:left="-39"/>
        <w:rPr>
          <w:b/>
          <w:lang w:val="fr-BE"/>
        </w:rPr>
      </w:pPr>
    </w:p>
    <w:p w:rsidR="00935826" w:rsidRPr="00994754" w:rsidRDefault="00935826" w:rsidP="00437F39">
      <w:pPr>
        <w:keepNext/>
        <w:ind w:left="-39"/>
        <w:rPr>
          <w:b/>
          <w:lang w:val="fr-BE"/>
        </w:rPr>
      </w:pPr>
      <w:r w:rsidRPr="00994754">
        <w:rPr>
          <w:b/>
          <w:lang w:val="fr-BE"/>
        </w:rPr>
        <w:t>Points clés</w:t>
      </w:r>
    </w:p>
    <w:p w:rsidR="00192485" w:rsidRPr="00994754" w:rsidRDefault="00192485" w:rsidP="00437F39">
      <w:pPr>
        <w:keepNext/>
        <w:ind w:left="-39"/>
        <w:rPr>
          <w:b/>
          <w:lang w:val="fr-BE"/>
        </w:rPr>
      </w:pPr>
    </w:p>
    <w:p w:rsidR="00192485" w:rsidRPr="00994754" w:rsidRDefault="00192485" w:rsidP="00BF27A1">
      <w:pPr>
        <w:pStyle w:val="ListParagraph"/>
        <w:numPr>
          <w:ilvl w:val="0"/>
          <w:numId w:val="57"/>
        </w:numPr>
        <w:ind w:left="709"/>
        <w:rPr>
          <w:lang w:val="fr-BE"/>
        </w:rPr>
      </w:pPr>
      <w:r w:rsidRPr="00994754">
        <w:rPr>
          <w:lang w:val="fr-BE"/>
        </w:rPr>
        <w:t>Le CESE se félicite de l’ambitieuse révision de la directive sur la performance énergétique des bâtiments (PEB), mais reconnaît également que l’amiante représentante un danger considérable. Le CESE estime nécessaire de créer des synergies avec l’élimination des substances nocives lors d’une rénovation énergétique.</w:t>
      </w:r>
    </w:p>
    <w:p w:rsidR="00192485" w:rsidRPr="00994754" w:rsidRDefault="00192485" w:rsidP="00BF27A1">
      <w:pPr>
        <w:ind w:left="709"/>
        <w:rPr>
          <w:lang w:val="fr-BE"/>
        </w:rPr>
      </w:pPr>
    </w:p>
    <w:p w:rsidR="00192485" w:rsidRPr="00994754" w:rsidRDefault="00192485" w:rsidP="00BF27A1">
      <w:pPr>
        <w:pStyle w:val="Heading2"/>
        <w:numPr>
          <w:ilvl w:val="0"/>
          <w:numId w:val="57"/>
        </w:numPr>
        <w:ind w:left="709"/>
        <w:textAlignment w:val="baseline"/>
        <w:rPr>
          <w:lang w:val="fr-BE"/>
        </w:rPr>
      </w:pPr>
      <w:r w:rsidRPr="00994754">
        <w:rPr>
          <w:lang w:val="fr-BE"/>
        </w:rPr>
        <w:t>La Commission européenne devrait collaborer avec l’Organisation internationale du travail (OIT) et l’Organisation mondiale de la santé (OMS) sur la base des précédents programmes de ces organismes. Il serait souhaitable que l’Agence européenne pour la sécurité et la santé au travail et la Commission européenne soutiennent conjointement ce type de mesures dans l’Union européenne.</w:t>
      </w:r>
    </w:p>
    <w:p w:rsidR="00192485" w:rsidRPr="00994754" w:rsidRDefault="00192485" w:rsidP="00BF27A1">
      <w:pPr>
        <w:ind w:left="709"/>
        <w:rPr>
          <w:lang w:val="fr-BE"/>
        </w:rPr>
      </w:pPr>
    </w:p>
    <w:p w:rsidR="00192485" w:rsidRPr="00994754" w:rsidRDefault="00192485" w:rsidP="00BF27A1">
      <w:pPr>
        <w:pStyle w:val="ListParagraph"/>
        <w:numPr>
          <w:ilvl w:val="0"/>
          <w:numId w:val="57"/>
        </w:numPr>
        <w:ind w:left="709"/>
        <w:rPr>
          <w:lang w:val="fr-BE"/>
        </w:rPr>
      </w:pPr>
      <w:r w:rsidRPr="00994754">
        <w:rPr>
          <w:lang w:val="fr-BE"/>
        </w:rPr>
        <w:t>La Commission européenne devrait promouvoir activement une approche fondée sur le cycle de vie en ce qui concerne la conception des bâtiments et les matériaux de construction, en tenant compte de leur capacité à être recyclés et de leur utilisation en fin de vie, ainsi que de l’objectif de l’Union visant à créer une économie circulaire.</w:t>
      </w:r>
    </w:p>
    <w:p w:rsidR="00192485" w:rsidRPr="00994754" w:rsidRDefault="00192485" w:rsidP="00BF27A1">
      <w:pPr>
        <w:ind w:left="709"/>
        <w:rPr>
          <w:lang w:val="fr-BE"/>
        </w:rPr>
      </w:pPr>
    </w:p>
    <w:p w:rsidR="00192485" w:rsidRPr="00994754" w:rsidRDefault="00192485" w:rsidP="00BF27A1">
      <w:pPr>
        <w:pStyle w:val="ListParagraph"/>
        <w:numPr>
          <w:ilvl w:val="0"/>
          <w:numId w:val="57"/>
        </w:numPr>
        <w:ind w:left="709"/>
        <w:rPr>
          <w:lang w:val="fr-BE"/>
        </w:rPr>
      </w:pPr>
      <w:r w:rsidRPr="00994754">
        <w:rPr>
          <w:lang w:val="fr-BE"/>
        </w:rPr>
        <w:t>Les États membres devraient élaborer des registres et placer les substances nocives au cœur de tout passeport de rénovation du bâtiment actuellement en vigueur, ou des nouveaux passeports qui seront mis au point.</w:t>
      </w:r>
    </w:p>
    <w:p w:rsidR="00192485" w:rsidRPr="00994754" w:rsidRDefault="00192485" w:rsidP="00BF27A1">
      <w:pPr>
        <w:ind w:left="709"/>
        <w:rPr>
          <w:lang w:val="fr-BE"/>
        </w:rPr>
      </w:pPr>
    </w:p>
    <w:p w:rsidR="00192485" w:rsidRPr="00994754" w:rsidRDefault="00192485" w:rsidP="00BF27A1">
      <w:pPr>
        <w:pStyle w:val="ListParagraph"/>
        <w:numPr>
          <w:ilvl w:val="0"/>
          <w:numId w:val="57"/>
        </w:numPr>
        <w:ind w:left="709"/>
        <w:rPr>
          <w:lang w:val="fr-BE"/>
        </w:rPr>
      </w:pPr>
      <w:r w:rsidRPr="00994754">
        <w:rPr>
          <w:lang w:val="fr-BE"/>
        </w:rPr>
        <w:t>Les États membres doivent impérativement concevoir leurs stratégies de rénovation à long terme en tenant compte des dangers inhérents à l’amiante et à d’autres substances nocives.</w:t>
      </w:r>
    </w:p>
    <w:p w:rsidR="00192485" w:rsidRPr="00994754" w:rsidRDefault="00192485" w:rsidP="00BF27A1">
      <w:pPr>
        <w:ind w:left="709"/>
        <w:rPr>
          <w:lang w:val="fr-BE"/>
        </w:rPr>
      </w:pPr>
    </w:p>
    <w:p w:rsidR="001355B2" w:rsidRPr="00994754" w:rsidRDefault="00192485" w:rsidP="005468F7">
      <w:pPr>
        <w:pStyle w:val="ListParagraph"/>
        <w:numPr>
          <w:ilvl w:val="0"/>
          <w:numId w:val="57"/>
        </w:numPr>
        <w:spacing w:line="240" w:lineRule="auto"/>
        <w:ind w:left="709"/>
        <w:jc w:val="left"/>
        <w:rPr>
          <w:lang w:val="fr-BE"/>
        </w:rPr>
      </w:pPr>
      <w:r w:rsidRPr="00994754">
        <w:rPr>
          <w:lang w:val="fr-BE"/>
        </w:rPr>
        <w:t>Les États membres doivent veiller à ce que les critères d’attribution des aides financières à la rénovation énergétique, telles que des abattements fiscaux ou des subventions, soient expressément définis de sorte que les propriétaires de logements puissent éliminer complètement les substances nocives lors d’un processus de rénovation.</w:t>
      </w:r>
    </w:p>
    <w:p w:rsidR="00192485" w:rsidRPr="00614027" w:rsidRDefault="00192485" w:rsidP="00614027">
      <w:pPr>
        <w:ind w:left="426"/>
        <w:rPr>
          <w:lang w:val="fr-BE"/>
        </w:rPr>
      </w:pPr>
      <w:r w:rsidRPr="00614027">
        <w:rPr>
          <w:lang w:val="fr-BE"/>
        </w:rPr>
        <w:t xml:space="preserve"> </w:t>
      </w:r>
    </w:p>
    <w:p w:rsidR="00192485" w:rsidRPr="00994754" w:rsidRDefault="00192485" w:rsidP="00BF27A1">
      <w:pPr>
        <w:rPr>
          <w:lang w:val="fr-BE"/>
        </w:rPr>
      </w:pPr>
    </w:p>
    <w:p w:rsidR="00192485" w:rsidRPr="00994754" w:rsidRDefault="00192485" w:rsidP="00BF27A1">
      <w:pPr>
        <w:tabs>
          <w:tab w:val="left" w:pos="1701"/>
        </w:tabs>
        <w:rPr>
          <w:i/>
          <w:lang w:val="fr-BE"/>
        </w:rPr>
      </w:pPr>
      <w:r w:rsidRPr="00994754">
        <w:rPr>
          <w:b/>
          <w:i/>
          <w:lang w:val="fr-BE"/>
        </w:rPr>
        <w:t>Contact:</w:t>
      </w:r>
      <w:r w:rsidRPr="00994754">
        <w:rPr>
          <w:b/>
          <w:i/>
          <w:lang w:val="fr-BE"/>
        </w:rPr>
        <w:tab/>
      </w:r>
      <w:r w:rsidRPr="00994754">
        <w:rPr>
          <w:i/>
          <w:lang w:val="fr-BE"/>
        </w:rPr>
        <w:t>M. Adam Plezer</w:t>
      </w:r>
    </w:p>
    <w:p w:rsidR="00192485" w:rsidRPr="00994754" w:rsidRDefault="00192485" w:rsidP="00BF27A1">
      <w:pPr>
        <w:tabs>
          <w:tab w:val="left" w:pos="1701"/>
        </w:tabs>
        <w:rPr>
          <w:lang w:val="fr-BE"/>
        </w:rPr>
      </w:pPr>
      <w:r w:rsidRPr="00994754">
        <w:rPr>
          <w:i/>
          <w:lang w:val="fr-BE"/>
        </w:rPr>
        <w:tab/>
        <w:t>(Tél.: 00 32 2 546 8628 – courriel: Adam.Plezer@eesc.europa.eu)</w:t>
      </w:r>
    </w:p>
    <w:p w:rsidR="00192485" w:rsidRPr="00994754" w:rsidRDefault="00192485" w:rsidP="00BF27A1">
      <w:pPr>
        <w:tabs>
          <w:tab w:val="left" w:pos="1701"/>
        </w:tabs>
        <w:jc w:val="center"/>
        <w:rPr>
          <w:i/>
          <w:szCs w:val="20"/>
          <w:lang w:val="fr-BE"/>
        </w:rPr>
      </w:pPr>
    </w:p>
    <w:p w:rsidR="00C71FF0" w:rsidRPr="00994754" w:rsidRDefault="00C71FF0" w:rsidP="00BF27A1">
      <w:pPr>
        <w:tabs>
          <w:tab w:val="left" w:pos="1701"/>
        </w:tabs>
        <w:jc w:val="center"/>
        <w:rPr>
          <w:i/>
          <w:szCs w:val="20"/>
          <w:lang w:val="fr-BE"/>
        </w:rPr>
      </w:pPr>
      <w:r w:rsidRPr="00994754">
        <w:rPr>
          <w:i/>
          <w:szCs w:val="20"/>
          <w:lang w:val="fr-BE"/>
        </w:rPr>
        <w:t>____________</w:t>
      </w:r>
    </w:p>
    <w:sectPr w:rsidR="00C71FF0" w:rsidRPr="00994754" w:rsidSect="00A60D7F">
      <w:headerReference w:type="even" r:id="rId29"/>
      <w:headerReference w:type="default" r:id="rId30"/>
      <w:footerReference w:type="even" r:id="rId31"/>
      <w:footerReference w:type="default" r:id="rId32"/>
      <w:headerReference w:type="first" r:id="rId33"/>
      <w:footerReference w:type="first" r:id="rId3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C5" w:rsidRDefault="002159C5" w:rsidP="003B283B">
      <w:pPr>
        <w:spacing w:line="240" w:lineRule="auto"/>
      </w:pPr>
      <w:r>
        <w:separator/>
      </w:r>
    </w:p>
  </w:endnote>
  <w:endnote w:type="continuationSeparator" w:id="0">
    <w:p w:rsidR="002159C5" w:rsidRDefault="002159C5" w:rsidP="003B283B">
      <w:pPr>
        <w:spacing w:line="240" w:lineRule="auto"/>
      </w:pPr>
      <w:r>
        <w:continuationSeparator/>
      </w:r>
    </w:p>
  </w:endnote>
  <w:endnote w:type="continuationNotice" w:id="1">
    <w:p w:rsidR="002159C5" w:rsidRDefault="002159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A60D7F" w:rsidP="00A60D7F">
    <w:pPr>
      <w:pStyle w:val="Footer"/>
    </w:pPr>
    <w:r>
      <w:t xml:space="preserve">EESC-2019-01616-00-01-TCD-TRA (EN/FR) </w:t>
    </w:r>
    <w:r>
      <w:fldChar w:fldCharType="begin"/>
    </w:r>
    <w:r>
      <w:instrText xml:space="preserve"> PAGE  \* Arabic  \* MERGEFORMAT </w:instrText>
    </w:r>
    <w:r>
      <w:fldChar w:fldCharType="separate"/>
    </w:r>
    <w:r w:rsidR="00B440FD">
      <w:rPr>
        <w:noProof/>
      </w:rPr>
      <w:t>1</w:t>
    </w:r>
    <w:r>
      <w:fldChar w:fldCharType="end"/>
    </w:r>
    <w:r>
      <w:t>/</w:t>
    </w:r>
    <w:r>
      <w:fldChar w:fldCharType="begin"/>
    </w:r>
    <w:r>
      <w:instrText xml:space="preserve"> = </w:instrText>
    </w:r>
    <w:fldSimple w:instr=" NUMPAGES ">
      <w:r w:rsidR="00B440FD">
        <w:rPr>
          <w:noProof/>
        </w:rPr>
        <w:instrText>17</w:instrText>
      </w:r>
    </w:fldSimple>
    <w:r>
      <w:instrText xml:space="preserve"> </w:instrText>
    </w:r>
    <w:r>
      <w:fldChar w:fldCharType="separate"/>
    </w:r>
    <w:r w:rsidR="00B440FD">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A60D7F" w:rsidP="00A60D7F">
    <w:pPr>
      <w:pStyle w:val="Footer"/>
    </w:pPr>
    <w:r>
      <w:t xml:space="preserve">EESC-2019-01616-00-01-TCD-TRA (EN/FR) </w:t>
    </w:r>
    <w:r>
      <w:fldChar w:fldCharType="begin"/>
    </w:r>
    <w:r>
      <w:instrText xml:space="preserve"> PAGE  \* Arabic  \* MERGEFORMAT </w:instrText>
    </w:r>
    <w:r>
      <w:fldChar w:fldCharType="separate"/>
    </w:r>
    <w:r w:rsidR="00B440FD">
      <w:rPr>
        <w:noProof/>
      </w:rPr>
      <w:t>2</w:t>
    </w:r>
    <w:r>
      <w:fldChar w:fldCharType="end"/>
    </w:r>
    <w:r>
      <w:t>/</w:t>
    </w:r>
    <w:r>
      <w:fldChar w:fldCharType="begin"/>
    </w:r>
    <w:r>
      <w:instrText xml:space="preserve"> = </w:instrText>
    </w:r>
    <w:fldSimple w:instr=" NUMPAGES ">
      <w:r w:rsidR="00B440FD">
        <w:rPr>
          <w:noProof/>
        </w:rPr>
        <w:instrText>17</w:instrText>
      </w:r>
    </w:fldSimple>
    <w:r>
      <w:instrText xml:space="preserve"> </w:instrText>
    </w:r>
    <w:r>
      <w:fldChar w:fldCharType="separate"/>
    </w:r>
    <w:r w:rsidR="00B440FD">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C5" w:rsidRDefault="002159C5" w:rsidP="003B283B">
      <w:pPr>
        <w:spacing w:line="240" w:lineRule="auto"/>
      </w:pPr>
      <w:r>
        <w:separator/>
      </w:r>
    </w:p>
  </w:footnote>
  <w:footnote w:type="continuationSeparator" w:id="0">
    <w:p w:rsidR="002159C5" w:rsidRDefault="002159C5" w:rsidP="003B283B">
      <w:pPr>
        <w:spacing w:line="240" w:lineRule="auto"/>
      </w:pPr>
      <w:r>
        <w:continuationSeparator/>
      </w:r>
    </w:p>
  </w:footnote>
  <w:footnote w:type="continuationNotice" w:id="1">
    <w:p w:rsidR="002159C5" w:rsidRPr="00377A77" w:rsidRDefault="002159C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BCC5056"/>
    <w:lvl w:ilvl="0">
      <w:start w:val="1"/>
      <w:numFmt w:val="decimal"/>
      <w:pStyle w:val="Heading1"/>
      <w:lvlText w:val="%1."/>
      <w:legacy w:legacy="1" w:legacySpace="0" w:legacyIndent="0"/>
      <w:lvlJc w:val="left"/>
      <w:rPr>
        <w:b w:val="0"/>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55B9F"/>
    <w:multiLevelType w:val="multilevel"/>
    <w:tmpl w:val="3CB0B50E"/>
    <w:lvl w:ilvl="0">
      <w:start w:val="1"/>
      <w:numFmt w:val="decimal"/>
      <w:lvlText w:val="%1."/>
      <w:lvlJc w:val="left"/>
      <w:pPr>
        <w:ind w:left="432" w:hanging="432"/>
      </w:pPr>
      <w:rPr>
        <w:b w: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75A83"/>
    <w:multiLevelType w:val="singleLevel"/>
    <w:tmpl w:val="A8C2A524"/>
    <w:lvl w:ilvl="0">
      <w:numFmt w:val="decimal"/>
      <w:lvlText w:val="*"/>
      <w:lvlJc w:val="left"/>
    </w:lvl>
  </w:abstractNum>
  <w:abstractNum w:abstractNumId="16"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22" w15:restartNumberingAfterBreak="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A1770"/>
    <w:multiLevelType w:val="hybridMultilevel"/>
    <w:tmpl w:val="E42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36" w15:restartNumberingAfterBreak="0">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1"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2" w15:restartNumberingAfterBreak="0">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1"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0"/>
  </w:num>
  <w:num w:numId="4">
    <w:abstractNumId w:val="43"/>
  </w:num>
  <w:num w:numId="5">
    <w:abstractNumId w:val="7"/>
  </w:num>
  <w:num w:numId="6">
    <w:abstractNumId w:val="23"/>
  </w:num>
  <w:num w:numId="7">
    <w:abstractNumId w:val="11"/>
  </w:num>
  <w:num w:numId="8">
    <w:abstractNumId w:val="24"/>
  </w:num>
  <w:num w:numId="9">
    <w:abstractNumId w:val="56"/>
  </w:num>
  <w:num w:numId="10">
    <w:abstractNumId w:val="35"/>
  </w:num>
  <w:num w:numId="11">
    <w:abstractNumId w:val="30"/>
  </w:num>
  <w:num w:numId="12">
    <w:abstractNumId w:val="41"/>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38"/>
  </w:num>
  <w:num w:numId="16">
    <w:abstractNumId w:val="14"/>
  </w:num>
  <w:num w:numId="17">
    <w:abstractNumId w:val="27"/>
  </w:num>
  <w:num w:numId="18">
    <w:abstractNumId w:val="40"/>
  </w:num>
  <w:num w:numId="19">
    <w:abstractNumId w:val="54"/>
  </w:num>
  <w:num w:numId="20">
    <w:abstractNumId w:val="16"/>
  </w:num>
  <w:num w:numId="21">
    <w:abstractNumId w:val="19"/>
  </w:num>
  <w:num w:numId="22">
    <w:abstractNumId w:val="33"/>
  </w:num>
  <w:num w:numId="23">
    <w:abstractNumId w:val="51"/>
  </w:num>
  <w:num w:numId="24">
    <w:abstractNumId w:val="29"/>
  </w:num>
  <w:num w:numId="25">
    <w:abstractNumId w:val="55"/>
  </w:num>
  <w:num w:numId="26">
    <w:abstractNumId w:val="53"/>
  </w:num>
  <w:num w:numId="27">
    <w:abstractNumId w:val="52"/>
  </w:num>
  <w:num w:numId="28">
    <w:abstractNumId w:val="47"/>
  </w:num>
  <w:num w:numId="29">
    <w:abstractNumId w:val="4"/>
  </w:num>
  <w:num w:numId="30">
    <w:abstractNumId w:val="6"/>
  </w:num>
  <w:num w:numId="31">
    <w:abstractNumId w:val="12"/>
  </w:num>
  <w:num w:numId="32">
    <w:abstractNumId w:val="46"/>
  </w:num>
  <w:num w:numId="33">
    <w:abstractNumId w:val="5"/>
  </w:num>
  <w:num w:numId="34">
    <w:abstractNumId w:val="49"/>
  </w:num>
  <w:num w:numId="35">
    <w:abstractNumId w:val="44"/>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18"/>
  </w:num>
  <w:num w:numId="38">
    <w:abstractNumId w:val="17"/>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22"/>
  </w:num>
  <w:num w:numId="41">
    <w:abstractNumId w:val="15"/>
  </w:num>
  <w:num w:numId="42">
    <w:abstractNumId w:val="48"/>
  </w:num>
  <w:num w:numId="43">
    <w:abstractNumId w:val="32"/>
  </w:num>
  <w:num w:numId="44">
    <w:abstractNumId w:val="20"/>
  </w:num>
  <w:num w:numId="45">
    <w:abstractNumId w:val="26"/>
  </w:num>
  <w:num w:numId="46">
    <w:abstractNumId w:val="9"/>
  </w:num>
  <w:num w:numId="47">
    <w:abstractNumId w:val="10"/>
  </w:num>
  <w:num w:numId="48">
    <w:abstractNumId w:val="45"/>
  </w:num>
  <w:num w:numId="49">
    <w:abstractNumId w:val="37"/>
  </w:num>
  <w:num w:numId="50">
    <w:abstractNumId w:val="31"/>
  </w:num>
  <w:num w:numId="51">
    <w:abstractNumId w:val="21"/>
  </w:num>
  <w:num w:numId="52">
    <w:abstractNumId w:val="42"/>
  </w:num>
  <w:num w:numId="53">
    <w:abstractNumId w:val="36"/>
  </w:num>
  <w:num w:numId="54">
    <w:abstractNumId w:val="39"/>
  </w:num>
  <w:num w:numId="55">
    <w:abstractNumId w:val="25"/>
  </w:num>
  <w:num w:numId="56">
    <w:abstractNumId w:val="3"/>
  </w:num>
  <w:num w:numId="57">
    <w:abstractNumId w:val="28"/>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B39"/>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414"/>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0FDA"/>
    <w:rsid w:val="0028136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6B0D"/>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09A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37F39"/>
    <w:rsid w:val="00440808"/>
    <w:rsid w:val="00441BAD"/>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7F54"/>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68CF"/>
    <w:rsid w:val="005A6CB1"/>
    <w:rsid w:val="005A71E9"/>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787"/>
    <w:rsid w:val="00600B60"/>
    <w:rsid w:val="006028AC"/>
    <w:rsid w:val="00603D56"/>
    <w:rsid w:val="006043AA"/>
    <w:rsid w:val="00606054"/>
    <w:rsid w:val="00607C32"/>
    <w:rsid w:val="00607F1C"/>
    <w:rsid w:val="00610CDE"/>
    <w:rsid w:val="0061195A"/>
    <w:rsid w:val="006139AA"/>
    <w:rsid w:val="00614027"/>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B31B6"/>
    <w:rsid w:val="007B3529"/>
    <w:rsid w:val="007B5211"/>
    <w:rsid w:val="007C0787"/>
    <w:rsid w:val="007C07C5"/>
    <w:rsid w:val="007C2CBF"/>
    <w:rsid w:val="007C2D6B"/>
    <w:rsid w:val="007C3321"/>
    <w:rsid w:val="007C3593"/>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415"/>
    <w:rsid w:val="008157C9"/>
    <w:rsid w:val="00815ACE"/>
    <w:rsid w:val="008169EC"/>
    <w:rsid w:val="0082010F"/>
    <w:rsid w:val="008212B0"/>
    <w:rsid w:val="00821A37"/>
    <w:rsid w:val="00821C94"/>
    <w:rsid w:val="00822E71"/>
    <w:rsid w:val="00822F86"/>
    <w:rsid w:val="0082399B"/>
    <w:rsid w:val="00824BEE"/>
    <w:rsid w:val="00825193"/>
    <w:rsid w:val="00825C09"/>
    <w:rsid w:val="00826076"/>
    <w:rsid w:val="00826273"/>
    <w:rsid w:val="008262D3"/>
    <w:rsid w:val="00826DBC"/>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754"/>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6055"/>
    <w:rsid w:val="00A56B6D"/>
    <w:rsid w:val="00A57F27"/>
    <w:rsid w:val="00A60027"/>
    <w:rsid w:val="00A60D7F"/>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BED"/>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24A0"/>
    <w:rsid w:val="00AF310D"/>
    <w:rsid w:val="00AF328F"/>
    <w:rsid w:val="00AF4582"/>
    <w:rsid w:val="00AF4F04"/>
    <w:rsid w:val="00AF6B3D"/>
    <w:rsid w:val="00AF6F3E"/>
    <w:rsid w:val="00AF7639"/>
    <w:rsid w:val="00AF7B0E"/>
    <w:rsid w:val="00AF7B73"/>
    <w:rsid w:val="00AF7DE5"/>
    <w:rsid w:val="00B01399"/>
    <w:rsid w:val="00B01C44"/>
    <w:rsid w:val="00B03922"/>
    <w:rsid w:val="00B04ACF"/>
    <w:rsid w:val="00B04D0C"/>
    <w:rsid w:val="00B053C6"/>
    <w:rsid w:val="00B05746"/>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0FD"/>
    <w:rsid w:val="00B44286"/>
    <w:rsid w:val="00B44DE2"/>
    <w:rsid w:val="00B461DE"/>
    <w:rsid w:val="00B4742A"/>
    <w:rsid w:val="00B47B47"/>
    <w:rsid w:val="00B50DEE"/>
    <w:rsid w:val="00B50F6E"/>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8A2"/>
    <w:rsid w:val="00B75A56"/>
    <w:rsid w:val="00B75A7B"/>
    <w:rsid w:val="00B77130"/>
    <w:rsid w:val="00B77B0A"/>
    <w:rsid w:val="00B77E9D"/>
    <w:rsid w:val="00B77EB1"/>
    <w:rsid w:val="00B811E0"/>
    <w:rsid w:val="00B811EC"/>
    <w:rsid w:val="00B81ED2"/>
    <w:rsid w:val="00B822F3"/>
    <w:rsid w:val="00B82F3D"/>
    <w:rsid w:val="00B83060"/>
    <w:rsid w:val="00B832BA"/>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3716"/>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2010"/>
    <w:rsid w:val="00BF2365"/>
    <w:rsid w:val="00BF27A1"/>
    <w:rsid w:val="00BF2E5D"/>
    <w:rsid w:val="00BF384C"/>
    <w:rsid w:val="00BF4496"/>
    <w:rsid w:val="00BF4BCD"/>
    <w:rsid w:val="00BF683B"/>
    <w:rsid w:val="00BF688B"/>
    <w:rsid w:val="00BF69EB"/>
    <w:rsid w:val="00BF754F"/>
    <w:rsid w:val="00C01120"/>
    <w:rsid w:val="00C01A8A"/>
    <w:rsid w:val="00C0229B"/>
    <w:rsid w:val="00C03049"/>
    <w:rsid w:val="00C035C7"/>
    <w:rsid w:val="00C0389C"/>
    <w:rsid w:val="00C04263"/>
    <w:rsid w:val="00C04273"/>
    <w:rsid w:val="00C044F5"/>
    <w:rsid w:val="00C04732"/>
    <w:rsid w:val="00C04F2D"/>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4991"/>
    <w:rsid w:val="00C35C67"/>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20"/>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2722"/>
    <w:rsid w:val="00E33B33"/>
    <w:rsid w:val="00E34658"/>
    <w:rsid w:val="00E3526B"/>
    <w:rsid w:val="00E35AA3"/>
    <w:rsid w:val="00E37047"/>
    <w:rsid w:val="00E370DE"/>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B80"/>
    <w:rsid w:val="00EA33A4"/>
    <w:rsid w:val="00EA3B47"/>
    <w:rsid w:val="00EA3BB2"/>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6742"/>
    <w:rsid w:val="00EE74E4"/>
    <w:rsid w:val="00EF0733"/>
    <w:rsid w:val="00EF0FE0"/>
    <w:rsid w:val="00EF1FF3"/>
    <w:rsid w:val="00EF22C6"/>
    <w:rsid w:val="00EF2BED"/>
    <w:rsid w:val="00EF53DD"/>
    <w:rsid w:val="00EF5987"/>
    <w:rsid w:val="00EF5BA6"/>
    <w:rsid w:val="00EF64A8"/>
    <w:rsid w:val="00EF65C5"/>
    <w:rsid w:val="00EF6BEA"/>
    <w:rsid w:val="00EF7A77"/>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230"/>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96"/>
  <w15:docId w15:val="{75D5EBF7-91DE-4AEC-9213-FA04A50C519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r-F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r-F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r-F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r-F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r-F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r-F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r-F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r-F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r-FR"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fr-F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fr-F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fr-F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fr-F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fr-F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fr-F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fr-F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fr/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Conrad.Ganslandt@eesc.europa.eu" TargetMode="External"/><Relationship Id="rId39" Type="http://schemas.openxmlformats.org/officeDocument/2006/relationships/customXml" Target="../customXml/item3.xml"/><Relationship Id="rId21" Type="http://schemas.openxmlformats.org/officeDocument/2006/relationships/hyperlink" Target="mailto:Juri.Soosaar@eesc.europa.eu" TargetMode="Externa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Laura.Broomfield@eesc.europa.eu" TargetMode="External"/><Relationship Id="rId33" Type="http://schemas.openxmlformats.org/officeDocument/2006/relationships/header" Target="header6.xml"/><Relationship Id="rId38"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ice.tetu@eesc.europa.eu" TargetMode="External"/><Relationship Id="rId32" Type="http://schemas.openxmlformats.org/officeDocument/2006/relationships/footer" Target="footer5.xml"/><Relationship Id="rId37" Type="http://schemas.openxmlformats.org/officeDocument/2006/relationships/customXml" Target="../customXml/item1.xml"/><Relationship Id="rId40"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mailto:claudia.drewes-wran@eesc.europa.eu" TargetMode="External"/><Relationship Id="rId28" Type="http://schemas.openxmlformats.org/officeDocument/2006/relationships/hyperlink" Target="mailto:valeria.atzori@eesc.europa.e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dm.eesc.europa.eu/EESCDocumentSearch/Pages/opinionssearch.aspx?culture=FR"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mariajudite.berkemeier@eesc.europa.eu"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settings" Target="settings.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CTJJHAUHWN5E-1741767729-6424</_dlc_DocId>
    <_dlc_DocIdUrl xmlns="bfc960a6-20da-4c94-8684-71380fca093b">
      <Url>http://dm2016/eesc/2019/_layouts/15/DocIdRedir.aspx?ID=CTJJHAUHWN5E-1741767729-6424</Url>
      <Description>CTJJHAUHWN5E-1741767729-6424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2019-06-17T12:00:00+00:00</ProductionDate>
    <FicheYear xmlns="bfc960a6-20da-4c94-8684-71380fca093b">2019</FicheYear>
    <DocumentNumber xmlns="6cbcf4cf-e730-47de-961e-b7987213c417">1616</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2019-06-19T12:00:00+00:00</MeetingDate>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6308</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6cbcf4cf-e730-47de-961e-b7987213c417">544</MeetingNumber>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BD6D2-8DE2-4579-B59E-C2BD3A3A954F}"/>
</file>

<file path=customXml/itemProps2.xml><?xml version="1.0" encoding="utf-8"?>
<ds:datastoreItem xmlns:ds="http://schemas.openxmlformats.org/officeDocument/2006/customXml" ds:itemID="{5953E121-BAB0-4E79-BF7E-DC3DFFB40585}"/>
</file>

<file path=customXml/itemProps3.xml><?xml version="1.0" encoding="utf-8"?>
<ds:datastoreItem xmlns:ds="http://schemas.openxmlformats.org/officeDocument/2006/customXml" ds:itemID="{052B17AA-EF2B-4129-A5E4-A32BFA0B2FC8}"/>
</file>

<file path=customXml/itemProps4.xml><?xml version="1.0" encoding="utf-8"?>
<ds:datastoreItem xmlns:ds="http://schemas.openxmlformats.org/officeDocument/2006/customXml" ds:itemID="{03938154-EAD2-4E26-AE29-02CD6ABD9303}"/>
</file>

<file path=docProps/app.xml><?xml version="1.0" encoding="utf-8"?>
<Properties xmlns="http://schemas.openxmlformats.org/officeDocument/2006/extended-properties" xmlns:vt="http://schemas.openxmlformats.org/officeDocument/2006/docPropsVTypes">
  <Template>Styles.dotm</Template>
  <TotalTime>5</TotalTime>
  <Pages>17</Pages>
  <Words>4102</Words>
  <Characters>22565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mai 2019</dc:title>
  <dc:subject>Travaux consultatifs, divers</dc:subject>
  <dc:creator>Marcos Jaime Tornin</dc:creator>
  <cp:keywords>EESC-2019-01616-00-01-TCD-TRA-EN</cp:keywords>
  <dc:description>Rapporteur:  - Original language: EN, FR - Date of document: 17/06/2019 - Date of meeting: 19/06/2019 - External documents:  - Administrator: Mme De Paepe Elke</dc:description>
  <cp:lastModifiedBy>ccad</cp:lastModifiedBy>
  <cp:revision>11</cp:revision>
  <cp:lastPrinted>2019-06-07T16:43:00Z</cp:lastPrinted>
  <dcterms:created xsi:type="dcterms:W3CDTF">2019-06-14T12:11:00Z</dcterms:created>
  <dcterms:modified xsi:type="dcterms:W3CDTF">2019-06-17T08:06:00Z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14/06/2019, 05/06/2019, 03/05/2019, 13/12/2018, 09/11/2018, 12/07/2018, 23/05/2018, 13/03/2018, 26/02/2018, 14/02/2018, 24/01/2018, 16/01/2018, 19/12/2017, 01/12/2017, 16/11/2017, 15/11/2017, 17/10/2017, 13/09/2017, 03/07/2017, 12/06/2017, 02/06/2017, 24/</vt:lpwstr>
  </property>
  <property fmtid="{D5CDD505-2E9C-101B-9397-08002B2CF9AE}" pid="4" name="Pref_Time">
    <vt:lpwstr>14:07:34, 16:39:54, 14:43:22, 11:27:48, 09:10:15, 14:45:38, 09:50:08, 13:54:15, 10:33:11, 11:57:02, 15:31:00, 09:45:52, 11:53:01, 15:00:14, 15:49:39, 15:47:16, 10:48:52, 11:23:50, 09:51:12, 14:43:57, 12:54:34, 12:22:33, 12:08:44, 12:23:59, 18:12:41, 09:48</vt:lpwstr>
  </property>
  <property fmtid="{D5CDD505-2E9C-101B-9397-08002B2CF9AE}" pid="5" name="Pref_User">
    <vt:lpwstr>enied, amett, enied, enied, amett, enied, hnic, mreg, jhvi, mkop, hnic, mkop, amett, jhvi, amett, tvoc, tvoc, tvoc, amett, hnic, mreg, mreg, enied, mreg, jhvi, tvoc, htoo, mreg, tvoc, hnic, mreg, hnic, amett, nmcg, amett, enied, nmcg, amett, enied, ymur, </vt:lpwstr>
  </property>
  <property fmtid="{D5CDD505-2E9C-101B-9397-08002B2CF9AE}" pid="6" name="Pref_FileName">
    <vt:lpwstr>EESC-2019-01616-00-01-TCD-ORI.docx, EESC-2019-01616-00-00-TCD-ORI.docx, EESC-2019-01082-00-00-TCD-ORI.docx, EESC-2018-05296-00-00-TCD-ORI.docx, EESC-2018-04640-00-01-TCD-ORI.docx, EESC-2018-02821-00-00-TCD-ORI.docx, EESC-2018-02039-00-00-TCD-ORI.docx, EES</vt:lpwstr>
  </property>
  <property fmtid="{D5CDD505-2E9C-101B-9397-08002B2CF9AE}" pid="7" name="ContentTypeId">
    <vt:lpwstr>0x010100EA97B91038054C99906057A708A1480A007BD53362FFBC664E91C0C82BDF70E843</vt:lpwstr>
  </property>
  <property fmtid="{D5CDD505-2E9C-101B-9397-08002B2CF9AE}" pid="8" name="_dlc_DocIdItemGuid">
    <vt:lpwstr>5b1de729-679c-41df-9e88-a737e8fe5f60</vt:lpwstr>
  </property>
  <property fmtid="{D5CDD505-2E9C-101B-9397-08002B2CF9AE}" pid="9" name="AvailableTranslations">
    <vt:lpwstr>63;#MT|7df99101-6854-4a26-b53a-b88c0da02c26;#46;#CS|72f9705b-0217-4fd3-bea2-cbc7ed80e26e;#60;#HU|6b229040-c589-4408-b4c1-4285663d20a8;#55;#BG|1a1b3951-7821-4e6a-85f5-5673fc08bd2c;#38;#SV|c2ed69e7-a339-43d7-8f22-d93680a92aa0;#58;#LV|46f7e311-5d9f-4663-b433-18aeccb7ace7;#25;#SK|46d9fce0-ef79-4f71-b89b-cd6aa82426b8;#21;#IT|0774613c-01ed-4e5d-a25d-11d2388de825;#17;#ES|e7a6b05b-ae16-40c8-add9-68b64b03aeba;#64;#PT|50ccc04a-eadd-42ae-a0cb-acaf45f812ba;#52;#DA|5d49c027-8956-412b-aa16-e85a0f96ad0e;#59;#HR|2f555653-ed1a-4fe6-8362-9082d95989e5;#14;#DE|f6b31e5a-26fa-4935-b661-318e46daf27e;#49;#EL|6d4f4d51-af9b-4650-94b4-4276bee85c91;#62;#FI|87606a43-d45f-42d6-b8c9-e1a3457db5b7;#45;#NL|55c6556c-b4f4-441d-9acf-c498d4f838bd;#10;#FR|d2afafd3-4c81-4f60-8f52-ee33f2f54ff3;#48;#LT|a7ff5ce7-6123-4f68-865a-a57c31810414;#56;#SL|98a412ae-eb01-49e9-ae3d-585a81724cfc;#16;#PL|1e03da61-4678-4e07-b136-b5024ca9197b;#4;#EN|f2175f21-25d7-44a3-96da-d6a61b075e1b;#65;#ET|ff6c3f4c-b02c-4c3c-ab07-2c37995a7a0a;#57;#RO|feb747a2-64cd-4299-af12-4833ddc30497</vt:lpwstr>
  </property>
  <property fmtid="{D5CDD505-2E9C-101B-9397-08002B2CF9AE}" pid="10" name="DocumentType_0">
    <vt:lpwstr>TCD|cd9d6eb6-3f4f-424a-b2d1-57c9d450eaaf</vt:lpwstr>
  </property>
  <property fmtid="{D5CDD505-2E9C-101B-9397-08002B2CF9AE}" pid="11" name="MeetingNumber">
    <vt:i4>544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1616</vt:i4>
  </property>
  <property fmtid="{D5CDD505-2E9C-101B-9397-08002B2CF9AE}" pid="15" name="FicheYear">
    <vt:i4>2019</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2019-06-19T12:00:00Z</vt:filetime>
  </property>
  <property fmtid="{D5CDD505-2E9C-101B-9397-08002B2CF9AE}" pid="30" name="AvailableTranslations_0">
    <vt:lpwstr>CS|72f9705b-0217-4fd3-bea2-cbc7ed80e26e;HU|6b229040-c589-4408-b4c1-4285663d20a8;BG|1a1b3951-7821-4e6a-85f5-5673fc08bd2c;LV|46f7e311-5d9f-4663-b433-18aeccb7ace7;SK|46d9fce0-ef79-4f71-b89b-cd6aa82426b8;IT|0774613c-01ed-4e5d-a25d-11d2388de825;EL|6d4f4d51-af9b-4650-94b4-4276bee85c91;NL|55c6556c-b4f4-441d-9acf-c498d4f838bd;LT|a7ff5ce7-6123-4f68-865a-a57c31810414;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31;#SPL-CES|32d8cb1f-c9ec-4365-95c7-8385a18618ac;#45;#NL|55c6556c-b4f4-441d-9acf-c498d4f838bd;#25;#SK|46d9fce0-ef79-4f71-b89b-cd6aa82426b8;#60;#HU|6b229040-c589-4408-b4c1-4285663d20a8;#58;#LV|46f7e311-5d9f-4663-b433-18aeccb7ace7;#55;#BG|1a1b3951-7821-4e6a-85f5-5673fc08bd2c;#21;#IT|0774613c-01ed-4e5d-a25d-11d2388de825;#49;#EL|6d4f4d51-af9b-4650-94b4-4276bee85c91;#48;#LT|a7ff5ce7-6123-4f68-865a-a57c31810414;#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6308</vt:i4>
  </property>
  <property fmtid="{D5CDD505-2E9C-101B-9397-08002B2CF9AE}" pid="38" name="DocumentLanguage">
    <vt:lpwstr>10;#FR|d2afafd3-4c81-4f60-8f52-ee33f2f54ff3</vt:lpwstr>
  </property>
</Properties>
</file>