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A0" w:rsidRPr="00F93161" w:rsidRDefault="006A08D5" w:rsidP="00BF27A1">
      <w:pPr>
        <w:snapToGrid w:val="0"/>
        <w:jc w:val="center"/>
      </w:pPr>
      <w:r w:rsidRPr="00F93161">
        <w:fldChar w:fldCharType="begin"/>
      </w:r>
      <w:r w:rsidRPr="00F93161">
        <w:instrText xml:space="preserve">  </w:instrText>
      </w:r>
      <w:r w:rsidRPr="00F93161">
        <w:fldChar w:fldCharType="end"/>
      </w:r>
      <w:r>
        <w:rPr>
          <w:noProof/>
          <w:lang w:val="en-GB" w:eastAsia="en-GB"/>
        </w:rPr>
        <w:drawing>
          <wp:inline distT="0" distB="0" distL="0" distR="0" wp14:anchorId="47935411" wp14:editId="7A0CF1BB">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en-GB" w:eastAsia="en-GB"/>
        </w:rPr>
        <mc:AlternateContent>
          <mc:Choice Requires="wps">
            <w:drawing>
              <wp:anchor distT="0" distB="0" distL="114300" distR="114300" simplePos="0" relativeHeight="251659264" behindDoc="1" locked="0" layoutInCell="0" allowOverlap="1" wp14:anchorId="5DA27FCE" wp14:editId="3E0DD8D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9C5" w:rsidRPr="00260E65" w:rsidRDefault="002159C5">
                            <w:pPr>
                              <w:jc w:val="center"/>
                              <w:rPr>
                                <w:rFonts w:ascii="Arial" w:hAnsi="Arial" w:cs="Arial"/>
                                <w:b/>
                                <w:bCs/>
                                <w:sz w:val="48"/>
                              </w:rPr>
                            </w:pPr>
                            <w:r>
                              <w:rPr>
                                <w:rFonts w:ascii="Arial" w:hAnsi="Arial"/>
                                <w:b/>
                                <w:bCs/>
                                <w:sz w:val="4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27FC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159C5" w:rsidRPr="00260E65" w:rsidRDefault="002159C5">
                      <w:pPr>
                        <w:jc w:val="center"/>
                        <w:rPr>
                          <w:rFonts w:ascii="Arial" w:hAnsi="Arial" w:cs="Arial"/>
                          <w:b/>
                          <w:bCs/>
                          <w:sz w:val="48"/>
                        </w:rPr>
                      </w:pPr>
                      <w:r>
                        <w:rPr>
                          <w:rFonts w:ascii="Arial" w:hAnsi="Arial"/>
                          <w:b/>
                          <w:bCs/>
                          <w:sz w:val="48"/>
                        </w:rPr>
                        <w:t>FI</w:t>
                      </w:r>
                    </w:p>
                  </w:txbxContent>
                </v:textbox>
                <w10:wrap anchorx="page" anchory="page"/>
              </v:shape>
            </w:pict>
          </mc:Fallback>
        </mc:AlternateContent>
      </w:r>
    </w:p>
    <w:p w:rsidR="008405A0" w:rsidRPr="00F93161" w:rsidRDefault="00876D7B" w:rsidP="00BF27A1">
      <w:pPr>
        <w:snapToGrid w:val="0"/>
        <w:jc w:val="center"/>
        <w:rPr>
          <w:rFonts w:ascii="Arial" w:eastAsia="MS Mincho" w:hAnsi="Arial" w:cs="Arial"/>
          <w:b/>
          <w:i/>
          <w:sz w:val="20"/>
        </w:rPr>
      </w:pPr>
      <w:r>
        <w:rPr>
          <w:rFonts w:ascii="Arial" w:hAnsi="Arial"/>
          <w:b/>
          <w:i/>
          <w:sz w:val="20"/>
        </w:rPr>
        <w:t>Euroopan talous- ja sosiaalikomitea</w:t>
      </w:r>
    </w:p>
    <w:p w:rsidR="008405A0" w:rsidRPr="00D85439" w:rsidRDefault="008405A0" w:rsidP="00BF27A1">
      <w:pPr>
        <w:snapToGrid w:val="0"/>
        <w:rPr>
          <w:lang w:val="en-GB"/>
        </w:rPr>
      </w:pPr>
    </w:p>
    <w:p w:rsidR="008405A0" w:rsidRPr="00D85439" w:rsidRDefault="008405A0" w:rsidP="00BF27A1">
      <w:pPr>
        <w:snapToGrid w:val="0"/>
        <w:rPr>
          <w:lang w:val="en-GB"/>
        </w:rPr>
      </w:pPr>
    </w:p>
    <w:p w:rsidR="008405A0" w:rsidRPr="00D85439" w:rsidRDefault="00FC0B2C" w:rsidP="00BF27A1">
      <w:pPr>
        <w:snapToGrid w:val="0"/>
        <w:jc w:val="right"/>
        <w:rPr>
          <w:rFonts w:eastAsia="MS Mincho"/>
        </w:rPr>
      </w:pPr>
      <w:r>
        <w:t>Bryssel 17. kesäkuuta 2019</w:t>
      </w:r>
    </w:p>
    <w:p w:rsidR="008405A0" w:rsidRPr="00D85439" w:rsidRDefault="008405A0" w:rsidP="00BF27A1">
      <w:pPr>
        <w:snapToGrid w:val="0"/>
        <w:rPr>
          <w:lang w:val="en-GB"/>
        </w:rPr>
      </w:pPr>
    </w:p>
    <w:p w:rsidR="008405A0" w:rsidRPr="00D85439" w:rsidRDefault="008405A0" w:rsidP="00BF27A1">
      <w:pPr>
        <w:snapToGrid w:val="0"/>
        <w:rPr>
          <w:lang w:val="en-GB"/>
        </w:rPr>
      </w:pPr>
    </w:p>
    <w:p w:rsidR="00AF6F3E" w:rsidRPr="00D85439" w:rsidRDefault="00AF6F3E" w:rsidP="00BF27A1">
      <w:pPr>
        <w:snapToGrid w:val="0"/>
        <w:rPr>
          <w:lang w:val="en-GB"/>
        </w:rPr>
      </w:pPr>
    </w:p>
    <w:p w:rsidR="006819C8" w:rsidRPr="00D85439" w:rsidRDefault="006819C8" w:rsidP="00BF27A1">
      <w:pPr>
        <w:snapToGrid w:val="0"/>
        <w:rPr>
          <w:lang w:val="en-GB"/>
        </w:rPr>
      </w:pPr>
    </w:p>
    <w:tbl>
      <w:tblPr>
        <w:tblW w:w="0" w:type="auto"/>
        <w:tblLayout w:type="fixed"/>
        <w:tblLook w:val="0000" w:firstRow="0" w:lastRow="0" w:firstColumn="0" w:lastColumn="0" w:noHBand="0" w:noVBand="0"/>
      </w:tblPr>
      <w:tblGrid>
        <w:gridCol w:w="9289"/>
      </w:tblGrid>
      <w:tr w:rsidR="008405A0" w:rsidRPr="00D85439" w:rsidTr="00A72D7A">
        <w:tc>
          <w:tcPr>
            <w:tcW w:w="9289" w:type="dxa"/>
            <w:tcBorders>
              <w:top w:val="nil"/>
              <w:left w:val="nil"/>
              <w:bottom w:val="double" w:sz="4" w:space="0" w:color="auto"/>
              <w:right w:val="nil"/>
            </w:tcBorders>
          </w:tcPr>
          <w:p w:rsidR="008405A0" w:rsidRPr="00D85439" w:rsidRDefault="00B83060" w:rsidP="00BF27A1">
            <w:pPr>
              <w:snapToGrid w:val="0"/>
              <w:jc w:val="center"/>
              <w:rPr>
                <w:rFonts w:eastAsia="MS Mincho"/>
                <w:b/>
                <w:sz w:val="32"/>
              </w:rPr>
            </w:pPr>
            <w:r>
              <w:rPr>
                <w:b/>
                <w:sz w:val="32"/>
              </w:rPr>
              <w:t xml:space="preserve">TÄYSISTUNNOSSA </w:t>
            </w:r>
            <w:r>
              <w:rPr>
                <w:b/>
                <w:sz w:val="32"/>
              </w:rPr>
              <w:br/>
            </w:r>
            <w:r>
              <w:rPr>
                <w:b/>
                <w:sz w:val="32"/>
              </w:rPr>
              <w:br/>
              <w:t xml:space="preserve">15. JA 16. TOUKOKUUTA 2019 </w:t>
            </w:r>
            <w:r>
              <w:rPr>
                <w:b/>
                <w:sz w:val="32"/>
              </w:rPr>
              <w:br/>
            </w:r>
            <w:r>
              <w:rPr>
                <w:b/>
                <w:sz w:val="32"/>
              </w:rPr>
              <w:br/>
              <w:t>ANNETUT LAUSUNNOT</w:t>
            </w:r>
          </w:p>
          <w:p w:rsidR="008405A0" w:rsidRPr="00D85439" w:rsidRDefault="008405A0" w:rsidP="00BF27A1">
            <w:pPr>
              <w:rPr>
                <w:lang w:val="en-GB"/>
              </w:rPr>
            </w:pPr>
          </w:p>
          <w:p w:rsidR="008405A0" w:rsidRPr="00D85439" w:rsidRDefault="008405A0" w:rsidP="00BF27A1">
            <w:pPr>
              <w:rPr>
                <w:lang w:val="en-GB"/>
              </w:rPr>
            </w:pPr>
          </w:p>
        </w:tc>
      </w:tr>
      <w:tr w:rsidR="008405A0" w:rsidRPr="00D85439" w:rsidTr="00A72D7A">
        <w:tc>
          <w:tcPr>
            <w:tcW w:w="9289" w:type="dxa"/>
            <w:tcBorders>
              <w:top w:val="double" w:sz="4" w:space="0" w:color="auto"/>
              <w:left w:val="double" w:sz="4" w:space="0" w:color="auto"/>
              <w:bottom w:val="double" w:sz="4" w:space="0" w:color="auto"/>
              <w:right w:val="double" w:sz="4" w:space="0" w:color="auto"/>
            </w:tcBorders>
          </w:tcPr>
          <w:p w:rsidR="00FF15DA" w:rsidRPr="00D85439" w:rsidRDefault="00FF15DA" w:rsidP="00BF27A1">
            <w:pPr>
              <w:snapToGrid w:val="0"/>
              <w:jc w:val="center"/>
              <w:rPr>
                <w:b/>
                <w:lang w:val="en-GB"/>
              </w:rPr>
            </w:pPr>
          </w:p>
          <w:p w:rsidR="00FC0B2C" w:rsidRPr="00D85439" w:rsidRDefault="00FC0B2C" w:rsidP="00BF27A1">
            <w:pPr>
              <w:snapToGrid w:val="0"/>
              <w:jc w:val="center"/>
              <w:rPr>
                <w:rFonts w:eastAsia="MS Mincho"/>
                <w:b/>
              </w:rPr>
            </w:pPr>
            <w:r>
              <w:rPr>
                <w:b/>
              </w:rPr>
              <w:t>Tämä asiakirja on saatavana unionin virallisilla kielillä komitean internetsivuilla osoitteessa</w:t>
            </w:r>
          </w:p>
          <w:p w:rsidR="00FC0B2C" w:rsidRPr="00D85439" w:rsidRDefault="00FC0B2C" w:rsidP="00BF27A1">
            <w:pPr>
              <w:snapToGrid w:val="0"/>
              <w:jc w:val="center"/>
              <w:rPr>
                <w:b/>
                <w:lang w:val="en-GB"/>
              </w:rPr>
            </w:pPr>
          </w:p>
          <w:p w:rsidR="00FC0B2C" w:rsidRPr="00D85439" w:rsidRDefault="0016284D" w:rsidP="00BF27A1">
            <w:pPr>
              <w:jc w:val="center"/>
              <w:rPr>
                <w:rStyle w:val="Hyperlink"/>
                <w:b/>
              </w:rPr>
            </w:pPr>
            <w:hyperlink r:id="rId13">
              <w:r w:rsidR="00386B0D">
                <w:rPr>
                  <w:rStyle w:val="Hyperlink"/>
                </w:rPr>
                <w:t>http://www.eesc.europa.eu/fi/our-work/opinions-information-reports/plenary-session-summaries</w:t>
              </w:r>
            </w:hyperlink>
          </w:p>
          <w:p w:rsidR="00FC0B2C" w:rsidRPr="00D85439" w:rsidRDefault="00FC0B2C" w:rsidP="00BF27A1">
            <w:pPr>
              <w:snapToGrid w:val="0"/>
              <w:jc w:val="center"/>
              <w:rPr>
                <w:b/>
                <w:lang w:val="en-GB"/>
              </w:rPr>
            </w:pPr>
          </w:p>
          <w:p w:rsidR="00FC0B2C" w:rsidRPr="00D85439" w:rsidRDefault="00FC0B2C" w:rsidP="00BF27A1">
            <w:pPr>
              <w:snapToGrid w:val="0"/>
              <w:jc w:val="center"/>
              <w:rPr>
                <w:rFonts w:eastAsia="SimSun"/>
                <w:b/>
                <w:lang w:val="en-GB"/>
              </w:rPr>
            </w:pPr>
          </w:p>
          <w:p w:rsidR="00FC0B2C" w:rsidRPr="00D85439" w:rsidRDefault="00FC0B2C" w:rsidP="00BF27A1">
            <w:pPr>
              <w:snapToGrid w:val="0"/>
              <w:jc w:val="center"/>
              <w:rPr>
                <w:rFonts w:eastAsia="MS Mincho"/>
                <w:b/>
              </w:rPr>
            </w:pPr>
            <w:r>
              <w:rPr>
                <w:b/>
              </w:rPr>
              <w:t>Mainitut lausunnot ovat haettavissa sähköisessä muodossa komitean hakukoneella</w:t>
            </w:r>
          </w:p>
          <w:p w:rsidR="00FC0B2C" w:rsidRPr="00D85439" w:rsidRDefault="00FC0B2C" w:rsidP="00BF27A1">
            <w:pPr>
              <w:snapToGrid w:val="0"/>
              <w:jc w:val="center"/>
              <w:rPr>
                <w:b/>
                <w:lang w:val="en-GB"/>
              </w:rPr>
            </w:pPr>
          </w:p>
          <w:p w:rsidR="00FC0B2C" w:rsidRPr="00D85439" w:rsidRDefault="0016284D" w:rsidP="00BF27A1">
            <w:pPr>
              <w:jc w:val="center"/>
              <w:rPr>
                <w:rStyle w:val="Hyperlink"/>
                <w:b/>
              </w:rPr>
            </w:pPr>
            <w:hyperlink r:id="rId14">
              <w:r w:rsidR="00386B0D">
                <w:rPr>
                  <w:rStyle w:val="Hyperlink"/>
                </w:rPr>
                <w:t>http://dm.eesc.europa.eu/EESCDocumentSearch/Pages/opinionssearch.aspx</w:t>
              </w:r>
            </w:hyperlink>
          </w:p>
          <w:p w:rsidR="008405A0" w:rsidRPr="00D85439" w:rsidRDefault="008405A0" w:rsidP="00BF27A1">
            <w:pPr>
              <w:snapToGrid w:val="0"/>
              <w:jc w:val="center"/>
              <w:rPr>
                <w:b/>
                <w:bCs/>
                <w:lang w:val="en-GB"/>
              </w:rPr>
            </w:pPr>
          </w:p>
        </w:tc>
      </w:tr>
    </w:tbl>
    <w:p w:rsidR="008F7791" w:rsidRPr="00D85439" w:rsidRDefault="008F7791" w:rsidP="00BF27A1">
      <w:pPr>
        <w:rPr>
          <w:rFonts w:eastAsia="SimSun"/>
          <w:lang w:val="en-GB"/>
        </w:rPr>
      </w:pPr>
    </w:p>
    <w:p w:rsidR="00A9340A" w:rsidRPr="00D85439" w:rsidRDefault="00A9340A" w:rsidP="00BF27A1">
      <w:pPr>
        <w:rPr>
          <w:rFonts w:eastAsia="SimSun"/>
          <w:lang w:val="en-GB"/>
        </w:rPr>
        <w:sectPr w:rsidR="00A9340A" w:rsidRPr="00D85439" w:rsidSect="00A60D7F">
          <w:headerReference w:type="even" r:id="rId15"/>
          <w:headerReference w:type="default" r:id="rId16"/>
          <w:footerReference w:type="even" r:id="rId17"/>
          <w:footerReference w:type="default" r:id="rId18"/>
          <w:headerReference w:type="first" r:id="rId19"/>
          <w:footerReference w:type="first" r:id="rId20"/>
          <w:type w:val="continuous"/>
          <w:pgSz w:w="11907" w:h="16839"/>
          <w:pgMar w:top="1417" w:right="1417" w:bottom="1417" w:left="1417" w:header="709" w:footer="709" w:gutter="0"/>
          <w:pgNumType w:start="1"/>
          <w:cols w:space="708"/>
          <w:docGrid w:linePitch="299"/>
        </w:sectPr>
      </w:pPr>
    </w:p>
    <w:p w:rsidR="008405A0" w:rsidRPr="00D85439" w:rsidRDefault="00876D7B" w:rsidP="00BF27A1">
      <w:pPr>
        <w:snapToGrid w:val="0"/>
        <w:rPr>
          <w:b/>
        </w:rPr>
      </w:pPr>
      <w:r>
        <w:rPr>
          <w:b/>
        </w:rPr>
        <w:lastRenderedPageBreak/>
        <w:t>Sisällys</w:t>
      </w:r>
    </w:p>
    <w:p w:rsidR="00D16D76" w:rsidRPr="00D85439" w:rsidRDefault="00D16D76" w:rsidP="00BF27A1">
      <w:pPr>
        <w:rPr>
          <w:lang w:val="en-GB"/>
        </w:rPr>
      </w:pPr>
    </w:p>
    <w:p w:rsidR="00F70A32" w:rsidRDefault="003353E8">
      <w:pPr>
        <w:pStyle w:val="TOC1"/>
        <w:rPr>
          <w:rFonts w:asciiTheme="minorHAnsi" w:eastAsiaTheme="minorEastAsia" w:hAnsiTheme="minorHAnsi" w:cstheme="minorBidi"/>
          <w:noProof/>
          <w:lang w:val="en-GB" w:eastAsia="en-GB"/>
        </w:rPr>
      </w:pPr>
      <w:r w:rsidRPr="00D85439">
        <w:fldChar w:fldCharType="begin"/>
      </w:r>
      <w:r w:rsidRPr="00D85439">
        <w:instrText xml:space="preserve"> TOC \o "1-1" \h \z \u </w:instrText>
      </w:r>
      <w:r w:rsidRPr="00D85439">
        <w:fldChar w:fldCharType="separate"/>
      </w:r>
      <w:hyperlink w:anchor="_Toc11426643" w:history="1">
        <w:r w:rsidR="00F70A32" w:rsidRPr="00253861">
          <w:rPr>
            <w:rStyle w:val="Hyperlink"/>
            <w:caps/>
            <w:noProof/>
          </w:rPr>
          <w:t>1.</w:t>
        </w:r>
        <w:r w:rsidR="00F70A32">
          <w:rPr>
            <w:rFonts w:asciiTheme="minorHAnsi" w:eastAsiaTheme="minorEastAsia" w:hAnsiTheme="minorHAnsi" w:cstheme="minorBidi"/>
            <w:noProof/>
            <w:lang w:val="en-GB" w:eastAsia="en-GB"/>
          </w:rPr>
          <w:tab/>
        </w:r>
        <w:r w:rsidR="00F70A32" w:rsidRPr="00253861">
          <w:rPr>
            <w:rStyle w:val="Hyperlink"/>
            <w:b/>
            <w:caps/>
            <w:noProof/>
          </w:rPr>
          <w:t>Talous- ja rahaliitto, taloudellinen ja sosiaalinen yhteenkuuluvuus</w:t>
        </w:r>
        <w:r w:rsidR="00F70A32">
          <w:rPr>
            <w:noProof/>
            <w:webHidden/>
          </w:rPr>
          <w:tab/>
        </w:r>
        <w:r w:rsidR="00F70A32">
          <w:rPr>
            <w:noProof/>
            <w:webHidden/>
          </w:rPr>
          <w:fldChar w:fldCharType="begin"/>
        </w:r>
        <w:r w:rsidR="00F70A32">
          <w:rPr>
            <w:noProof/>
            <w:webHidden/>
          </w:rPr>
          <w:instrText xml:space="preserve"> PAGEREF _Toc11426643 \h </w:instrText>
        </w:r>
        <w:r w:rsidR="00F70A32">
          <w:rPr>
            <w:noProof/>
            <w:webHidden/>
          </w:rPr>
        </w:r>
        <w:r w:rsidR="00F70A32">
          <w:rPr>
            <w:noProof/>
            <w:webHidden/>
          </w:rPr>
          <w:fldChar w:fldCharType="separate"/>
        </w:r>
        <w:r w:rsidR="0016284D">
          <w:rPr>
            <w:noProof/>
            <w:webHidden/>
          </w:rPr>
          <w:t>3</w:t>
        </w:r>
        <w:r w:rsidR="00F70A32">
          <w:rPr>
            <w:noProof/>
            <w:webHidden/>
          </w:rPr>
          <w:fldChar w:fldCharType="end"/>
        </w:r>
      </w:hyperlink>
    </w:p>
    <w:p w:rsidR="00F70A32" w:rsidRDefault="0016284D">
      <w:pPr>
        <w:pStyle w:val="TOC1"/>
        <w:rPr>
          <w:rFonts w:asciiTheme="minorHAnsi" w:eastAsiaTheme="minorEastAsia" w:hAnsiTheme="minorHAnsi" w:cstheme="minorBidi"/>
          <w:noProof/>
          <w:lang w:val="en-GB" w:eastAsia="en-GB"/>
        </w:rPr>
      </w:pPr>
      <w:hyperlink w:anchor="_Toc11426644" w:history="1">
        <w:r w:rsidR="00F70A32" w:rsidRPr="00253861">
          <w:rPr>
            <w:rStyle w:val="Hyperlink"/>
            <w:noProof/>
          </w:rPr>
          <w:t>2.</w:t>
        </w:r>
        <w:r w:rsidR="00F70A32">
          <w:rPr>
            <w:rFonts w:asciiTheme="minorHAnsi" w:eastAsiaTheme="minorEastAsia" w:hAnsiTheme="minorHAnsi" w:cstheme="minorBidi"/>
            <w:noProof/>
            <w:lang w:val="en-GB" w:eastAsia="en-GB"/>
          </w:rPr>
          <w:tab/>
        </w:r>
        <w:r w:rsidR="00F70A32" w:rsidRPr="00253861">
          <w:rPr>
            <w:rStyle w:val="Hyperlink"/>
            <w:b/>
            <w:noProof/>
          </w:rPr>
          <w:t>YHTENÄISMARKKINAT, TUOTANTO JA KULUTUS</w:t>
        </w:r>
        <w:r w:rsidR="00F70A32">
          <w:rPr>
            <w:noProof/>
            <w:webHidden/>
          </w:rPr>
          <w:tab/>
        </w:r>
        <w:r w:rsidR="00F70A32">
          <w:rPr>
            <w:noProof/>
            <w:webHidden/>
          </w:rPr>
          <w:fldChar w:fldCharType="begin"/>
        </w:r>
        <w:r w:rsidR="00F70A32">
          <w:rPr>
            <w:noProof/>
            <w:webHidden/>
          </w:rPr>
          <w:instrText xml:space="preserve"> PAGEREF _Toc11426644 \h </w:instrText>
        </w:r>
        <w:r w:rsidR="00F70A32">
          <w:rPr>
            <w:noProof/>
            <w:webHidden/>
          </w:rPr>
        </w:r>
        <w:r w:rsidR="00F70A32">
          <w:rPr>
            <w:noProof/>
            <w:webHidden/>
          </w:rPr>
          <w:fldChar w:fldCharType="separate"/>
        </w:r>
        <w:r>
          <w:rPr>
            <w:noProof/>
            <w:webHidden/>
          </w:rPr>
          <w:t>5</w:t>
        </w:r>
        <w:r w:rsidR="00F70A32">
          <w:rPr>
            <w:noProof/>
            <w:webHidden/>
          </w:rPr>
          <w:fldChar w:fldCharType="end"/>
        </w:r>
      </w:hyperlink>
    </w:p>
    <w:p w:rsidR="00F70A32" w:rsidRDefault="0016284D">
      <w:pPr>
        <w:pStyle w:val="TOC1"/>
        <w:rPr>
          <w:rFonts w:asciiTheme="minorHAnsi" w:eastAsiaTheme="minorEastAsia" w:hAnsiTheme="minorHAnsi" w:cstheme="minorBidi"/>
          <w:noProof/>
          <w:lang w:val="en-GB" w:eastAsia="en-GB"/>
        </w:rPr>
      </w:pPr>
      <w:hyperlink w:anchor="_Toc11426645" w:history="1">
        <w:r w:rsidR="00F70A32" w:rsidRPr="00253861">
          <w:rPr>
            <w:rStyle w:val="Hyperlink"/>
            <w:noProof/>
          </w:rPr>
          <w:t>3.</w:t>
        </w:r>
        <w:r w:rsidR="00F70A32">
          <w:rPr>
            <w:rFonts w:asciiTheme="minorHAnsi" w:eastAsiaTheme="minorEastAsia" w:hAnsiTheme="minorHAnsi" w:cstheme="minorBidi"/>
            <w:noProof/>
            <w:lang w:val="en-GB" w:eastAsia="en-GB"/>
          </w:rPr>
          <w:tab/>
        </w:r>
        <w:r w:rsidR="00F70A32" w:rsidRPr="00253861">
          <w:rPr>
            <w:rStyle w:val="Hyperlink"/>
            <w:b/>
            <w:noProof/>
          </w:rPr>
          <w:t>MAATALOUS, MAASEUDUN KEHITTÄMINEN JA YMPÄRISTÖ</w:t>
        </w:r>
        <w:r w:rsidR="00F70A32">
          <w:rPr>
            <w:noProof/>
            <w:webHidden/>
          </w:rPr>
          <w:tab/>
        </w:r>
        <w:r w:rsidR="00F70A32">
          <w:rPr>
            <w:noProof/>
            <w:webHidden/>
          </w:rPr>
          <w:fldChar w:fldCharType="begin"/>
        </w:r>
        <w:r w:rsidR="00F70A32">
          <w:rPr>
            <w:noProof/>
            <w:webHidden/>
          </w:rPr>
          <w:instrText xml:space="preserve"> PAGEREF _Toc11426645 \h </w:instrText>
        </w:r>
        <w:r w:rsidR="00F70A32">
          <w:rPr>
            <w:noProof/>
            <w:webHidden/>
          </w:rPr>
        </w:r>
        <w:r w:rsidR="00F70A32">
          <w:rPr>
            <w:noProof/>
            <w:webHidden/>
          </w:rPr>
          <w:fldChar w:fldCharType="separate"/>
        </w:r>
        <w:r>
          <w:rPr>
            <w:noProof/>
            <w:webHidden/>
          </w:rPr>
          <w:t>8</w:t>
        </w:r>
        <w:r w:rsidR="00F70A32">
          <w:rPr>
            <w:noProof/>
            <w:webHidden/>
          </w:rPr>
          <w:fldChar w:fldCharType="end"/>
        </w:r>
      </w:hyperlink>
    </w:p>
    <w:p w:rsidR="00F70A32" w:rsidRDefault="0016284D">
      <w:pPr>
        <w:pStyle w:val="TOC1"/>
        <w:rPr>
          <w:rFonts w:asciiTheme="minorHAnsi" w:eastAsiaTheme="minorEastAsia" w:hAnsiTheme="minorHAnsi" w:cstheme="minorBidi"/>
          <w:noProof/>
          <w:lang w:val="en-GB" w:eastAsia="en-GB"/>
        </w:rPr>
      </w:pPr>
      <w:hyperlink w:anchor="_Toc11426646" w:history="1">
        <w:r w:rsidR="00F70A32" w:rsidRPr="00253861">
          <w:rPr>
            <w:rStyle w:val="Hyperlink"/>
            <w:noProof/>
          </w:rPr>
          <w:t>4.</w:t>
        </w:r>
        <w:r w:rsidR="00F70A32">
          <w:rPr>
            <w:rFonts w:asciiTheme="minorHAnsi" w:eastAsiaTheme="minorEastAsia" w:hAnsiTheme="minorHAnsi" w:cstheme="minorBidi"/>
            <w:noProof/>
            <w:lang w:val="en-GB" w:eastAsia="en-GB"/>
          </w:rPr>
          <w:tab/>
        </w:r>
        <w:r w:rsidR="00F70A32" w:rsidRPr="00253861">
          <w:rPr>
            <w:rStyle w:val="Hyperlink"/>
            <w:b/>
            <w:noProof/>
          </w:rPr>
          <w:t>TYÖLLISYYS, SOSIAALIASIAT JA KANSALAISUUS</w:t>
        </w:r>
        <w:r w:rsidR="00F70A32">
          <w:rPr>
            <w:noProof/>
            <w:webHidden/>
          </w:rPr>
          <w:tab/>
        </w:r>
        <w:r w:rsidR="00F70A32">
          <w:rPr>
            <w:noProof/>
            <w:webHidden/>
          </w:rPr>
          <w:fldChar w:fldCharType="begin"/>
        </w:r>
        <w:r w:rsidR="00F70A32">
          <w:rPr>
            <w:noProof/>
            <w:webHidden/>
          </w:rPr>
          <w:instrText xml:space="preserve"> PAGEREF _Toc11426646 \h </w:instrText>
        </w:r>
        <w:r w:rsidR="00F70A32">
          <w:rPr>
            <w:noProof/>
            <w:webHidden/>
          </w:rPr>
        </w:r>
        <w:r w:rsidR="00F70A32">
          <w:rPr>
            <w:noProof/>
            <w:webHidden/>
          </w:rPr>
          <w:fldChar w:fldCharType="separate"/>
        </w:r>
        <w:r>
          <w:rPr>
            <w:noProof/>
            <w:webHidden/>
          </w:rPr>
          <w:t>10</w:t>
        </w:r>
        <w:r w:rsidR="00F70A32">
          <w:rPr>
            <w:noProof/>
            <w:webHidden/>
          </w:rPr>
          <w:fldChar w:fldCharType="end"/>
        </w:r>
      </w:hyperlink>
    </w:p>
    <w:p w:rsidR="00F70A32" w:rsidRDefault="0016284D">
      <w:pPr>
        <w:pStyle w:val="TOC1"/>
        <w:rPr>
          <w:rFonts w:asciiTheme="minorHAnsi" w:eastAsiaTheme="minorEastAsia" w:hAnsiTheme="minorHAnsi" w:cstheme="minorBidi"/>
          <w:noProof/>
          <w:lang w:val="en-GB" w:eastAsia="en-GB"/>
        </w:rPr>
      </w:pPr>
      <w:hyperlink w:anchor="_Toc11426647" w:history="1">
        <w:r w:rsidR="00F70A32" w:rsidRPr="00253861">
          <w:rPr>
            <w:rStyle w:val="Hyperlink"/>
            <w:noProof/>
          </w:rPr>
          <w:t>5.</w:t>
        </w:r>
        <w:r w:rsidR="00F70A32">
          <w:rPr>
            <w:rFonts w:asciiTheme="minorHAnsi" w:eastAsiaTheme="minorEastAsia" w:hAnsiTheme="minorHAnsi" w:cstheme="minorBidi"/>
            <w:noProof/>
            <w:lang w:val="en-GB" w:eastAsia="en-GB"/>
          </w:rPr>
          <w:tab/>
        </w:r>
        <w:r w:rsidR="00F70A32" w:rsidRPr="00253861">
          <w:rPr>
            <w:rStyle w:val="Hyperlink"/>
            <w:b/>
            <w:noProof/>
          </w:rPr>
          <w:t>NEUVOA-ANTAVA VALIOKUNTA ”TEOLLISUUDEN MUUTOKSET”</w:t>
        </w:r>
        <w:r w:rsidR="00F70A32">
          <w:rPr>
            <w:noProof/>
            <w:webHidden/>
          </w:rPr>
          <w:tab/>
        </w:r>
        <w:r w:rsidR="00F70A32">
          <w:rPr>
            <w:noProof/>
            <w:webHidden/>
          </w:rPr>
          <w:fldChar w:fldCharType="begin"/>
        </w:r>
        <w:r w:rsidR="00F70A32">
          <w:rPr>
            <w:noProof/>
            <w:webHidden/>
          </w:rPr>
          <w:instrText xml:space="preserve"> PAGEREF _Toc11426647 \h </w:instrText>
        </w:r>
        <w:r w:rsidR="00F70A32">
          <w:rPr>
            <w:noProof/>
            <w:webHidden/>
          </w:rPr>
        </w:r>
        <w:r w:rsidR="00F70A32">
          <w:rPr>
            <w:noProof/>
            <w:webHidden/>
          </w:rPr>
          <w:fldChar w:fldCharType="separate"/>
        </w:r>
        <w:r>
          <w:rPr>
            <w:noProof/>
            <w:webHidden/>
          </w:rPr>
          <w:t>13</w:t>
        </w:r>
        <w:r w:rsidR="00F70A32">
          <w:rPr>
            <w:noProof/>
            <w:webHidden/>
          </w:rPr>
          <w:fldChar w:fldCharType="end"/>
        </w:r>
      </w:hyperlink>
    </w:p>
    <w:p w:rsidR="008405A0" w:rsidRPr="00D85439" w:rsidRDefault="003353E8" w:rsidP="00BF27A1">
      <w:pPr>
        <w:ind w:left="567" w:hanging="567"/>
      </w:pPr>
      <w:r w:rsidRPr="00D85439">
        <w:fldChar w:fldCharType="end"/>
      </w:r>
      <w:r>
        <w:br w:type="page"/>
      </w:r>
      <w:bookmarkStart w:id="0" w:name="_GoBack"/>
      <w:bookmarkEnd w:id="0"/>
    </w:p>
    <w:p w:rsidR="00421682" w:rsidRPr="00D85439" w:rsidRDefault="00AD7EE7" w:rsidP="00BF27A1">
      <w:r>
        <w:lastRenderedPageBreak/>
        <w:t>Täysistunnossa 15. ja 16. toukokuuta 2019 hyväksyttiin seuraavat lausunnot:</w:t>
      </w:r>
    </w:p>
    <w:p w:rsidR="00A43397" w:rsidRPr="00D85439" w:rsidRDefault="00A43397" w:rsidP="00BF27A1">
      <w:pPr>
        <w:rPr>
          <w:lang w:val="en-GB"/>
        </w:rPr>
      </w:pPr>
    </w:p>
    <w:p w:rsidR="00A43397" w:rsidRDefault="000C491C" w:rsidP="00BF27A1">
      <w:pPr>
        <w:pStyle w:val="Heading1"/>
        <w:ind w:left="567" w:hanging="567"/>
        <w:rPr>
          <w:b/>
          <w:caps/>
        </w:rPr>
      </w:pPr>
      <w:bookmarkStart w:id="1" w:name="_Toc11426643"/>
      <w:r>
        <w:rPr>
          <w:b/>
          <w:caps/>
        </w:rPr>
        <w:t>Talous- ja rahaliitto, taloudellinen ja sosiaalinen yhteenkuuluvuus</w:t>
      </w:r>
      <w:bookmarkEnd w:id="1"/>
    </w:p>
    <w:p w:rsidR="00026116" w:rsidRDefault="00026116" w:rsidP="00BF27A1">
      <w:pPr>
        <w:jc w:val="left"/>
        <w:rPr>
          <w:b/>
          <w:caps/>
          <w:kern w:val="28"/>
          <w:lang w:val="en-GB"/>
        </w:rPr>
      </w:pPr>
    </w:p>
    <w:p w:rsidR="008262D3" w:rsidRDefault="008262D3" w:rsidP="00BF27A1">
      <w:pPr>
        <w:jc w:val="left"/>
        <w:rPr>
          <w:b/>
          <w:caps/>
          <w:kern w:val="28"/>
        </w:rPr>
      </w:pPr>
      <w:r>
        <w:rPr>
          <w:b/>
          <w:caps/>
          <w:u w:val="single"/>
        </w:rPr>
        <w:t>ECO/487</w:t>
      </w:r>
    </w:p>
    <w:p w:rsidR="008262D3" w:rsidRDefault="008262D3" w:rsidP="00BF27A1">
      <w:pPr>
        <w:jc w:val="left"/>
        <w:rPr>
          <w:b/>
          <w:caps/>
          <w:kern w:val="28"/>
          <w:lang w:val="en-GB"/>
        </w:rPr>
      </w:pPr>
    </w:p>
    <w:p w:rsidR="00847378" w:rsidRPr="006E2E2A" w:rsidRDefault="00E97ECB" w:rsidP="00BF27A1">
      <w:pPr>
        <w:widowControl w:val="0"/>
        <w:numPr>
          <w:ilvl w:val="0"/>
          <w:numId w:val="13"/>
        </w:numPr>
        <w:overflowPunct w:val="0"/>
        <w:autoSpaceDE w:val="0"/>
        <w:autoSpaceDN w:val="0"/>
        <w:adjustRightInd w:val="0"/>
        <w:ind w:left="567" w:hanging="567"/>
        <w:textAlignment w:val="baseline"/>
        <w:rPr>
          <w:b/>
          <w:i/>
          <w:sz w:val="28"/>
          <w:szCs w:val="28"/>
        </w:rPr>
      </w:pPr>
      <w:r>
        <w:rPr>
          <w:b/>
          <w:i/>
          <w:sz w:val="28"/>
          <w:szCs w:val="28"/>
        </w:rPr>
        <w:t>Alv-petosten torjuntaan liittyvän hallinnollisen yhteistyön tiivistäminen (verkkokauppa)</w:t>
      </w:r>
    </w:p>
    <w:p w:rsidR="00E97ECB" w:rsidRDefault="00E97ECB" w:rsidP="00BF27A1">
      <w:pPr>
        <w:tabs>
          <w:tab w:val="center" w:pos="284"/>
          <w:tab w:val="left" w:pos="1701"/>
        </w:tabs>
        <w:ind w:left="266" w:hanging="266"/>
        <w:rPr>
          <w:b/>
          <w:lang w:val="en-GB"/>
        </w:rPr>
      </w:pPr>
    </w:p>
    <w:p w:rsidR="00847378" w:rsidRDefault="00847378" w:rsidP="00BF27A1">
      <w:pPr>
        <w:tabs>
          <w:tab w:val="center" w:pos="284"/>
          <w:tab w:val="left" w:pos="1701"/>
        </w:tabs>
        <w:ind w:left="266" w:hanging="266"/>
      </w:pPr>
      <w:r>
        <w:rPr>
          <w:b/>
        </w:rPr>
        <w:t>Esittelijä:</w:t>
      </w:r>
      <w:r>
        <w:tab/>
        <w:t>Krister ANDERSSON (työnantajat – SE)</w:t>
      </w:r>
    </w:p>
    <w:p w:rsidR="00847378" w:rsidRPr="006E2E2A" w:rsidRDefault="00847378" w:rsidP="00BF27A1">
      <w:pPr>
        <w:tabs>
          <w:tab w:val="center" w:pos="284"/>
        </w:tabs>
        <w:ind w:left="266" w:hanging="266"/>
        <w:rPr>
          <w:lang w:val="en-GB"/>
        </w:rPr>
      </w:pPr>
    </w:p>
    <w:p w:rsidR="00E97ECB" w:rsidRDefault="00E56239" w:rsidP="00BF27A1">
      <w:pPr>
        <w:tabs>
          <w:tab w:val="center" w:pos="284"/>
        </w:tabs>
        <w:ind w:left="266" w:hanging="266"/>
      </w:pPr>
      <w:r>
        <w:rPr>
          <w:b/>
        </w:rPr>
        <w:t>Viiteasiakirjat:</w:t>
      </w:r>
      <w:r>
        <w:rPr>
          <w:b/>
        </w:rPr>
        <w:tab/>
      </w:r>
      <w:r w:rsidR="00847378">
        <w:t>COM(2018) 813 final – 2018/0413 (CNS)</w:t>
      </w:r>
    </w:p>
    <w:p w:rsidR="00847378" w:rsidRPr="006E2E2A" w:rsidRDefault="00E97ECB" w:rsidP="00BF27A1">
      <w:pPr>
        <w:tabs>
          <w:tab w:val="center" w:pos="284"/>
        </w:tabs>
        <w:overflowPunct w:val="0"/>
        <w:autoSpaceDE w:val="0"/>
        <w:autoSpaceDN w:val="0"/>
        <w:adjustRightInd w:val="0"/>
        <w:ind w:left="266" w:hanging="266"/>
        <w:textAlignment w:val="baseline"/>
      </w:pPr>
      <w:r>
        <w:rPr>
          <w:b/>
        </w:rPr>
        <w:tab/>
      </w:r>
      <w:r>
        <w:rPr>
          <w:b/>
        </w:rPr>
        <w:tab/>
      </w:r>
      <w:r>
        <w:rPr>
          <w:b/>
        </w:rPr>
        <w:tab/>
      </w:r>
      <w:r>
        <w:rPr>
          <w:b/>
        </w:rPr>
        <w:tab/>
      </w:r>
      <w:r>
        <w:rPr>
          <w:b/>
        </w:rPr>
        <w:tab/>
      </w:r>
      <w:r>
        <w:t>EESC-2019-00105-00-00-AC</w:t>
      </w:r>
    </w:p>
    <w:p w:rsidR="00B15573" w:rsidRDefault="00B15573" w:rsidP="00BF27A1">
      <w:pPr>
        <w:keepNext/>
        <w:keepLines/>
        <w:tabs>
          <w:tab w:val="center" w:pos="284"/>
        </w:tabs>
        <w:ind w:left="266" w:hanging="266"/>
        <w:rPr>
          <w:b/>
          <w:lang w:val="en-GB"/>
        </w:rPr>
      </w:pPr>
    </w:p>
    <w:p w:rsidR="00847378" w:rsidRPr="006E2E2A" w:rsidRDefault="00AC6F72" w:rsidP="00BF27A1">
      <w:pPr>
        <w:keepNext/>
        <w:keepLines/>
        <w:tabs>
          <w:tab w:val="center" w:pos="284"/>
        </w:tabs>
        <w:ind w:left="266" w:hanging="266"/>
        <w:rPr>
          <w:b/>
        </w:rPr>
      </w:pPr>
      <w:r>
        <w:rPr>
          <w:b/>
        </w:rPr>
        <w:t>Keskeiset kohdat</w:t>
      </w:r>
    </w:p>
    <w:p w:rsidR="00A4696A" w:rsidRDefault="00A4696A" w:rsidP="00BF27A1">
      <w:pPr>
        <w:jc w:val="left"/>
      </w:pPr>
    </w:p>
    <w:p w:rsidR="00847378" w:rsidRDefault="00847378" w:rsidP="00BF27A1">
      <w:pPr>
        <w:jc w:val="left"/>
      </w:pPr>
      <w:r>
        <w:t>ETSK</w:t>
      </w:r>
    </w:p>
    <w:p w:rsidR="00A4696A" w:rsidRDefault="00A4696A" w:rsidP="00BF27A1">
      <w:pPr>
        <w:jc w:val="left"/>
      </w:pPr>
    </w:p>
    <w:p w:rsidR="00A4696A" w:rsidRDefault="00E97ECB" w:rsidP="00BF27A1">
      <w:pPr>
        <w:pStyle w:val="ListParagraph"/>
        <w:numPr>
          <w:ilvl w:val="0"/>
          <w:numId w:val="26"/>
        </w:numPr>
      </w:pPr>
      <w:r>
        <w:t>kannattaa komission tavoitetta käynnistää selkeiden säännösten pohjalta veroviranomaisten välinen pitkälle viety operatiivinen yhteistyö, joka koskee alv-petoksia sähköisen kaupankäynnin alalla.</w:t>
      </w:r>
    </w:p>
    <w:p w:rsidR="00BF754F" w:rsidRDefault="00BF754F" w:rsidP="00BF27A1">
      <w:pPr>
        <w:ind w:left="360"/>
      </w:pPr>
    </w:p>
    <w:p w:rsidR="00BF754F" w:rsidRDefault="00BF754F" w:rsidP="00BF27A1">
      <w:pPr>
        <w:pStyle w:val="ListParagraph"/>
        <w:numPr>
          <w:ilvl w:val="0"/>
          <w:numId w:val="26"/>
        </w:numPr>
      </w:pPr>
      <w:r>
        <w:t>suosittelee, että viranomaisten keinoja torjua edistyneitä alv-petosten muotoja parannetaan jatkuvasti (asianmukaisen teknologian, esimerkiksi tekoälyn, avulla toteutettavan) lainvalvonnan tehokkuuden ja kansallisten viranomaisten välisen yhteistyön osalta.</w:t>
      </w:r>
    </w:p>
    <w:p w:rsidR="00BF754F" w:rsidRDefault="00BF754F" w:rsidP="00BF27A1"/>
    <w:p w:rsidR="00BF754F" w:rsidRDefault="00BF754F" w:rsidP="00BF27A1">
      <w:pPr>
        <w:pStyle w:val="ListParagraph"/>
        <w:numPr>
          <w:ilvl w:val="0"/>
          <w:numId w:val="49"/>
        </w:numPr>
      </w:pPr>
      <w:r>
        <w:t>korostaa, että yleisen tietosuoja-asetuksen säännöksiä koskevat poikkeukset ja rajoitukset on pidettävä määrältään vähäisinä ja niillä tulee tähdätä tiukasti määriteltyyn alv-petosten torjunnan tavoitteeseen. Ne ovat erityisiä poikkeuksia yleisistä ja pakollisista säännöistä, joilla suojataan henkilötietoja ja henkilöiden yksityisyyttä, joten lainvalvojien olisi tulkittava niitä tiukasti ja huolellisesti.</w:t>
      </w:r>
    </w:p>
    <w:p w:rsidR="00BF754F" w:rsidRDefault="00BF754F" w:rsidP="00BF27A1"/>
    <w:p w:rsidR="00BF754F" w:rsidRDefault="00BF754F" w:rsidP="00BF27A1">
      <w:pPr>
        <w:pStyle w:val="ListParagraph"/>
        <w:numPr>
          <w:ilvl w:val="0"/>
          <w:numId w:val="49"/>
        </w:numPr>
      </w:pPr>
      <w:r>
        <w:t>edellyttää, että komissio varmistaa järjestelmän tulevassa päivittäisessä toiminnassa kaikkien ehdotukseen sisältyvien perusvapauksia koskevien takeiden täysimittaisen ja tosiasiallisen täytäntöönpanon, jotta saavutetaan asianmukainen tasapaino alv-sääntöjen tehokkaan täytäntöönpanon ja yksilön oikeuksien ja perusvapauksien välttämättömän suojaamisen välillä.</w:t>
      </w:r>
    </w:p>
    <w:p w:rsidR="00A4696A" w:rsidRPr="00C02DDD" w:rsidRDefault="00A4696A" w:rsidP="00BF27A1">
      <w:pPr>
        <w:pStyle w:val="ListParagraph"/>
      </w:pPr>
    </w:p>
    <w:p w:rsidR="00BF754F" w:rsidRPr="00BF754F" w:rsidRDefault="00A4696A" w:rsidP="00BF27A1">
      <w:pPr>
        <w:tabs>
          <w:tab w:val="left" w:pos="1701"/>
        </w:tabs>
        <w:overflowPunct w:val="0"/>
        <w:autoSpaceDE w:val="0"/>
        <w:autoSpaceDN w:val="0"/>
        <w:adjustRightInd w:val="0"/>
        <w:rPr>
          <w:i/>
          <w:iCs/>
        </w:rPr>
      </w:pPr>
      <w:r>
        <w:rPr>
          <w:b/>
          <w:i/>
          <w:szCs w:val="20"/>
        </w:rPr>
        <w:t>Yhteyshenkilö</w:t>
      </w:r>
      <w:r>
        <w:t>:</w:t>
      </w:r>
      <w:r>
        <w:rPr>
          <w:i/>
          <w:szCs w:val="20"/>
        </w:rPr>
        <w:tab/>
      </w:r>
      <w:r>
        <w:rPr>
          <w:bCs/>
          <w:i/>
          <w:iCs/>
        </w:rPr>
        <w:t>Jüri Soosaar</w:t>
      </w:r>
    </w:p>
    <w:p w:rsidR="00A4696A" w:rsidRDefault="00A4696A" w:rsidP="00BF27A1">
      <w:pPr>
        <w:tabs>
          <w:tab w:val="left" w:pos="1701"/>
        </w:tabs>
        <w:jc w:val="left"/>
      </w:pPr>
      <w:r>
        <w:rPr>
          <w:i/>
          <w:szCs w:val="20"/>
        </w:rPr>
        <w:tab/>
      </w:r>
      <w:r>
        <w:rPr>
          <w:i/>
          <w:iCs/>
        </w:rPr>
        <w:t>(P. +32 25469740 – sähköposti:</w:t>
      </w:r>
      <w:r>
        <w:t xml:space="preserve"> </w:t>
      </w:r>
      <w:r>
        <w:rPr>
          <w:i/>
        </w:rPr>
        <w:t>Juri.Soosaar</w:t>
      </w:r>
      <w:r>
        <w:rPr>
          <w:i/>
          <w:iCs/>
        </w:rPr>
        <w:t>@eesc.europa.eu)</w:t>
      </w:r>
    </w:p>
    <w:p w:rsidR="008262D3" w:rsidRDefault="008262D3">
      <w:pPr>
        <w:spacing w:line="240" w:lineRule="auto"/>
        <w:jc w:val="left"/>
        <w:rPr>
          <w:b/>
          <w:caps/>
          <w:kern w:val="28"/>
        </w:rPr>
      </w:pPr>
      <w:r>
        <w:br w:type="page"/>
      </w:r>
    </w:p>
    <w:p w:rsidR="00A33BB9" w:rsidRDefault="008262D3" w:rsidP="00BF27A1">
      <w:pPr>
        <w:jc w:val="left"/>
        <w:rPr>
          <w:b/>
          <w:caps/>
          <w:kern w:val="28"/>
          <w:u w:val="single"/>
        </w:rPr>
      </w:pPr>
      <w:r>
        <w:rPr>
          <w:b/>
          <w:caps/>
          <w:u w:val="single"/>
        </w:rPr>
        <w:lastRenderedPageBreak/>
        <w:t>ECO/488</w:t>
      </w:r>
    </w:p>
    <w:p w:rsidR="008262D3" w:rsidRDefault="008262D3" w:rsidP="00BF27A1">
      <w:pPr>
        <w:jc w:val="left"/>
        <w:rPr>
          <w:b/>
          <w:caps/>
          <w:kern w:val="28"/>
          <w:lang w:val="en-GB"/>
        </w:rPr>
      </w:pPr>
    </w:p>
    <w:p w:rsidR="00C04F2D" w:rsidRPr="00C04F2D" w:rsidRDefault="00C04F2D" w:rsidP="00BF27A1">
      <w:pPr>
        <w:pStyle w:val="ListParagraph"/>
        <w:numPr>
          <w:ilvl w:val="0"/>
          <w:numId w:val="50"/>
        </w:numPr>
        <w:ind w:hanging="720"/>
        <w:jc w:val="left"/>
        <w:rPr>
          <w:b/>
          <w:caps/>
          <w:kern w:val="28"/>
        </w:rPr>
      </w:pPr>
      <w:r>
        <w:rPr>
          <w:b/>
          <w:i/>
          <w:sz w:val="28"/>
          <w:szCs w:val="28"/>
        </w:rPr>
        <w:t>Alv – tietyt maksupalveluntarjoajia koskevat vaatimukset</w:t>
      </w:r>
    </w:p>
    <w:p w:rsidR="00C04F2D" w:rsidRDefault="00C04F2D" w:rsidP="00BF27A1">
      <w:pPr>
        <w:jc w:val="left"/>
        <w:rPr>
          <w:b/>
          <w:caps/>
          <w:kern w:val="28"/>
          <w:lang w:val="en-GB"/>
        </w:rPr>
      </w:pPr>
    </w:p>
    <w:p w:rsidR="00C04F2D" w:rsidRDefault="00C04F2D" w:rsidP="00BF27A1">
      <w:pPr>
        <w:tabs>
          <w:tab w:val="center" w:pos="284"/>
        </w:tabs>
        <w:ind w:left="266" w:hanging="266"/>
      </w:pPr>
      <w:r>
        <w:rPr>
          <w:b/>
        </w:rPr>
        <w:t>Esittelijä:</w:t>
      </w:r>
      <w:r>
        <w:tab/>
      </w:r>
      <w:r w:rsidR="00E56239">
        <w:tab/>
      </w:r>
      <w:r>
        <w:t>Krister ANDERSSON (työnantajat – SE)</w:t>
      </w:r>
    </w:p>
    <w:p w:rsidR="00C04F2D" w:rsidRDefault="00C04F2D" w:rsidP="00BF27A1">
      <w:pPr>
        <w:tabs>
          <w:tab w:val="center" w:pos="284"/>
        </w:tabs>
        <w:ind w:left="266" w:hanging="266"/>
      </w:pPr>
    </w:p>
    <w:p w:rsidR="00C04F2D" w:rsidRDefault="00C04F2D" w:rsidP="00BF27A1">
      <w:pPr>
        <w:tabs>
          <w:tab w:val="center" w:pos="284"/>
          <w:tab w:val="left" w:pos="1701"/>
        </w:tabs>
        <w:ind w:left="266" w:hanging="266"/>
      </w:pPr>
      <w:r>
        <w:rPr>
          <w:b/>
        </w:rPr>
        <w:t>Viiteasiakirjat:</w:t>
      </w:r>
      <w:r>
        <w:rPr>
          <w:b/>
        </w:rPr>
        <w:tab/>
      </w:r>
      <w:r>
        <w:t xml:space="preserve">COM(2018) 812 final – 2018/0412(CNS) </w:t>
      </w:r>
    </w:p>
    <w:p w:rsidR="00C04F2D" w:rsidRDefault="00C04F2D" w:rsidP="00BF27A1">
      <w:pPr>
        <w:tabs>
          <w:tab w:val="center" w:pos="284"/>
          <w:tab w:val="left" w:pos="1701"/>
        </w:tabs>
        <w:ind w:left="266" w:hanging="266"/>
      </w:pPr>
      <w:r>
        <w:tab/>
      </w:r>
      <w:r>
        <w:tab/>
      </w:r>
      <w:r>
        <w:tab/>
        <w:t xml:space="preserve">COM(2018) 819 final – 2018/0415(CNS) </w:t>
      </w:r>
    </w:p>
    <w:p w:rsidR="00C04F2D" w:rsidRPr="00C04F2D" w:rsidRDefault="00C04F2D" w:rsidP="00BF27A1">
      <w:pPr>
        <w:jc w:val="left"/>
        <w:rPr>
          <w:b/>
          <w:caps/>
          <w:kern w:val="28"/>
        </w:rPr>
      </w:pPr>
      <w:r>
        <w:tab/>
      </w:r>
      <w:r>
        <w:tab/>
      </w:r>
      <w:r>
        <w:tab/>
        <w:t>EESC-2019-00106-00-00-AC</w:t>
      </w:r>
    </w:p>
    <w:p w:rsidR="00C04F2D" w:rsidRDefault="00C04F2D" w:rsidP="00BF27A1">
      <w:pPr>
        <w:keepNext/>
        <w:keepLines/>
        <w:tabs>
          <w:tab w:val="center" w:pos="284"/>
        </w:tabs>
        <w:ind w:left="266" w:hanging="266"/>
        <w:rPr>
          <w:b/>
          <w:lang w:val="en-GB"/>
        </w:rPr>
      </w:pPr>
    </w:p>
    <w:p w:rsidR="00C04F2D" w:rsidRPr="006E2E2A" w:rsidRDefault="00C04F2D" w:rsidP="00BF27A1">
      <w:pPr>
        <w:keepNext/>
        <w:keepLines/>
        <w:tabs>
          <w:tab w:val="center" w:pos="284"/>
        </w:tabs>
        <w:ind w:left="266" w:hanging="266"/>
        <w:rPr>
          <w:b/>
        </w:rPr>
      </w:pPr>
      <w:r>
        <w:rPr>
          <w:b/>
        </w:rPr>
        <w:t>Keskeiset kohdat</w:t>
      </w:r>
    </w:p>
    <w:p w:rsidR="00C04F2D" w:rsidRDefault="00C04F2D" w:rsidP="00BF27A1">
      <w:pPr>
        <w:jc w:val="left"/>
      </w:pPr>
    </w:p>
    <w:p w:rsidR="00C04F2D" w:rsidRDefault="00C04F2D" w:rsidP="00BF27A1">
      <w:pPr>
        <w:jc w:val="left"/>
      </w:pPr>
      <w:r>
        <w:t>ETSK</w:t>
      </w:r>
    </w:p>
    <w:p w:rsidR="00C04F2D" w:rsidRDefault="00C04F2D" w:rsidP="00BF27A1">
      <w:pPr>
        <w:jc w:val="left"/>
      </w:pPr>
    </w:p>
    <w:p w:rsidR="00C04F2D" w:rsidRDefault="00C04F2D" w:rsidP="008262D3">
      <w:pPr>
        <w:pStyle w:val="ListParagraph"/>
        <w:numPr>
          <w:ilvl w:val="0"/>
          <w:numId w:val="51"/>
        </w:numPr>
      </w:pPr>
      <w:r>
        <w:t xml:space="preserve">kannattaa komission tavoitetta ottaa käyttöön lisäsäännöksiä, joilla varmistetaan suhteellisuus ja vahvistetaan oikeusvarmuutta sellaisten sähköisiä rajapintoja ylläpitävien toimijoiden kannalta, jotka mahdollistavat tavaroiden luovutuksen kuluttajille EU:ssa etenkin, kun niitä pidetään tavaroiden luovuttajina. </w:t>
      </w:r>
    </w:p>
    <w:p w:rsidR="00C04F2D" w:rsidRDefault="00C04F2D" w:rsidP="00BF27A1"/>
    <w:p w:rsidR="00C04F2D" w:rsidRDefault="00C04F2D" w:rsidP="008262D3">
      <w:pPr>
        <w:pStyle w:val="ListParagraph"/>
        <w:numPr>
          <w:ilvl w:val="0"/>
          <w:numId w:val="51"/>
        </w:numPr>
      </w:pPr>
      <w:r>
        <w:t>kannattaa myös komission aikomusta aloittaa maksupalveluntarjoajien kanssa säännöllinen yhteistyö, joka perustuu selkeisiin säännöksiin. Uusien toimenpiteiden täytäntöönpanon jälkeen odotettavissa olevilla lupaavilla tuloksilla varmistetaan niin kansallisten kuin EU:n talousarvioiden lisäresurssit sekä veroja kuuliaisesti maksavien yritysten yksinkertaistetut tasapuoliset toimintaedellytykset.</w:t>
      </w:r>
    </w:p>
    <w:p w:rsidR="00C04F2D" w:rsidRDefault="00C04F2D" w:rsidP="00BF27A1"/>
    <w:p w:rsidR="00C04F2D" w:rsidRDefault="00C04F2D" w:rsidP="008262D3">
      <w:pPr>
        <w:pStyle w:val="ListParagraph"/>
        <w:numPr>
          <w:ilvl w:val="0"/>
          <w:numId w:val="51"/>
        </w:numPr>
      </w:pPr>
      <w:r>
        <w:t xml:space="preserve">toteaa, että komission ehdottama sääntely on toissijaisuusperiaatteen mukainen, sillä verkkokaupan alv-petokset ovat yleisiä kaikissa jäsenvaltioissa, ja EU:n lainsäädäntö on tehokkain väline, jolla voidaan tosiasiassa tukea jäsenvaltioita sellaisten tietojen hankkimisessa, joita tarvitaan rajat ylittäviin suorituksiin sovellettavien alv-sääntöjen valvomiseen. </w:t>
      </w:r>
    </w:p>
    <w:p w:rsidR="00C04F2D" w:rsidRDefault="00C04F2D" w:rsidP="00BF27A1"/>
    <w:p w:rsidR="00C04F2D" w:rsidRDefault="00C04F2D" w:rsidP="008262D3">
      <w:pPr>
        <w:pStyle w:val="ListParagraph"/>
        <w:numPr>
          <w:ilvl w:val="0"/>
          <w:numId w:val="51"/>
        </w:numPr>
      </w:pPr>
      <w:r>
        <w:t>painottaa voimakkaasti, että on tärkeää noudattaa tinkimättä yleisen tietosuoja-asetuksen säännöksiä ja että tietoja voidaan käyttää ainoastaan tiukasti rajattuun alv-petosten torjumiseen kustannustehokkaalla ja yleisesti ottaen hyväksyttävällä tavalla.</w:t>
      </w:r>
    </w:p>
    <w:p w:rsidR="00C04F2D" w:rsidRDefault="00C04F2D" w:rsidP="00BF27A1"/>
    <w:p w:rsidR="00C04F2D" w:rsidRPr="00C04F2D" w:rsidRDefault="00C04F2D" w:rsidP="00BF27A1">
      <w:pPr>
        <w:pStyle w:val="ListParagraph"/>
        <w:numPr>
          <w:ilvl w:val="0"/>
          <w:numId w:val="50"/>
        </w:numPr>
        <w:ind w:hanging="295"/>
        <w:rPr>
          <w:b/>
          <w:caps/>
          <w:kern w:val="28"/>
        </w:rPr>
      </w:pPr>
      <w:r>
        <w:t>suosittaa, että komissio investoi riittävästi fyysiseen omaisuuteen ja tietotekniikkaan, jotta voidaan varmistaa toimiva keskustietokantajärjestelmä. Komitea toteaa, että hankkeen arvioidut kustannukset voitaisiin kattaa helposti ja nopeasti alv-petosten ja alv-vajeen vähentämisestä odotettavissa olevilla tuloksilla.</w:t>
      </w:r>
    </w:p>
    <w:p w:rsidR="00C04F2D" w:rsidRDefault="00C04F2D" w:rsidP="00BF27A1">
      <w:pPr>
        <w:rPr>
          <w:b/>
          <w:caps/>
          <w:kern w:val="28"/>
          <w:lang w:val="en-GB"/>
        </w:rPr>
      </w:pPr>
    </w:p>
    <w:p w:rsidR="00C04F2D" w:rsidRDefault="00C04F2D" w:rsidP="00BF27A1">
      <w:pPr>
        <w:tabs>
          <w:tab w:val="left" w:pos="0"/>
        </w:tabs>
        <w:ind w:left="1701" w:right="-141" w:hanging="1701"/>
        <w:rPr>
          <w:i/>
          <w:iCs/>
        </w:rPr>
      </w:pPr>
      <w:r>
        <w:rPr>
          <w:b/>
          <w:bCs/>
          <w:i/>
          <w:iCs/>
        </w:rPr>
        <w:t>Yhteyshenkilö:</w:t>
      </w:r>
      <w:r>
        <w:rPr>
          <w:b/>
          <w:bCs/>
          <w:i/>
          <w:iCs/>
        </w:rPr>
        <w:tab/>
      </w:r>
      <w:r>
        <w:rPr>
          <w:bCs/>
          <w:i/>
          <w:iCs/>
        </w:rPr>
        <w:t xml:space="preserve">Jüri Soosaar </w:t>
      </w:r>
      <w:r>
        <w:rPr>
          <w:i/>
          <w:iCs/>
        </w:rPr>
        <w:tab/>
      </w:r>
    </w:p>
    <w:p w:rsidR="00BF27A1" w:rsidRDefault="00C04F2D" w:rsidP="00BF27A1">
      <w:pPr>
        <w:rPr>
          <w:i/>
          <w:iCs/>
        </w:rPr>
      </w:pPr>
      <w:r>
        <w:rPr>
          <w:b/>
          <w:bCs/>
          <w:i/>
          <w:iCs/>
        </w:rPr>
        <w:tab/>
      </w:r>
      <w:r>
        <w:rPr>
          <w:b/>
          <w:bCs/>
          <w:i/>
          <w:iCs/>
        </w:rPr>
        <w:tab/>
      </w:r>
      <w:r>
        <w:rPr>
          <w:b/>
          <w:bCs/>
          <w:i/>
          <w:iCs/>
        </w:rPr>
        <w:tab/>
      </w:r>
      <w:r>
        <w:rPr>
          <w:i/>
          <w:iCs/>
        </w:rPr>
        <w:t>(P. +32 25469740 – sähköposti:</w:t>
      </w:r>
      <w:r>
        <w:t xml:space="preserve"> </w:t>
      </w:r>
      <w:hyperlink r:id="rId21" w:history="1">
        <w:r>
          <w:rPr>
            <w:rStyle w:val="Hyperlink"/>
            <w:i/>
          </w:rPr>
          <w:t>Juri.Soosaar</w:t>
        </w:r>
        <w:r>
          <w:rPr>
            <w:rStyle w:val="Hyperlink"/>
            <w:i/>
            <w:iCs/>
          </w:rPr>
          <w:t>@eesc.europa.eu</w:t>
        </w:r>
      </w:hyperlink>
      <w:r>
        <w:rPr>
          <w:i/>
          <w:iCs/>
        </w:rPr>
        <w:t>)</w:t>
      </w:r>
    </w:p>
    <w:p w:rsidR="00C03049" w:rsidRPr="00C04F2D" w:rsidRDefault="00C03049" w:rsidP="00BF27A1">
      <w:pPr>
        <w:rPr>
          <w:b/>
          <w:caps/>
          <w:kern w:val="28"/>
        </w:rPr>
      </w:pPr>
      <w:r>
        <w:br w:type="page"/>
      </w:r>
    </w:p>
    <w:p w:rsidR="00C03049" w:rsidRDefault="00C03049" w:rsidP="00BF27A1">
      <w:pPr>
        <w:pStyle w:val="Heading1"/>
        <w:ind w:left="567" w:hanging="567"/>
        <w:rPr>
          <w:b/>
        </w:rPr>
      </w:pPr>
      <w:bookmarkStart w:id="2" w:name="_Toc11426644"/>
      <w:r>
        <w:rPr>
          <w:b/>
        </w:rPr>
        <w:lastRenderedPageBreak/>
        <w:t>YHTENÄISMARKKINAT, TUOTANTO JA KULUTUS</w:t>
      </w:r>
      <w:bookmarkEnd w:id="2"/>
    </w:p>
    <w:p w:rsidR="00C03049" w:rsidRDefault="00C03049" w:rsidP="00BF27A1"/>
    <w:p w:rsidR="008262D3" w:rsidRDefault="008262D3" w:rsidP="00BF27A1">
      <w:r>
        <w:rPr>
          <w:b/>
          <w:u w:val="single"/>
        </w:rPr>
        <w:t>INT/875</w:t>
      </w:r>
    </w:p>
    <w:p w:rsidR="008262D3" w:rsidRDefault="008262D3" w:rsidP="00BF27A1"/>
    <w:p w:rsidR="00BF1CFD" w:rsidRPr="005D0ADC" w:rsidRDefault="005D0ADC" w:rsidP="00BF27A1">
      <w:pPr>
        <w:pStyle w:val="ListParagraph"/>
        <w:numPr>
          <w:ilvl w:val="0"/>
          <w:numId w:val="50"/>
        </w:numPr>
        <w:ind w:left="567" w:hanging="567"/>
        <w:rPr>
          <w:b/>
          <w:i/>
          <w:sz w:val="28"/>
          <w:szCs w:val="28"/>
        </w:rPr>
      </w:pPr>
      <w:r>
        <w:rPr>
          <w:b/>
          <w:i/>
          <w:sz w:val="28"/>
          <w:szCs w:val="28"/>
        </w:rPr>
        <w:t>Yhteisötalouden yritysten merkitys Euroopan unionin yhteenkuuluvuuden ja demokraattisuuden parantamisessa</w:t>
      </w:r>
    </w:p>
    <w:p w:rsidR="00596BBD" w:rsidRDefault="00596BBD" w:rsidP="00BF27A1"/>
    <w:p w:rsidR="00596BBD" w:rsidRPr="00D26A3F" w:rsidRDefault="00596BBD" w:rsidP="00BF27A1">
      <w:pPr>
        <w:tabs>
          <w:tab w:val="left" w:pos="1701"/>
        </w:tabs>
      </w:pPr>
      <w:r>
        <w:rPr>
          <w:b/>
        </w:rPr>
        <w:t>Esittelijä:</w:t>
      </w:r>
      <w:r>
        <w:t xml:space="preserve"> </w:t>
      </w:r>
      <w:r>
        <w:tab/>
        <w:t>Alain COHEUR (moninainen Eurooppa – BE)</w:t>
      </w:r>
    </w:p>
    <w:p w:rsidR="00135611" w:rsidRDefault="00135611" w:rsidP="00BF27A1">
      <w:pPr>
        <w:tabs>
          <w:tab w:val="center" w:pos="284"/>
          <w:tab w:val="left" w:pos="1701"/>
        </w:tabs>
        <w:ind w:left="266" w:hanging="266"/>
        <w:rPr>
          <w:b/>
        </w:rPr>
      </w:pPr>
    </w:p>
    <w:p w:rsidR="00596BBD" w:rsidRPr="00D26A3F" w:rsidRDefault="00596BBD" w:rsidP="00BF27A1">
      <w:pPr>
        <w:tabs>
          <w:tab w:val="center" w:pos="284"/>
          <w:tab w:val="left" w:pos="1701"/>
        </w:tabs>
        <w:ind w:left="266" w:hanging="266"/>
      </w:pPr>
      <w:r>
        <w:rPr>
          <w:b/>
        </w:rPr>
        <w:t>Viiteasiakirja:</w:t>
      </w:r>
      <w:r>
        <w:rPr>
          <w:b/>
        </w:rPr>
        <w:tab/>
      </w:r>
      <w:r>
        <w:t>valmisteleva lausunto</w:t>
      </w:r>
    </w:p>
    <w:p w:rsidR="00596BBD" w:rsidRPr="00B2569F" w:rsidRDefault="00596BBD" w:rsidP="00BF27A1">
      <w:pPr>
        <w:tabs>
          <w:tab w:val="center" w:pos="284"/>
          <w:tab w:val="left" w:pos="1701"/>
        </w:tabs>
        <w:ind w:left="266" w:hanging="266"/>
      </w:pPr>
      <w:r>
        <w:tab/>
      </w:r>
      <w:r>
        <w:tab/>
      </w:r>
      <w:r>
        <w:tab/>
        <w:t>EESC-2018-05559-00-00-AC</w:t>
      </w:r>
    </w:p>
    <w:p w:rsidR="00596BBD" w:rsidRPr="00B2569F" w:rsidRDefault="00596BBD" w:rsidP="00BF27A1">
      <w:pPr>
        <w:tabs>
          <w:tab w:val="center" w:pos="284"/>
        </w:tabs>
        <w:ind w:left="266" w:hanging="266"/>
        <w:rPr>
          <w:szCs w:val="20"/>
        </w:rPr>
      </w:pPr>
    </w:p>
    <w:p w:rsidR="00596BBD" w:rsidRDefault="00596BBD" w:rsidP="00BF27A1">
      <w:pPr>
        <w:rPr>
          <w:b/>
        </w:rPr>
      </w:pPr>
      <w:r>
        <w:rPr>
          <w:b/>
        </w:rPr>
        <w:t>Keskeiset kohdat</w:t>
      </w:r>
    </w:p>
    <w:p w:rsidR="00596BBD" w:rsidRDefault="00596BBD" w:rsidP="00BF27A1"/>
    <w:p w:rsidR="00596BBD" w:rsidRDefault="00596BBD" w:rsidP="00BF27A1">
      <w:r>
        <w:t>ETSK</w:t>
      </w:r>
    </w:p>
    <w:p w:rsidR="00596BBD" w:rsidRDefault="00596BBD" w:rsidP="00BF27A1"/>
    <w:p w:rsidR="00596BBD" w:rsidRDefault="00596BBD" w:rsidP="00BF27A1">
      <w:pPr>
        <w:pStyle w:val="ListParagraph"/>
        <w:keepNext/>
        <w:numPr>
          <w:ilvl w:val="0"/>
          <w:numId w:val="35"/>
        </w:numPr>
        <w:tabs>
          <w:tab w:val="left" w:pos="0"/>
        </w:tabs>
        <w:overflowPunct w:val="0"/>
        <w:autoSpaceDE w:val="0"/>
        <w:autoSpaceDN w:val="0"/>
        <w:adjustRightInd w:val="0"/>
      </w:pPr>
      <w:r>
        <w:t>kehottaa jäsenvaltioita ja Euroopan komissiota tunnustamaan yhteisötalouden yritysten merkityksen aktiivisen kansalaisuuden kehittämisessä ja yhteisen hyvän vaalimisessa sekä eurooppalaisen sosiaalisen mallin edistämisessä ja eurooppalaisen identiteetin luomisessa.</w:t>
      </w:r>
    </w:p>
    <w:p w:rsidR="00596BBD" w:rsidRPr="00596BBD" w:rsidRDefault="00596BBD" w:rsidP="00BF27A1">
      <w:pPr>
        <w:keepNext/>
        <w:tabs>
          <w:tab w:val="left" w:pos="0"/>
        </w:tabs>
        <w:overflowPunct w:val="0"/>
        <w:autoSpaceDE w:val="0"/>
        <w:autoSpaceDN w:val="0"/>
        <w:adjustRightInd w:val="0"/>
        <w:ind w:left="360"/>
        <w:rPr>
          <w:lang w:val="fr-BE"/>
        </w:rPr>
      </w:pPr>
    </w:p>
    <w:p w:rsidR="00596BBD" w:rsidRDefault="00596BBD" w:rsidP="00BF27A1">
      <w:pPr>
        <w:pStyle w:val="ListParagraph"/>
        <w:keepNext/>
        <w:numPr>
          <w:ilvl w:val="0"/>
          <w:numId w:val="35"/>
        </w:numPr>
        <w:tabs>
          <w:tab w:val="left" w:pos="0"/>
        </w:tabs>
        <w:overflowPunct w:val="0"/>
        <w:autoSpaceDE w:val="0"/>
        <w:autoSpaceDN w:val="0"/>
        <w:adjustRightInd w:val="0"/>
      </w:pPr>
      <w:r>
        <w:t>muistuttaa, että yhteisötalouden yrityksiä on edistettävä kunnianhimoisella ja monialaisella julkisella politiikalla sekä eurooppalaisella yhteisötalouden toimintasuunnitelmalla.</w:t>
      </w:r>
    </w:p>
    <w:p w:rsidR="00596BBD" w:rsidRPr="00596BBD" w:rsidRDefault="00596BBD" w:rsidP="00BF27A1">
      <w:pPr>
        <w:keepNext/>
        <w:tabs>
          <w:tab w:val="left" w:pos="0"/>
        </w:tabs>
        <w:overflowPunct w:val="0"/>
        <w:autoSpaceDE w:val="0"/>
        <w:autoSpaceDN w:val="0"/>
        <w:adjustRightInd w:val="0"/>
        <w:ind w:left="360"/>
        <w:rPr>
          <w:lang w:val="fr-BE"/>
        </w:rPr>
      </w:pPr>
    </w:p>
    <w:p w:rsidR="00596BBD" w:rsidRDefault="00596BBD" w:rsidP="00BF27A1">
      <w:pPr>
        <w:pStyle w:val="ListParagraph"/>
        <w:numPr>
          <w:ilvl w:val="0"/>
          <w:numId w:val="35"/>
        </w:numPr>
      </w:pPr>
      <w:r>
        <w:t>muistuttaa tarpeesta jatkaa tutkimuksia, joissa kartoitetaan, missä määrin ja millaisin mekanismein yhteisötalouden yritykset auttavat vahvistamaan sosiaalista yhteenkuuluvuutta ja demokratiaa ja piristämään taloutta.</w:t>
      </w:r>
    </w:p>
    <w:p w:rsidR="00596BBD" w:rsidRDefault="00596BBD" w:rsidP="00BF27A1"/>
    <w:p w:rsidR="00282E34" w:rsidRPr="003A4DC6" w:rsidRDefault="00282E34" w:rsidP="00BF27A1">
      <w:pPr>
        <w:tabs>
          <w:tab w:val="left" w:pos="1701"/>
        </w:tabs>
        <w:rPr>
          <w:i/>
        </w:rPr>
      </w:pPr>
      <w:r>
        <w:rPr>
          <w:b/>
          <w:i/>
        </w:rPr>
        <w:t>Yhteyshenkilö:</w:t>
      </w:r>
      <w:r>
        <w:tab/>
      </w:r>
      <w:r>
        <w:rPr>
          <w:i/>
        </w:rPr>
        <w:t>Marie-Laurence Drillon</w:t>
      </w:r>
    </w:p>
    <w:p w:rsidR="00596BBD" w:rsidRDefault="00282E34" w:rsidP="00BF27A1">
      <w:pPr>
        <w:tabs>
          <w:tab w:val="left" w:pos="1701"/>
        </w:tabs>
        <w:rPr>
          <w:i/>
        </w:rPr>
      </w:pPr>
      <w:r>
        <w:rPr>
          <w:i/>
        </w:rPr>
        <w:tab/>
        <w:t xml:space="preserve">(P. +32 25468320 – sähköposti: </w:t>
      </w:r>
      <w:hyperlink r:id="rId22" w:history="1">
        <w:r>
          <w:rPr>
            <w:rStyle w:val="Hyperlink"/>
            <w:i/>
          </w:rPr>
          <w:t>marie-laurence.drillon@eesc.europa.eu</w:t>
        </w:r>
      </w:hyperlink>
      <w:r>
        <w:rPr>
          <w:i/>
        </w:rPr>
        <w:t>)</w:t>
      </w:r>
    </w:p>
    <w:p w:rsidR="00282E34" w:rsidRDefault="00282E34" w:rsidP="00BF27A1">
      <w:pPr>
        <w:tabs>
          <w:tab w:val="left" w:pos="1701"/>
        </w:tabs>
        <w:rPr>
          <w:i/>
        </w:rPr>
      </w:pPr>
    </w:p>
    <w:p w:rsidR="001355B2" w:rsidRDefault="001355B2">
      <w:pPr>
        <w:spacing w:line="240" w:lineRule="auto"/>
        <w:jc w:val="left"/>
        <w:rPr>
          <w:b/>
          <w:u w:val="single"/>
        </w:rPr>
      </w:pPr>
      <w:r>
        <w:br w:type="page"/>
      </w:r>
    </w:p>
    <w:p w:rsidR="008262D3" w:rsidRPr="00EF7A77" w:rsidRDefault="008262D3" w:rsidP="00BF27A1">
      <w:pPr>
        <w:tabs>
          <w:tab w:val="left" w:pos="1701"/>
        </w:tabs>
      </w:pPr>
      <w:r>
        <w:rPr>
          <w:b/>
          <w:u w:val="single"/>
        </w:rPr>
        <w:lastRenderedPageBreak/>
        <w:t>INT/876</w:t>
      </w:r>
    </w:p>
    <w:p w:rsidR="00B15573" w:rsidRDefault="00B15573" w:rsidP="00BF27A1">
      <w:pPr>
        <w:tabs>
          <w:tab w:val="left" w:pos="1701"/>
        </w:tabs>
        <w:rPr>
          <w:i/>
        </w:rPr>
      </w:pPr>
    </w:p>
    <w:p w:rsidR="00282E34" w:rsidRDefault="005D0ADC" w:rsidP="00BF27A1">
      <w:pPr>
        <w:pStyle w:val="ListParagraph"/>
        <w:numPr>
          <w:ilvl w:val="0"/>
          <w:numId w:val="52"/>
        </w:numPr>
        <w:tabs>
          <w:tab w:val="left" w:pos="1701"/>
        </w:tabs>
        <w:ind w:left="567" w:hanging="567"/>
        <w:rPr>
          <w:b/>
          <w:i/>
          <w:sz w:val="28"/>
          <w:szCs w:val="28"/>
        </w:rPr>
      </w:pPr>
      <w:r>
        <w:rPr>
          <w:b/>
          <w:i/>
          <w:sz w:val="28"/>
          <w:szCs w:val="28"/>
        </w:rPr>
        <w:t>Sisämarkkinoita koskeva tiedonanto</w:t>
      </w:r>
    </w:p>
    <w:p w:rsidR="005D0ADC" w:rsidRDefault="005D0ADC" w:rsidP="00BF27A1">
      <w:pPr>
        <w:tabs>
          <w:tab w:val="left" w:pos="1701"/>
        </w:tabs>
      </w:pPr>
    </w:p>
    <w:p w:rsidR="005D0ADC" w:rsidRDefault="005D0ADC" w:rsidP="00BF27A1">
      <w:pPr>
        <w:tabs>
          <w:tab w:val="left" w:pos="1701"/>
        </w:tabs>
      </w:pPr>
      <w:r>
        <w:rPr>
          <w:b/>
        </w:rPr>
        <w:t>Esittelijä:</w:t>
      </w:r>
      <w:r>
        <w:t xml:space="preserve"> </w:t>
      </w:r>
      <w:r>
        <w:tab/>
        <w:t>Gonçalo LOBO XAVIER (työnantajat – PT)</w:t>
      </w:r>
    </w:p>
    <w:p w:rsidR="005D0ADC" w:rsidRPr="00271EBE" w:rsidRDefault="00135611" w:rsidP="00BF27A1">
      <w:pPr>
        <w:tabs>
          <w:tab w:val="left" w:pos="1701"/>
        </w:tabs>
      </w:pPr>
      <w:r>
        <w:rPr>
          <w:b/>
        </w:rPr>
        <w:t>Toinen esittelijä:</w:t>
      </w:r>
      <w:r>
        <w:tab/>
        <w:t>Juan MENDOZA CASTRO (työntekijät – ES)</w:t>
      </w:r>
    </w:p>
    <w:p w:rsidR="00135611" w:rsidRDefault="00135611" w:rsidP="00BF27A1">
      <w:pPr>
        <w:tabs>
          <w:tab w:val="center" w:pos="284"/>
          <w:tab w:val="left" w:pos="1701"/>
        </w:tabs>
        <w:ind w:left="266" w:hanging="266"/>
        <w:rPr>
          <w:b/>
        </w:rPr>
      </w:pPr>
    </w:p>
    <w:p w:rsidR="005D0ADC" w:rsidRPr="00271EBE" w:rsidRDefault="005D0ADC" w:rsidP="00BF27A1">
      <w:pPr>
        <w:tabs>
          <w:tab w:val="center" w:pos="284"/>
          <w:tab w:val="left" w:pos="1701"/>
        </w:tabs>
        <w:ind w:left="266" w:hanging="266"/>
      </w:pPr>
      <w:r>
        <w:rPr>
          <w:b/>
        </w:rPr>
        <w:t>Viiteasiakirjat:</w:t>
      </w:r>
      <w:r>
        <w:rPr>
          <w:b/>
        </w:rPr>
        <w:tab/>
      </w:r>
      <w:r>
        <w:t>COM(2018) 772 final</w:t>
      </w:r>
    </w:p>
    <w:p w:rsidR="005D0ADC" w:rsidRPr="00B2569F" w:rsidRDefault="005D0ADC" w:rsidP="00BF27A1">
      <w:pPr>
        <w:tabs>
          <w:tab w:val="center" w:pos="284"/>
          <w:tab w:val="left" w:pos="1701"/>
        </w:tabs>
        <w:ind w:left="266" w:hanging="266"/>
      </w:pPr>
      <w:r>
        <w:tab/>
      </w:r>
      <w:r>
        <w:tab/>
      </w:r>
      <w:r>
        <w:tab/>
        <w:t>EESC-2018-05252-00-00-AC</w:t>
      </w:r>
    </w:p>
    <w:p w:rsidR="005D0ADC" w:rsidRPr="00B2569F" w:rsidRDefault="005D0ADC" w:rsidP="00BF27A1">
      <w:pPr>
        <w:tabs>
          <w:tab w:val="center" w:pos="284"/>
        </w:tabs>
        <w:ind w:left="266" w:hanging="266"/>
        <w:rPr>
          <w:szCs w:val="20"/>
        </w:rPr>
      </w:pPr>
    </w:p>
    <w:p w:rsidR="005D0ADC" w:rsidRPr="005D0ADC" w:rsidRDefault="005D0ADC" w:rsidP="00BF27A1">
      <w:pPr>
        <w:tabs>
          <w:tab w:val="left" w:pos="1701"/>
        </w:tabs>
      </w:pPr>
      <w:r>
        <w:rPr>
          <w:b/>
        </w:rPr>
        <w:t>Keskeiset kohdat</w:t>
      </w:r>
    </w:p>
    <w:p w:rsidR="005D0ADC" w:rsidRDefault="005D0ADC" w:rsidP="00BF27A1">
      <w:pPr>
        <w:tabs>
          <w:tab w:val="left" w:pos="1701"/>
        </w:tabs>
        <w:rPr>
          <w:sz w:val="24"/>
          <w:szCs w:val="24"/>
        </w:rPr>
      </w:pPr>
    </w:p>
    <w:p w:rsidR="005D0ADC" w:rsidRDefault="005D0ADC" w:rsidP="00BF27A1">
      <w:pPr>
        <w:tabs>
          <w:tab w:val="left" w:pos="1701"/>
        </w:tabs>
        <w:rPr>
          <w:sz w:val="24"/>
          <w:szCs w:val="24"/>
        </w:rPr>
      </w:pPr>
      <w:r>
        <w:rPr>
          <w:sz w:val="24"/>
          <w:szCs w:val="24"/>
        </w:rPr>
        <w:t>ETSK</w:t>
      </w:r>
    </w:p>
    <w:p w:rsidR="005D0ADC" w:rsidRDefault="005D0ADC" w:rsidP="00BF27A1">
      <w:pPr>
        <w:tabs>
          <w:tab w:val="left" w:pos="1701"/>
        </w:tabs>
        <w:rPr>
          <w:sz w:val="24"/>
          <w:szCs w:val="24"/>
        </w:rPr>
      </w:pPr>
    </w:p>
    <w:p w:rsidR="005D0ADC" w:rsidRDefault="005D0ADC" w:rsidP="00BF27A1">
      <w:pPr>
        <w:pStyle w:val="ListParagraph"/>
        <w:keepNext/>
        <w:numPr>
          <w:ilvl w:val="0"/>
          <w:numId w:val="35"/>
        </w:numPr>
        <w:tabs>
          <w:tab w:val="left" w:pos="0"/>
        </w:tabs>
        <w:overflowPunct w:val="0"/>
        <w:autoSpaceDE w:val="0"/>
        <w:autoSpaceDN w:val="0"/>
        <w:adjustRightInd w:val="0"/>
      </w:pPr>
      <w:r>
        <w:t>on tyytyväinen komission vahvaan viestiin sisämarkkinoiden vahvistamisesta sekä kaikkien jäsenvaltioiden ja kansalaisten sitoutumisen tarpeesta.</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kehottaa luomaan sisämarkkinat, joita on pidettävä mahdollisuutena vahvistaa eurooppalaisia arvoja, perusoikeuksia ja velvollisuuksia, jotta saadaan aikaan edistystä ja hyvinvointia kaikille jäsenvaltioille ja kansalaisille.</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korostaa sisämarkkinoiden keskeistä roolia välineenä edistää kunnianhimoisempaa eurooppalaista teollisuusstrategiaa, jolla on selkeät tavoitteet vuodeksi 2030.</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 xml:space="preserve">toistaa kehotuksensa edistää Euroopan unionin sosiaalista ulottuvuutta. </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pitää sosiaalipoliittisten toimien toteuttamista asianmukaisena.</w:t>
      </w:r>
    </w:p>
    <w:p w:rsidR="005D0ADC" w:rsidRDefault="005D0ADC" w:rsidP="00BF27A1">
      <w:pPr>
        <w:keepNext/>
        <w:tabs>
          <w:tab w:val="left" w:pos="0"/>
        </w:tabs>
        <w:overflowPunct w:val="0"/>
        <w:autoSpaceDE w:val="0"/>
        <w:autoSpaceDN w:val="0"/>
        <w:adjustRightInd w:val="0"/>
        <w:ind w:left="360"/>
      </w:pPr>
    </w:p>
    <w:p w:rsidR="005D0ADC" w:rsidRDefault="005D0ADC" w:rsidP="00BF27A1">
      <w:pPr>
        <w:pStyle w:val="ListParagraph"/>
        <w:keepNext/>
        <w:numPr>
          <w:ilvl w:val="0"/>
          <w:numId w:val="35"/>
        </w:numPr>
        <w:tabs>
          <w:tab w:val="left" w:pos="0"/>
        </w:tabs>
        <w:overflowPunct w:val="0"/>
        <w:autoSpaceDE w:val="0"/>
        <w:autoSpaceDN w:val="0"/>
        <w:adjustRightInd w:val="0"/>
      </w:pPr>
      <w:r>
        <w:t>on komission kanssa samaa mieltä siitä, että yleinen tietosuoja-asetus on keskeisen tärkeä, jotta sisämarkkinoilla voidaan luottaa henkilötietojen käsittelyyn, mutta katsoo, että tarvitaan lisätoimia paremman, selkeämmän ja helppokäyttöisemmän kehyksen luomiseksi, jotta vältetään tarpeettomia rasitteita ja väärinkäsityksiä.</w:t>
      </w:r>
    </w:p>
    <w:p w:rsidR="005D0ADC" w:rsidRDefault="005D0ADC" w:rsidP="00BF27A1">
      <w:pPr>
        <w:keepNext/>
        <w:tabs>
          <w:tab w:val="left" w:pos="0"/>
        </w:tabs>
        <w:overflowPunct w:val="0"/>
        <w:autoSpaceDE w:val="0"/>
        <w:autoSpaceDN w:val="0"/>
        <w:adjustRightInd w:val="0"/>
        <w:ind w:left="360"/>
      </w:pPr>
    </w:p>
    <w:p w:rsidR="005D0ADC" w:rsidRPr="003E4154" w:rsidRDefault="005D0ADC" w:rsidP="00BF27A1">
      <w:pPr>
        <w:pStyle w:val="ListParagraph"/>
        <w:keepNext/>
        <w:numPr>
          <w:ilvl w:val="0"/>
          <w:numId w:val="35"/>
        </w:numPr>
        <w:tabs>
          <w:tab w:val="left" w:pos="0"/>
        </w:tabs>
        <w:overflowPunct w:val="0"/>
        <w:autoSpaceDE w:val="0"/>
        <w:autoSpaceDN w:val="0"/>
        <w:adjustRightInd w:val="0"/>
      </w:pPr>
      <w:r>
        <w:t>on tyytyväinen selkeään edistymiseen muutettaessa Euroopan vakausmekanismia Euroopan valuuttarahastoksi.</w:t>
      </w:r>
    </w:p>
    <w:p w:rsidR="005D0ADC" w:rsidRPr="00B003A0" w:rsidRDefault="005D0ADC" w:rsidP="00BF27A1">
      <w:pPr>
        <w:rPr>
          <w:b/>
          <w:highlight w:val="lightGray"/>
          <w:lang w:val="en-GB"/>
        </w:rPr>
      </w:pPr>
    </w:p>
    <w:p w:rsidR="005D0ADC" w:rsidRPr="00AA3C5A" w:rsidRDefault="005D0ADC" w:rsidP="00BF27A1">
      <w:pPr>
        <w:tabs>
          <w:tab w:val="left" w:pos="1701"/>
        </w:tabs>
        <w:rPr>
          <w:i/>
        </w:rPr>
      </w:pPr>
      <w:r>
        <w:rPr>
          <w:b/>
          <w:i/>
        </w:rPr>
        <w:t>Yhteyshenkilö:</w:t>
      </w:r>
      <w:r>
        <w:tab/>
      </w:r>
      <w:r>
        <w:rPr>
          <w:i/>
        </w:rPr>
        <w:t>Claudia Drewes-Wran</w:t>
      </w:r>
    </w:p>
    <w:p w:rsidR="005D0ADC" w:rsidRDefault="005D0ADC" w:rsidP="00BF27A1">
      <w:pPr>
        <w:tabs>
          <w:tab w:val="left" w:pos="1701"/>
        </w:tabs>
        <w:rPr>
          <w:i/>
        </w:rPr>
      </w:pPr>
      <w:r>
        <w:rPr>
          <w:i/>
        </w:rPr>
        <w:tab/>
        <w:t xml:space="preserve">(P. +32 25468067 – sähköposti: </w:t>
      </w:r>
      <w:hyperlink r:id="rId23" w:history="1">
        <w:r>
          <w:rPr>
            <w:rStyle w:val="Hyperlink"/>
            <w:i/>
          </w:rPr>
          <w:t>claudia.drewes-wran@eesc.europa.eu</w:t>
        </w:r>
      </w:hyperlink>
      <w:r>
        <w:rPr>
          <w:i/>
        </w:rPr>
        <w:t>)</w:t>
      </w:r>
    </w:p>
    <w:p w:rsidR="00E04420" w:rsidRDefault="00E04420" w:rsidP="00BF27A1">
      <w:pPr>
        <w:tabs>
          <w:tab w:val="left" w:pos="1701"/>
        </w:tabs>
        <w:rPr>
          <w:i/>
        </w:rPr>
      </w:pPr>
    </w:p>
    <w:p w:rsidR="001355B2" w:rsidRDefault="001355B2">
      <w:pPr>
        <w:spacing w:line="240" w:lineRule="auto"/>
        <w:jc w:val="left"/>
        <w:rPr>
          <w:b/>
          <w:u w:val="single"/>
        </w:rPr>
      </w:pPr>
      <w:r>
        <w:br w:type="page"/>
      </w:r>
    </w:p>
    <w:p w:rsidR="008262D3" w:rsidRDefault="008262D3" w:rsidP="00BF27A1">
      <w:pPr>
        <w:tabs>
          <w:tab w:val="left" w:pos="1701"/>
        </w:tabs>
        <w:rPr>
          <w:i/>
        </w:rPr>
      </w:pPr>
      <w:r>
        <w:rPr>
          <w:b/>
          <w:u w:val="single"/>
        </w:rPr>
        <w:lastRenderedPageBreak/>
        <w:t>INT/877</w:t>
      </w:r>
    </w:p>
    <w:p w:rsidR="00B15573" w:rsidRDefault="00B15573" w:rsidP="00BF27A1">
      <w:pPr>
        <w:tabs>
          <w:tab w:val="left" w:pos="1701"/>
        </w:tabs>
        <w:rPr>
          <w:i/>
        </w:rPr>
      </w:pPr>
    </w:p>
    <w:p w:rsidR="00E04420" w:rsidRDefault="00E04420" w:rsidP="00BF27A1">
      <w:pPr>
        <w:pStyle w:val="ListParagraph"/>
        <w:numPr>
          <w:ilvl w:val="0"/>
          <w:numId w:val="53"/>
        </w:numPr>
        <w:tabs>
          <w:tab w:val="clear" w:pos="0"/>
        </w:tabs>
        <w:ind w:left="567" w:hanging="567"/>
        <w:rPr>
          <w:b/>
          <w:i/>
          <w:sz w:val="28"/>
          <w:szCs w:val="28"/>
        </w:rPr>
      </w:pPr>
      <w:r>
        <w:rPr>
          <w:b/>
          <w:i/>
          <w:sz w:val="28"/>
          <w:szCs w:val="28"/>
        </w:rPr>
        <w:t>Koordinoitu tekoälysuunnitelma</w:t>
      </w:r>
    </w:p>
    <w:p w:rsidR="00E04420" w:rsidRDefault="00E04420" w:rsidP="00BF27A1">
      <w:pPr>
        <w:rPr>
          <w:b/>
          <w:i/>
          <w:sz w:val="28"/>
          <w:szCs w:val="28"/>
        </w:rPr>
      </w:pPr>
    </w:p>
    <w:p w:rsidR="00E04420" w:rsidRDefault="00E04420" w:rsidP="00BF27A1">
      <w:pPr>
        <w:tabs>
          <w:tab w:val="left" w:pos="1701"/>
        </w:tabs>
      </w:pPr>
      <w:r>
        <w:rPr>
          <w:b/>
        </w:rPr>
        <w:t>Esittelijä:</w:t>
      </w:r>
      <w:r>
        <w:t xml:space="preserve"> </w:t>
      </w:r>
      <w:r>
        <w:tab/>
        <w:t>Tellervo KYLÄ-HARAKKA-RUONALA (työnantajat – FI)</w:t>
      </w:r>
    </w:p>
    <w:p w:rsidR="00135611" w:rsidRDefault="00135611" w:rsidP="00BF27A1">
      <w:pPr>
        <w:tabs>
          <w:tab w:val="center" w:pos="284"/>
          <w:tab w:val="left" w:pos="1701"/>
        </w:tabs>
        <w:ind w:left="266" w:hanging="266"/>
        <w:rPr>
          <w:b/>
        </w:rPr>
      </w:pPr>
    </w:p>
    <w:p w:rsidR="00E04420" w:rsidRPr="00271EBE" w:rsidRDefault="00E04420" w:rsidP="00BF27A1">
      <w:pPr>
        <w:tabs>
          <w:tab w:val="center" w:pos="284"/>
          <w:tab w:val="left" w:pos="1701"/>
        </w:tabs>
        <w:ind w:left="266" w:hanging="266"/>
      </w:pPr>
      <w:r>
        <w:rPr>
          <w:b/>
        </w:rPr>
        <w:t>Viiteasiakirjat:</w:t>
      </w:r>
      <w:r>
        <w:rPr>
          <w:b/>
        </w:rPr>
        <w:tab/>
      </w:r>
      <w:r>
        <w:t>COM(2018) 795 final</w:t>
      </w:r>
    </w:p>
    <w:p w:rsidR="00E04420" w:rsidRPr="00B2569F" w:rsidRDefault="00E04420" w:rsidP="00BF27A1">
      <w:pPr>
        <w:tabs>
          <w:tab w:val="center" w:pos="284"/>
          <w:tab w:val="left" w:pos="1701"/>
        </w:tabs>
        <w:ind w:left="266" w:hanging="266"/>
      </w:pPr>
      <w:r>
        <w:tab/>
      </w:r>
      <w:r>
        <w:tab/>
      </w:r>
      <w:r>
        <w:tab/>
        <w:t>EESC-2018-05386-00-00-AC</w:t>
      </w:r>
    </w:p>
    <w:p w:rsidR="00E04420" w:rsidRPr="00B2569F" w:rsidRDefault="00E04420" w:rsidP="00BF27A1">
      <w:pPr>
        <w:tabs>
          <w:tab w:val="center" w:pos="284"/>
        </w:tabs>
        <w:ind w:left="266" w:hanging="266"/>
        <w:rPr>
          <w:szCs w:val="20"/>
        </w:rPr>
      </w:pPr>
    </w:p>
    <w:p w:rsidR="00E04420" w:rsidRDefault="00E04420" w:rsidP="00BF27A1">
      <w:pPr>
        <w:rPr>
          <w:b/>
        </w:rPr>
      </w:pPr>
      <w:r>
        <w:rPr>
          <w:b/>
        </w:rPr>
        <w:t>Keskeiset kohdat</w:t>
      </w:r>
    </w:p>
    <w:p w:rsidR="00E04420" w:rsidRDefault="00E04420" w:rsidP="00BF27A1">
      <w:pPr>
        <w:rPr>
          <w:b/>
        </w:rPr>
      </w:pPr>
    </w:p>
    <w:p w:rsidR="00E04420" w:rsidRPr="003E4154" w:rsidRDefault="00E04420" w:rsidP="00BF27A1">
      <w:r>
        <w:t>ETSK</w:t>
      </w:r>
    </w:p>
    <w:p w:rsidR="00E04420" w:rsidRDefault="00E04420" w:rsidP="00BF27A1">
      <w:pPr>
        <w:pStyle w:val="ListParagraph"/>
        <w:keepNext/>
        <w:numPr>
          <w:ilvl w:val="0"/>
          <w:numId w:val="35"/>
        </w:numPr>
        <w:tabs>
          <w:tab w:val="left" w:pos="0"/>
        </w:tabs>
        <w:overflowPunct w:val="0"/>
        <w:autoSpaceDE w:val="0"/>
        <w:autoSpaceDN w:val="0"/>
        <w:adjustRightInd w:val="0"/>
      </w:pPr>
      <w:r>
        <w:t>tähdentää, että tekoälyn kehittämisen ja käyttöönoton on oltava osallistavaa kansalaisyhteiskunnan toimijoiden, etenkin yritysten, työntekijöiden ja kuluttajien, kannalta.</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kannattaa aloitteita kohdentaa lisää rahoitusta tekoälyyn liittyvään innovointiin, infrastruktuuriin ja koulutukseen EU:n rahoitusvälineiden kautta.</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kehottaa luomaan liiketoiminnalle myönteiset edellytykset sekä suotuisan ja vakaan poliittisen ja sääntelykehyksen, joka kannustaa innovointiin ja investointeihin tekoälyn alalla.</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kehottaa helpottamaan julkisen datan saatavuutta ja luomaan olosuhteet, joilla edistetään eurooppalaisten digitaalisten alustojen perustamista.</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kehottaa jäsenvaltioita mukauttamaan koulutusjärjestelmiään uusien taitojen kysyntään, mikä edellyttää uudistuksia peruskoulusta korkeakouluihin.</w:t>
      </w:r>
    </w:p>
    <w:p w:rsidR="00E04420" w:rsidRDefault="00E04420" w:rsidP="00BF27A1">
      <w:pPr>
        <w:keepNext/>
        <w:tabs>
          <w:tab w:val="left" w:pos="0"/>
        </w:tabs>
        <w:overflowPunct w:val="0"/>
        <w:autoSpaceDE w:val="0"/>
        <w:autoSpaceDN w:val="0"/>
        <w:adjustRightInd w:val="0"/>
        <w:ind w:left="360"/>
      </w:pPr>
    </w:p>
    <w:p w:rsidR="00E04420" w:rsidRDefault="00E04420" w:rsidP="00BF27A1">
      <w:pPr>
        <w:pStyle w:val="ListParagraph"/>
        <w:keepNext/>
        <w:numPr>
          <w:ilvl w:val="0"/>
          <w:numId w:val="35"/>
        </w:numPr>
        <w:tabs>
          <w:tab w:val="left" w:pos="0"/>
        </w:tabs>
        <w:overflowPunct w:val="0"/>
        <w:autoSpaceDE w:val="0"/>
        <w:autoSpaceDN w:val="0"/>
        <w:adjustRightInd w:val="0"/>
      </w:pPr>
      <w:r>
        <w:t>ehdottaa, että EU omaksuu kestävän kehityksen kehyksen tekoälyn tulevaa kehittämistä ohjaavaksi lähestymistavaksi.</w:t>
      </w:r>
    </w:p>
    <w:p w:rsidR="00E04420" w:rsidRDefault="00E04420" w:rsidP="00BF27A1"/>
    <w:p w:rsidR="00E04420" w:rsidRPr="00AA3C5A" w:rsidRDefault="00E04420" w:rsidP="00BF27A1">
      <w:pPr>
        <w:tabs>
          <w:tab w:val="left" w:pos="1701"/>
        </w:tabs>
        <w:rPr>
          <w:i/>
        </w:rPr>
      </w:pPr>
      <w:r>
        <w:rPr>
          <w:b/>
          <w:i/>
        </w:rPr>
        <w:t>Yhteyshenkilö:</w:t>
      </w:r>
      <w:r>
        <w:tab/>
      </w:r>
      <w:r>
        <w:rPr>
          <w:i/>
        </w:rPr>
        <w:t>Alice Tétu</w:t>
      </w:r>
    </w:p>
    <w:p w:rsidR="00E04420" w:rsidRPr="00E04420" w:rsidRDefault="00E04420" w:rsidP="00BF27A1">
      <w:pPr>
        <w:tabs>
          <w:tab w:val="left" w:pos="1701"/>
        </w:tabs>
      </w:pPr>
      <w:r>
        <w:rPr>
          <w:i/>
        </w:rPr>
        <w:tab/>
        <w:t xml:space="preserve">(P. +32 25468286 – sähköposti: </w:t>
      </w:r>
      <w:hyperlink r:id="rId24" w:history="1">
        <w:r>
          <w:rPr>
            <w:rStyle w:val="Hyperlink"/>
            <w:i/>
          </w:rPr>
          <w:t>Alice.Tetu@eesc.europa.eu</w:t>
        </w:r>
      </w:hyperlink>
      <w:r>
        <w:rPr>
          <w:i/>
        </w:rPr>
        <w:t>)</w:t>
      </w:r>
    </w:p>
    <w:p w:rsidR="00A37F3A" w:rsidRDefault="00A37F3A" w:rsidP="00BF27A1">
      <w:pPr>
        <w:jc w:val="left"/>
      </w:pPr>
    </w:p>
    <w:p w:rsidR="00B15573" w:rsidRDefault="00B15573" w:rsidP="00BF27A1">
      <w:pPr>
        <w:jc w:val="left"/>
      </w:pPr>
      <w:r>
        <w:br w:type="page"/>
      </w:r>
    </w:p>
    <w:p w:rsidR="00314C5F" w:rsidRDefault="00E46EC4" w:rsidP="00BF27A1">
      <w:pPr>
        <w:pStyle w:val="Heading1"/>
        <w:rPr>
          <w:b/>
        </w:rPr>
      </w:pPr>
      <w:r>
        <w:lastRenderedPageBreak/>
        <w:tab/>
      </w:r>
      <w:bookmarkStart w:id="3" w:name="_Toc11426645"/>
      <w:r>
        <w:rPr>
          <w:b/>
        </w:rPr>
        <w:t>MAATALOUS, MAASEUDUN KEHITTÄMINEN JA YMPÄRISTÖ</w:t>
      </w:r>
      <w:bookmarkEnd w:id="3"/>
    </w:p>
    <w:p w:rsidR="00135611" w:rsidRDefault="00135611" w:rsidP="00BF27A1">
      <w:pPr>
        <w:rPr>
          <w:lang w:val="en-GB"/>
        </w:rPr>
      </w:pPr>
    </w:p>
    <w:p w:rsidR="008262D3" w:rsidRDefault="008262D3" w:rsidP="00BF27A1">
      <w:pPr>
        <w:rPr>
          <w:b/>
          <w:u w:val="single"/>
        </w:rPr>
      </w:pPr>
      <w:r>
        <w:rPr>
          <w:b/>
          <w:u w:val="single"/>
        </w:rPr>
        <w:t>NAT/758</w:t>
      </w:r>
    </w:p>
    <w:p w:rsidR="008262D3" w:rsidRDefault="008262D3" w:rsidP="00BF27A1">
      <w:pPr>
        <w:rPr>
          <w:lang w:val="en-GB"/>
        </w:rPr>
      </w:pPr>
    </w:p>
    <w:p w:rsidR="00135611" w:rsidRPr="00135611" w:rsidRDefault="00135611" w:rsidP="00BF27A1">
      <w:pPr>
        <w:pStyle w:val="ListParagraph"/>
        <w:numPr>
          <w:ilvl w:val="0"/>
          <w:numId w:val="53"/>
        </w:numPr>
        <w:ind w:left="567" w:hanging="567"/>
      </w:pPr>
      <w:r>
        <w:rPr>
          <w:b/>
          <w:bCs/>
          <w:i/>
          <w:iCs/>
          <w:sz w:val="28"/>
          <w:szCs w:val="28"/>
        </w:rPr>
        <w:t>Komission tiedonanto vuoden 2012 biotalousstrategian päivittämisestä</w:t>
      </w:r>
    </w:p>
    <w:p w:rsidR="00135611" w:rsidRDefault="00135611" w:rsidP="00BF27A1">
      <w:pPr>
        <w:rPr>
          <w:lang w:val="en-GB"/>
        </w:rPr>
      </w:pPr>
    </w:p>
    <w:p w:rsidR="00135611" w:rsidRDefault="00135611" w:rsidP="00BF27A1">
      <w:pPr>
        <w:tabs>
          <w:tab w:val="left" w:pos="1701"/>
        </w:tabs>
      </w:pPr>
      <w:r>
        <w:rPr>
          <w:b/>
        </w:rPr>
        <w:t>Esittelijä:</w:t>
      </w:r>
      <w:r>
        <w:tab/>
        <w:t>Mindaugas MACIULEVIČIUS (moninainen Eurooppa – LT)</w:t>
      </w:r>
    </w:p>
    <w:p w:rsidR="00135611" w:rsidRDefault="00135611" w:rsidP="00BF27A1">
      <w:r>
        <w:rPr>
          <w:b/>
        </w:rPr>
        <w:t>Toinen esittelijä:</w:t>
      </w:r>
      <w:r>
        <w:tab/>
        <w:t>Udo HEMMERLING (työnantajat – DE)</w:t>
      </w:r>
    </w:p>
    <w:p w:rsidR="00135611" w:rsidRPr="001625AD" w:rsidRDefault="00135611" w:rsidP="00BF27A1">
      <w:pPr>
        <w:rPr>
          <w:lang w:val="en-GB"/>
        </w:rPr>
      </w:pPr>
    </w:p>
    <w:p w:rsidR="00135611" w:rsidRDefault="00E56239" w:rsidP="00BF27A1">
      <w:pPr>
        <w:ind w:left="-5"/>
        <w:rPr>
          <w:bCs/>
        </w:rPr>
      </w:pPr>
      <w:r>
        <w:rPr>
          <w:b/>
          <w:bCs/>
        </w:rPr>
        <w:t>Viiteasiakirjat:</w:t>
      </w:r>
      <w:r>
        <w:rPr>
          <w:b/>
          <w:bCs/>
        </w:rPr>
        <w:tab/>
      </w:r>
      <w:r w:rsidR="00135611">
        <w:t>COM(2018) 673 final</w:t>
      </w:r>
    </w:p>
    <w:p w:rsidR="00135611" w:rsidRPr="00FC3741" w:rsidRDefault="00135611" w:rsidP="00BF27A1">
      <w:pPr>
        <w:ind w:left="-5"/>
      </w:pPr>
      <w:r>
        <w:rPr>
          <w:b/>
          <w:bCs/>
        </w:rPr>
        <w:tab/>
      </w:r>
      <w:r>
        <w:rPr>
          <w:b/>
          <w:bCs/>
        </w:rPr>
        <w:tab/>
      </w:r>
      <w:r>
        <w:rPr>
          <w:b/>
          <w:bCs/>
        </w:rPr>
        <w:tab/>
      </w:r>
      <w:r>
        <w:rPr>
          <w:b/>
          <w:bCs/>
        </w:rPr>
        <w:tab/>
      </w:r>
      <w:r>
        <w:t>EESC-2018-06204-00-00-AC</w:t>
      </w:r>
    </w:p>
    <w:p w:rsidR="00135611" w:rsidRDefault="00135611" w:rsidP="00BF27A1">
      <w:pPr>
        <w:rPr>
          <w:b/>
          <w:lang w:val="en-GB"/>
        </w:rPr>
      </w:pPr>
    </w:p>
    <w:p w:rsidR="00135611" w:rsidRPr="00135611" w:rsidRDefault="00135611" w:rsidP="00BF27A1">
      <w:r>
        <w:rPr>
          <w:b/>
        </w:rPr>
        <w:t>Keskeiset kohdat</w:t>
      </w:r>
    </w:p>
    <w:p w:rsidR="00D72EB4" w:rsidRDefault="00D72EB4" w:rsidP="00BF27A1">
      <w:pPr>
        <w:jc w:val="left"/>
        <w:rPr>
          <w:iCs/>
          <w:lang w:val="en-GB"/>
        </w:rPr>
      </w:pPr>
    </w:p>
    <w:p w:rsidR="00591C0D" w:rsidRDefault="00591C0D" w:rsidP="00BF27A1">
      <w:pPr>
        <w:pStyle w:val="Heading2"/>
        <w:numPr>
          <w:ilvl w:val="0"/>
          <w:numId w:val="0"/>
        </w:numPr>
        <w:overflowPunct w:val="0"/>
        <w:autoSpaceDE w:val="0"/>
        <w:autoSpaceDN w:val="0"/>
        <w:adjustRightInd w:val="0"/>
        <w:textAlignment w:val="baseline"/>
      </w:pPr>
      <w:r>
        <w:t>Tilanne on maailmanlaajuisesti kiireellinen: ilmastonmuutoksen ja globaalin väestönkasvun kaltaiset maailmanlaajuiset haasteet pakottavat etsimään nopeasti korvikkeita fossiilisille polttoaineille ja käyttämään luonnonvaroja entistä tehokkaammin. Maatalous ja metsäala ovat muuksi kuin elintarvikkeiksi tai rehuksi tuotettavan biomassan tärkeimpiä tuottajia ja näin ollen tärkeitä biotalouden osatekijöitä. Uudet arvoketjut tarjoavat maaseudun elinkeinoelämälle lisämahdollisuuksia siirtyä fossiilisiin polttoaineisiin pohjautuvasta taloudesta biotalouteen.</w:t>
      </w:r>
    </w:p>
    <w:p w:rsidR="00591C0D" w:rsidRPr="003A09AA" w:rsidRDefault="00591C0D" w:rsidP="00BF27A1"/>
    <w:p w:rsidR="00591C0D" w:rsidRPr="003A09AA" w:rsidRDefault="00591C0D" w:rsidP="00BF27A1">
      <w:pPr>
        <w:pStyle w:val="Heading2"/>
        <w:numPr>
          <w:ilvl w:val="0"/>
          <w:numId w:val="0"/>
        </w:numPr>
        <w:overflowPunct w:val="0"/>
        <w:autoSpaceDE w:val="0"/>
        <w:autoSpaceDN w:val="0"/>
        <w:adjustRightInd w:val="0"/>
        <w:textAlignment w:val="baseline"/>
      </w:pPr>
      <w:r>
        <w:t>Tätä taustaa vasten on Pariisin sopimuksen ilmastotavoitteiden mukaisesti pyrittävä ensisijaisesti lisäämään tietoisuutta siitä, kuinka kulutamme luonnonvaroja. Sen lisäksi, että biotalouden toimilla lisätään ymmärrystä, niillä on sitoutettava kuluttajat säännöllisen neuvonnan ja tiedotuksen avulla, jotta voidaan helpottaa välttämättömiä muutoksia ja tasoittaa tietä uusille markkinoiden kehittämistoimille. Siten voidaan edelleen lisätä kuluttajien ja julkisia hankintoja tekevien hyväksyntää EU:ssa tuotettuja biopohjaisia tuotteita kohtaan.</w:t>
      </w:r>
    </w:p>
    <w:p w:rsidR="00591C0D" w:rsidRPr="003A09AA" w:rsidRDefault="00591C0D" w:rsidP="00BF27A1"/>
    <w:p w:rsidR="00591C0D" w:rsidRDefault="00591C0D" w:rsidP="00BF27A1">
      <w:pPr>
        <w:pStyle w:val="Footer"/>
      </w:pPr>
      <w:r>
        <w:t>On olemassa monia mahdollisuuksia biologista monimuotoisuutta, teollisuutta, talouden kehitystä ja työllisyyttä ajatellen. ETSK suhtautuu myönteisesti vuonna 2012 laaditun biotalousstrategian päivittämiseen, joka on tärkeä askel oikeaan suuntaan. Kestäväpohjaisille ja resurssitehokkaille biopohjaisille tuotteille on olemassa maailmanlaajuista kysyntää. Huolimatta uuteen versioon sisältyvästä huomattavasta edistymisestä eräät siinä kaavailluista toimista odottavat edelleen käytännön toteutusta.</w:t>
      </w:r>
    </w:p>
    <w:p w:rsidR="00591C0D" w:rsidRDefault="00591C0D" w:rsidP="00BF27A1">
      <w:pPr>
        <w:pStyle w:val="Footer"/>
      </w:pPr>
    </w:p>
    <w:p w:rsidR="00591C0D" w:rsidRPr="00A40985" w:rsidRDefault="00591C0D" w:rsidP="00BF27A1">
      <w:pPr>
        <w:pStyle w:val="ListParagraph"/>
        <w:numPr>
          <w:ilvl w:val="2"/>
          <w:numId w:val="54"/>
        </w:numPr>
        <w:overflowPunct w:val="0"/>
        <w:autoSpaceDE w:val="0"/>
        <w:autoSpaceDN w:val="0"/>
        <w:adjustRightInd w:val="0"/>
        <w:textAlignment w:val="baseline"/>
      </w:pPr>
      <w:r>
        <w:t>Luodaan erillisiä, joustavia neuvontapalveluja.</w:t>
      </w:r>
    </w:p>
    <w:p w:rsidR="00591C0D" w:rsidRPr="00A40985" w:rsidRDefault="00591C0D" w:rsidP="00BF27A1">
      <w:pPr>
        <w:pStyle w:val="ListParagraph"/>
        <w:numPr>
          <w:ilvl w:val="2"/>
          <w:numId w:val="54"/>
        </w:numPr>
        <w:overflowPunct w:val="0"/>
        <w:autoSpaceDE w:val="0"/>
        <w:autoSpaceDN w:val="0"/>
        <w:adjustRightInd w:val="0"/>
        <w:contextualSpacing w:val="0"/>
        <w:textAlignment w:val="baseline"/>
      </w:pPr>
      <w:r>
        <w:t>Julkisen ja yksityisen sektorin yhteistyössä on kiinnitettävä asianmukaista huomiota alkutuottajiin. Tätä mallia voitaisiin tukea monilla yhteiseen maatalouspolitiikkaan (YMP) kuuluvilla toimenpiteillä ja välineillä.</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Tutkimukseen, innovointiin ja biotalouteen liittyvien toimien sisällyttäminen pitkän aikavälin strategiaan helpottaa kehittämisen ja toisintamisen tukemista.</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Työntekijöiden ja alkutuottajien yleissivistävän ja ammatillisen koulutuksen jatkaminen on erittäin tärkeää.</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t>Edistetään kiertotaloutta ja alojen välisiä alueellisia yhteyksiä EU:ssa ja sen ulkopuolella.</w:t>
      </w:r>
    </w:p>
    <w:p w:rsidR="00591C0D" w:rsidRPr="001F5C62" w:rsidRDefault="00591C0D" w:rsidP="00BF27A1">
      <w:pPr>
        <w:pStyle w:val="ListParagraph"/>
        <w:numPr>
          <w:ilvl w:val="2"/>
          <w:numId w:val="54"/>
        </w:numPr>
        <w:overflowPunct w:val="0"/>
        <w:autoSpaceDE w:val="0"/>
        <w:autoSpaceDN w:val="0"/>
        <w:adjustRightInd w:val="0"/>
        <w:contextualSpacing w:val="0"/>
        <w:textAlignment w:val="baseline"/>
      </w:pPr>
      <w:r>
        <w:lastRenderedPageBreak/>
        <w:t>Kaikkien jäsenvaltioiden olisi sisällytettävä kattava biotalousstrategia toimintapolitiikkoihinsa ja ohjelmiinsa.</w:t>
      </w:r>
    </w:p>
    <w:p w:rsidR="00591C0D" w:rsidRDefault="00591C0D" w:rsidP="00BF27A1">
      <w:pPr>
        <w:pStyle w:val="ListParagraph"/>
        <w:numPr>
          <w:ilvl w:val="2"/>
          <w:numId w:val="54"/>
        </w:numPr>
        <w:overflowPunct w:val="0"/>
        <w:autoSpaceDE w:val="0"/>
        <w:autoSpaceDN w:val="0"/>
        <w:adjustRightInd w:val="0"/>
        <w:contextualSpacing w:val="0"/>
        <w:textAlignment w:val="baseline"/>
      </w:pPr>
      <w:r>
        <w:t>EU:n olisi pyrittävä hiilidioksidipäästöjen globaaliin hinnoittelujärjestelmään.</w:t>
      </w:r>
    </w:p>
    <w:p w:rsidR="00591C0D" w:rsidRPr="001F5C62" w:rsidRDefault="00591C0D" w:rsidP="00BF27A1">
      <w:pPr>
        <w:pStyle w:val="ListParagraph"/>
        <w:ind w:left="1224"/>
      </w:pPr>
    </w:p>
    <w:p w:rsidR="00135611" w:rsidRDefault="00591C0D" w:rsidP="00BF27A1">
      <w:pPr>
        <w:pStyle w:val="Heading2"/>
        <w:numPr>
          <w:ilvl w:val="0"/>
          <w:numId w:val="0"/>
        </w:numPr>
      </w:pPr>
      <w:r>
        <w:t>Kestävän kehityksen periaatteiden noudattaminen on olennaisen tärkeää ”uudelle” biotaloudelle, ja luonnonvaroja on suojeltava, jotta ne voidaan pitää tuottavina. Tältä osin biotalouden on noudatettava kestävyyskriteerejä. Jotta voitaisiin välttää ympäristöä, taloutta ja yhteiskuntaa heikentäviä vääristymiä, on sovellettava samoja sääntöjä Euroopan unionista ja sen ulkopuolelta peräisin olevaan biomassaan.</w:t>
      </w:r>
    </w:p>
    <w:p w:rsidR="00135611" w:rsidRDefault="00135611" w:rsidP="00BF27A1">
      <w:pPr>
        <w:ind w:left="-567"/>
        <w:rPr>
          <w:b/>
          <w:iCs/>
          <w:highlight w:val="yellow"/>
          <w:u w:val="single"/>
          <w:lang w:val="en-GB"/>
        </w:rPr>
      </w:pPr>
    </w:p>
    <w:p w:rsidR="00135611" w:rsidRPr="0040700C" w:rsidRDefault="00135611" w:rsidP="00BF27A1">
      <w:pPr>
        <w:tabs>
          <w:tab w:val="left" w:pos="1701"/>
        </w:tabs>
        <w:rPr>
          <w:i/>
          <w:iCs/>
        </w:rPr>
      </w:pPr>
      <w:r>
        <w:rPr>
          <w:b/>
          <w:bCs/>
          <w:i/>
          <w:iCs/>
        </w:rPr>
        <w:t>Yhteyshenkilö:</w:t>
      </w:r>
      <w:r>
        <w:rPr>
          <w:b/>
          <w:bCs/>
          <w:i/>
          <w:iCs/>
        </w:rPr>
        <w:tab/>
      </w:r>
      <w:r>
        <w:rPr>
          <w:i/>
        </w:rPr>
        <w:t xml:space="preserve">Laura Broomfield </w:t>
      </w:r>
    </w:p>
    <w:p w:rsidR="00135611" w:rsidRDefault="00135611" w:rsidP="00BF27A1">
      <w:pPr>
        <w:tabs>
          <w:tab w:val="left" w:pos="1701"/>
        </w:tabs>
        <w:jc w:val="left"/>
        <w:rPr>
          <w:i/>
          <w:iCs/>
        </w:rPr>
      </w:pPr>
      <w:r>
        <w:rPr>
          <w:i/>
          <w:iCs/>
        </w:rPr>
        <w:tab/>
        <w:t xml:space="preserve">(P. +32 25468258– sähköposti: </w:t>
      </w:r>
      <w:hyperlink r:id="rId25" w:history="1">
        <w:r>
          <w:rPr>
            <w:rStyle w:val="Hyperlink"/>
            <w:i/>
            <w:iCs/>
          </w:rPr>
          <w:t>Laura.Broomfield@eesc.europa.eu</w:t>
        </w:r>
      </w:hyperlink>
      <w:r>
        <w:rPr>
          <w:i/>
          <w:iCs/>
        </w:rPr>
        <w:t>)</w:t>
      </w:r>
    </w:p>
    <w:p w:rsidR="00135611" w:rsidRDefault="00135611" w:rsidP="00BF27A1">
      <w:pPr>
        <w:tabs>
          <w:tab w:val="left" w:pos="1701"/>
        </w:tabs>
        <w:jc w:val="left"/>
        <w:rPr>
          <w:iCs/>
          <w:lang w:val="en-GB"/>
        </w:rPr>
      </w:pPr>
    </w:p>
    <w:p w:rsidR="00B15573" w:rsidRDefault="008262D3" w:rsidP="00BF27A1">
      <w:pPr>
        <w:tabs>
          <w:tab w:val="left" w:pos="1701"/>
        </w:tabs>
        <w:jc w:val="left"/>
        <w:rPr>
          <w:b/>
          <w:iCs/>
          <w:u w:val="single"/>
        </w:rPr>
      </w:pPr>
      <w:r>
        <w:rPr>
          <w:b/>
          <w:iCs/>
          <w:u w:val="single"/>
        </w:rPr>
        <w:t>NAT/772</w:t>
      </w:r>
    </w:p>
    <w:p w:rsidR="008262D3" w:rsidRDefault="008262D3" w:rsidP="00BF27A1">
      <w:pPr>
        <w:tabs>
          <w:tab w:val="left" w:pos="1701"/>
        </w:tabs>
        <w:jc w:val="left"/>
        <w:rPr>
          <w:iCs/>
          <w:lang w:val="en-GB"/>
        </w:rPr>
      </w:pPr>
    </w:p>
    <w:p w:rsidR="00135611" w:rsidRPr="00135611" w:rsidRDefault="00135611" w:rsidP="00BF27A1">
      <w:pPr>
        <w:pStyle w:val="ListParagraph"/>
        <w:numPr>
          <w:ilvl w:val="0"/>
          <w:numId w:val="53"/>
        </w:numPr>
        <w:tabs>
          <w:tab w:val="left" w:pos="1701"/>
        </w:tabs>
        <w:ind w:left="567" w:hanging="567"/>
        <w:jc w:val="left"/>
        <w:rPr>
          <w:iCs/>
        </w:rPr>
      </w:pPr>
      <w:r>
        <w:rPr>
          <w:b/>
          <w:bCs/>
          <w:i/>
          <w:iCs/>
          <w:sz w:val="28"/>
          <w:szCs w:val="28"/>
        </w:rPr>
        <w:t>Alusten polttoöljynkulutusta koskevien tietojen</w:t>
      </w:r>
      <w:r>
        <w:rPr>
          <w:b/>
          <w:bCs/>
          <w:i/>
          <w:iCs/>
          <w:sz w:val="28"/>
          <w:szCs w:val="28"/>
        </w:rPr>
        <w:br/>
        <w:t>maailmanlaajuinen tiedonkeruujärjestelmä</w:t>
      </w:r>
    </w:p>
    <w:p w:rsidR="00135611" w:rsidRDefault="00135611" w:rsidP="00BF27A1">
      <w:pPr>
        <w:tabs>
          <w:tab w:val="left" w:pos="1701"/>
        </w:tabs>
        <w:jc w:val="left"/>
        <w:rPr>
          <w:iCs/>
          <w:lang w:val="en-GB"/>
        </w:rPr>
      </w:pPr>
    </w:p>
    <w:p w:rsidR="00135611" w:rsidRDefault="00135611" w:rsidP="00BF27A1">
      <w:pPr>
        <w:tabs>
          <w:tab w:val="left" w:pos="1701"/>
        </w:tabs>
      </w:pPr>
      <w:r>
        <w:rPr>
          <w:b/>
        </w:rPr>
        <w:t>Esittelijä:</w:t>
      </w:r>
      <w:r>
        <w:tab/>
        <w:t>Constantine CATSAMBIS (työnantajat – EL)</w:t>
      </w:r>
    </w:p>
    <w:p w:rsidR="00135611" w:rsidRPr="001625AD" w:rsidRDefault="00135611" w:rsidP="00BF27A1">
      <w:pPr>
        <w:rPr>
          <w:lang w:val="en-GB"/>
        </w:rPr>
      </w:pPr>
    </w:p>
    <w:p w:rsidR="00135611" w:rsidRDefault="00E56239" w:rsidP="00BF27A1">
      <w:pPr>
        <w:ind w:left="-5"/>
        <w:rPr>
          <w:bCs/>
        </w:rPr>
      </w:pPr>
      <w:r>
        <w:rPr>
          <w:b/>
          <w:bCs/>
        </w:rPr>
        <w:t>Viiteasiakirjat:</w:t>
      </w:r>
      <w:r>
        <w:rPr>
          <w:b/>
          <w:bCs/>
        </w:rPr>
        <w:tab/>
      </w:r>
      <w:r w:rsidR="00135611">
        <w:t>COM(2019) 38 final - 2019/0017(COD)</w:t>
      </w:r>
    </w:p>
    <w:p w:rsidR="00135611" w:rsidRPr="00FC3741" w:rsidRDefault="00135611" w:rsidP="00BF27A1">
      <w:pPr>
        <w:ind w:left="-5"/>
      </w:pPr>
      <w:r>
        <w:rPr>
          <w:b/>
          <w:bCs/>
        </w:rPr>
        <w:tab/>
      </w:r>
      <w:r>
        <w:rPr>
          <w:b/>
          <w:bCs/>
        </w:rPr>
        <w:tab/>
      </w:r>
      <w:r>
        <w:rPr>
          <w:b/>
          <w:bCs/>
        </w:rPr>
        <w:tab/>
      </w:r>
      <w:r>
        <w:rPr>
          <w:b/>
          <w:bCs/>
        </w:rPr>
        <w:tab/>
      </w:r>
      <w:r>
        <w:t>EESC-2019-01686-00-00-AC</w:t>
      </w:r>
    </w:p>
    <w:p w:rsidR="00135611" w:rsidRDefault="00135611" w:rsidP="00BF27A1">
      <w:pPr>
        <w:tabs>
          <w:tab w:val="left" w:pos="1701"/>
        </w:tabs>
        <w:jc w:val="left"/>
        <w:rPr>
          <w:b/>
          <w:lang w:val="en-GB"/>
        </w:rPr>
      </w:pPr>
    </w:p>
    <w:p w:rsidR="00135611" w:rsidRDefault="00135611" w:rsidP="00BF27A1">
      <w:pPr>
        <w:tabs>
          <w:tab w:val="left" w:pos="1701"/>
        </w:tabs>
        <w:jc w:val="left"/>
        <w:rPr>
          <w:b/>
        </w:rPr>
      </w:pPr>
      <w:r>
        <w:rPr>
          <w:b/>
        </w:rPr>
        <w:t>Keskeiset kohdat</w:t>
      </w:r>
    </w:p>
    <w:p w:rsidR="00135611" w:rsidRDefault="00135611" w:rsidP="00BF27A1">
      <w:pPr>
        <w:tabs>
          <w:tab w:val="left" w:pos="1701"/>
        </w:tabs>
        <w:jc w:val="left"/>
        <w:rPr>
          <w:b/>
          <w:lang w:val="en-GB"/>
        </w:rPr>
      </w:pPr>
    </w:p>
    <w:p w:rsidR="00591C0D" w:rsidRDefault="00591C0D" w:rsidP="00BF27A1">
      <w:pPr>
        <w:keepLines/>
      </w:pPr>
      <w:r>
        <w:t>ETSK katsoo, että ehdotettu osittainen yhdenmukaistaminen johtaa raskaisiin ja tehottomiin päällekkäisiin tarkkailu- ja raportointivaatimuksiin, kun raportointivaatimukset säilyvät kahden eri järjestelmän – alueellisen (EU:n tarkkailu-, raportointi- ja todentamisasetus) ja maailmanlaajuisen (IMOn) – puitteissa. Tämän tuloksena alusten on täytettävä tarkkailu- ja raportointivaatimukset sekä EU:n asetuksen että IMOn kansainvälisen tietojenkeruujärjestelmän perusteella. EU:n ja IMOn raportointimallit eroavat toisistaan, mikä kasvattaa alusten henkilökuntaan ja merenkulkualaan kohdistuvaa työtaakkaa, hallinnollista rasitetta ja kustannuksia.</w:t>
      </w:r>
    </w:p>
    <w:p w:rsidR="00591C0D" w:rsidRPr="005D06D1" w:rsidRDefault="00591C0D" w:rsidP="00BF27A1">
      <w:pPr>
        <w:keepLines/>
      </w:pPr>
    </w:p>
    <w:p w:rsidR="00135611" w:rsidRDefault="00591C0D" w:rsidP="00BF27A1">
      <w:pPr>
        <w:keepLines/>
      </w:pPr>
      <w:r>
        <w:t>EU:n tarkkailu-, raportointi- ja todentamisasetuksen kattavalla yhdenmukaistamisella IMOn kansainvälisen tietojenkeruujärjestelmän kanssa paitsi luotaisiin kansainvälisesti yhtenäinen luotettava tietokanta alusten hiilidioksidipäästöistä myös noudatettaisiin Euroopan komission paremman sääntelyn agendaa, jolla pyritään kohdennettuun sääntelyyn, jotta voidaan saavuttaa sen tavoitteet ja hyödyttää Euroopan taloutta mahdollisimman pienin kustannuksin. Näin varmistettaisiin myös kansainvälisesti tasavertaiset toimintaedellytykset eurooppalaiselle aluskannalle.</w:t>
      </w:r>
    </w:p>
    <w:p w:rsidR="00135611" w:rsidRDefault="00135611" w:rsidP="00BF27A1"/>
    <w:p w:rsidR="00135611" w:rsidRPr="00BC3B46" w:rsidRDefault="00135611" w:rsidP="00BF27A1">
      <w:pPr>
        <w:tabs>
          <w:tab w:val="left" w:pos="770"/>
        </w:tabs>
        <w:ind w:left="1701" w:hanging="1701"/>
        <w:rPr>
          <w:i/>
          <w:iCs/>
        </w:rPr>
      </w:pPr>
      <w:r>
        <w:rPr>
          <w:b/>
          <w:bCs/>
          <w:i/>
          <w:iCs/>
        </w:rPr>
        <w:t>Yhteyshenkilö:</w:t>
      </w:r>
      <w:r>
        <w:rPr>
          <w:b/>
          <w:bCs/>
          <w:i/>
          <w:iCs/>
        </w:rPr>
        <w:tab/>
      </w:r>
      <w:r>
        <w:rPr>
          <w:bCs/>
          <w:i/>
          <w:iCs/>
        </w:rPr>
        <w:t>Conrad Ganslandt</w:t>
      </w:r>
    </w:p>
    <w:p w:rsidR="00135611" w:rsidRPr="00135611" w:rsidRDefault="00135611" w:rsidP="00BF27A1">
      <w:pPr>
        <w:tabs>
          <w:tab w:val="left" w:pos="1701"/>
        </w:tabs>
        <w:jc w:val="left"/>
        <w:rPr>
          <w:iCs/>
        </w:rPr>
      </w:pPr>
      <w:r>
        <w:rPr>
          <w:i/>
          <w:iCs/>
        </w:rPr>
        <w:tab/>
        <w:t xml:space="preserve">(P. +32 25468275 – sähköposti: </w:t>
      </w:r>
      <w:hyperlink r:id="rId26" w:history="1">
        <w:r>
          <w:rPr>
            <w:rStyle w:val="Hyperlink"/>
            <w:i/>
            <w:iCs/>
          </w:rPr>
          <w:t>Conrad.Ganslandt</w:t>
        </w:r>
        <w:r>
          <w:rPr>
            <w:rStyle w:val="Hyperlink"/>
          </w:rPr>
          <w:t>@eesc.europa.eu</w:t>
        </w:r>
      </w:hyperlink>
      <w:r>
        <w:rPr>
          <w:i/>
          <w:iCs/>
        </w:rPr>
        <w:t>)</w:t>
      </w:r>
    </w:p>
    <w:p w:rsidR="00B15573" w:rsidRDefault="00B15573" w:rsidP="00BF27A1">
      <w:pPr>
        <w:jc w:val="left"/>
        <w:rPr>
          <w:iCs/>
        </w:rPr>
      </w:pPr>
      <w:r>
        <w:br w:type="page"/>
      </w:r>
    </w:p>
    <w:p w:rsidR="00387229" w:rsidRDefault="00E46EC4" w:rsidP="00BF27A1">
      <w:pPr>
        <w:pStyle w:val="Heading1"/>
        <w:rPr>
          <w:b/>
        </w:rPr>
      </w:pPr>
      <w:bookmarkStart w:id="4" w:name="_Toc514234507"/>
      <w:bookmarkStart w:id="5" w:name="_Toc514234754"/>
      <w:bookmarkStart w:id="6" w:name="_Toc514235001"/>
      <w:bookmarkStart w:id="7" w:name="_Toc514235125"/>
      <w:bookmarkStart w:id="8" w:name="_Toc514235248"/>
      <w:bookmarkStart w:id="9" w:name="_Toc514235368"/>
      <w:bookmarkStart w:id="10" w:name="_Toc514235486"/>
      <w:bookmarkStart w:id="11" w:name="_Toc514235604"/>
      <w:bookmarkStart w:id="12" w:name="_Toc514235720"/>
      <w:bookmarkStart w:id="13" w:name="_Toc514234508"/>
      <w:bookmarkStart w:id="14" w:name="_Toc514234755"/>
      <w:bookmarkStart w:id="15" w:name="_Toc514235002"/>
      <w:bookmarkStart w:id="16" w:name="_Toc514235126"/>
      <w:bookmarkStart w:id="17" w:name="_Toc514235249"/>
      <w:bookmarkStart w:id="18" w:name="_Toc514235369"/>
      <w:bookmarkStart w:id="19" w:name="_Toc514235487"/>
      <w:bookmarkStart w:id="20" w:name="_Toc514235605"/>
      <w:bookmarkStart w:id="21" w:name="_Toc514235721"/>
      <w:bookmarkStart w:id="22" w:name="_Toc514234509"/>
      <w:bookmarkStart w:id="23" w:name="_Toc514234756"/>
      <w:bookmarkStart w:id="24" w:name="_Toc514235003"/>
      <w:bookmarkStart w:id="25" w:name="_Toc514235127"/>
      <w:bookmarkStart w:id="26" w:name="_Toc514235250"/>
      <w:bookmarkStart w:id="27" w:name="_Toc514235370"/>
      <w:bookmarkStart w:id="28" w:name="_Toc514235488"/>
      <w:bookmarkStart w:id="29" w:name="_Toc514235606"/>
      <w:bookmarkStart w:id="30" w:name="_Toc514235722"/>
      <w:bookmarkStart w:id="31" w:name="_Toc514234510"/>
      <w:bookmarkStart w:id="32" w:name="_Toc514234757"/>
      <w:bookmarkStart w:id="33" w:name="_Toc514235004"/>
      <w:bookmarkStart w:id="34" w:name="_Toc514235128"/>
      <w:bookmarkStart w:id="35" w:name="_Toc514235251"/>
      <w:bookmarkStart w:id="36" w:name="_Toc514235371"/>
      <w:bookmarkStart w:id="37" w:name="_Toc514235489"/>
      <w:bookmarkStart w:id="38" w:name="_Toc514235607"/>
      <w:bookmarkStart w:id="39" w:name="_Toc514235723"/>
      <w:bookmarkStart w:id="40" w:name="_Toc514234511"/>
      <w:bookmarkStart w:id="41" w:name="_Toc514234758"/>
      <w:bookmarkStart w:id="42" w:name="_Toc514235005"/>
      <w:bookmarkStart w:id="43" w:name="_Toc514235129"/>
      <w:bookmarkStart w:id="44" w:name="_Toc514235252"/>
      <w:bookmarkStart w:id="45" w:name="_Toc514235372"/>
      <w:bookmarkStart w:id="46" w:name="_Toc514235490"/>
      <w:bookmarkStart w:id="47" w:name="_Toc514235608"/>
      <w:bookmarkStart w:id="48" w:name="_Toc514235724"/>
      <w:bookmarkStart w:id="49" w:name="_Toc514234512"/>
      <w:bookmarkStart w:id="50" w:name="_Toc514234759"/>
      <w:bookmarkStart w:id="51" w:name="_Toc514235006"/>
      <w:bookmarkStart w:id="52" w:name="_Toc514235130"/>
      <w:bookmarkStart w:id="53" w:name="_Toc514235253"/>
      <w:bookmarkStart w:id="54" w:name="_Toc514235373"/>
      <w:bookmarkStart w:id="55" w:name="_Toc514235491"/>
      <w:bookmarkStart w:id="56" w:name="_Toc514235609"/>
      <w:bookmarkStart w:id="57" w:name="_Toc514235725"/>
      <w:bookmarkStart w:id="58" w:name="_Toc514234513"/>
      <w:bookmarkStart w:id="59" w:name="_Toc514234760"/>
      <w:bookmarkStart w:id="60" w:name="_Toc514235007"/>
      <w:bookmarkStart w:id="61" w:name="_Toc514235131"/>
      <w:bookmarkStart w:id="62" w:name="_Toc514235254"/>
      <w:bookmarkStart w:id="63" w:name="_Toc514235374"/>
      <w:bookmarkStart w:id="64" w:name="_Toc514235492"/>
      <w:bookmarkStart w:id="65" w:name="_Toc514235610"/>
      <w:bookmarkStart w:id="66" w:name="_Toc514235726"/>
      <w:bookmarkStart w:id="67" w:name="_Toc514234514"/>
      <w:bookmarkStart w:id="68" w:name="_Toc514234761"/>
      <w:bookmarkStart w:id="69" w:name="_Toc514235008"/>
      <w:bookmarkStart w:id="70" w:name="_Toc514235132"/>
      <w:bookmarkStart w:id="71" w:name="_Toc514235255"/>
      <w:bookmarkStart w:id="72" w:name="_Toc514235375"/>
      <w:bookmarkStart w:id="73" w:name="_Toc514235493"/>
      <w:bookmarkStart w:id="74" w:name="_Toc514235611"/>
      <w:bookmarkStart w:id="75" w:name="_Toc514235727"/>
      <w:bookmarkStart w:id="76" w:name="_Toc514234515"/>
      <w:bookmarkStart w:id="77" w:name="_Toc514234762"/>
      <w:bookmarkStart w:id="78" w:name="_Toc514235009"/>
      <w:bookmarkStart w:id="79" w:name="_Toc514235133"/>
      <w:bookmarkStart w:id="80" w:name="_Toc514235256"/>
      <w:bookmarkStart w:id="81" w:name="_Toc514235376"/>
      <w:bookmarkStart w:id="82" w:name="_Toc514235494"/>
      <w:bookmarkStart w:id="83" w:name="_Toc514235612"/>
      <w:bookmarkStart w:id="84" w:name="_Toc514235728"/>
      <w:bookmarkStart w:id="85" w:name="_Toc514234516"/>
      <w:bookmarkStart w:id="86" w:name="_Toc514234763"/>
      <w:bookmarkStart w:id="87" w:name="_Toc514235010"/>
      <w:bookmarkStart w:id="88" w:name="_Toc514235134"/>
      <w:bookmarkStart w:id="89" w:name="_Toc514235257"/>
      <w:bookmarkStart w:id="90" w:name="_Toc514235377"/>
      <w:bookmarkStart w:id="91" w:name="_Toc514235495"/>
      <w:bookmarkStart w:id="92" w:name="_Toc514235613"/>
      <w:bookmarkStart w:id="93" w:name="_Toc514235729"/>
      <w:bookmarkStart w:id="94" w:name="_Toc514234517"/>
      <w:bookmarkStart w:id="95" w:name="_Toc514234764"/>
      <w:bookmarkStart w:id="96" w:name="_Toc514235011"/>
      <w:bookmarkStart w:id="97" w:name="_Toc514235135"/>
      <w:bookmarkStart w:id="98" w:name="_Toc514235258"/>
      <w:bookmarkStart w:id="99" w:name="_Toc514235378"/>
      <w:bookmarkStart w:id="100" w:name="_Toc514235496"/>
      <w:bookmarkStart w:id="101" w:name="_Toc514235614"/>
      <w:bookmarkStart w:id="102" w:name="_Toc514235730"/>
      <w:bookmarkStart w:id="103" w:name="_Toc514234518"/>
      <w:bookmarkStart w:id="104" w:name="_Toc514234765"/>
      <w:bookmarkStart w:id="105" w:name="_Toc514235012"/>
      <w:bookmarkStart w:id="106" w:name="_Toc514235136"/>
      <w:bookmarkStart w:id="107" w:name="_Toc514235259"/>
      <w:bookmarkStart w:id="108" w:name="_Toc514235379"/>
      <w:bookmarkStart w:id="109" w:name="_Toc514235497"/>
      <w:bookmarkStart w:id="110" w:name="_Toc514235615"/>
      <w:bookmarkStart w:id="111" w:name="_Toc514235731"/>
      <w:bookmarkStart w:id="112" w:name="_Toc514234519"/>
      <w:bookmarkStart w:id="113" w:name="_Toc514234766"/>
      <w:bookmarkStart w:id="114" w:name="_Toc514235013"/>
      <w:bookmarkStart w:id="115" w:name="_Toc514235137"/>
      <w:bookmarkStart w:id="116" w:name="_Toc514235260"/>
      <w:bookmarkStart w:id="117" w:name="_Toc514235380"/>
      <w:bookmarkStart w:id="118" w:name="_Toc514235498"/>
      <w:bookmarkStart w:id="119" w:name="_Toc514235616"/>
      <w:bookmarkStart w:id="120" w:name="_Toc514235732"/>
      <w:bookmarkStart w:id="121" w:name="_Toc514234520"/>
      <w:bookmarkStart w:id="122" w:name="_Toc514234767"/>
      <w:bookmarkStart w:id="123" w:name="_Toc514235014"/>
      <w:bookmarkStart w:id="124" w:name="_Toc514235138"/>
      <w:bookmarkStart w:id="125" w:name="_Toc514235261"/>
      <w:bookmarkStart w:id="126" w:name="_Toc514235381"/>
      <w:bookmarkStart w:id="127" w:name="_Toc514235499"/>
      <w:bookmarkStart w:id="128" w:name="_Toc514235617"/>
      <w:bookmarkStart w:id="129" w:name="_Toc514235733"/>
      <w:bookmarkStart w:id="130" w:name="_Toc514234521"/>
      <w:bookmarkStart w:id="131" w:name="_Toc514234768"/>
      <w:bookmarkStart w:id="132" w:name="_Toc514235015"/>
      <w:bookmarkStart w:id="133" w:name="_Toc514235139"/>
      <w:bookmarkStart w:id="134" w:name="_Toc514235262"/>
      <w:bookmarkStart w:id="135" w:name="_Toc514235382"/>
      <w:bookmarkStart w:id="136" w:name="_Toc514235500"/>
      <w:bookmarkStart w:id="137" w:name="_Toc514235618"/>
      <w:bookmarkStart w:id="138" w:name="_Toc514235734"/>
      <w:bookmarkStart w:id="139" w:name="_Toc514234522"/>
      <w:bookmarkStart w:id="140" w:name="_Toc514234769"/>
      <w:bookmarkStart w:id="141" w:name="_Toc514235016"/>
      <w:bookmarkStart w:id="142" w:name="_Toc514235140"/>
      <w:bookmarkStart w:id="143" w:name="_Toc514235263"/>
      <w:bookmarkStart w:id="144" w:name="_Toc514235383"/>
      <w:bookmarkStart w:id="145" w:name="_Toc514235501"/>
      <w:bookmarkStart w:id="146" w:name="_Toc514235619"/>
      <w:bookmarkStart w:id="147" w:name="_Toc514235735"/>
      <w:bookmarkStart w:id="148" w:name="_Toc514234523"/>
      <w:bookmarkStart w:id="149" w:name="_Toc514234770"/>
      <w:bookmarkStart w:id="150" w:name="_Toc514235017"/>
      <w:bookmarkStart w:id="151" w:name="_Toc514235141"/>
      <w:bookmarkStart w:id="152" w:name="_Toc514235264"/>
      <w:bookmarkStart w:id="153" w:name="_Toc514235384"/>
      <w:bookmarkStart w:id="154" w:name="_Toc514235502"/>
      <w:bookmarkStart w:id="155" w:name="_Toc514235620"/>
      <w:bookmarkStart w:id="156" w:name="_Toc514235736"/>
      <w:bookmarkStart w:id="157" w:name="_Toc514234524"/>
      <w:bookmarkStart w:id="158" w:name="_Toc514234771"/>
      <w:bookmarkStart w:id="159" w:name="_Toc514235018"/>
      <w:bookmarkStart w:id="160" w:name="_Toc514235142"/>
      <w:bookmarkStart w:id="161" w:name="_Toc514235265"/>
      <w:bookmarkStart w:id="162" w:name="_Toc514235385"/>
      <w:bookmarkStart w:id="163" w:name="_Toc514235503"/>
      <w:bookmarkStart w:id="164" w:name="_Toc514235621"/>
      <w:bookmarkStart w:id="165" w:name="_Toc51423573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lastRenderedPageBreak/>
        <w:tab/>
      </w:r>
      <w:bookmarkStart w:id="166" w:name="_Toc11426646"/>
      <w:r>
        <w:rPr>
          <w:b/>
        </w:rPr>
        <w:t>TYÖLLISYYS, SOSIAALIASIAT JA KANSALAISUUS</w:t>
      </w:r>
      <w:bookmarkEnd w:id="166"/>
    </w:p>
    <w:p w:rsidR="008262D3" w:rsidRDefault="008262D3" w:rsidP="00EF7A77">
      <w:pPr>
        <w:rPr>
          <w:lang w:val="en-GB"/>
        </w:rPr>
      </w:pPr>
    </w:p>
    <w:p w:rsidR="008262D3" w:rsidRDefault="008262D3" w:rsidP="00EF7A77">
      <w:pPr>
        <w:rPr>
          <w:b/>
          <w:u w:val="single"/>
        </w:rPr>
      </w:pPr>
      <w:r>
        <w:rPr>
          <w:b/>
          <w:u w:val="single"/>
        </w:rPr>
        <w:t>SOC/610</w:t>
      </w:r>
    </w:p>
    <w:p w:rsidR="008262D3" w:rsidRPr="00EF7A77" w:rsidRDefault="008262D3" w:rsidP="00EF7A77">
      <w:pPr>
        <w:rPr>
          <w:lang w:val="en-GB"/>
        </w:rPr>
      </w:pPr>
    </w:p>
    <w:p w:rsidR="000102A1" w:rsidRPr="000102A1" w:rsidRDefault="000102A1" w:rsidP="00BF27A1">
      <w:pPr>
        <w:pStyle w:val="ListParagraph"/>
        <w:numPr>
          <w:ilvl w:val="0"/>
          <w:numId w:val="53"/>
        </w:numPr>
        <w:ind w:left="567" w:hanging="567"/>
      </w:pPr>
      <w:r>
        <w:rPr>
          <w:b/>
          <w:i/>
          <w:sz w:val="28"/>
          <w:szCs w:val="28"/>
        </w:rPr>
        <w:t>Sukupuolten tasa-arvoon liittyviä kysymyksiä</w:t>
      </w:r>
    </w:p>
    <w:p w:rsidR="000102A1" w:rsidRDefault="000102A1" w:rsidP="00BF27A1">
      <w:pPr>
        <w:rPr>
          <w:lang w:val="en-GB"/>
        </w:rPr>
      </w:pPr>
    </w:p>
    <w:p w:rsidR="000102A1" w:rsidRDefault="000102A1" w:rsidP="00BF27A1">
      <w:pPr>
        <w:tabs>
          <w:tab w:val="left" w:pos="1701"/>
        </w:tabs>
        <w:overflowPunct w:val="0"/>
        <w:autoSpaceDE w:val="0"/>
        <w:autoSpaceDN w:val="0"/>
        <w:adjustRightInd w:val="0"/>
        <w:textAlignment w:val="baseline"/>
        <w:rPr>
          <w:b/>
          <w:szCs w:val="20"/>
        </w:rPr>
      </w:pPr>
      <w:r>
        <w:rPr>
          <w:b/>
          <w:szCs w:val="20"/>
        </w:rPr>
        <w:t>Esittelijä:</w:t>
      </w:r>
      <w:r>
        <w:rPr>
          <w:b/>
          <w:szCs w:val="20"/>
        </w:rPr>
        <w:tab/>
      </w:r>
      <w:r>
        <w:t>Indrė VAREIKYTĖ (moninainen Eurooppa – LT)</w:t>
      </w:r>
    </w:p>
    <w:p w:rsidR="000102A1" w:rsidRDefault="000102A1" w:rsidP="00BF27A1">
      <w:pPr>
        <w:rPr>
          <w:b/>
          <w:szCs w:val="20"/>
        </w:rPr>
      </w:pPr>
    </w:p>
    <w:p w:rsidR="008262D3" w:rsidRDefault="000102A1" w:rsidP="00BF27A1">
      <w:pPr>
        <w:tabs>
          <w:tab w:val="left" w:pos="1701"/>
        </w:tabs>
        <w:rPr>
          <w:b/>
          <w:szCs w:val="20"/>
        </w:rPr>
      </w:pPr>
      <w:r>
        <w:rPr>
          <w:b/>
          <w:szCs w:val="20"/>
        </w:rPr>
        <w:t>Viiteasiakirja:</w:t>
      </w:r>
      <w:r>
        <w:rPr>
          <w:b/>
          <w:szCs w:val="20"/>
        </w:rPr>
        <w:tab/>
      </w:r>
      <w:r>
        <w:t>oma-aloitteinen lausunto</w:t>
      </w:r>
    </w:p>
    <w:p w:rsidR="000102A1" w:rsidRDefault="000102A1" w:rsidP="00EF7A77">
      <w:pPr>
        <w:tabs>
          <w:tab w:val="left" w:pos="1701"/>
        </w:tabs>
        <w:ind w:left="1701"/>
      </w:pPr>
      <w:r>
        <w:t>EESC-2018-04753-00-00-AC</w:t>
      </w:r>
    </w:p>
    <w:p w:rsidR="000102A1" w:rsidRDefault="000102A1" w:rsidP="00BF27A1">
      <w:pPr>
        <w:tabs>
          <w:tab w:val="left" w:pos="1701"/>
        </w:tabs>
      </w:pPr>
    </w:p>
    <w:p w:rsidR="00445275" w:rsidRPr="00445275" w:rsidRDefault="00445275" w:rsidP="00BF27A1">
      <w:pPr>
        <w:rPr>
          <w:b/>
        </w:rPr>
      </w:pPr>
      <w:r>
        <w:rPr>
          <w:b/>
        </w:rPr>
        <w:t>Keskeiset kohdat</w:t>
      </w:r>
    </w:p>
    <w:p w:rsidR="00445275" w:rsidRDefault="00445275" w:rsidP="00BF27A1"/>
    <w:p w:rsidR="000102A1" w:rsidRDefault="000102A1" w:rsidP="00BF27A1">
      <w:r>
        <w:t>ETSK</w:t>
      </w:r>
    </w:p>
    <w:p w:rsidR="000102A1" w:rsidRDefault="000102A1" w:rsidP="00BF27A1"/>
    <w:p w:rsidR="000102A1" w:rsidRDefault="000102A1" w:rsidP="00BF27A1">
      <w:pPr>
        <w:pStyle w:val="ListParagraph"/>
        <w:numPr>
          <w:ilvl w:val="0"/>
          <w:numId w:val="55"/>
        </w:numPr>
      </w:pPr>
      <w:r>
        <w:t>katsoo, että EU:n ja sen jäsenvaltioiden on tehtävä kaikkensa saavuttaakseen sukupuolten tasa-arvoa koskevan kestävän kehityksen tavoitteen 5 vuoteen 2030 mennessä. Se kehottaakin laatimaan yhdennetyn ja kunnianhimoisen viisivuotisen sukupuolten tasa-arvoa koskevan EU:n strategian, joka kattaa seuraavan komission ja Euroopan parlamentin toimikauden, ja vaatii EU:n toimielimiä, valtiovaltaa, kansalaisyhteiskuntaa ja yksityissektoria sitoutumaan vahvasti sukupuolten tasa-arvoon, jotta kaikkiin tasa-arvonäkökohtiin voidaan puuttua kokonaisvaltaisesti ja tehokkaasti yhtä aikaa ja samalla tavoin vaikuttavin toimenpitein.</w:t>
      </w:r>
    </w:p>
    <w:p w:rsidR="000102A1" w:rsidRDefault="000102A1" w:rsidP="00BF27A1">
      <w:pPr>
        <w:ind w:left="360"/>
        <w:rPr>
          <w:lang w:bidi="en-GB"/>
        </w:rPr>
      </w:pPr>
    </w:p>
    <w:p w:rsidR="000102A1" w:rsidRDefault="000102A1" w:rsidP="00BF27A1">
      <w:pPr>
        <w:pStyle w:val="ListParagraph"/>
        <w:numPr>
          <w:ilvl w:val="0"/>
          <w:numId w:val="55"/>
        </w:numPr>
      </w:pPr>
      <w:r>
        <w:t>kehottaa säilyttämään sukupuolten tasa-arvon itsenäisenä tavoitteena tulevissa rahoituskehyksissä, sitoutumaan niissä selkeästi sukupuolten tasa-arvoon ja sen valtavirtaistamiseen sekä ottamaan sukupuoli-indikaattorit, sukupuolivaikutusten arvioinnin sekä sukupuolitietoisen budjetoinnin käyttöön kaikissa ohjelmissa ja kaikilla politiikanaloilla.</w:t>
      </w:r>
    </w:p>
    <w:p w:rsidR="000102A1" w:rsidRDefault="000102A1" w:rsidP="00BF27A1">
      <w:pPr>
        <w:ind w:left="360"/>
        <w:rPr>
          <w:lang w:bidi="en-GB"/>
        </w:rPr>
      </w:pPr>
    </w:p>
    <w:p w:rsidR="000102A1" w:rsidRDefault="000102A1" w:rsidP="00BF27A1">
      <w:pPr>
        <w:pStyle w:val="ListParagraph"/>
        <w:numPr>
          <w:ilvl w:val="0"/>
          <w:numId w:val="55"/>
        </w:numPr>
      </w:pPr>
      <w:r>
        <w:t>kehottaa neuvostoa jatkamaan toimiaan ja etenemään direktiivin käsittelyssä sekä elinkeinoelämää ottamaan asiassa johtavan roolin ja lisäämään naisten osuutta ylemmissä päätöksentekotehtävissä.</w:t>
      </w:r>
    </w:p>
    <w:p w:rsidR="000102A1" w:rsidRDefault="000102A1" w:rsidP="00BF27A1">
      <w:pPr>
        <w:ind w:left="360"/>
        <w:rPr>
          <w:lang w:bidi="en-GB"/>
        </w:rPr>
      </w:pPr>
    </w:p>
    <w:p w:rsidR="000102A1" w:rsidRDefault="000102A1" w:rsidP="00BF27A1">
      <w:pPr>
        <w:pStyle w:val="ListParagraph"/>
        <w:numPr>
          <w:ilvl w:val="0"/>
          <w:numId w:val="55"/>
        </w:numPr>
      </w:pPr>
      <w:r>
        <w:t>kehottaa Euroopan komissiota laatimaan hoitopalveluja koskevan paketin, jotta voidaan tehostaa Euroopan sosiaalisten oikeuksien pilarin täytäntöönpanoa, ja tarkistamaan lastenhoitoa koskevia Barcelonan tavoitteita.</w:t>
      </w:r>
    </w:p>
    <w:p w:rsidR="000102A1" w:rsidRDefault="000102A1" w:rsidP="00BF27A1">
      <w:pPr>
        <w:ind w:left="360"/>
        <w:rPr>
          <w:lang w:bidi="en-GB"/>
        </w:rPr>
      </w:pPr>
    </w:p>
    <w:p w:rsidR="000102A1" w:rsidRDefault="000102A1" w:rsidP="00BF27A1">
      <w:pPr>
        <w:pStyle w:val="ListParagraph"/>
        <w:numPr>
          <w:ilvl w:val="0"/>
          <w:numId w:val="55"/>
        </w:numPr>
      </w:pPr>
      <w:r>
        <w:t>tuomitsee kaikki naisiin kohdistuvan väkivallan muodot ja kehottaa jäsenvaltioita, jotka eivät ole vielä ratifioineet Istanbulin yleissopimusta, pohtimaan uudelleen kantaansa.</w:t>
      </w:r>
    </w:p>
    <w:p w:rsidR="000102A1" w:rsidRDefault="000102A1" w:rsidP="00BF27A1">
      <w:pPr>
        <w:ind w:left="360"/>
        <w:rPr>
          <w:lang w:bidi="en-GB"/>
        </w:rPr>
      </w:pPr>
    </w:p>
    <w:p w:rsidR="000102A1" w:rsidRDefault="000102A1" w:rsidP="00BF27A1">
      <w:pPr>
        <w:pStyle w:val="ListParagraph"/>
        <w:numPr>
          <w:ilvl w:val="0"/>
          <w:numId w:val="55"/>
        </w:numPr>
      </w:pPr>
      <w:r>
        <w:t>ehdottaa, että EU-tasolle perustetaan nopean oikeusavun rahasto antamaan tukea niille kansalaisyhteiskunnan organisaatioille, jotka riitauttavat tuomioistuimissa naisten oikeuksia loukkaavan kansallisen tai paikallisen lainsäädännön.</w:t>
      </w:r>
    </w:p>
    <w:p w:rsidR="000102A1" w:rsidRDefault="000102A1" w:rsidP="00BF27A1">
      <w:pPr>
        <w:ind w:left="360"/>
        <w:rPr>
          <w:lang w:bidi="en-GB"/>
        </w:rPr>
      </w:pPr>
    </w:p>
    <w:p w:rsidR="001355B2" w:rsidRDefault="001355B2">
      <w:pPr>
        <w:spacing w:line="240" w:lineRule="auto"/>
        <w:jc w:val="left"/>
      </w:pPr>
      <w:r>
        <w:br w:type="page"/>
      </w:r>
    </w:p>
    <w:p w:rsidR="000102A1" w:rsidRDefault="000102A1" w:rsidP="00BF27A1">
      <w:pPr>
        <w:pStyle w:val="ListParagraph"/>
        <w:numPr>
          <w:ilvl w:val="0"/>
          <w:numId w:val="56"/>
        </w:numPr>
        <w:ind w:left="714" w:hanging="357"/>
      </w:pPr>
      <w:r>
        <w:lastRenderedPageBreak/>
        <w:t>kehottaa neuvostoa tarkistamaan ETSK:n jäsenten nimeämistä käsitteleviä suuntaviivojaan ja suosittaa, että jäsenvaltiot esittävät jäseniä sukupuolten tasapuolisen edustuksen pohjalta. ETSK puolestaan pyrkii varmistamaan sukupuolten tasa-arvon omissa toimissaan, valtavirtaistaa sukupuolten tasa-arvon työskentelyprosessissaan ja perustaa seurantaryhmän (</w:t>
      </w:r>
      <w:r>
        <w:rPr>
          <w:i/>
        </w:rPr>
        <w:t>follow-up group</w:t>
      </w:r>
      <w:r>
        <w:t>) asianmukaisten suuntaviivojen laatimiseksi.</w:t>
      </w:r>
    </w:p>
    <w:p w:rsidR="000102A1" w:rsidRDefault="000102A1" w:rsidP="00BF27A1">
      <w:pPr>
        <w:rPr>
          <w:lang w:val="fr-BE"/>
        </w:rPr>
      </w:pPr>
    </w:p>
    <w:p w:rsidR="000102A1" w:rsidRPr="00856D9E" w:rsidRDefault="000102A1" w:rsidP="00BF27A1">
      <w:pPr>
        <w:tabs>
          <w:tab w:val="left" w:pos="1701"/>
        </w:tabs>
        <w:overflowPunct w:val="0"/>
        <w:autoSpaceDE w:val="0"/>
        <w:autoSpaceDN w:val="0"/>
        <w:adjustRightInd w:val="0"/>
        <w:textAlignment w:val="baseline"/>
        <w:rPr>
          <w:i/>
          <w:szCs w:val="20"/>
        </w:rPr>
      </w:pPr>
      <w:r>
        <w:rPr>
          <w:b/>
          <w:i/>
          <w:szCs w:val="20"/>
        </w:rPr>
        <w:t>Yhteyshenkilö:</w:t>
      </w:r>
      <w:r>
        <w:rPr>
          <w:i/>
          <w:szCs w:val="20"/>
        </w:rPr>
        <w:t xml:space="preserve"> </w:t>
      </w:r>
      <w:r>
        <w:rPr>
          <w:i/>
          <w:szCs w:val="20"/>
        </w:rPr>
        <w:tab/>
        <w:t>Judite Berkemeier</w:t>
      </w:r>
    </w:p>
    <w:p w:rsidR="000102A1" w:rsidRDefault="00C20F69" w:rsidP="00BF27A1">
      <w:pPr>
        <w:tabs>
          <w:tab w:val="left" w:pos="1701"/>
        </w:tabs>
        <w:rPr>
          <w:i/>
          <w:szCs w:val="20"/>
        </w:rPr>
      </w:pPr>
      <w:r>
        <w:rPr>
          <w:i/>
          <w:szCs w:val="20"/>
        </w:rPr>
        <w:tab/>
        <w:t xml:space="preserve">(P. +32 25469897 – sähköposti: </w:t>
      </w:r>
      <w:hyperlink r:id="rId27" w:history="1">
        <w:r>
          <w:rPr>
            <w:rStyle w:val="Hyperlink"/>
          </w:rPr>
          <w:t>mariajudite.berkemeier@eesc.europa.eu</w:t>
        </w:r>
      </w:hyperlink>
      <w:r>
        <w:rPr>
          <w:i/>
          <w:szCs w:val="20"/>
        </w:rPr>
        <w:t>)</w:t>
      </w:r>
    </w:p>
    <w:p w:rsidR="00445275" w:rsidRDefault="00445275" w:rsidP="00BF27A1">
      <w:pPr>
        <w:tabs>
          <w:tab w:val="left" w:pos="1701"/>
        </w:tabs>
        <w:rPr>
          <w:i/>
          <w:szCs w:val="20"/>
        </w:rPr>
      </w:pPr>
    </w:p>
    <w:p w:rsidR="008262D3" w:rsidRDefault="008262D3" w:rsidP="00BF27A1">
      <w:pPr>
        <w:tabs>
          <w:tab w:val="left" w:pos="1701"/>
        </w:tabs>
        <w:rPr>
          <w:i/>
          <w:szCs w:val="20"/>
        </w:rPr>
      </w:pPr>
      <w:r>
        <w:rPr>
          <w:b/>
          <w:u w:val="single"/>
        </w:rPr>
        <w:t>SOC/611</w:t>
      </w:r>
    </w:p>
    <w:p w:rsidR="00B15573" w:rsidRDefault="00B15573" w:rsidP="00BF27A1">
      <w:pPr>
        <w:tabs>
          <w:tab w:val="left" w:pos="1701"/>
        </w:tabs>
        <w:rPr>
          <w:i/>
          <w:szCs w:val="20"/>
        </w:rPr>
      </w:pPr>
    </w:p>
    <w:p w:rsidR="00445275" w:rsidRPr="00445275" w:rsidRDefault="00445275" w:rsidP="00BF27A1">
      <w:pPr>
        <w:pStyle w:val="ListParagraph"/>
        <w:numPr>
          <w:ilvl w:val="0"/>
          <w:numId w:val="53"/>
        </w:numPr>
        <w:tabs>
          <w:tab w:val="left" w:pos="1701"/>
        </w:tabs>
        <w:ind w:left="567" w:hanging="567"/>
      </w:pPr>
      <w:r>
        <w:rPr>
          <w:b/>
          <w:i/>
          <w:sz w:val="28"/>
          <w:szCs w:val="28"/>
        </w:rPr>
        <w:t>Hyväntekeväisyyden hyödyntämättömät mahdollisuudet Euroopassa</w:t>
      </w:r>
    </w:p>
    <w:p w:rsidR="00445275" w:rsidRDefault="00445275" w:rsidP="00BF27A1">
      <w:pPr>
        <w:tabs>
          <w:tab w:val="left" w:pos="1701"/>
        </w:tabs>
        <w:rPr>
          <w:lang w:val="en-GB"/>
        </w:rPr>
      </w:pPr>
    </w:p>
    <w:p w:rsidR="00445275" w:rsidRDefault="00445275" w:rsidP="00BF27A1">
      <w:pPr>
        <w:overflowPunct w:val="0"/>
        <w:autoSpaceDE w:val="0"/>
        <w:autoSpaceDN w:val="0"/>
        <w:adjustRightInd w:val="0"/>
        <w:textAlignment w:val="baseline"/>
        <w:rPr>
          <w:b/>
          <w:szCs w:val="20"/>
        </w:rPr>
      </w:pPr>
      <w:r>
        <w:rPr>
          <w:b/>
          <w:szCs w:val="20"/>
        </w:rPr>
        <w:t>Esittelijä:</w:t>
      </w:r>
      <w:r>
        <w:rPr>
          <w:b/>
          <w:szCs w:val="20"/>
        </w:rPr>
        <w:tab/>
      </w:r>
      <w:r w:rsidR="00E56239">
        <w:rPr>
          <w:b/>
          <w:szCs w:val="20"/>
        </w:rPr>
        <w:tab/>
      </w:r>
      <w:r>
        <w:t>Petru Sorin DANDEA (työntekijät – RO)</w:t>
      </w:r>
    </w:p>
    <w:p w:rsidR="00445275" w:rsidRDefault="00445275" w:rsidP="00BF27A1">
      <w:pPr>
        <w:tabs>
          <w:tab w:val="left" w:pos="1701"/>
        </w:tabs>
        <w:rPr>
          <w:b/>
          <w:szCs w:val="20"/>
        </w:rPr>
      </w:pPr>
    </w:p>
    <w:p w:rsidR="008262D3" w:rsidRDefault="00445275" w:rsidP="00BF27A1">
      <w:pPr>
        <w:tabs>
          <w:tab w:val="left" w:pos="1701"/>
        </w:tabs>
        <w:rPr>
          <w:b/>
          <w:szCs w:val="20"/>
        </w:rPr>
      </w:pPr>
      <w:r>
        <w:rPr>
          <w:b/>
          <w:szCs w:val="20"/>
        </w:rPr>
        <w:t>Viiteasiakirja:</w:t>
      </w:r>
      <w:r>
        <w:rPr>
          <w:b/>
          <w:szCs w:val="20"/>
        </w:rPr>
        <w:tab/>
      </w:r>
      <w:r>
        <w:t>valmisteleva lausunto</w:t>
      </w:r>
    </w:p>
    <w:p w:rsidR="00445275" w:rsidRDefault="00445275" w:rsidP="00EF7A77">
      <w:pPr>
        <w:tabs>
          <w:tab w:val="left" w:pos="1701"/>
        </w:tabs>
        <w:ind w:left="1701"/>
      </w:pPr>
      <w:r>
        <w:t>EESC-2018-05416-00-00-AC</w:t>
      </w:r>
    </w:p>
    <w:p w:rsidR="00445275" w:rsidRDefault="00445275" w:rsidP="00BF27A1">
      <w:pPr>
        <w:tabs>
          <w:tab w:val="left" w:pos="1701"/>
        </w:tabs>
      </w:pPr>
    </w:p>
    <w:p w:rsidR="00445275" w:rsidRDefault="00445275" w:rsidP="00BF27A1">
      <w:pPr>
        <w:tabs>
          <w:tab w:val="left" w:pos="1701"/>
        </w:tabs>
      </w:pPr>
      <w:r>
        <w:rPr>
          <w:b/>
        </w:rPr>
        <w:t>Keskeiset kohdat</w:t>
      </w:r>
    </w:p>
    <w:p w:rsidR="00445275" w:rsidRDefault="00445275" w:rsidP="00BF27A1">
      <w:pPr>
        <w:tabs>
          <w:tab w:val="left" w:pos="1701"/>
        </w:tabs>
        <w:rPr>
          <w:lang w:val="en-GB"/>
        </w:rPr>
      </w:pPr>
    </w:p>
    <w:p w:rsidR="00445275" w:rsidRDefault="00445275" w:rsidP="00BF27A1">
      <w:pPr>
        <w:pStyle w:val="ListParagraph"/>
        <w:numPr>
          <w:ilvl w:val="0"/>
          <w:numId w:val="23"/>
        </w:numPr>
      </w:pPr>
      <w:r>
        <w:t xml:space="preserve">ETSK antaa täyden tunnustuksen täydentävälle ja innovatiiviselle lisäarvolle, jota hyväntekeväisyydestä voidaan saada sosiaaliseen yhteenkuuluvuuteen, kun se vahvistaa yhteisiä arvoja ja parantaa yhteiskunnan kykyä selvitä muutoksista. Komitea kehottaa jäsenvaltioita tunnustamaan hyväntekeväisyyden aseman yhtenä tapana osoittaa yhteiskunnallista sitoutumista ja osallistua, raivaamaan tilaa hyväntekeväisyydelle ja auttamaan hyväntekeväisyystoimijoita asianmukaisilla lainsäädännöllisillä tai muilla aloitteilla. </w:t>
      </w:r>
    </w:p>
    <w:p w:rsidR="00445275" w:rsidRDefault="00445275" w:rsidP="00BF27A1"/>
    <w:p w:rsidR="00445275" w:rsidRDefault="00445275" w:rsidP="00BF27A1">
      <w:pPr>
        <w:pStyle w:val="ListParagraph"/>
        <w:numPr>
          <w:ilvl w:val="0"/>
          <w:numId w:val="23"/>
        </w:numPr>
      </w:pPr>
      <w:r>
        <w:t>ETSK kehottaa jäsenvaltioita luomaan hyväntekeväisyydelle suotuisan toimintaympäristön siten, että noudatetaan EU:n vapauksia ja perusoikeuksia, jotka kannustavat hyväntekeväisyys- ja kansalaistoimintaan, yleishyödyllisiä tarkoituksia edistävään yksityisten tahojen avustustoimintaan ja hyväntekeväisyysorganisaatioiden perustamiseen. Tässä yhteydessä tulee varmistaa, että jäsenvaltio- ja EU-tason turvallisuustoimet ovat riskiperusteisia, oikeasuhteisia ja näyttöön perustuvia ja että ne lisäksi edistävät hyväntekeväisyystoiminnan avoimuutta.</w:t>
      </w:r>
    </w:p>
    <w:p w:rsidR="00445275" w:rsidRDefault="00445275" w:rsidP="00BF27A1"/>
    <w:p w:rsidR="00445275" w:rsidRDefault="00445275" w:rsidP="00BF27A1">
      <w:pPr>
        <w:pStyle w:val="ListParagraph"/>
        <w:numPr>
          <w:ilvl w:val="0"/>
          <w:numId w:val="23"/>
        </w:numPr>
      </w:pPr>
      <w:r>
        <w:t xml:space="preserve">Komitea katsoo, että jäsenvaltioiden olisi vahvistettava sosiaaliturvajärjestelmiä. Näin voidaan parantaa hyväntekeväisyystoiminnan täydentävyyttä sekä hyväntekeväisyysorganisaatioiden kykyä vastata vähäosaisimpien ihmisten todellisiin tarpeisiin ja ratkoa ongelmia, joita julkiset laitokset tai yksityinen sektori eivät kaikilta osin kykene hoitamaan. </w:t>
      </w:r>
    </w:p>
    <w:p w:rsidR="00445275" w:rsidRDefault="00445275" w:rsidP="00BF27A1"/>
    <w:p w:rsidR="00445275" w:rsidRDefault="00445275" w:rsidP="00BF27A1">
      <w:pPr>
        <w:pStyle w:val="ListParagraph"/>
        <w:numPr>
          <w:ilvl w:val="0"/>
          <w:numId w:val="23"/>
        </w:numPr>
      </w:pPr>
      <w:r>
        <w:t xml:space="preserve">Koska pääomien vapaa liikkuvuus on EU:n sisämarkkinoiden keskeinen osatekijä, ETSK katsoo, että EU:n ja jäsenvaltioiden olisi ensisijaisesti pyrittävä varmistamaan, että tämä perusvapaus toteutuu oikeudellisesti ja käytännössä ja että samalla noudatetaan syrjimättömyysperiaatetta, jotta edistetään rajatylittävää hyväntekeväisyyttä ja investointeja. </w:t>
      </w:r>
      <w:r>
        <w:lastRenderedPageBreak/>
        <w:t>Lisäksi olisi harkittava ylikansallisia oikeudellisia toimintamuotoja, jotka helpottavat hyväntekeväisyyden harjoittamista.</w:t>
      </w:r>
    </w:p>
    <w:p w:rsidR="00445275" w:rsidRDefault="00445275" w:rsidP="00BF27A1"/>
    <w:p w:rsidR="00445275" w:rsidRDefault="00445275" w:rsidP="00BF27A1">
      <w:pPr>
        <w:pStyle w:val="ListParagraph"/>
        <w:numPr>
          <w:ilvl w:val="0"/>
          <w:numId w:val="23"/>
        </w:numPr>
      </w:pPr>
      <w:r>
        <w:t>EU voisi lisätä yksityisten varojen yleishyödyllistä vaikutusta perustamalla esimerkiksi vuonna 2018 käynnistetyn InvestEU-ohjelman yhteyteen rahoitusvälineitä, joilla vauhditetaan hyväntekeväisyyteen pohjautuvaa yhteistä avustustoimintaa, edistetään yhteisinvestointeja ja lisätään sosiaalisia investointeja sekä tarjotaan keinoja pienentää takausten avulla hyväntekeväisyysorganisaatioiden tehtäviensä hoitoon liittyen tekemien investointien taloudellisia riskejä. Unionin olisi myös helpotettava sosiaalisten innovaatioiden tekemistä.</w:t>
      </w:r>
    </w:p>
    <w:p w:rsidR="00445275" w:rsidRPr="00AB524F" w:rsidRDefault="00445275" w:rsidP="00BF27A1">
      <w:pPr>
        <w:rPr>
          <w:szCs w:val="24"/>
          <w:lang w:val="fr-FR"/>
        </w:rPr>
      </w:pPr>
    </w:p>
    <w:p w:rsidR="00445275" w:rsidRPr="00AB524F" w:rsidRDefault="00445275" w:rsidP="00BF27A1">
      <w:pPr>
        <w:tabs>
          <w:tab w:val="left" w:pos="1701"/>
        </w:tabs>
        <w:rPr>
          <w:i/>
        </w:rPr>
      </w:pPr>
      <w:r>
        <w:rPr>
          <w:b/>
          <w:i/>
        </w:rPr>
        <w:t>Yhteyshenkilö:</w:t>
      </w:r>
      <w:r>
        <w:rPr>
          <w:i/>
        </w:rPr>
        <w:t xml:space="preserve"> </w:t>
      </w:r>
      <w:r>
        <w:rPr>
          <w:i/>
        </w:rPr>
        <w:tab/>
        <w:t>Valeria Atzori</w:t>
      </w:r>
    </w:p>
    <w:p w:rsidR="00445275" w:rsidRPr="00445275" w:rsidRDefault="00445275" w:rsidP="00BF27A1">
      <w:pPr>
        <w:tabs>
          <w:tab w:val="left" w:pos="1701"/>
        </w:tabs>
      </w:pPr>
      <w:r>
        <w:rPr>
          <w:i/>
        </w:rPr>
        <w:tab/>
        <w:t xml:space="preserve">(P. +32 25468774 – sähköposti: </w:t>
      </w:r>
      <w:hyperlink r:id="rId28" w:history="1">
        <w:r>
          <w:rPr>
            <w:rStyle w:val="Hyperlink"/>
            <w:i/>
          </w:rPr>
          <w:t>valeria.atzori@eesc.europa.eu</w:t>
        </w:r>
      </w:hyperlink>
      <w:r>
        <w:rPr>
          <w:i/>
        </w:rPr>
        <w:t>)</w:t>
      </w:r>
    </w:p>
    <w:p w:rsidR="00B15573" w:rsidRDefault="00B15573" w:rsidP="00BF27A1">
      <w:pPr>
        <w:jc w:val="left"/>
      </w:pPr>
      <w:r>
        <w:br w:type="page"/>
      </w:r>
    </w:p>
    <w:p w:rsidR="00815415" w:rsidRDefault="00815415" w:rsidP="00BF27A1">
      <w:pPr>
        <w:pStyle w:val="Heading1"/>
        <w:keepNext/>
        <w:keepLines/>
        <w:tabs>
          <w:tab w:val="left" w:pos="567"/>
        </w:tabs>
        <w:rPr>
          <w:b/>
        </w:rPr>
      </w:pPr>
      <w:r>
        <w:lastRenderedPageBreak/>
        <w:tab/>
      </w:r>
      <w:bookmarkStart w:id="167" w:name="_Toc11426647"/>
      <w:r>
        <w:rPr>
          <w:b/>
        </w:rPr>
        <w:t>NEUVOA-ANTAVA VALIOKUNTA ”TEOLLISUUDEN MUUTOKSET”</w:t>
      </w:r>
      <w:bookmarkEnd w:id="167"/>
    </w:p>
    <w:p w:rsidR="00815415" w:rsidRDefault="00815415" w:rsidP="00BF27A1">
      <w:pPr>
        <w:keepNext/>
        <w:keepLines/>
        <w:rPr>
          <w:lang w:val="en-GB"/>
        </w:rPr>
      </w:pPr>
    </w:p>
    <w:p w:rsidR="008262D3" w:rsidRDefault="008262D3" w:rsidP="00BF27A1">
      <w:pPr>
        <w:keepNext/>
        <w:keepLines/>
      </w:pPr>
      <w:r>
        <w:rPr>
          <w:b/>
          <w:u w:val="single"/>
        </w:rPr>
        <w:t>CCMI/165</w:t>
      </w:r>
    </w:p>
    <w:p w:rsidR="008262D3" w:rsidRDefault="008262D3" w:rsidP="00BF27A1">
      <w:pPr>
        <w:keepNext/>
        <w:keepLines/>
        <w:rPr>
          <w:lang w:val="en-GB"/>
        </w:rPr>
      </w:pPr>
    </w:p>
    <w:p w:rsidR="00815415" w:rsidRPr="001901B3" w:rsidRDefault="001901B3" w:rsidP="00BF27A1">
      <w:pPr>
        <w:pStyle w:val="ListParagraph"/>
        <w:numPr>
          <w:ilvl w:val="0"/>
          <w:numId w:val="53"/>
        </w:numPr>
        <w:ind w:left="567" w:hanging="567"/>
        <w:rPr>
          <w:sz w:val="28"/>
          <w:szCs w:val="28"/>
        </w:rPr>
      </w:pPr>
      <w:r>
        <w:rPr>
          <w:b/>
          <w:i/>
          <w:sz w:val="28"/>
          <w:szCs w:val="28"/>
        </w:rPr>
        <w:t>Taloudellinen, teknologinen ja sosiaalinen murros ikääntyneille tarjottavissa kehittyneissä terveyspalveluissa</w:t>
      </w:r>
    </w:p>
    <w:p w:rsidR="001901B3" w:rsidRPr="001901B3" w:rsidRDefault="001901B3" w:rsidP="00BF27A1">
      <w:pPr>
        <w:rPr>
          <w:lang w:val="en-GB"/>
        </w:rPr>
      </w:pPr>
    </w:p>
    <w:p w:rsidR="001901B3" w:rsidRDefault="001901B3" w:rsidP="00BF27A1">
      <w:pPr>
        <w:tabs>
          <w:tab w:val="left" w:pos="1701"/>
        </w:tabs>
        <w:ind w:left="-39"/>
      </w:pPr>
      <w:r>
        <w:rPr>
          <w:b/>
        </w:rPr>
        <w:t>Esittelijä:</w:t>
      </w:r>
      <w:r>
        <w:rPr>
          <w:b/>
        </w:rPr>
        <w:tab/>
      </w:r>
      <w:r>
        <w:t>Marian KRZAKLEWSKI (työntekijät – PL)</w:t>
      </w:r>
    </w:p>
    <w:p w:rsidR="001901B3" w:rsidRDefault="001901B3" w:rsidP="00BF27A1">
      <w:pPr>
        <w:tabs>
          <w:tab w:val="left" w:pos="1701"/>
        </w:tabs>
        <w:ind w:left="-39"/>
        <w:rPr>
          <w:b/>
        </w:rPr>
      </w:pPr>
      <w:r>
        <w:rPr>
          <w:b/>
          <w:bCs/>
        </w:rPr>
        <w:t>Toinen esittelijä:</w:t>
      </w:r>
      <w:r>
        <w:t xml:space="preserve"> </w:t>
      </w:r>
      <w:r>
        <w:tab/>
        <w:t>Jean-Pierre HABER (kat. 1 – FR)</w:t>
      </w:r>
    </w:p>
    <w:p w:rsidR="001901B3" w:rsidRDefault="001901B3" w:rsidP="00BF27A1">
      <w:pPr>
        <w:tabs>
          <w:tab w:val="left" w:pos="1701"/>
        </w:tabs>
        <w:ind w:left="-39"/>
        <w:rPr>
          <w:b/>
          <w:bCs/>
        </w:rPr>
      </w:pPr>
    </w:p>
    <w:p w:rsidR="008262D3" w:rsidRDefault="001901B3" w:rsidP="00BF27A1">
      <w:pPr>
        <w:tabs>
          <w:tab w:val="left" w:pos="1701"/>
        </w:tabs>
        <w:ind w:left="-39"/>
        <w:rPr>
          <w:b/>
        </w:rPr>
      </w:pPr>
      <w:r>
        <w:rPr>
          <w:b/>
        </w:rPr>
        <w:t>Viiteasiakirja:</w:t>
      </w:r>
      <w:r>
        <w:rPr>
          <w:b/>
        </w:rPr>
        <w:tab/>
      </w:r>
      <w:r>
        <w:t>oma-aloitteinen lausunto</w:t>
      </w:r>
    </w:p>
    <w:p w:rsidR="001901B3" w:rsidRDefault="001901B3" w:rsidP="00EF7A77">
      <w:pPr>
        <w:tabs>
          <w:tab w:val="left" w:pos="1701"/>
        </w:tabs>
        <w:ind w:left="1701"/>
        <w:rPr>
          <w:b/>
        </w:rPr>
      </w:pPr>
      <w:r>
        <w:t>EESC-2018-04518-00-00-AC</w:t>
      </w:r>
    </w:p>
    <w:p w:rsidR="001901B3" w:rsidRDefault="001901B3" w:rsidP="00BF27A1">
      <w:pPr>
        <w:tabs>
          <w:tab w:val="left" w:pos="1701"/>
        </w:tabs>
        <w:ind w:left="-39"/>
        <w:rPr>
          <w:b/>
        </w:rPr>
      </w:pPr>
    </w:p>
    <w:p w:rsidR="001901B3" w:rsidRDefault="001901B3" w:rsidP="00BF27A1">
      <w:pPr>
        <w:tabs>
          <w:tab w:val="left" w:pos="1701"/>
        </w:tabs>
        <w:ind w:left="-39"/>
        <w:rPr>
          <w:b/>
        </w:rPr>
      </w:pPr>
      <w:r>
        <w:rPr>
          <w:b/>
        </w:rPr>
        <w:t>Keskeiset kohdat</w:t>
      </w:r>
    </w:p>
    <w:p w:rsidR="001901B3" w:rsidRDefault="001901B3" w:rsidP="00BF27A1">
      <w:pPr>
        <w:tabs>
          <w:tab w:val="left" w:pos="1701"/>
        </w:tabs>
        <w:ind w:left="-39"/>
        <w:rPr>
          <w:b/>
        </w:rPr>
      </w:pPr>
    </w:p>
    <w:p w:rsidR="001901B3" w:rsidRPr="001901B3" w:rsidRDefault="001901B3" w:rsidP="00BF27A1">
      <w:pPr>
        <w:pStyle w:val="ListParagraph"/>
        <w:numPr>
          <w:ilvl w:val="0"/>
          <w:numId w:val="53"/>
        </w:numPr>
        <w:tabs>
          <w:tab w:val="left" w:pos="1701"/>
        </w:tabs>
        <w:ind w:left="709"/>
        <w:rPr>
          <w:b/>
        </w:rPr>
      </w:pPr>
      <w:r>
        <w:t>Henkilökohtaiset vanhuspalvelut ovat niin monimuotoisia, ettei niistä muodostu yhtenäistä talouden sektoria EU:ssa. Olisikin harkittava mahdollisuutta vahvistaa EU:ssa sovellettava yleinen oikeudellinen määritelmä henkilökohtaisille vanhuspalveluille.</w:t>
      </w:r>
    </w:p>
    <w:p w:rsidR="001901B3" w:rsidRDefault="001901B3" w:rsidP="00BF27A1">
      <w:pPr>
        <w:tabs>
          <w:tab w:val="left" w:pos="1701"/>
        </w:tabs>
        <w:rPr>
          <w:b/>
        </w:rPr>
      </w:pPr>
    </w:p>
    <w:p w:rsidR="001901B3" w:rsidRPr="00B04D0C" w:rsidRDefault="00B04D0C" w:rsidP="00BF27A1">
      <w:pPr>
        <w:pStyle w:val="ListParagraph"/>
        <w:numPr>
          <w:ilvl w:val="0"/>
          <w:numId w:val="53"/>
        </w:numPr>
        <w:tabs>
          <w:tab w:val="left" w:pos="1701"/>
        </w:tabs>
        <w:ind w:left="709"/>
        <w:rPr>
          <w:b/>
        </w:rPr>
      </w:pPr>
      <w:r>
        <w:t xml:space="preserve">ETSK katsoo, että oikeus ihmisarvoiseen vanhenemiseen olisi tunnustettava ihmisen perusoikeudeksi. </w:t>
      </w:r>
    </w:p>
    <w:p w:rsidR="00B04D0C" w:rsidRDefault="00B04D0C" w:rsidP="00BF27A1">
      <w:pPr>
        <w:tabs>
          <w:tab w:val="left" w:pos="1701"/>
        </w:tabs>
        <w:rPr>
          <w:b/>
        </w:rPr>
      </w:pPr>
    </w:p>
    <w:p w:rsidR="00B04D0C" w:rsidRPr="00B04D0C" w:rsidRDefault="00B04D0C" w:rsidP="00BF27A1">
      <w:pPr>
        <w:pStyle w:val="ListParagraph"/>
        <w:numPr>
          <w:ilvl w:val="0"/>
          <w:numId w:val="53"/>
        </w:numPr>
        <w:tabs>
          <w:tab w:val="left" w:pos="1701"/>
        </w:tabs>
        <w:ind w:left="709"/>
        <w:rPr>
          <w:b/>
        </w:rPr>
      </w:pPr>
      <w:r>
        <w:t>ETSK suosittelee, että asunto- ja ikääntymispolitiikassa keskityttäisiin innovatiivisiin asumismuotoihin (esim. moduuliasunnot, yhteisasunnot, solidaariset ja sukupolvien yhteiset asumismuodot) ja että niille olisi luotava erityinen tukiohjelma EU:n rakennerahastoihin.</w:t>
      </w:r>
    </w:p>
    <w:p w:rsidR="00B04D0C" w:rsidRDefault="00B04D0C" w:rsidP="00BF27A1">
      <w:pPr>
        <w:tabs>
          <w:tab w:val="left" w:pos="1701"/>
        </w:tabs>
        <w:rPr>
          <w:b/>
        </w:rPr>
      </w:pPr>
    </w:p>
    <w:p w:rsidR="00B04D0C" w:rsidRPr="00B04D0C" w:rsidRDefault="00B04D0C" w:rsidP="00BF27A1">
      <w:pPr>
        <w:pStyle w:val="ListParagraph"/>
        <w:numPr>
          <w:ilvl w:val="0"/>
          <w:numId w:val="53"/>
        </w:numPr>
        <w:tabs>
          <w:tab w:val="left" w:pos="1701"/>
        </w:tabs>
        <w:ind w:left="709"/>
        <w:rPr>
          <w:b/>
        </w:rPr>
      </w:pPr>
      <w:r>
        <w:t>EU:n tulisi harkita mahdollisuutta perustaa ikääntymisen seurantakeskusten toiminnan koordinointifoorumi, joka muun muassa tarjoaisi jatkokoulusta ja levittäisi hyviä käytänteitä luomalla julkisen tietokannan parhaista tuotteista, järjestelyistä, varusteista ja rakenteista, joilla taataan ikääntyneille turvallinen elämä.</w:t>
      </w:r>
    </w:p>
    <w:p w:rsidR="00B04D0C" w:rsidRDefault="00B04D0C" w:rsidP="00BF27A1">
      <w:pPr>
        <w:tabs>
          <w:tab w:val="left" w:pos="1701"/>
        </w:tabs>
        <w:ind w:left="709"/>
        <w:rPr>
          <w:b/>
        </w:rPr>
      </w:pPr>
    </w:p>
    <w:p w:rsidR="00B04D0C" w:rsidRPr="00B04D0C" w:rsidRDefault="00B04D0C" w:rsidP="00BF27A1">
      <w:pPr>
        <w:pStyle w:val="ListParagraph"/>
        <w:numPr>
          <w:ilvl w:val="0"/>
          <w:numId w:val="53"/>
        </w:numPr>
        <w:tabs>
          <w:tab w:val="left" w:pos="1701"/>
        </w:tabs>
        <w:ind w:left="709"/>
        <w:rPr>
          <w:b/>
        </w:rPr>
      </w:pPr>
      <w:r>
        <w:t>ETSK kehottaa huolehtimaan siitä, että kaikki hoito- ja hoiva-alan sidosryhmät hyödyntävät paremmin digitaaliseen teknologiaan pohjautuvia innovaatioita, joita ovat etälääketiede, sensorit, sähköiset potilastiedot ja sähköinen terveystietorekisteri, kotiautomaatio ja yleisemmin tekoälytekniikan käyttö ikääntyneille tarkoitetuissa tiloissa.</w:t>
      </w:r>
    </w:p>
    <w:p w:rsidR="00B04D0C" w:rsidRDefault="00B04D0C" w:rsidP="00BF27A1">
      <w:pPr>
        <w:tabs>
          <w:tab w:val="left" w:pos="1701"/>
        </w:tabs>
        <w:ind w:left="709"/>
        <w:rPr>
          <w:b/>
        </w:rPr>
      </w:pPr>
    </w:p>
    <w:p w:rsidR="00B04D0C" w:rsidRPr="00B04D0C" w:rsidRDefault="00B04D0C" w:rsidP="00BF27A1">
      <w:pPr>
        <w:pStyle w:val="ListParagraph"/>
        <w:numPr>
          <w:ilvl w:val="0"/>
          <w:numId w:val="53"/>
        </w:numPr>
        <w:tabs>
          <w:tab w:val="left" w:pos="1701"/>
        </w:tabs>
        <w:ind w:left="709"/>
        <w:rPr>
          <w:b/>
        </w:rPr>
      </w:pPr>
      <w:r>
        <w:t>Komitea toivoo, että innovointia edistetään puuttumalla markkinoiden hajanaisuuteen ja korporatistisiin ratkaisumalleihin, sillä ne aiheuttavat todellisia teknisiä esteitä. Komitea kehottaa kiinnittämään huomiota eurooppalaisten normien ja sertifikaattien puutteeseen ikääntyneille tarkoitettujen laitteiden ja varusteiden alalla.</w:t>
      </w:r>
    </w:p>
    <w:p w:rsidR="00B04D0C" w:rsidRDefault="00B04D0C" w:rsidP="00BF27A1">
      <w:pPr>
        <w:tabs>
          <w:tab w:val="left" w:pos="1701"/>
        </w:tabs>
        <w:ind w:left="709"/>
        <w:rPr>
          <w:b/>
        </w:rPr>
      </w:pPr>
    </w:p>
    <w:p w:rsidR="00B04D0C" w:rsidRPr="00B04D0C" w:rsidRDefault="00B04D0C" w:rsidP="00BF27A1">
      <w:pPr>
        <w:pStyle w:val="ListParagraph"/>
        <w:numPr>
          <w:ilvl w:val="0"/>
          <w:numId w:val="53"/>
        </w:numPr>
        <w:tabs>
          <w:tab w:val="left" w:pos="1701"/>
        </w:tabs>
        <w:ind w:left="709"/>
        <w:rPr>
          <w:b/>
        </w:rPr>
      </w:pPr>
      <w:r>
        <w:t>ETSK vaatii edistämään digitaaliteknologian tarjoamien uusien välineiden yhteiskäyttöä, jotta saataisiin luotua todelliset ikääntyneiden tarpeiden kattamiseen suuntautuneet markkinat ja turvattaisiin investointien jatkuvuus Euroopassa.</w:t>
      </w:r>
    </w:p>
    <w:p w:rsidR="00B04D0C" w:rsidRDefault="00B04D0C" w:rsidP="00BF27A1">
      <w:pPr>
        <w:tabs>
          <w:tab w:val="left" w:pos="1701"/>
        </w:tabs>
        <w:ind w:left="709"/>
        <w:rPr>
          <w:b/>
        </w:rPr>
      </w:pPr>
    </w:p>
    <w:p w:rsidR="00B04D0C" w:rsidRPr="00B04D0C" w:rsidRDefault="00B04D0C" w:rsidP="00BF27A1">
      <w:pPr>
        <w:pStyle w:val="ListParagraph"/>
        <w:numPr>
          <w:ilvl w:val="0"/>
          <w:numId w:val="53"/>
        </w:numPr>
        <w:tabs>
          <w:tab w:val="left" w:pos="1701"/>
        </w:tabs>
        <w:ind w:left="709"/>
        <w:rPr>
          <w:b/>
        </w:rPr>
      </w:pPr>
      <w:r>
        <w:lastRenderedPageBreak/>
        <w:t>Alan ammattikoulutusta tulee tukea vahvasti.</w:t>
      </w:r>
    </w:p>
    <w:p w:rsidR="00B04D0C" w:rsidRDefault="00B04D0C" w:rsidP="00BF27A1">
      <w:pPr>
        <w:tabs>
          <w:tab w:val="left" w:pos="1701"/>
        </w:tabs>
        <w:rPr>
          <w:b/>
        </w:rPr>
      </w:pPr>
    </w:p>
    <w:p w:rsidR="00B04D0C" w:rsidRPr="00B04D0C" w:rsidRDefault="00B04D0C" w:rsidP="00BF27A1">
      <w:pPr>
        <w:tabs>
          <w:tab w:val="left" w:pos="1701"/>
        </w:tabs>
        <w:rPr>
          <w:i/>
        </w:rPr>
      </w:pPr>
      <w:r>
        <w:rPr>
          <w:b/>
          <w:i/>
        </w:rPr>
        <w:t>Yhteyshenkilö:</w:t>
      </w:r>
      <w:r>
        <w:rPr>
          <w:b/>
          <w:i/>
        </w:rPr>
        <w:tab/>
      </w:r>
      <w:r>
        <w:rPr>
          <w:i/>
        </w:rPr>
        <w:t>Amelia Muñoz Cabezón</w:t>
      </w:r>
    </w:p>
    <w:p w:rsidR="00B04D0C" w:rsidRDefault="00B04D0C" w:rsidP="00BF27A1">
      <w:pPr>
        <w:tabs>
          <w:tab w:val="left" w:pos="1701"/>
        </w:tabs>
        <w:rPr>
          <w:b/>
        </w:rPr>
      </w:pPr>
      <w:r>
        <w:rPr>
          <w:i/>
        </w:rPr>
        <w:tab/>
        <w:t>(P. +32 25468373 – sähköposti:</w:t>
      </w:r>
      <w:r>
        <w:t xml:space="preserve"> </w:t>
      </w:r>
      <w:r>
        <w:rPr>
          <w:i/>
        </w:rPr>
        <w:t>Amelia.Munoz.Cabezon@eesc.europa.eu )</w:t>
      </w:r>
    </w:p>
    <w:p w:rsidR="00B04D0C" w:rsidRDefault="00B04D0C" w:rsidP="00BF27A1">
      <w:pPr>
        <w:tabs>
          <w:tab w:val="left" w:pos="1701"/>
        </w:tabs>
        <w:rPr>
          <w:b/>
        </w:rPr>
      </w:pPr>
    </w:p>
    <w:p w:rsidR="00B15573" w:rsidRDefault="008262D3" w:rsidP="00BF27A1">
      <w:pPr>
        <w:tabs>
          <w:tab w:val="left" w:pos="1701"/>
        </w:tabs>
        <w:rPr>
          <w:b/>
        </w:rPr>
      </w:pPr>
      <w:r>
        <w:rPr>
          <w:b/>
          <w:u w:val="single"/>
        </w:rPr>
        <w:t>CCMI/166</w:t>
      </w:r>
    </w:p>
    <w:p w:rsidR="008262D3" w:rsidRDefault="008262D3" w:rsidP="00BF27A1">
      <w:pPr>
        <w:tabs>
          <w:tab w:val="left" w:pos="1701"/>
        </w:tabs>
        <w:rPr>
          <w:b/>
        </w:rPr>
      </w:pPr>
    </w:p>
    <w:p w:rsidR="00E26CE4" w:rsidRPr="00935826" w:rsidRDefault="00935826" w:rsidP="00BF27A1">
      <w:pPr>
        <w:pStyle w:val="ListParagraph"/>
        <w:numPr>
          <w:ilvl w:val="0"/>
          <w:numId w:val="57"/>
        </w:numPr>
        <w:tabs>
          <w:tab w:val="left" w:pos="1701"/>
        </w:tabs>
        <w:ind w:left="567" w:hanging="567"/>
        <w:rPr>
          <w:b/>
        </w:rPr>
      </w:pPr>
      <w:r>
        <w:rPr>
          <w:b/>
          <w:i/>
          <w:sz w:val="28"/>
          <w:szCs w:val="28"/>
        </w:rPr>
        <w:t>Asbestityöt energiaperuskorjaushankkeissa</w:t>
      </w:r>
    </w:p>
    <w:p w:rsidR="00935826" w:rsidRDefault="00935826" w:rsidP="00BF27A1">
      <w:pPr>
        <w:tabs>
          <w:tab w:val="left" w:pos="1701"/>
        </w:tabs>
        <w:rPr>
          <w:b/>
        </w:rPr>
      </w:pPr>
    </w:p>
    <w:p w:rsidR="00935826" w:rsidRDefault="00935826" w:rsidP="00BF27A1">
      <w:pPr>
        <w:tabs>
          <w:tab w:val="left" w:pos="1701"/>
        </w:tabs>
        <w:ind w:left="-39"/>
      </w:pPr>
      <w:r>
        <w:rPr>
          <w:b/>
        </w:rPr>
        <w:t>Esittelijä:</w:t>
      </w:r>
      <w:r>
        <w:rPr>
          <w:b/>
        </w:rPr>
        <w:tab/>
      </w:r>
      <w:r>
        <w:t>Aurel Laurenţiu PLOSCEANU (työnantajat – RO)</w:t>
      </w:r>
    </w:p>
    <w:p w:rsidR="00935826" w:rsidRPr="007137EC" w:rsidRDefault="00935826" w:rsidP="00BF27A1">
      <w:pPr>
        <w:tabs>
          <w:tab w:val="left" w:pos="1701"/>
        </w:tabs>
        <w:ind w:left="-39"/>
      </w:pPr>
      <w:r>
        <w:rPr>
          <w:b/>
          <w:bCs/>
        </w:rPr>
        <w:t>Toinen esittelijä:</w:t>
      </w:r>
      <w:r>
        <w:t xml:space="preserve"> </w:t>
      </w:r>
      <w:r>
        <w:tab/>
        <w:t>Enrico GIBELLIERI (kat. 2 – IT)</w:t>
      </w:r>
    </w:p>
    <w:p w:rsidR="00192485" w:rsidRDefault="00192485" w:rsidP="00BF27A1">
      <w:pPr>
        <w:ind w:left="-39"/>
        <w:rPr>
          <w:b/>
          <w:bCs/>
        </w:rPr>
      </w:pPr>
    </w:p>
    <w:p w:rsidR="008262D3" w:rsidRDefault="00E56239" w:rsidP="00BF27A1">
      <w:pPr>
        <w:ind w:left="-39"/>
        <w:rPr>
          <w:b/>
        </w:rPr>
      </w:pPr>
      <w:r>
        <w:rPr>
          <w:b/>
        </w:rPr>
        <w:t>Viiteasiakirja:</w:t>
      </w:r>
      <w:r>
        <w:rPr>
          <w:b/>
        </w:rPr>
        <w:tab/>
      </w:r>
      <w:r w:rsidR="00935826">
        <w:t>oma-aloitteinen lausunto</w:t>
      </w:r>
    </w:p>
    <w:p w:rsidR="00192485" w:rsidRDefault="00192485" w:rsidP="00EF7A77">
      <w:pPr>
        <w:ind w:left="1701"/>
      </w:pPr>
      <w:r>
        <w:t xml:space="preserve">EESC-2018-04791-00-00-AC </w:t>
      </w:r>
    </w:p>
    <w:p w:rsidR="00192485" w:rsidRDefault="00192485" w:rsidP="00BF27A1">
      <w:pPr>
        <w:ind w:left="-39"/>
        <w:rPr>
          <w:b/>
        </w:rPr>
      </w:pPr>
    </w:p>
    <w:p w:rsidR="00935826" w:rsidRDefault="00935826" w:rsidP="00BF27A1">
      <w:pPr>
        <w:ind w:left="-39"/>
        <w:rPr>
          <w:b/>
        </w:rPr>
      </w:pPr>
      <w:r>
        <w:rPr>
          <w:b/>
        </w:rPr>
        <w:t>Keskeiset kohdat</w:t>
      </w:r>
    </w:p>
    <w:p w:rsidR="00192485" w:rsidRDefault="00192485" w:rsidP="00BF27A1">
      <w:pPr>
        <w:ind w:left="-39"/>
        <w:rPr>
          <w:b/>
        </w:rPr>
      </w:pPr>
    </w:p>
    <w:p w:rsidR="00192485" w:rsidRDefault="00192485" w:rsidP="00BF27A1">
      <w:pPr>
        <w:pStyle w:val="ListParagraph"/>
        <w:numPr>
          <w:ilvl w:val="0"/>
          <w:numId w:val="57"/>
        </w:numPr>
        <w:ind w:left="709"/>
      </w:pPr>
      <w:r>
        <w:t>ETSK suhtautuu myönteisesti rakennusten energiatehokkuutta koskevan direktiivin kunnianhimoiseen tarkistukseen, mutta se toteaa samalla asbestin aiheuttavan huomattavia vaaroja. ETSK katsoo, että energiaperuskorjausten yhteydessä on luotava yhteisvaikutuksia haitallisten aineiden poiston kanssa.</w:t>
      </w:r>
    </w:p>
    <w:p w:rsidR="00192485" w:rsidRDefault="00192485" w:rsidP="00BF27A1">
      <w:pPr>
        <w:ind w:left="709"/>
      </w:pPr>
    </w:p>
    <w:p w:rsidR="00192485" w:rsidRPr="0085378B" w:rsidRDefault="00192485" w:rsidP="00BF27A1">
      <w:pPr>
        <w:pStyle w:val="Heading2"/>
        <w:numPr>
          <w:ilvl w:val="0"/>
          <w:numId w:val="57"/>
        </w:numPr>
        <w:ind w:left="709"/>
        <w:textAlignment w:val="baseline"/>
      </w:pPr>
      <w:r>
        <w:t>Euroopan komission olisi pyrittävä yhteistyöhön Kansainvälisen työjärjestön (ILO) ja Maailman terveysjärjestön (WHO) kanssa niiden laatimien aiempien ohjelmien pohjalta. Euroopan työterveys- ja työturvallisuusviraston ja Euroopan komission olisi yhdessä tuettava tällaista toimintaa EU:ssa.</w:t>
      </w:r>
    </w:p>
    <w:p w:rsidR="00192485" w:rsidRPr="0085378B" w:rsidRDefault="00192485" w:rsidP="00BF27A1">
      <w:pPr>
        <w:ind w:left="709"/>
      </w:pPr>
    </w:p>
    <w:p w:rsidR="00192485" w:rsidRDefault="00192485" w:rsidP="00BF27A1">
      <w:pPr>
        <w:pStyle w:val="ListParagraph"/>
        <w:numPr>
          <w:ilvl w:val="0"/>
          <w:numId w:val="57"/>
        </w:numPr>
        <w:ind w:left="709"/>
      </w:pPr>
      <w:r>
        <w:t>Euroopan komission olisi aktiivisesti edistettävä elinkaariajattelua rakennussuunnittelussa ja rakennusmateriaalien valinnassa, pyrittävä kierrätettävyyteen ja käytöstä poistettujen tuotteiden asianmukaiseen käsittelyyn ja vietävä eteenpäin EU:n tavoitteekseen asettamaa kiertotalouden luomista.</w:t>
      </w:r>
    </w:p>
    <w:p w:rsidR="00192485" w:rsidRDefault="00192485" w:rsidP="00BF27A1">
      <w:pPr>
        <w:ind w:left="709"/>
      </w:pPr>
    </w:p>
    <w:p w:rsidR="00192485" w:rsidRDefault="00192485" w:rsidP="00BF27A1">
      <w:pPr>
        <w:pStyle w:val="ListParagraph"/>
        <w:numPr>
          <w:ilvl w:val="0"/>
          <w:numId w:val="57"/>
        </w:numPr>
        <w:ind w:left="709"/>
      </w:pPr>
      <w:r>
        <w:t>Jäsenvaltioiden olisi kehitettävä rekistereitä ja tehtävä haitallisista aineista nykyisten ja tulevien peruskorjauspassien keskeinen osatekijä.</w:t>
      </w:r>
    </w:p>
    <w:p w:rsidR="00192485" w:rsidRDefault="00192485" w:rsidP="00BF27A1">
      <w:pPr>
        <w:ind w:left="709"/>
      </w:pPr>
    </w:p>
    <w:p w:rsidR="00192485" w:rsidRDefault="00192485" w:rsidP="00BF27A1">
      <w:pPr>
        <w:pStyle w:val="ListParagraph"/>
        <w:numPr>
          <w:ilvl w:val="0"/>
          <w:numId w:val="57"/>
        </w:numPr>
        <w:ind w:left="709"/>
      </w:pPr>
      <w:r>
        <w:t>On tärkeää, että jäsenvaltiot laativat pitkän aikavälin peruskorjausstrategiansa ottaen huomioon asbestiin ja muihin haitallisiin aineisiin aina liittyvät vaarat.</w:t>
      </w:r>
    </w:p>
    <w:p w:rsidR="00192485" w:rsidRDefault="00192485" w:rsidP="00BF27A1">
      <w:pPr>
        <w:ind w:left="709"/>
      </w:pPr>
    </w:p>
    <w:p w:rsidR="00192485" w:rsidRDefault="00192485" w:rsidP="00BF27A1">
      <w:pPr>
        <w:pStyle w:val="ListParagraph"/>
        <w:numPr>
          <w:ilvl w:val="0"/>
          <w:numId w:val="57"/>
        </w:numPr>
        <w:ind w:left="709"/>
      </w:pPr>
      <w:r>
        <w:t>Jäsenvaltioiden on varmistettava, että energiaperuskorjausten taloudellisten tukien, kuten verohelpotusten tai avustusten, kriteerit määritellään nimenomaan siten, että asunnonomistajat pystyvät poistamaan haitalliset aineet kokonaan korjauksen aikana.</w:t>
      </w:r>
    </w:p>
    <w:p w:rsidR="00192485" w:rsidRDefault="00192485" w:rsidP="00BF27A1">
      <w:pPr>
        <w:ind w:left="709"/>
      </w:pPr>
    </w:p>
    <w:p w:rsidR="001355B2" w:rsidRDefault="001355B2">
      <w:pPr>
        <w:spacing w:line="240" w:lineRule="auto"/>
        <w:jc w:val="left"/>
      </w:pPr>
      <w:r>
        <w:br w:type="page"/>
      </w:r>
    </w:p>
    <w:p w:rsidR="00192485" w:rsidRDefault="00192485" w:rsidP="00BF27A1">
      <w:pPr>
        <w:pStyle w:val="ListParagraph"/>
        <w:numPr>
          <w:ilvl w:val="0"/>
          <w:numId w:val="57"/>
        </w:numPr>
        <w:ind w:left="709"/>
      </w:pPr>
      <w:r>
        <w:lastRenderedPageBreak/>
        <w:t>Jäsenvaltioiden on varmistettava, että energiaperuskorjausten taloudellisten tukien, kuten verohelpotusten tai avustusten, kriteerit määritellään nimenomaan siten, että asunnonomistajat pystyvät poistamaan haitalliset aineet kokonaan korjauksen aikana.</w:t>
      </w:r>
    </w:p>
    <w:p w:rsidR="00192485" w:rsidRDefault="00192485" w:rsidP="00BF27A1"/>
    <w:p w:rsidR="00192485" w:rsidRPr="00192485" w:rsidRDefault="00192485" w:rsidP="00BF27A1">
      <w:pPr>
        <w:tabs>
          <w:tab w:val="left" w:pos="1701"/>
        </w:tabs>
        <w:rPr>
          <w:i/>
        </w:rPr>
      </w:pPr>
      <w:r>
        <w:rPr>
          <w:b/>
          <w:i/>
        </w:rPr>
        <w:t>Yhteyshenkilö:</w:t>
      </w:r>
      <w:r>
        <w:rPr>
          <w:b/>
          <w:i/>
        </w:rPr>
        <w:tab/>
      </w:r>
      <w:r>
        <w:rPr>
          <w:i/>
        </w:rPr>
        <w:t>Adam Plezer</w:t>
      </w:r>
    </w:p>
    <w:p w:rsidR="00192485" w:rsidRPr="00192485" w:rsidRDefault="00192485" w:rsidP="00BF27A1">
      <w:pPr>
        <w:tabs>
          <w:tab w:val="left" w:pos="1701"/>
        </w:tabs>
      </w:pPr>
      <w:r>
        <w:rPr>
          <w:i/>
        </w:rPr>
        <w:tab/>
        <w:t>(P. +32 25468628 – sähköposti: Adam.Plezer@eesc.europa.eu )</w:t>
      </w:r>
    </w:p>
    <w:p w:rsidR="00192485" w:rsidRDefault="00192485" w:rsidP="00BF27A1">
      <w:pPr>
        <w:tabs>
          <w:tab w:val="left" w:pos="1701"/>
        </w:tabs>
        <w:jc w:val="center"/>
        <w:rPr>
          <w:i/>
          <w:szCs w:val="20"/>
        </w:rPr>
      </w:pPr>
    </w:p>
    <w:p w:rsidR="00C71FF0" w:rsidRPr="00395392" w:rsidRDefault="00C71FF0" w:rsidP="00BF27A1">
      <w:pPr>
        <w:tabs>
          <w:tab w:val="left" w:pos="1701"/>
        </w:tabs>
        <w:jc w:val="center"/>
        <w:rPr>
          <w:i/>
          <w:szCs w:val="20"/>
        </w:rPr>
      </w:pPr>
      <w:r>
        <w:rPr>
          <w:i/>
          <w:szCs w:val="20"/>
        </w:rPr>
        <w:t>____________</w:t>
      </w:r>
    </w:p>
    <w:sectPr w:rsidR="00C71FF0" w:rsidRPr="00395392" w:rsidSect="00A60D7F">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C5" w:rsidRDefault="002159C5" w:rsidP="003B283B">
      <w:pPr>
        <w:spacing w:line="240" w:lineRule="auto"/>
      </w:pPr>
      <w:r>
        <w:separator/>
      </w:r>
    </w:p>
  </w:endnote>
  <w:endnote w:type="continuationSeparator" w:id="0">
    <w:p w:rsidR="002159C5" w:rsidRDefault="002159C5" w:rsidP="003B283B">
      <w:pPr>
        <w:spacing w:line="240" w:lineRule="auto"/>
      </w:pPr>
      <w:r>
        <w:continuationSeparator/>
      </w:r>
    </w:p>
  </w:endnote>
  <w:endnote w:type="continuationNotice" w:id="1">
    <w:p w:rsidR="002159C5" w:rsidRDefault="002159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A60D7F" w:rsidP="00A60D7F">
    <w:pPr>
      <w:pStyle w:val="Footer"/>
    </w:pPr>
    <w:r>
      <w:t xml:space="preserve">EESC-2019-01616-00-01-TCD-TRA (EN/FR) </w:t>
    </w:r>
    <w:r>
      <w:fldChar w:fldCharType="begin"/>
    </w:r>
    <w:r>
      <w:instrText xml:space="preserve"> PAGE  \* Arabic  \* MERGEFORMAT </w:instrText>
    </w:r>
    <w:r>
      <w:fldChar w:fldCharType="separate"/>
    </w:r>
    <w:r w:rsidR="0016284D">
      <w:rPr>
        <w:noProof/>
      </w:rPr>
      <w:t>1</w:t>
    </w:r>
    <w:r>
      <w:fldChar w:fldCharType="end"/>
    </w:r>
    <w:r>
      <w:t>/</w:t>
    </w:r>
    <w:r>
      <w:fldChar w:fldCharType="begin"/>
    </w:r>
    <w:r>
      <w:instrText xml:space="preserve"> = </w:instrText>
    </w:r>
    <w:r w:rsidR="0016284D">
      <w:fldChar w:fldCharType="begin"/>
    </w:r>
    <w:r w:rsidR="0016284D">
      <w:instrText xml:space="preserve"> NUMPAGES </w:instrText>
    </w:r>
    <w:r w:rsidR="0016284D">
      <w:fldChar w:fldCharType="separate"/>
    </w:r>
    <w:r w:rsidR="0016284D">
      <w:rPr>
        <w:noProof/>
      </w:rPr>
      <w:instrText>15</w:instrText>
    </w:r>
    <w:r w:rsidR="0016284D">
      <w:rPr>
        <w:noProof/>
      </w:rPr>
      <w:fldChar w:fldCharType="end"/>
    </w:r>
    <w:r>
      <w:instrText xml:space="preserve"> </w:instrText>
    </w:r>
    <w:r>
      <w:fldChar w:fldCharType="separate"/>
    </w:r>
    <w:r w:rsidR="0016284D">
      <w:rPr>
        <w:noProof/>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A60D7F" w:rsidP="00A60D7F">
    <w:pPr>
      <w:pStyle w:val="Footer"/>
    </w:pPr>
    <w:r>
      <w:t xml:space="preserve">EESC-2019-01616-00-01-TCD-TRA (EN/FR) </w:t>
    </w:r>
    <w:r>
      <w:fldChar w:fldCharType="begin"/>
    </w:r>
    <w:r>
      <w:instrText xml:space="preserve"> PAGE  \* Arabic  \* MERGEFORMAT </w:instrText>
    </w:r>
    <w:r>
      <w:fldChar w:fldCharType="separate"/>
    </w:r>
    <w:r w:rsidR="0016284D">
      <w:rPr>
        <w:noProof/>
      </w:rPr>
      <w:t>2</w:t>
    </w:r>
    <w:r>
      <w:fldChar w:fldCharType="end"/>
    </w:r>
    <w:r>
      <w:t>/</w:t>
    </w:r>
    <w:r>
      <w:fldChar w:fldCharType="begin"/>
    </w:r>
    <w:r>
      <w:instrText xml:space="preserve"> = </w:instrText>
    </w:r>
    <w:r w:rsidR="0016284D">
      <w:fldChar w:fldCharType="begin"/>
    </w:r>
    <w:r w:rsidR="0016284D">
      <w:instrText xml:space="preserve"> NUMPAGES </w:instrText>
    </w:r>
    <w:r w:rsidR="0016284D">
      <w:fldChar w:fldCharType="separate"/>
    </w:r>
    <w:r w:rsidR="0016284D">
      <w:rPr>
        <w:noProof/>
      </w:rPr>
      <w:instrText>15</w:instrText>
    </w:r>
    <w:r w:rsidR="0016284D">
      <w:rPr>
        <w:noProof/>
      </w:rPr>
      <w:fldChar w:fldCharType="end"/>
    </w:r>
    <w:r>
      <w:instrText xml:space="preserve"> </w:instrText>
    </w:r>
    <w:r>
      <w:fldChar w:fldCharType="separate"/>
    </w:r>
    <w:r w:rsidR="0016284D">
      <w:rPr>
        <w:noProof/>
      </w:rPr>
      <w:t>15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C5" w:rsidRDefault="002159C5" w:rsidP="003B283B">
      <w:pPr>
        <w:spacing w:line="240" w:lineRule="auto"/>
      </w:pPr>
      <w:r>
        <w:separator/>
      </w:r>
    </w:p>
  </w:footnote>
  <w:footnote w:type="continuationSeparator" w:id="0">
    <w:p w:rsidR="002159C5" w:rsidRDefault="002159C5" w:rsidP="003B283B">
      <w:pPr>
        <w:spacing w:line="240" w:lineRule="auto"/>
      </w:pPr>
      <w:r>
        <w:continuationSeparator/>
      </w:r>
    </w:p>
  </w:footnote>
  <w:footnote w:type="continuationNotice" w:id="1">
    <w:p w:rsidR="002159C5" w:rsidRPr="00377A77" w:rsidRDefault="002159C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7F" w:rsidRPr="00A60D7F" w:rsidRDefault="00A60D7F" w:rsidP="00A60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9C5" w:rsidRPr="00A60D7F" w:rsidRDefault="002159C5" w:rsidP="00A60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BCC5056"/>
    <w:lvl w:ilvl="0">
      <w:start w:val="1"/>
      <w:numFmt w:val="decimal"/>
      <w:pStyle w:val="Heading1"/>
      <w:lvlText w:val="%1."/>
      <w:legacy w:legacy="1" w:legacySpace="0" w:legacyIndent="0"/>
      <w:lvlJc w:val="left"/>
      <w:rPr>
        <w:b w:val="0"/>
        <w:i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6A641A"/>
    <w:multiLevelType w:val="hybridMultilevel"/>
    <w:tmpl w:val="FBAA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42A2"/>
    <w:multiLevelType w:val="hybridMultilevel"/>
    <w:tmpl w:val="23E445E4"/>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93C44"/>
    <w:multiLevelType w:val="hybridMultilevel"/>
    <w:tmpl w:val="B1A0F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E02DC"/>
    <w:multiLevelType w:val="hybridMultilevel"/>
    <w:tmpl w:val="E1A6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A3AA5"/>
    <w:multiLevelType w:val="hybridMultilevel"/>
    <w:tmpl w:val="B22252D0"/>
    <w:lvl w:ilvl="0" w:tplc="7BE6920E">
      <w:start w:val="1"/>
      <w:numFmt w:val="bullet"/>
      <w:lvlText w:val=""/>
      <w:lvlJc w:val="left"/>
      <w:pPr>
        <w:ind w:left="1440" w:hanging="360"/>
      </w:pPr>
      <w:rPr>
        <w:rFonts w:ascii="Symbol" w:hAnsi="Symbol"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82D17"/>
    <w:multiLevelType w:val="hybridMultilevel"/>
    <w:tmpl w:val="A48A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62F14"/>
    <w:multiLevelType w:val="hybridMultilevel"/>
    <w:tmpl w:val="ABD47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51769"/>
    <w:multiLevelType w:val="hybridMultilevel"/>
    <w:tmpl w:val="96642946"/>
    <w:lvl w:ilvl="0" w:tplc="C054D6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14F41"/>
    <w:multiLevelType w:val="hybridMultilevel"/>
    <w:tmpl w:val="A20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E663E"/>
    <w:multiLevelType w:val="hybridMultilevel"/>
    <w:tmpl w:val="3EA0F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55B9F"/>
    <w:multiLevelType w:val="multilevel"/>
    <w:tmpl w:val="3CB0B50E"/>
    <w:lvl w:ilvl="0">
      <w:start w:val="1"/>
      <w:numFmt w:val="decimal"/>
      <w:lvlText w:val="%1."/>
      <w:lvlJc w:val="left"/>
      <w:pPr>
        <w:ind w:left="432" w:hanging="432"/>
      </w:pPr>
      <w:rPr>
        <w:b w:val="0"/>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06B5B87"/>
    <w:multiLevelType w:val="hybridMultilevel"/>
    <w:tmpl w:val="F87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75A83"/>
    <w:multiLevelType w:val="singleLevel"/>
    <w:tmpl w:val="A8C2A524"/>
    <w:lvl w:ilvl="0">
      <w:numFmt w:val="decimal"/>
      <w:lvlText w:val="*"/>
      <w:lvlJc w:val="left"/>
    </w:lvl>
  </w:abstractNum>
  <w:abstractNum w:abstractNumId="16" w15:restartNumberingAfterBreak="0">
    <w:nsid w:val="232759E7"/>
    <w:multiLevelType w:val="hybridMultilevel"/>
    <w:tmpl w:val="76B0A4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5310698"/>
    <w:multiLevelType w:val="hybridMultilevel"/>
    <w:tmpl w:val="5E5A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42E45"/>
    <w:multiLevelType w:val="hybridMultilevel"/>
    <w:tmpl w:val="0012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52127E"/>
    <w:multiLevelType w:val="hybridMultilevel"/>
    <w:tmpl w:val="2200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43109B8"/>
    <w:multiLevelType w:val="hybridMultilevel"/>
    <w:tmpl w:val="1E6C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82EB0"/>
    <w:multiLevelType w:val="hybridMultilevel"/>
    <w:tmpl w:val="37A64B36"/>
    <w:lvl w:ilvl="0" w:tplc="080C0001">
      <w:start w:val="1"/>
      <w:numFmt w:val="bullet"/>
      <w:lvlText w:val=""/>
      <w:lvlJc w:val="left"/>
      <w:pPr>
        <w:ind w:left="770" w:hanging="360"/>
      </w:pPr>
      <w:rPr>
        <w:rFonts w:ascii="Symbol" w:hAnsi="Symbol" w:hint="default"/>
      </w:rPr>
    </w:lvl>
    <w:lvl w:ilvl="1" w:tplc="080C0003">
      <w:start w:val="1"/>
      <w:numFmt w:val="bullet"/>
      <w:lvlText w:val="o"/>
      <w:lvlJc w:val="left"/>
      <w:pPr>
        <w:ind w:left="1490" w:hanging="360"/>
      </w:pPr>
      <w:rPr>
        <w:rFonts w:ascii="Courier New" w:hAnsi="Courier New" w:cs="Courier New" w:hint="default"/>
      </w:rPr>
    </w:lvl>
    <w:lvl w:ilvl="2" w:tplc="080C0005">
      <w:start w:val="1"/>
      <w:numFmt w:val="bullet"/>
      <w:lvlText w:val=""/>
      <w:lvlJc w:val="left"/>
      <w:pPr>
        <w:ind w:left="2210" w:hanging="360"/>
      </w:pPr>
      <w:rPr>
        <w:rFonts w:ascii="Wingdings" w:hAnsi="Wingdings" w:hint="default"/>
      </w:rPr>
    </w:lvl>
    <w:lvl w:ilvl="3" w:tplc="080C0001">
      <w:start w:val="1"/>
      <w:numFmt w:val="bullet"/>
      <w:lvlText w:val=""/>
      <w:lvlJc w:val="left"/>
      <w:pPr>
        <w:ind w:left="2930" w:hanging="360"/>
      </w:pPr>
      <w:rPr>
        <w:rFonts w:ascii="Symbol" w:hAnsi="Symbol" w:hint="default"/>
      </w:rPr>
    </w:lvl>
    <w:lvl w:ilvl="4" w:tplc="080C0003">
      <w:start w:val="1"/>
      <w:numFmt w:val="bullet"/>
      <w:lvlText w:val="o"/>
      <w:lvlJc w:val="left"/>
      <w:pPr>
        <w:ind w:left="3650" w:hanging="360"/>
      </w:pPr>
      <w:rPr>
        <w:rFonts w:ascii="Courier New" w:hAnsi="Courier New" w:cs="Courier New" w:hint="default"/>
      </w:rPr>
    </w:lvl>
    <w:lvl w:ilvl="5" w:tplc="080C0005">
      <w:start w:val="1"/>
      <w:numFmt w:val="bullet"/>
      <w:lvlText w:val=""/>
      <w:lvlJc w:val="left"/>
      <w:pPr>
        <w:ind w:left="4370" w:hanging="360"/>
      </w:pPr>
      <w:rPr>
        <w:rFonts w:ascii="Wingdings" w:hAnsi="Wingdings" w:hint="default"/>
      </w:rPr>
    </w:lvl>
    <w:lvl w:ilvl="6" w:tplc="080C0001">
      <w:start w:val="1"/>
      <w:numFmt w:val="bullet"/>
      <w:lvlText w:val=""/>
      <w:lvlJc w:val="left"/>
      <w:pPr>
        <w:ind w:left="5090" w:hanging="360"/>
      </w:pPr>
      <w:rPr>
        <w:rFonts w:ascii="Symbol" w:hAnsi="Symbol" w:hint="default"/>
      </w:rPr>
    </w:lvl>
    <w:lvl w:ilvl="7" w:tplc="080C0003">
      <w:start w:val="1"/>
      <w:numFmt w:val="bullet"/>
      <w:lvlText w:val="o"/>
      <w:lvlJc w:val="left"/>
      <w:pPr>
        <w:ind w:left="5810" w:hanging="360"/>
      </w:pPr>
      <w:rPr>
        <w:rFonts w:ascii="Courier New" w:hAnsi="Courier New" w:cs="Courier New" w:hint="default"/>
      </w:rPr>
    </w:lvl>
    <w:lvl w:ilvl="8" w:tplc="080C0005">
      <w:start w:val="1"/>
      <w:numFmt w:val="bullet"/>
      <w:lvlText w:val=""/>
      <w:lvlJc w:val="left"/>
      <w:pPr>
        <w:ind w:left="6530" w:hanging="360"/>
      </w:pPr>
      <w:rPr>
        <w:rFonts w:ascii="Wingdings" w:hAnsi="Wingdings" w:hint="default"/>
      </w:rPr>
    </w:lvl>
  </w:abstractNum>
  <w:abstractNum w:abstractNumId="22" w15:restartNumberingAfterBreak="0">
    <w:nsid w:val="36965773"/>
    <w:multiLevelType w:val="hybridMultilevel"/>
    <w:tmpl w:val="78EC9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C2636AA"/>
    <w:multiLevelType w:val="hybridMultilevel"/>
    <w:tmpl w:val="097C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00C70"/>
    <w:multiLevelType w:val="hybridMultilevel"/>
    <w:tmpl w:val="D14E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6074C52"/>
    <w:multiLevelType w:val="hybridMultilevel"/>
    <w:tmpl w:val="7456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6630AEF"/>
    <w:multiLevelType w:val="hybridMultilevel"/>
    <w:tmpl w:val="42EE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90B6E"/>
    <w:multiLevelType w:val="hybridMultilevel"/>
    <w:tmpl w:val="82D476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4D18670D"/>
    <w:multiLevelType w:val="hybridMultilevel"/>
    <w:tmpl w:val="5C4EA39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53CBB"/>
    <w:multiLevelType w:val="hybridMultilevel"/>
    <w:tmpl w:val="5BA0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772D8A"/>
    <w:multiLevelType w:val="hybridMultilevel"/>
    <w:tmpl w:val="69E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7A1770"/>
    <w:multiLevelType w:val="hybridMultilevel"/>
    <w:tmpl w:val="E424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A836BB"/>
    <w:multiLevelType w:val="hybridMultilevel"/>
    <w:tmpl w:val="7D58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5" w15:restartNumberingAfterBreak="0">
    <w:nsid w:val="54B312FA"/>
    <w:multiLevelType w:val="hybridMultilevel"/>
    <w:tmpl w:val="BE2ADDC4"/>
    <w:lvl w:ilvl="0" w:tplc="080C0001">
      <w:start w:val="1"/>
      <w:numFmt w:val="bullet"/>
      <w:lvlText w:val=""/>
      <w:lvlJc w:val="left"/>
      <w:pPr>
        <w:ind w:left="1480" w:hanging="360"/>
      </w:pPr>
      <w:rPr>
        <w:rFonts w:ascii="Symbol" w:hAnsi="Symbol" w:hint="default"/>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36" w15:restartNumberingAfterBreak="0">
    <w:nsid w:val="554A3300"/>
    <w:multiLevelType w:val="hybridMultilevel"/>
    <w:tmpl w:val="13FC3342"/>
    <w:lvl w:ilvl="0" w:tplc="AF92E200">
      <w:start w:val="1"/>
      <w:numFmt w:val="bullet"/>
      <w:lvlRestart w:val="0"/>
      <w:lvlText w:val=""/>
      <w:lvlJc w:val="left"/>
      <w:pPr>
        <w:tabs>
          <w:tab w:val="num" w:pos="0"/>
        </w:tabs>
        <w:ind w:left="283" w:hanging="283"/>
      </w:pPr>
      <w:rPr>
        <w:rFonts w:ascii="Symbol" w:hAnsi="Symbol"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1B120B"/>
    <w:multiLevelType w:val="hybridMultilevel"/>
    <w:tmpl w:val="60E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667743"/>
    <w:multiLevelType w:val="hybridMultilevel"/>
    <w:tmpl w:val="2BF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364CF2"/>
    <w:multiLevelType w:val="multilevel"/>
    <w:tmpl w:val="379476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52280E"/>
    <w:multiLevelType w:val="hybridMultilevel"/>
    <w:tmpl w:val="8954FE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1"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2" w15:restartNumberingAfterBreak="0">
    <w:nsid w:val="64E27CC3"/>
    <w:multiLevelType w:val="hybridMultilevel"/>
    <w:tmpl w:val="131680B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6E07C8"/>
    <w:multiLevelType w:val="hybridMultilevel"/>
    <w:tmpl w:val="7A2A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AC7EB4"/>
    <w:multiLevelType w:val="hybridMultilevel"/>
    <w:tmpl w:val="5E928CB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5" w15:restartNumberingAfterBreak="0">
    <w:nsid w:val="6904041B"/>
    <w:multiLevelType w:val="hybridMultilevel"/>
    <w:tmpl w:val="CBB8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425D10"/>
    <w:multiLevelType w:val="hybridMultilevel"/>
    <w:tmpl w:val="B254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09496C"/>
    <w:multiLevelType w:val="hybridMultilevel"/>
    <w:tmpl w:val="F4E496A0"/>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97154E"/>
    <w:multiLevelType w:val="hybridMultilevel"/>
    <w:tmpl w:val="AD2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E35B8F"/>
    <w:multiLevelType w:val="hybridMultilevel"/>
    <w:tmpl w:val="AC7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1B1407"/>
    <w:multiLevelType w:val="multilevel"/>
    <w:tmpl w:val="85462CFA"/>
    <w:lvl w:ilvl="0">
      <w:start w:val="1"/>
      <w:numFmt w:val="decimal"/>
      <w:lvlText w:val="%1."/>
      <w:legacy w:legacy="1" w:legacySpace="0" w:legacyIndent="0"/>
      <w:lvlJc w:val="left"/>
    </w:lvl>
    <w:lvl w:ilvl="1">
      <w:start w:val="1"/>
      <w:numFmt w:val="bullet"/>
      <w:lvlText w:val=""/>
      <w:lvlJc w:val="left"/>
      <w:rPr>
        <w:rFonts w:ascii="Symbol" w:hAnsi="Symbol" w:hint="default"/>
        <w:b w:val="0"/>
        <w:i w:val="0"/>
        <w:sz w:val="22"/>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1"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0222D9"/>
    <w:multiLevelType w:val="hybridMultilevel"/>
    <w:tmpl w:val="1FEC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261786"/>
    <w:multiLevelType w:val="hybridMultilevel"/>
    <w:tmpl w:val="A4B2D4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6B9697B"/>
    <w:multiLevelType w:val="hybridMultilevel"/>
    <w:tmpl w:val="757EBC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78C6083E"/>
    <w:multiLevelType w:val="hybridMultilevel"/>
    <w:tmpl w:val="A3A2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9B4A57"/>
    <w:multiLevelType w:val="hybridMultilevel"/>
    <w:tmpl w:val="67A813EE"/>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0"/>
  </w:num>
  <w:num w:numId="4">
    <w:abstractNumId w:val="43"/>
  </w:num>
  <w:num w:numId="5">
    <w:abstractNumId w:val="7"/>
  </w:num>
  <w:num w:numId="6">
    <w:abstractNumId w:val="23"/>
  </w:num>
  <w:num w:numId="7">
    <w:abstractNumId w:val="11"/>
  </w:num>
  <w:num w:numId="8">
    <w:abstractNumId w:val="24"/>
  </w:num>
  <w:num w:numId="9">
    <w:abstractNumId w:val="56"/>
  </w:num>
  <w:num w:numId="10">
    <w:abstractNumId w:val="35"/>
  </w:num>
  <w:num w:numId="11">
    <w:abstractNumId w:val="30"/>
  </w:num>
  <w:num w:numId="12">
    <w:abstractNumId w:val="41"/>
  </w:num>
  <w:num w:numId="13">
    <w:abstractNumId w:val="1"/>
    <w:lvlOverride w:ilvl="0">
      <w:lvl w:ilvl="0">
        <w:start w:val="1"/>
        <w:numFmt w:val="bullet"/>
        <w:lvlText w:val=""/>
        <w:lvlJc w:val="left"/>
        <w:pPr>
          <w:ind w:left="720" w:hanging="360"/>
        </w:pPr>
        <w:rPr>
          <w:rFonts w:ascii="Symbol" w:hAnsi="Symbol" w:hint="default"/>
        </w:rPr>
      </w:lvl>
    </w:lvlOverride>
  </w:num>
  <w:num w:numId="14">
    <w:abstractNumId w:val="2"/>
  </w:num>
  <w:num w:numId="15">
    <w:abstractNumId w:val="38"/>
  </w:num>
  <w:num w:numId="16">
    <w:abstractNumId w:val="14"/>
  </w:num>
  <w:num w:numId="17">
    <w:abstractNumId w:val="27"/>
  </w:num>
  <w:num w:numId="18">
    <w:abstractNumId w:val="40"/>
  </w:num>
  <w:num w:numId="19">
    <w:abstractNumId w:val="54"/>
  </w:num>
  <w:num w:numId="20">
    <w:abstractNumId w:val="16"/>
  </w:num>
  <w:num w:numId="21">
    <w:abstractNumId w:val="19"/>
  </w:num>
  <w:num w:numId="22">
    <w:abstractNumId w:val="33"/>
  </w:num>
  <w:num w:numId="23">
    <w:abstractNumId w:val="51"/>
  </w:num>
  <w:num w:numId="24">
    <w:abstractNumId w:val="29"/>
  </w:num>
  <w:num w:numId="25">
    <w:abstractNumId w:val="55"/>
  </w:num>
  <w:num w:numId="26">
    <w:abstractNumId w:val="53"/>
  </w:num>
  <w:num w:numId="27">
    <w:abstractNumId w:val="52"/>
  </w:num>
  <w:num w:numId="28">
    <w:abstractNumId w:val="47"/>
  </w:num>
  <w:num w:numId="29">
    <w:abstractNumId w:val="4"/>
  </w:num>
  <w:num w:numId="30">
    <w:abstractNumId w:val="6"/>
  </w:num>
  <w:num w:numId="31">
    <w:abstractNumId w:val="12"/>
  </w:num>
  <w:num w:numId="32">
    <w:abstractNumId w:val="46"/>
  </w:num>
  <w:num w:numId="33">
    <w:abstractNumId w:val="5"/>
  </w:num>
  <w:num w:numId="34">
    <w:abstractNumId w:val="49"/>
  </w:num>
  <w:num w:numId="35">
    <w:abstractNumId w:val="44"/>
  </w:num>
  <w:num w:numId="36">
    <w:abstractNumId w:val="1"/>
    <w:lvlOverride w:ilvl="0">
      <w:lvl w:ilvl="0">
        <w:numFmt w:val="bullet"/>
        <w:lvlText w:val=""/>
        <w:legacy w:legacy="1" w:legacySpace="0" w:legacyIndent="283"/>
        <w:lvlJc w:val="left"/>
        <w:pPr>
          <w:ind w:left="567" w:hanging="283"/>
        </w:pPr>
        <w:rPr>
          <w:rFonts w:ascii="Symbol" w:hAnsi="Symbol" w:hint="default"/>
        </w:rPr>
      </w:lvl>
    </w:lvlOverride>
  </w:num>
  <w:num w:numId="37">
    <w:abstractNumId w:val="18"/>
  </w:num>
  <w:num w:numId="38">
    <w:abstractNumId w:val="17"/>
  </w:num>
  <w:num w:numId="39">
    <w:abstractNumId w:val="1"/>
    <w:lvlOverride w:ilvl="0">
      <w:lvl w:ilvl="0">
        <w:start w:val="1"/>
        <w:numFmt w:val="bullet"/>
        <w:lvlText w:val=""/>
        <w:lvlJc w:val="left"/>
        <w:pPr>
          <w:ind w:left="720" w:hanging="360"/>
        </w:pPr>
        <w:rPr>
          <w:rFonts w:ascii="Symbol" w:hAnsi="Symbol" w:hint="default"/>
        </w:rPr>
      </w:lvl>
    </w:lvlOverride>
  </w:num>
  <w:num w:numId="40">
    <w:abstractNumId w:val="22"/>
  </w:num>
  <w:num w:numId="41">
    <w:abstractNumId w:val="15"/>
  </w:num>
  <w:num w:numId="42">
    <w:abstractNumId w:val="48"/>
  </w:num>
  <w:num w:numId="43">
    <w:abstractNumId w:val="32"/>
  </w:num>
  <w:num w:numId="44">
    <w:abstractNumId w:val="20"/>
  </w:num>
  <w:num w:numId="45">
    <w:abstractNumId w:val="26"/>
  </w:num>
  <w:num w:numId="46">
    <w:abstractNumId w:val="9"/>
  </w:num>
  <w:num w:numId="47">
    <w:abstractNumId w:val="10"/>
  </w:num>
  <w:num w:numId="48">
    <w:abstractNumId w:val="45"/>
  </w:num>
  <w:num w:numId="49">
    <w:abstractNumId w:val="37"/>
  </w:num>
  <w:num w:numId="50">
    <w:abstractNumId w:val="31"/>
  </w:num>
  <w:num w:numId="51">
    <w:abstractNumId w:val="21"/>
  </w:num>
  <w:num w:numId="52">
    <w:abstractNumId w:val="42"/>
  </w:num>
  <w:num w:numId="53">
    <w:abstractNumId w:val="36"/>
  </w:num>
  <w:num w:numId="54">
    <w:abstractNumId w:val="39"/>
  </w:num>
  <w:num w:numId="55">
    <w:abstractNumId w:val="25"/>
  </w:num>
  <w:num w:numId="56">
    <w:abstractNumId w:val="3"/>
  </w:num>
  <w:num w:numId="57">
    <w:abstractNumId w:val="28"/>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4F9"/>
    <w:rsid w:val="0002476C"/>
    <w:rsid w:val="00024FEF"/>
    <w:rsid w:val="0002595E"/>
    <w:rsid w:val="00026116"/>
    <w:rsid w:val="00026BD2"/>
    <w:rsid w:val="00026FDD"/>
    <w:rsid w:val="00027A22"/>
    <w:rsid w:val="00030B04"/>
    <w:rsid w:val="0003128F"/>
    <w:rsid w:val="000316FF"/>
    <w:rsid w:val="00031C70"/>
    <w:rsid w:val="00032E3A"/>
    <w:rsid w:val="000338E8"/>
    <w:rsid w:val="00033C6E"/>
    <w:rsid w:val="00033DA8"/>
    <w:rsid w:val="00034832"/>
    <w:rsid w:val="000349EE"/>
    <w:rsid w:val="00034A75"/>
    <w:rsid w:val="00034F66"/>
    <w:rsid w:val="00035B58"/>
    <w:rsid w:val="00035EF4"/>
    <w:rsid w:val="00036931"/>
    <w:rsid w:val="00036976"/>
    <w:rsid w:val="00036ED6"/>
    <w:rsid w:val="000378CC"/>
    <w:rsid w:val="00037B11"/>
    <w:rsid w:val="0004006B"/>
    <w:rsid w:val="0004042B"/>
    <w:rsid w:val="00041496"/>
    <w:rsid w:val="000419D4"/>
    <w:rsid w:val="00041C6C"/>
    <w:rsid w:val="00041EB7"/>
    <w:rsid w:val="00042751"/>
    <w:rsid w:val="000432D1"/>
    <w:rsid w:val="000444BB"/>
    <w:rsid w:val="00044DCB"/>
    <w:rsid w:val="00045054"/>
    <w:rsid w:val="000451B3"/>
    <w:rsid w:val="00045B31"/>
    <w:rsid w:val="0005077B"/>
    <w:rsid w:val="00051C81"/>
    <w:rsid w:val="0005250A"/>
    <w:rsid w:val="000529F2"/>
    <w:rsid w:val="00054BA6"/>
    <w:rsid w:val="00054E26"/>
    <w:rsid w:val="00055735"/>
    <w:rsid w:val="000557CE"/>
    <w:rsid w:val="000559BE"/>
    <w:rsid w:val="000562AF"/>
    <w:rsid w:val="000571C2"/>
    <w:rsid w:val="00060853"/>
    <w:rsid w:val="00060E5C"/>
    <w:rsid w:val="00061952"/>
    <w:rsid w:val="00062214"/>
    <w:rsid w:val="00065751"/>
    <w:rsid w:val="00066490"/>
    <w:rsid w:val="00067189"/>
    <w:rsid w:val="00067BC4"/>
    <w:rsid w:val="0007026C"/>
    <w:rsid w:val="000702DC"/>
    <w:rsid w:val="000703DF"/>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68DE"/>
    <w:rsid w:val="00086D04"/>
    <w:rsid w:val="00086E67"/>
    <w:rsid w:val="00087AE9"/>
    <w:rsid w:val="00087F38"/>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79"/>
    <w:rsid w:val="000C37E9"/>
    <w:rsid w:val="000C3BFD"/>
    <w:rsid w:val="000C3DF6"/>
    <w:rsid w:val="000C469F"/>
    <w:rsid w:val="000C491C"/>
    <w:rsid w:val="000C4C72"/>
    <w:rsid w:val="000C56D4"/>
    <w:rsid w:val="000C65BE"/>
    <w:rsid w:val="000C6808"/>
    <w:rsid w:val="000C6F0E"/>
    <w:rsid w:val="000C7D79"/>
    <w:rsid w:val="000C7E7C"/>
    <w:rsid w:val="000D007F"/>
    <w:rsid w:val="000D28F0"/>
    <w:rsid w:val="000D3F88"/>
    <w:rsid w:val="000D50A8"/>
    <w:rsid w:val="000D59D3"/>
    <w:rsid w:val="000D602F"/>
    <w:rsid w:val="000D6031"/>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3021"/>
    <w:rsid w:val="000F3050"/>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63E3"/>
    <w:rsid w:val="0010786D"/>
    <w:rsid w:val="00110344"/>
    <w:rsid w:val="00111024"/>
    <w:rsid w:val="001126F6"/>
    <w:rsid w:val="001127C6"/>
    <w:rsid w:val="00113882"/>
    <w:rsid w:val="001138AF"/>
    <w:rsid w:val="001138B0"/>
    <w:rsid w:val="00114E69"/>
    <w:rsid w:val="001158DF"/>
    <w:rsid w:val="00116CFB"/>
    <w:rsid w:val="00120CC5"/>
    <w:rsid w:val="00125DFA"/>
    <w:rsid w:val="0012647C"/>
    <w:rsid w:val="00126A7F"/>
    <w:rsid w:val="00127660"/>
    <w:rsid w:val="00130B18"/>
    <w:rsid w:val="00131042"/>
    <w:rsid w:val="0013146D"/>
    <w:rsid w:val="00132AD0"/>
    <w:rsid w:val="00134B0D"/>
    <w:rsid w:val="001355B2"/>
    <w:rsid w:val="00135611"/>
    <w:rsid w:val="00135E41"/>
    <w:rsid w:val="00136F53"/>
    <w:rsid w:val="00136FA8"/>
    <w:rsid w:val="001376AC"/>
    <w:rsid w:val="001400DB"/>
    <w:rsid w:val="0014104C"/>
    <w:rsid w:val="00141052"/>
    <w:rsid w:val="00141D4F"/>
    <w:rsid w:val="00142A4E"/>
    <w:rsid w:val="0014464E"/>
    <w:rsid w:val="00144A1D"/>
    <w:rsid w:val="00144DCE"/>
    <w:rsid w:val="00145081"/>
    <w:rsid w:val="00145167"/>
    <w:rsid w:val="00146F91"/>
    <w:rsid w:val="001509A7"/>
    <w:rsid w:val="00153199"/>
    <w:rsid w:val="001540D3"/>
    <w:rsid w:val="001545B6"/>
    <w:rsid w:val="00154B90"/>
    <w:rsid w:val="00155138"/>
    <w:rsid w:val="00155FD0"/>
    <w:rsid w:val="00156950"/>
    <w:rsid w:val="00157649"/>
    <w:rsid w:val="00160DCC"/>
    <w:rsid w:val="00160DD6"/>
    <w:rsid w:val="0016284D"/>
    <w:rsid w:val="001636EC"/>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3D6A"/>
    <w:rsid w:val="001B424E"/>
    <w:rsid w:val="001B4CC9"/>
    <w:rsid w:val="001B5DF7"/>
    <w:rsid w:val="001B65A1"/>
    <w:rsid w:val="001B6A12"/>
    <w:rsid w:val="001C0535"/>
    <w:rsid w:val="001C05B2"/>
    <w:rsid w:val="001C07DD"/>
    <w:rsid w:val="001C0B67"/>
    <w:rsid w:val="001C12BE"/>
    <w:rsid w:val="001C17BE"/>
    <w:rsid w:val="001C1C9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4E3C"/>
    <w:rsid w:val="001D52CB"/>
    <w:rsid w:val="001D69DD"/>
    <w:rsid w:val="001D6C48"/>
    <w:rsid w:val="001D74DC"/>
    <w:rsid w:val="001E0C2F"/>
    <w:rsid w:val="001E0E97"/>
    <w:rsid w:val="001E17D8"/>
    <w:rsid w:val="001E2338"/>
    <w:rsid w:val="001E558F"/>
    <w:rsid w:val="001E5961"/>
    <w:rsid w:val="001E717B"/>
    <w:rsid w:val="001E74A2"/>
    <w:rsid w:val="001E76FC"/>
    <w:rsid w:val="001F0BC4"/>
    <w:rsid w:val="001F1D17"/>
    <w:rsid w:val="001F1F3D"/>
    <w:rsid w:val="001F4D66"/>
    <w:rsid w:val="001F4DA7"/>
    <w:rsid w:val="001F5414"/>
    <w:rsid w:val="001F59A5"/>
    <w:rsid w:val="001F689E"/>
    <w:rsid w:val="0020089C"/>
    <w:rsid w:val="00200F03"/>
    <w:rsid w:val="002013C3"/>
    <w:rsid w:val="002022AD"/>
    <w:rsid w:val="00202634"/>
    <w:rsid w:val="00203A8F"/>
    <w:rsid w:val="00203D01"/>
    <w:rsid w:val="00204864"/>
    <w:rsid w:val="0020498A"/>
    <w:rsid w:val="002052D8"/>
    <w:rsid w:val="00205EFC"/>
    <w:rsid w:val="00210810"/>
    <w:rsid w:val="00211393"/>
    <w:rsid w:val="00211FAE"/>
    <w:rsid w:val="00211FF4"/>
    <w:rsid w:val="00212787"/>
    <w:rsid w:val="00212C0D"/>
    <w:rsid w:val="002138A9"/>
    <w:rsid w:val="00214451"/>
    <w:rsid w:val="002156FD"/>
    <w:rsid w:val="002159C5"/>
    <w:rsid w:val="00215DFB"/>
    <w:rsid w:val="0021639E"/>
    <w:rsid w:val="00217A33"/>
    <w:rsid w:val="00221123"/>
    <w:rsid w:val="00223339"/>
    <w:rsid w:val="002236A6"/>
    <w:rsid w:val="00224DE6"/>
    <w:rsid w:val="00224E75"/>
    <w:rsid w:val="002259C0"/>
    <w:rsid w:val="00226823"/>
    <w:rsid w:val="002276DD"/>
    <w:rsid w:val="0023002B"/>
    <w:rsid w:val="00230EC2"/>
    <w:rsid w:val="002327D5"/>
    <w:rsid w:val="002327E9"/>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51C"/>
    <w:rsid w:val="00274585"/>
    <w:rsid w:val="00274E55"/>
    <w:rsid w:val="00275122"/>
    <w:rsid w:val="002751DD"/>
    <w:rsid w:val="00276777"/>
    <w:rsid w:val="00276ED9"/>
    <w:rsid w:val="0028043D"/>
    <w:rsid w:val="00280FDA"/>
    <w:rsid w:val="00281365"/>
    <w:rsid w:val="0028188E"/>
    <w:rsid w:val="00282C78"/>
    <w:rsid w:val="00282E34"/>
    <w:rsid w:val="002831ED"/>
    <w:rsid w:val="002840ED"/>
    <w:rsid w:val="002843D9"/>
    <w:rsid w:val="002874D7"/>
    <w:rsid w:val="002903CB"/>
    <w:rsid w:val="00290CFF"/>
    <w:rsid w:val="00291033"/>
    <w:rsid w:val="00291252"/>
    <w:rsid w:val="002915A8"/>
    <w:rsid w:val="0029165B"/>
    <w:rsid w:val="00291981"/>
    <w:rsid w:val="00291F64"/>
    <w:rsid w:val="002920E3"/>
    <w:rsid w:val="00293159"/>
    <w:rsid w:val="0029435D"/>
    <w:rsid w:val="0029701D"/>
    <w:rsid w:val="00297AF8"/>
    <w:rsid w:val="002A0707"/>
    <w:rsid w:val="002A17C4"/>
    <w:rsid w:val="002A2B5D"/>
    <w:rsid w:val="002A349B"/>
    <w:rsid w:val="002A3665"/>
    <w:rsid w:val="002A3BAB"/>
    <w:rsid w:val="002A48AF"/>
    <w:rsid w:val="002A4A76"/>
    <w:rsid w:val="002A5E72"/>
    <w:rsid w:val="002A5F58"/>
    <w:rsid w:val="002B10EE"/>
    <w:rsid w:val="002B2798"/>
    <w:rsid w:val="002B4372"/>
    <w:rsid w:val="002B445D"/>
    <w:rsid w:val="002B4C96"/>
    <w:rsid w:val="002B5973"/>
    <w:rsid w:val="002B73D3"/>
    <w:rsid w:val="002C0F1F"/>
    <w:rsid w:val="002C1811"/>
    <w:rsid w:val="002C1999"/>
    <w:rsid w:val="002C289C"/>
    <w:rsid w:val="002C3DCC"/>
    <w:rsid w:val="002C41FF"/>
    <w:rsid w:val="002C43DB"/>
    <w:rsid w:val="002C4E24"/>
    <w:rsid w:val="002C5D72"/>
    <w:rsid w:val="002C6439"/>
    <w:rsid w:val="002C78B6"/>
    <w:rsid w:val="002C7ECD"/>
    <w:rsid w:val="002D09CC"/>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7DDB"/>
    <w:rsid w:val="002F0044"/>
    <w:rsid w:val="002F0199"/>
    <w:rsid w:val="002F0388"/>
    <w:rsid w:val="002F1623"/>
    <w:rsid w:val="002F2C18"/>
    <w:rsid w:val="002F352C"/>
    <w:rsid w:val="002F3776"/>
    <w:rsid w:val="002F3FAF"/>
    <w:rsid w:val="002F7D23"/>
    <w:rsid w:val="003002D3"/>
    <w:rsid w:val="00300C7E"/>
    <w:rsid w:val="003029D8"/>
    <w:rsid w:val="00302FF6"/>
    <w:rsid w:val="003033EF"/>
    <w:rsid w:val="00303C59"/>
    <w:rsid w:val="00304E98"/>
    <w:rsid w:val="003058FB"/>
    <w:rsid w:val="00305FBE"/>
    <w:rsid w:val="00306501"/>
    <w:rsid w:val="003075E1"/>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D02"/>
    <w:rsid w:val="00361007"/>
    <w:rsid w:val="00361CF3"/>
    <w:rsid w:val="003627DD"/>
    <w:rsid w:val="00362B7F"/>
    <w:rsid w:val="00363067"/>
    <w:rsid w:val="00363EFA"/>
    <w:rsid w:val="00364BAB"/>
    <w:rsid w:val="00364C54"/>
    <w:rsid w:val="00364D74"/>
    <w:rsid w:val="00364D95"/>
    <w:rsid w:val="00365049"/>
    <w:rsid w:val="0036522E"/>
    <w:rsid w:val="00367133"/>
    <w:rsid w:val="00367A90"/>
    <w:rsid w:val="00371609"/>
    <w:rsid w:val="00371671"/>
    <w:rsid w:val="0037202C"/>
    <w:rsid w:val="00372D96"/>
    <w:rsid w:val="00374124"/>
    <w:rsid w:val="003759AE"/>
    <w:rsid w:val="00377A77"/>
    <w:rsid w:val="003803A1"/>
    <w:rsid w:val="00380A9A"/>
    <w:rsid w:val="0038274D"/>
    <w:rsid w:val="00382847"/>
    <w:rsid w:val="003833E4"/>
    <w:rsid w:val="00383700"/>
    <w:rsid w:val="00383AB0"/>
    <w:rsid w:val="0038496B"/>
    <w:rsid w:val="00385CA9"/>
    <w:rsid w:val="00386B0D"/>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09AA"/>
    <w:rsid w:val="003A2297"/>
    <w:rsid w:val="003A29B6"/>
    <w:rsid w:val="003A4E0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2DB1"/>
    <w:rsid w:val="003C4AF5"/>
    <w:rsid w:val="003C4E8F"/>
    <w:rsid w:val="003C4EF8"/>
    <w:rsid w:val="003C5357"/>
    <w:rsid w:val="003D05FE"/>
    <w:rsid w:val="003D210F"/>
    <w:rsid w:val="003D35EF"/>
    <w:rsid w:val="003D3B49"/>
    <w:rsid w:val="003D3D9E"/>
    <w:rsid w:val="003D55BE"/>
    <w:rsid w:val="003D5DE9"/>
    <w:rsid w:val="003D5F81"/>
    <w:rsid w:val="003D7FA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385B"/>
    <w:rsid w:val="00413CA9"/>
    <w:rsid w:val="00413EED"/>
    <w:rsid w:val="00414A4C"/>
    <w:rsid w:val="00414CA3"/>
    <w:rsid w:val="00415AAD"/>
    <w:rsid w:val="0041623F"/>
    <w:rsid w:val="0041728F"/>
    <w:rsid w:val="004178C1"/>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229E"/>
    <w:rsid w:val="004331FF"/>
    <w:rsid w:val="00433EDC"/>
    <w:rsid w:val="00434AB9"/>
    <w:rsid w:val="00434C77"/>
    <w:rsid w:val="00440808"/>
    <w:rsid w:val="00441BAD"/>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436B"/>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633"/>
    <w:rsid w:val="004B13AA"/>
    <w:rsid w:val="004B14C0"/>
    <w:rsid w:val="004B2B81"/>
    <w:rsid w:val="004B41EE"/>
    <w:rsid w:val="004B4C64"/>
    <w:rsid w:val="004B5BBE"/>
    <w:rsid w:val="004B6415"/>
    <w:rsid w:val="004B6441"/>
    <w:rsid w:val="004B73E7"/>
    <w:rsid w:val="004B7790"/>
    <w:rsid w:val="004C05A5"/>
    <w:rsid w:val="004C0FE5"/>
    <w:rsid w:val="004C2DBC"/>
    <w:rsid w:val="004C339E"/>
    <w:rsid w:val="004C340A"/>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7253"/>
    <w:rsid w:val="004E7950"/>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7F54"/>
    <w:rsid w:val="00531900"/>
    <w:rsid w:val="005329D4"/>
    <w:rsid w:val="00532E20"/>
    <w:rsid w:val="00534CC2"/>
    <w:rsid w:val="005359C0"/>
    <w:rsid w:val="00535FFB"/>
    <w:rsid w:val="00537288"/>
    <w:rsid w:val="0054017F"/>
    <w:rsid w:val="0054168C"/>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5200"/>
    <w:rsid w:val="005654FB"/>
    <w:rsid w:val="00565EF7"/>
    <w:rsid w:val="005661DF"/>
    <w:rsid w:val="00566858"/>
    <w:rsid w:val="005676DC"/>
    <w:rsid w:val="00567739"/>
    <w:rsid w:val="00567A1B"/>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6F8"/>
    <w:rsid w:val="00590A9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68CF"/>
    <w:rsid w:val="005A6CB1"/>
    <w:rsid w:val="005A71E9"/>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896"/>
    <w:rsid w:val="005D40E1"/>
    <w:rsid w:val="005D460E"/>
    <w:rsid w:val="005D4846"/>
    <w:rsid w:val="005D4877"/>
    <w:rsid w:val="005D6008"/>
    <w:rsid w:val="005D6252"/>
    <w:rsid w:val="005D652A"/>
    <w:rsid w:val="005D6D67"/>
    <w:rsid w:val="005E26CF"/>
    <w:rsid w:val="005E27A6"/>
    <w:rsid w:val="005E32A3"/>
    <w:rsid w:val="005E3865"/>
    <w:rsid w:val="005E531B"/>
    <w:rsid w:val="005E74AE"/>
    <w:rsid w:val="005E7516"/>
    <w:rsid w:val="005E75FA"/>
    <w:rsid w:val="005F0470"/>
    <w:rsid w:val="005F3AFA"/>
    <w:rsid w:val="005F3E11"/>
    <w:rsid w:val="005F54A5"/>
    <w:rsid w:val="005F5722"/>
    <w:rsid w:val="005F5D74"/>
    <w:rsid w:val="005F7907"/>
    <w:rsid w:val="005F7FD3"/>
    <w:rsid w:val="00600787"/>
    <w:rsid w:val="00600B60"/>
    <w:rsid w:val="006028AC"/>
    <w:rsid w:val="00603D56"/>
    <w:rsid w:val="006043AA"/>
    <w:rsid w:val="00606054"/>
    <w:rsid w:val="00607C32"/>
    <w:rsid w:val="00607F1C"/>
    <w:rsid w:val="00610CDE"/>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940"/>
    <w:rsid w:val="00626B1D"/>
    <w:rsid w:val="00630BE1"/>
    <w:rsid w:val="00630FCB"/>
    <w:rsid w:val="00632738"/>
    <w:rsid w:val="00633E90"/>
    <w:rsid w:val="0063400F"/>
    <w:rsid w:val="00635200"/>
    <w:rsid w:val="00635D71"/>
    <w:rsid w:val="00637052"/>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22A0"/>
    <w:rsid w:val="00653919"/>
    <w:rsid w:val="00654258"/>
    <w:rsid w:val="0065504C"/>
    <w:rsid w:val="006552FD"/>
    <w:rsid w:val="0065609C"/>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159"/>
    <w:rsid w:val="006808D7"/>
    <w:rsid w:val="00680AA8"/>
    <w:rsid w:val="006811D6"/>
    <w:rsid w:val="0068174F"/>
    <w:rsid w:val="00681787"/>
    <w:rsid w:val="006819C8"/>
    <w:rsid w:val="00683BD1"/>
    <w:rsid w:val="00683FED"/>
    <w:rsid w:val="00685D27"/>
    <w:rsid w:val="00686B1B"/>
    <w:rsid w:val="00690AFD"/>
    <w:rsid w:val="0069185E"/>
    <w:rsid w:val="006927FA"/>
    <w:rsid w:val="00692AC9"/>
    <w:rsid w:val="00693333"/>
    <w:rsid w:val="00693C6A"/>
    <w:rsid w:val="00694CCC"/>
    <w:rsid w:val="00694CE4"/>
    <w:rsid w:val="0069600A"/>
    <w:rsid w:val="00696031"/>
    <w:rsid w:val="00696261"/>
    <w:rsid w:val="0069688F"/>
    <w:rsid w:val="00697392"/>
    <w:rsid w:val="00697507"/>
    <w:rsid w:val="0069782A"/>
    <w:rsid w:val="006A083E"/>
    <w:rsid w:val="006A08D5"/>
    <w:rsid w:val="006A091D"/>
    <w:rsid w:val="006A276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29F2"/>
    <w:rsid w:val="006C4634"/>
    <w:rsid w:val="006C4809"/>
    <w:rsid w:val="006C7E77"/>
    <w:rsid w:val="006D03D8"/>
    <w:rsid w:val="006D0DD1"/>
    <w:rsid w:val="006D1BB9"/>
    <w:rsid w:val="006D1FFF"/>
    <w:rsid w:val="006D2114"/>
    <w:rsid w:val="006D2D8D"/>
    <w:rsid w:val="006D30A4"/>
    <w:rsid w:val="006D311D"/>
    <w:rsid w:val="006D3206"/>
    <w:rsid w:val="006D4380"/>
    <w:rsid w:val="006D4815"/>
    <w:rsid w:val="006D698D"/>
    <w:rsid w:val="006D78FF"/>
    <w:rsid w:val="006D7E2A"/>
    <w:rsid w:val="006E058E"/>
    <w:rsid w:val="006E07C3"/>
    <w:rsid w:val="006E1620"/>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489D"/>
    <w:rsid w:val="0074514B"/>
    <w:rsid w:val="007456DC"/>
    <w:rsid w:val="00745F83"/>
    <w:rsid w:val="007460DB"/>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80E20"/>
    <w:rsid w:val="0078178B"/>
    <w:rsid w:val="0078187B"/>
    <w:rsid w:val="007818AB"/>
    <w:rsid w:val="00781CA3"/>
    <w:rsid w:val="00782FDA"/>
    <w:rsid w:val="00785399"/>
    <w:rsid w:val="00785B79"/>
    <w:rsid w:val="00786406"/>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D74"/>
    <w:rsid w:val="00797036"/>
    <w:rsid w:val="00797F04"/>
    <w:rsid w:val="007A0167"/>
    <w:rsid w:val="007A1E14"/>
    <w:rsid w:val="007A3904"/>
    <w:rsid w:val="007A57F4"/>
    <w:rsid w:val="007A6870"/>
    <w:rsid w:val="007B31B6"/>
    <w:rsid w:val="007B3529"/>
    <w:rsid w:val="007B5211"/>
    <w:rsid w:val="007C0787"/>
    <w:rsid w:val="007C07C5"/>
    <w:rsid w:val="007C2CBF"/>
    <w:rsid w:val="007C2D6B"/>
    <w:rsid w:val="007C3321"/>
    <w:rsid w:val="007C3593"/>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B5F"/>
    <w:rsid w:val="007D5306"/>
    <w:rsid w:val="007D5D0A"/>
    <w:rsid w:val="007D64BB"/>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B34"/>
    <w:rsid w:val="00811B49"/>
    <w:rsid w:val="00811CDA"/>
    <w:rsid w:val="008140C2"/>
    <w:rsid w:val="00814D3F"/>
    <w:rsid w:val="00815415"/>
    <w:rsid w:val="008157C9"/>
    <w:rsid w:val="008169EC"/>
    <w:rsid w:val="0082010F"/>
    <w:rsid w:val="008212B0"/>
    <w:rsid w:val="00821A37"/>
    <w:rsid w:val="00821C94"/>
    <w:rsid w:val="00822E71"/>
    <w:rsid w:val="00822F86"/>
    <w:rsid w:val="0082399B"/>
    <w:rsid w:val="00824BEE"/>
    <w:rsid w:val="00825193"/>
    <w:rsid w:val="00825C09"/>
    <w:rsid w:val="00826076"/>
    <w:rsid w:val="00826273"/>
    <w:rsid w:val="008262D3"/>
    <w:rsid w:val="00826DBC"/>
    <w:rsid w:val="00826FD1"/>
    <w:rsid w:val="008275E5"/>
    <w:rsid w:val="00827D46"/>
    <w:rsid w:val="0083038A"/>
    <w:rsid w:val="0083066E"/>
    <w:rsid w:val="00830E2A"/>
    <w:rsid w:val="008314D7"/>
    <w:rsid w:val="00831C5E"/>
    <w:rsid w:val="00832654"/>
    <w:rsid w:val="00832685"/>
    <w:rsid w:val="008331AD"/>
    <w:rsid w:val="008338B9"/>
    <w:rsid w:val="008350EE"/>
    <w:rsid w:val="0083618B"/>
    <w:rsid w:val="008367AC"/>
    <w:rsid w:val="00837647"/>
    <w:rsid w:val="008405A0"/>
    <w:rsid w:val="00840A6E"/>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31E1"/>
    <w:rsid w:val="008736DF"/>
    <w:rsid w:val="008741DB"/>
    <w:rsid w:val="00874B7D"/>
    <w:rsid w:val="00874D0D"/>
    <w:rsid w:val="00875CD1"/>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50B"/>
    <w:rsid w:val="008860BD"/>
    <w:rsid w:val="00886AB3"/>
    <w:rsid w:val="00886F6C"/>
    <w:rsid w:val="008874F5"/>
    <w:rsid w:val="0088790E"/>
    <w:rsid w:val="00887B21"/>
    <w:rsid w:val="00891B74"/>
    <w:rsid w:val="00892DE9"/>
    <w:rsid w:val="00893E28"/>
    <w:rsid w:val="00894DA5"/>
    <w:rsid w:val="0089503E"/>
    <w:rsid w:val="00895093"/>
    <w:rsid w:val="008959B9"/>
    <w:rsid w:val="00895F6F"/>
    <w:rsid w:val="00896BB6"/>
    <w:rsid w:val="008A0BF5"/>
    <w:rsid w:val="008A198C"/>
    <w:rsid w:val="008A2046"/>
    <w:rsid w:val="008A2455"/>
    <w:rsid w:val="008A2A2F"/>
    <w:rsid w:val="008A3652"/>
    <w:rsid w:val="008A6A63"/>
    <w:rsid w:val="008A6D95"/>
    <w:rsid w:val="008A6EC0"/>
    <w:rsid w:val="008B0290"/>
    <w:rsid w:val="008B09D3"/>
    <w:rsid w:val="008B1171"/>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DE9"/>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79DB"/>
    <w:rsid w:val="008F1975"/>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18"/>
    <w:rsid w:val="009031A2"/>
    <w:rsid w:val="0090367E"/>
    <w:rsid w:val="00903E49"/>
    <w:rsid w:val="00903EBB"/>
    <w:rsid w:val="009046F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9C8"/>
    <w:rsid w:val="00953BD4"/>
    <w:rsid w:val="00953DE1"/>
    <w:rsid w:val="00954447"/>
    <w:rsid w:val="00954C4D"/>
    <w:rsid w:val="00954C6C"/>
    <w:rsid w:val="00955259"/>
    <w:rsid w:val="00955D18"/>
    <w:rsid w:val="00956AC9"/>
    <w:rsid w:val="00960E94"/>
    <w:rsid w:val="009619CC"/>
    <w:rsid w:val="009628CB"/>
    <w:rsid w:val="00962AB9"/>
    <w:rsid w:val="00963089"/>
    <w:rsid w:val="0096362C"/>
    <w:rsid w:val="00963FE9"/>
    <w:rsid w:val="009650BD"/>
    <w:rsid w:val="00965DFD"/>
    <w:rsid w:val="00966084"/>
    <w:rsid w:val="009661A6"/>
    <w:rsid w:val="00966E9D"/>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A83"/>
    <w:rsid w:val="0099413E"/>
    <w:rsid w:val="009941C8"/>
    <w:rsid w:val="0099424C"/>
    <w:rsid w:val="00994BA0"/>
    <w:rsid w:val="009952BF"/>
    <w:rsid w:val="0099587F"/>
    <w:rsid w:val="00995B30"/>
    <w:rsid w:val="009967CB"/>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C1289"/>
    <w:rsid w:val="009C48A3"/>
    <w:rsid w:val="009C4B4E"/>
    <w:rsid w:val="009C6421"/>
    <w:rsid w:val="009C6F8B"/>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092B"/>
    <w:rsid w:val="00A11345"/>
    <w:rsid w:val="00A11D42"/>
    <w:rsid w:val="00A12A28"/>
    <w:rsid w:val="00A134D8"/>
    <w:rsid w:val="00A14950"/>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D87"/>
    <w:rsid w:val="00A26386"/>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CD8"/>
    <w:rsid w:val="00A45EE9"/>
    <w:rsid w:val="00A46863"/>
    <w:rsid w:val="00A4696A"/>
    <w:rsid w:val="00A51CAA"/>
    <w:rsid w:val="00A53343"/>
    <w:rsid w:val="00A54ACB"/>
    <w:rsid w:val="00A55ABB"/>
    <w:rsid w:val="00A56055"/>
    <w:rsid w:val="00A56B6D"/>
    <w:rsid w:val="00A57F27"/>
    <w:rsid w:val="00A60027"/>
    <w:rsid w:val="00A60D7F"/>
    <w:rsid w:val="00A61E8F"/>
    <w:rsid w:val="00A62004"/>
    <w:rsid w:val="00A6266F"/>
    <w:rsid w:val="00A63F16"/>
    <w:rsid w:val="00A64A3B"/>
    <w:rsid w:val="00A65DD2"/>
    <w:rsid w:val="00A66866"/>
    <w:rsid w:val="00A679BC"/>
    <w:rsid w:val="00A70063"/>
    <w:rsid w:val="00A7009D"/>
    <w:rsid w:val="00A7080D"/>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6A1B"/>
    <w:rsid w:val="00A86D47"/>
    <w:rsid w:val="00A91E1F"/>
    <w:rsid w:val="00A92296"/>
    <w:rsid w:val="00A9340A"/>
    <w:rsid w:val="00A9427C"/>
    <w:rsid w:val="00A944F3"/>
    <w:rsid w:val="00A96E05"/>
    <w:rsid w:val="00A97896"/>
    <w:rsid w:val="00A97E15"/>
    <w:rsid w:val="00AA0BA5"/>
    <w:rsid w:val="00AA164C"/>
    <w:rsid w:val="00AA179C"/>
    <w:rsid w:val="00AA18AE"/>
    <w:rsid w:val="00AA19B0"/>
    <w:rsid w:val="00AA2776"/>
    <w:rsid w:val="00AA3306"/>
    <w:rsid w:val="00AA4125"/>
    <w:rsid w:val="00AA4AA6"/>
    <w:rsid w:val="00AA57F0"/>
    <w:rsid w:val="00AA5BED"/>
    <w:rsid w:val="00AA5DB4"/>
    <w:rsid w:val="00AB16BF"/>
    <w:rsid w:val="00AB1FBE"/>
    <w:rsid w:val="00AB24C8"/>
    <w:rsid w:val="00AB4252"/>
    <w:rsid w:val="00AB508B"/>
    <w:rsid w:val="00AB6734"/>
    <w:rsid w:val="00AB6BE1"/>
    <w:rsid w:val="00AC00CE"/>
    <w:rsid w:val="00AC16E1"/>
    <w:rsid w:val="00AC18F5"/>
    <w:rsid w:val="00AC2599"/>
    <w:rsid w:val="00AC26C3"/>
    <w:rsid w:val="00AC27AB"/>
    <w:rsid w:val="00AC3FF9"/>
    <w:rsid w:val="00AC5086"/>
    <w:rsid w:val="00AC5496"/>
    <w:rsid w:val="00AC6019"/>
    <w:rsid w:val="00AC6F72"/>
    <w:rsid w:val="00AD12EE"/>
    <w:rsid w:val="00AD173D"/>
    <w:rsid w:val="00AD2465"/>
    <w:rsid w:val="00AD442D"/>
    <w:rsid w:val="00AD6554"/>
    <w:rsid w:val="00AD7EE7"/>
    <w:rsid w:val="00AE0A04"/>
    <w:rsid w:val="00AE14F3"/>
    <w:rsid w:val="00AE20D3"/>
    <w:rsid w:val="00AE22F2"/>
    <w:rsid w:val="00AE2392"/>
    <w:rsid w:val="00AE24DF"/>
    <w:rsid w:val="00AE3428"/>
    <w:rsid w:val="00AE46CA"/>
    <w:rsid w:val="00AE52EA"/>
    <w:rsid w:val="00AE5B1E"/>
    <w:rsid w:val="00AE79CA"/>
    <w:rsid w:val="00AF1968"/>
    <w:rsid w:val="00AF24A0"/>
    <w:rsid w:val="00AF310D"/>
    <w:rsid w:val="00AF328F"/>
    <w:rsid w:val="00AF4582"/>
    <w:rsid w:val="00AF4F04"/>
    <w:rsid w:val="00AF6B3D"/>
    <w:rsid w:val="00AF6F3E"/>
    <w:rsid w:val="00AF7639"/>
    <w:rsid w:val="00AF7B0E"/>
    <w:rsid w:val="00AF7B73"/>
    <w:rsid w:val="00AF7DE5"/>
    <w:rsid w:val="00B01399"/>
    <w:rsid w:val="00B01C44"/>
    <w:rsid w:val="00B03922"/>
    <w:rsid w:val="00B04ACF"/>
    <w:rsid w:val="00B04D0C"/>
    <w:rsid w:val="00B053C6"/>
    <w:rsid w:val="00B05746"/>
    <w:rsid w:val="00B062B6"/>
    <w:rsid w:val="00B07386"/>
    <w:rsid w:val="00B10030"/>
    <w:rsid w:val="00B104E7"/>
    <w:rsid w:val="00B108E3"/>
    <w:rsid w:val="00B10DE9"/>
    <w:rsid w:val="00B1175C"/>
    <w:rsid w:val="00B14DAA"/>
    <w:rsid w:val="00B15573"/>
    <w:rsid w:val="00B158FE"/>
    <w:rsid w:val="00B163C8"/>
    <w:rsid w:val="00B16E28"/>
    <w:rsid w:val="00B16E80"/>
    <w:rsid w:val="00B1749D"/>
    <w:rsid w:val="00B17D6B"/>
    <w:rsid w:val="00B209D1"/>
    <w:rsid w:val="00B227CB"/>
    <w:rsid w:val="00B234E3"/>
    <w:rsid w:val="00B23945"/>
    <w:rsid w:val="00B24A09"/>
    <w:rsid w:val="00B256F0"/>
    <w:rsid w:val="00B26A6C"/>
    <w:rsid w:val="00B274CC"/>
    <w:rsid w:val="00B31E79"/>
    <w:rsid w:val="00B32641"/>
    <w:rsid w:val="00B33A06"/>
    <w:rsid w:val="00B34AF2"/>
    <w:rsid w:val="00B35253"/>
    <w:rsid w:val="00B36427"/>
    <w:rsid w:val="00B40107"/>
    <w:rsid w:val="00B4093A"/>
    <w:rsid w:val="00B40D05"/>
    <w:rsid w:val="00B40DAA"/>
    <w:rsid w:val="00B419F8"/>
    <w:rsid w:val="00B4246E"/>
    <w:rsid w:val="00B43B74"/>
    <w:rsid w:val="00B43C8B"/>
    <w:rsid w:val="00B44286"/>
    <w:rsid w:val="00B44DE2"/>
    <w:rsid w:val="00B461DE"/>
    <w:rsid w:val="00B4742A"/>
    <w:rsid w:val="00B47B47"/>
    <w:rsid w:val="00B50DEE"/>
    <w:rsid w:val="00B50F6E"/>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8A2"/>
    <w:rsid w:val="00B75A56"/>
    <w:rsid w:val="00B75A7B"/>
    <w:rsid w:val="00B77130"/>
    <w:rsid w:val="00B77B0A"/>
    <w:rsid w:val="00B77E9D"/>
    <w:rsid w:val="00B77EB1"/>
    <w:rsid w:val="00B811E0"/>
    <w:rsid w:val="00B811EC"/>
    <w:rsid w:val="00B81ED2"/>
    <w:rsid w:val="00B822F3"/>
    <w:rsid w:val="00B82F3D"/>
    <w:rsid w:val="00B83060"/>
    <w:rsid w:val="00B832BA"/>
    <w:rsid w:val="00B83530"/>
    <w:rsid w:val="00B84123"/>
    <w:rsid w:val="00B85972"/>
    <w:rsid w:val="00B87120"/>
    <w:rsid w:val="00B901EB"/>
    <w:rsid w:val="00B920F7"/>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3716"/>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197A"/>
    <w:rsid w:val="00BE1AF0"/>
    <w:rsid w:val="00BE364C"/>
    <w:rsid w:val="00BE37BA"/>
    <w:rsid w:val="00BE4580"/>
    <w:rsid w:val="00BE50AC"/>
    <w:rsid w:val="00BE6483"/>
    <w:rsid w:val="00BE6F98"/>
    <w:rsid w:val="00BF00D9"/>
    <w:rsid w:val="00BF15FD"/>
    <w:rsid w:val="00BF1785"/>
    <w:rsid w:val="00BF1CFD"/>
    <w:rsid w:val="00BF2010"/>
    <w:rsid w:val="00BF2365"/>
    <w:rsid w:val="00BF27A1"/>
    <w:rsid w:val="00BF2E5D"/>
    <w:rsid w:val="00BF384C"/>
    <w:rsid w:val="00BF4496"/>
    <w:rsid w:val="00BF4BCD"/>
    <w:rsid w:val="00BF683B"/>
    <w:rsid w:val="00BF688B"/>
    <w:rsid w:val="00BF69EB"/>
    <w:rsid w:val="00BF754F"/>
    <w:rsid w:val="00C01120"/>
    <w:rsid w:val="00C01A8A"/>
    <w:rsid w:val="00C0229B"/>
    <w:rsid w:val="00C03049"/>
    <w:rsid w:val="00C035C7"/>
    <w:rsid w:val="00C0389C"/>
    <w:rsid w:val="00C04263"/>
    <w:rsid w:val="00C04273"/>
    <w:rsid w:val="00C044F5"/>
    <w:rsid w:val="00C04732"/>
    <w:rsid w:val="00C04F2D"/>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4991"/>
    <w:rsid w:val="00C363DF"/>
    <w:rsid w:val="00C373A2"/>
    <w:rsid w:val="00C37F29"/>
    <w:rsid w:val="00C4067A"/>
    <w:rsid w:val="00C41BC5"/>
    <w:rsid w:val="00C44FB9"/>
    <w:rsid w:val="00C454C8"/>
    <w:rsid w:val="00C45A67"/>
    <w:rsid w:val="00C46454"/>
    <w:rsid w:val="00C47D9F"/>
    <w:rsid w:val="00C5077D"/>
    <w:rsid w:val="00C5106A"/>
    <w:rsid w:val="00C515E0"/>
    <w:rsid w:val="00C5183B"/>
    <w:rsid w:val="00C522C9"/>
    <w:rsid w:val="00C540BC"/>
    <w:rsid w:val="00C546D9"/>
    <w:rsid w:val="00C57333"/>
    <w:rsid w:val="00C57A19"/>
    <w:rsid w:val="00C61462"/>
    <w:rsid w:val="00C61790"/>
    <w:rsid w:val="00C624F8"/>
    <w:rsid w:val="00C62955"/>
    <w:rsid w:val="00C64256"/>
    <w:rsid w:val="00C64815"/>
    <w:rsid w:val="00C64A18"/>
    <w:rsid w:val="00C64C12"/>
    <w:rsid w:val="00C64DB4"/>
    <w:rsid w:val="00C66947"/>
    <w:rsid w:val="00C67814"/>
    <w:rsid w:val="00C67DF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992"/>
    <w:rsid w:val="00C97B34"/>
    <w:rsid w:val="00CA1241"/>
    <w:rsid w:val="00CA18F8"/>
    <w:rsid w:val="00CA1941"/>
    <w:rsid w:val="00CA3753"/>
    <w:rsid w:val="00CA3D9A"/>
    <w:rsid w:val="00CB10E5"/>
    <w:rsid w:val="00CB1363"/>
    <w:rsid w:val="00CB1D32"/>
    <w:rsid w:val="00CB40EE"/>
    <w:rsid w:val="00CB4EF9"/>
    <w:rsid w:val="00CB4F00"/>
    <w:rsid w:val="00CB5CC4"/>
    <w:rsid w:val="00CB6A8A"/>
    <w:rsid w:val="00CB7A79"/>
    <w:rsid w:val="00CC0E6A"/>
    <w:rsid w:val="00CC3544"/>
    <w:rsid w:val="00CC3E39"/>
    <w:rsid w:val="00CC4171"/>
    <w:rsid w:val="00CC4385"/>
    <w:rsid w:val="00CC49A2"/>
    <w:rsid w:val="00CC57DC"/>
    <w:rsid w:val="00CC6783"/>
    <w:rsid w:val="00CC6A15"/>
    <w:rsid w:val="00CC6AD3"/>
    <w:rsid w:val="00CC734B"/>
    <w:rsid w:val="00CD06D2"/>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63B6"/>
    <w:rsid w:val="00CE653A"/>
    <w:rsid w:val="00CE78F3"/>
    <w:rsid w:val="00CF2663"/>
    <w:rsid w:val="00CF35FC"/>
    <w:rsid w:val="00CF3BBF"/>
    <w:rsid w:val="00CF53C8"/>
    <w:rsid w:val="00CF5E85"/>
    <w:rsid w:val="00CF5F66"/>
    <w:rsid w:val="00CF635C"/>
    <w:rsid w:val="00CF63CB"/>
    <w:rsid w:val="00CF79ED"/>
    <w:rsid w:val="00CF7A15"/>
    <w:rsid w:val="00D00275"/>
    <w:rsid w:val="00D00B99"/>
    <w:rsid w:val="00D0129A"/>
    <w:rsid w:val="00D02C24"/>
    <w:rsid w:val="00D03123"/>
    <w:rsid w:val="00D033AB"/>
    <w:rsid w:val="00D0410B"/>
    <w:rsid w:val="00D0422F"/>
    <w:rsid w:val="00D046A8"/>
    <w:rsid w:val="00D057E1"/>
    <w:rsid w:val="00D05BB8"/>
    <w:rsid w:val="00D05EB9"/>
    <w:rsid w:val="00D06776"/>
    <w:rsid w:val="00D06A85"/>
    <w:rsid w:val="00D07A8B"/>
    <w:rsid w:val="00D13369"/>
    <w:rsid w:val="00D13F17"/>
    <w:rsid w:val="00D14053"/>
    <w:rsid w:val="00D14D46"/>
    <w:rsid w:val="00D15180"/>
    <w:rsid w:val="00D1518A"/>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CA"/>
    <w:rsid w:val="00D538D3"/>
    <w:rsid w:val="00D56136"/>
    <w:rsid w:val="00D56D1A"/>
    <w:rsid w:val="00D57B64"/>
    <w:rsid w:val="00D601FC"/>
    <w:rsid w:val="00D606E2"/>
    <w:rsid w:val="00D61533"/>
    <w:rsid w:val="00D621E6"/>
    <w:rsid w:val="00D62387"/>
    <w:rsid w:val="00D62A5F"/>
    <w:rsid w:val="00D64CA3"/>
    <w:rsid w:val="00D64FE0"/>
    <w:rsid w:val="00D668D4"/>
    <w:rsid w:val="00D67573"/>
    <w:rsid w:val="00D67A5D"/>
    <w:rsid w:val="00D67BBB"/>
    <w:rsid w:val="00D67C7B"/>
    <w:rsid w:val="00D71342"/>
    <w:rsid w:val="00D71803"/>
    <w:rsid w:val="00D71CD2"/>
    <w:rsid w:val="00D72920"/>
    <w:rsid w:val="00D72EB4"/>
    <w:rsid w:val="00D73420"/>
    <w:rsid w:val="00D73B1E"/>
    <w:rsid w:val="00D7472A"/>
    <w:rsid w:val="00D74A5E"/>
    <w:rsid w:val="00D751B0"/>
    <w:rsid w:val="00D805CE"/>
    <w:rsid w:val="00D80E32"/>
    <w:rsid w:val="00D81307"/>
    <w:rsid w:val="00D81C22"/>
    <w:rsid w:val="00D81C7A"/>
    <w:rsid w:val="00D81CB1"/>
    <w:rsid w:val="00D82C94"/>
    <w:rsid w:val="00D82F00"/>
    <w:rsid w:val="00D830A4"/>
    <w:rsid w:val="00D83969"/>
    <w:rsid w:val="00D84D1C"/>
    <w:rsid w:val="00D85439"/>
    <w:rsid w:val="00D86311"/>
    <w:rsid w:val="00D87BF1"/>
    <w:rsid w:val="00D90188"/>
    <w:rsid w:val="00D90700"/>
    <w:rsid w:val="00D90FB6"/>
    <w:rsid w:val="00D916E0"/>
    <w:rsid w:val="00D92D5B"/>
    <w:rsid w:val="00D93206"/>
    <w:rsid w:val="00D94EB7"/>
    <w:rsid w:val="00D95007"/>
    <w:rsid w:val="00D95EAB"/>
    <w:rsid w:val="00D96879"/>
    <w:rsid w:val="00D97E9B"/>
    <w:rsid w:val="00D97EA9"/>
    <w:rsid w:val="00DA0BA0"/>
    <w:rsid w:val="00DA161B"/>
    <w:rsid w:val="00DA21B4"/>
    <w:rsid w:val="00DA2918"/>
    <w:rsid w:val="00DA2D91"/>
    <w:rsid w:val="00DA3474"/>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C2F"/>
    <w:rsid w:val="00E04420"/>
    <w:rsid w:val="00E04459"/>
    <w:rsid w:val="00E0490E"/>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CE4"/>
    <w:rsid w:val="00E30A3C"/>
    <w:rsid w:val="00E30C86"/>
    <w:rsid w:val="00E32722"/>
    <w:rsid w:val="00E33B33"/>
    <w:rsid w:val="00E34658"/>
    <w:rsid w:val="00E3526B"/>
    <w:rsid w:val="00E35AA3"/>
    <w:rsid w:val="00E37047"/>
    <w:rsid w:val="00E370DE"/>
    <w:rsid w:val="00E37661"/>
    <w:rsid w:val="00E407DD"/>
    <w:rsid w:val="00E41308"/>
    <w:rsid w:val="00E41633"/>
    <w:rsid w:val="00E417E3"/>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239"/>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C7E"/>
    <w:rsid w:val="00E72430"/>
    <w:rsid w:val="00E752BD"/>
    <w:rsid w:val="00E75D87"/>
    <w:rsid w:val="00E80D97"/>
    <w:rsid w:val="00E81A13"/>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B80"/>
    <w:rsid w:val="00EA33A4"/>
    <w:rsid w:val="00EA3B47"/>
    <w:rsid w:val="00EA3BB2"/>
    <w:rsid w:val="00EA45D8"/>
    <w:rsid w:val="00EA5358"/>
    <w:rsid w:val="00EA5C24"/>
    <w:rsid w:val="00EA5F81"/>
    <w:rsid w:val="00EA6E1D"/>
    <w:rsid w:val="00EA7311"/>
    <w:rsid w:val="00EA7B88"/>
    <w:rsid w:val="00EB44EE"/>
    <w:rsid w:val="00EB509D"/>
    <w:rsid w:val="00EB6E7A"/>
    <w:rsid w:val="00EC13B7"/>
    <w:rsid w:val="00EC1BD8"/>
    <w:rsid w:val="00EC2AB1"/>
    <w:rsid w:val="00EC423F"/>
    <w:rsid w:val="00EC4C43"/>
    <w:rsid w:val="00EC5F04"/>
    <w:rsid w:val="00EC63E2"/>
    <w:rsid w:val="00EC69E1"/>
    <w:rsid w:val="00EC6D2D"/>
    <w:rsid w:val="00EC713A"/>
    <w:rsid w:val="00EC7796"/>
    <w:rsid w:val="00EC7FB1"/>
    <w:rsid w:val="00ED0D2F"/>
    <w:rsid w:val="00ED0F60"/>
    <w:rsid w:val="00ED143E"/>
    <w:rsid w:val="00ED2941"/>
    <w:rsid w:val="00ED65ED"/>
    <w:rsid w:val="00ED6A60"/>
    <w:rsid w:val="00ED6FD4"/>
    <w:rsid w:val="00ED70E2"/>
    <w:rsid w:val="00ED7F77"/>
    <w:rsid w:val="00EE140B"/>
    <w:rsid w:val="00EE25F5"/>
    <w:rsid w:val="00EE278E"/>
    <w:rsid w:val="00EE3AEB"/>
    <w:rsid w:val="00EE4363"/>
    <w:rsid w:val="00EE4976"/>
    <w:rsid w:val="00EE5CC0"/>
    <w:rsid w:val="00EE5E88"/>
    <w:rsid w:val="00EE6742"/>
    <w:rsid w:val="00EE74E4"/>
    <w:rsid w:val="00EF0733"/>
    <w:rsid w:val="00EF0FE0"/>
    <w:rsid w:val="00EF1FF3"/>
    <w:rsid w:val="00EF22C6"/>
    <w:rsid w:val="00EF2BED"/>
    <w:rsid w:val="00EF53DD"/>
    <w:rsid w:val="00EF5987"/>
    <w:rsid w:val="00EF5BA6"/>
    <w:rsid w:val="00EF64A8"/>
    <w:rsid w:val="00EF65C5"/>
    <w:rsid w:val="00EF6BEA"/>
    <w:rsid w:val="00EF7A77"/>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39A5"/>
    <w:rsid w:val="00F13AE7"/>
    <w:rsid w:val="00F153E0"/>
    <w:rsid w:val="00F1658B"/>
    <w:rsid w:val="00F17107"/>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E8"/>
    <w:rsid w:val="00F33BFD"/>
    <w:rsid w:val="00F36F50"/>
    <w:rsid w:val="00F37CCC"/>
    <w:rsid w:val="00F400A9"/>
    <w:rsid w:val="00F410EA"/>
    <w:rsid w:val="00F413C3"/>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A32"/>
    <w:rsid w:val="00F70FF1"/>
    <w:rsid w:val="00F70FFA"/>
    <w:rsid w:val="00F71A9C"/>
    <w:rsid w:val="00F728F6"/>
    <w:rsid w:val="00F73B1E"/>
    <w:rsid w:val="00F74BB3"/>
    <w:rsid w:val="00F75B41"/>
    <w:rsid w:val="00F75E35"/>
    <w:rsid w:val="00F76EFE"/>
    <w:rsid w:val="00F77554"/>
    <w:rsid w:val="00F77C43"/>
    <w:rsid w:val="00F80706"/>
    <w:rsid w:val="00F8102D"/>
    <w:rsid w:val="00F81B41"/>
    <w:rsid w:val="00F81E32"/>
    <w:rsid w:val="00F82F52"/>
    <w:rsid w:val="00F83F52"/>
    <w:rsid w:val="00F845D5"/>
    <w:rsid w:val="00F84C0F"/>
    <w:rsid w:val="00F852B3"/>
    <w:rsid w:val="00F86641"/>
    <w:rsid w:val="00F86CE7"/>
    <w:rsid w:val="00F86EB4"/>
    <w:rsid w:val="00F86ED1"/>
    <w:rsid w:val="00F87711"/>
    <w:rsid w:val="00F87901"/>
    <w:rsid w:val="00F90E75"/>
    <w:rsid w:val="00F91945"/>
    <w:rsid w:val="00F91D6A"/>
    <w:rsid w:val="00F91FCF"/>
    <w:rsid w:val="00F928CB"/>
    <w:rsid w:val="00F92923"/>
    <w:rsid w:val="00F93161"/>
    <w:rsid w:val="00F93A92"/>
    <w:rsid w:val="00F94565"/>
    <w:rsid w:val="00F955CF"/>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732"/>
    <w:rsid w:val="00FB5355"/>
    <w:rsid w:val="00FB5CC0"/>
    <w:rsid w:val="00FB5F92"/>
    <w:rsid w:val="00FB6FED"/>
    <w:rsid w:val="00FB72FC"/>
    <w:rsid w:val="00FB7E0C"/>
    <w:rsid w:val="00FB7F26"/>
    <w:rsid w:val="00FC0B2C"/>
    <w:rsid w:val="00FC1390"/>
    <w:rsid w:val="00FC3325"/>
    <w:rsid w:val="00FC4239"/>
    <w:rsid w:val="00FC45F0"/>
    <w:rsid w:val="00FC4F4E"/>
    <w:rsid w:val="00FC5610"/>
    <w:rsid w:val="00FD067E"/>
    <w:rsid w:val="00FD126B"/>
    <w:rsid w:val="00FD183E"/>
    <w:rsid w:val="00FD1A59"/>
    <w:rsid w:val="00FD1EF9"/>
    <w:rsid w:val="00FD2974"/>
    <w:rsid w:val="00FD3802"/>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629F"/>
    <w:rsid w:val="00FE64BB"/>
    <w:rsid w:val="00FE6B66"/>
    <w:rsid w:val="00FE7230"/>
    <w:rsid w:val="00FE7485"/>
    <w:rsid w:val="00FF0753"/>
    <w:rsid w:val="00FF15DA"/>
    <w:rsid w:val="00FF1B46"/>
    <w:rsid w:val="00FF2067"/>
    <w:rsid w:val="00FF27A9"/>
    <w:rsid w:val="00FF376A"/>
    <w:rsid w:val="00FF3A9F"/>
    <w:rsid w:val="00FF3F13"/>
    <w:rsid w:val="00FF5603"/>
    <w:rsid w:val="00FF573B"/>
    <w:rsid w:val="00FF5A93"/>
    <w:rsid w:val="00FF724D"/>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5CB3F52"/>
  <w14:defaultImageDpi w14:val="96"/>
  <w15:docId w15:val="{C04EEE3D-8588-4395-99DE-A15E540BFC49}"/>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i-FI"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numPr>
        <w:numId w:val="1"/>
      </w:numPr>
      <w:outlineLvl w:val="0"/>
    </w:pPr>
    <w:rPr>
      <w:kern w:val="28"/>
    </w:rPr>
  </w:style>
  <w:style w:type="paragraph" w:styleId="Heading2">
    <w:name w:val="heading 2"/>
    <w:aliases w:val=" Char"/>
    <w:basedOn w:val="Normal"/>
    <w:next w:val="Normal"/>
    <w:link w:val="Heading2Char"/>
    <w:qFormat/>
    <w:rsid w:val="00976928"/>
    <w:pPr>
      <w:numPr>
        <w:ilvl w:val="1"/>
        <w:numId w:val="1"/>
      </w:numPr>
      <w:outlineLvl w:val="1"/>
    </w:pPr>
  </w:style>
  <w:style w:type="paragraph" w:styleId="Heading3">
    <w:name w:val="heading 3"/>
    <w:basedOn w:val="Normal"/>
    <w:next w:val="Normal"/>
    <w:link w:val="Heading3Char"/>
    <w:qFormat/>
    <w:rsid w:val="00976928"/>
    <w:pPr>
      <w:numPr>
        <w:ilvl w:val="2"/>
        <w:numId w:val="1"/>
      </w:numPr>
      <w:outlineLvl w:val="2"/>
    </w:pPr>
  </w:style>
  <w:style w:type="paragraph" w:styleId="Heading4">
    <w:name w:val="heading 4"/>
    <w:basedOn w:val="Normal"/>
    <w:next w:val="Normal"/>
    <w:link w:val="Heading4Char"/>
    <w:qFormat/>
    <w:rsid w:val="00976928"/>
    <w:pPr>
      <w:numPr>
        <w:ilvl w:val="3"/>
        <w:numId w:val="1"/>
      </w:numPr>
      <w:outlineLvl w:val="3"/>
    </w:pPr>
  </w:style>
  <w:style w:type="paragraph" w:styleId="Heading5">
    <w:name w:val="heading 5"/>
    <w:basedOn w:val="Normal"/>
    <w:next w:val="Normal"/>
    <w:link w:val="Heading5Char"/>
    <w:qFormat/>
    <w:rsid w:val="00976928"/>
    <w:pPr>
      <w:numPr>
        <w:ilvl w:val="4"/>
        <w:numId w:val="1"/>
      </w:numPr>
      <w:outlineLvl w:val="4"/>
    </w:pPr>
  </w:style>
  <w:style w:type="paragraph" w:styleId="Heading6">
    <w:name w:val="heading 6"/>
    <w:basedOn w:val="Normal"/>
    <w:next w:val="Normal"/>
    <w:link w:val="Heading6Char"/>
    <w:qFormat/>
    <w:rsid w:val="00976928"/>
    <w:pPr>
      <w:numPr>
        <w:ilvl w:val="5"/>
        <w:numId w:val="1"/>
      </w:numPr>
      <w:outlineLvl w:val="5"/>
    </w:pPr>
  </w:style>
  <w:style w:type="paragraph" w:styleId="Heading7">
    <w:name w:val="heading 7"/>
    <w:basedOn w:val="Normal"/>
    <w:next w:val="Normal"/>
    <w:link w:val="Heading7Char"/>
    <w:qFormat/>
    <w:rsid w:val="00976928"/>
    <w:pPr>
      <w:numPr>
        <w:ilvl w:val="6"/>
        <w:numId w:val="1"/>
      </w:numPr>
      <w:outlineLvl w:val="6"/>
    </w:pPr>
  </w:style>
  <w:style w:type="paragraph" w:styleId="Heading8">
    <w:name w:val="heading 8"/>
    <w:basedOn w:val="Normal"/>
    <w:next w:val="Normal"/>
    <w:link w:val="Heading8Char"/>
    <w:qFormat/>
    <w:rsid w:val="00976928"/>
    <w:pPr>
      <w:numPr>
        <w:ilvl w:val="7"/>
        <w:numId w:val="1"/>
      </w:numPr>
      <w:outlineLvl w:val="7"/>
    </w:pPr>
  </w:style>
  <w:style w:type="paragraph" w:styleId="Heading9">
    <w:name w:val="heading 9"/>
    <w:basedOn w:val="Normal"/>
    <w:next w:val="Normal"/>
    <w:link w:val="Heading9Char"/>
    <w:qFormat/>
    <w:rsid w:val="0097692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fi-FI"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fi-FI"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fi-FI"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fi-FI"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fi-FI"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fi-FI"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fi-FI"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fi-FI"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fi-FI" w:eastAsia="en-US" w:bidi="ar-SA"/>
    </w:rPr>
  </w:style>
  <w:style w:type="paragraph" w:styleId="FootnoteText">
    <w:name w:val="footnote text"/>
    <w:basedOn w:val="Normal"/>
    <w:link w:val="FootnoteTextChar"/>
    <w:uiPriority w:val="99"/>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locked/>
    <w:rsid w:val="003B283B"/>
    <w:rPr>
      <w:rFonts w:ascii="Times New Roman" w:hAnsi="Times New Roman"/>
      <w:sz w:val="16"/>
      <w:szCs w:val="22"/>
      <w:lang w:val="fi-FI"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fi-FI"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fi-FI"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fi-FI"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fi-FI"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rsid w:val="00335FB2"/>
    <w:rPr>
      <w:sz w:val="16"/>
      <w:szCs w:val="16"/>
    </w:rPr>
  </w:style>
  <w:style w:type="paragraph" w:styleId="CommentText">
    <w:name w:val="annotation text"/>
    <w:basedOn w:val="Normal"/>
    <w:link w:val="CommentTextChar"/>
    <w:rsid w:val="00335FB2"/>
    <w:pPr>
      <w:spacing w:line="240" w:lineRule="auto"/>
    </w:pPr>
    <w:rPr>
      <w:sz w:val="20"/>
      <w:szCs w:val="20"/>
    </w:rPr>
  </w:style>
  <w:style w:type="character" w:customStyle="1" w:styleId="CommentTextChar">
    <w:name w:val="Comment Text Char"/>
    <w:basedOn w:val="DefaultParagraphFont"/>
    <w:link w:val="CommentText"/>
    <w:rsid w:val="00335FB2"/>
    <w:rPr>
      <w:rFonts w:ascii="Times New Roman" w:hAnsi="Times New Roman"/>
      <w:lang w:val="fi-FI"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fi-FI"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fi/our-work/opinions-information-reports/plenary-session-summaries" TargetMode="External"/><Relationship Id="rId18" Type="http://schemas.openxmlformats.org/officeDocument/2006/relationships/footer" Target="footer2.xml"/><Relationship Id="rId26" Type="http://schemas.openxmlformats.org/officeDocument/2006/relationships/hyperlink" Target="mailto:Conrad.Ganslandt@eesc.europa.eu" TargetMode="External"/><Relationship Id="rId39" Type="http://schemas.openxmlformats.org/officeDocument/2006/relationships/customXml" Target="../customXml/item3.xml"/><Relationship Id="rId21" Type="http://schemas.openxmlformats.org/officeDocument/2006/relationships/hyperlink" Target="mailto:Juri.Soosaar@eesc.europa.eu" TargetMode="Externa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mailto:Laura.Broomfield@eesc.europa.eu" TargetMode="External"/><Relationship Id="rId33" Type="http://schemas.openxmlformats.org/officeDocument/2006/relationships/header" Target="header6.xml"/><Relationship Id="rId38"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4.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lice.tetu@eesc.europa.eu" TargetMode="External"/><Relationship Id="rId32" Type="http://schemas.openxmlformats.org/officeDocument/2006/relationships/footer" Target="footer5.xml"/><Relationship Id="rId37" Type="http://schemas.openxmlformats.org/officeDocument/2006/relationships/customXml" Target="../customXml/item1.xml"/><Relationship Id="rId40"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yperlink" Target="mailto:claudia.drewes-wran@eesc.europa.eu" TargetMode="External"/><Relationship Id="rId28" Type="http://schemas.openxmlformats.org/officeDocument/2006/relationships/hyperlink" Target="mailto:valeria.atzori@eesc.europa.e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http://dm.eesc.europa.eu/EESCDocumentSearch/Pages/opinionssearch.aspx" TargetMode="External"/><Relationship Id="rId22" Type="http://schemas.openxmlformats.org/officeDocument/2006/relationships/hyperlink" Target="mailto:marie-laurence.drillon@eesc.europa.eu" TargetMode="External"/><Relationship Id="rId27" Type="http://schemas.openxmlformats.org/officeDocument/2006/relationships/hyperlink" Target="mailto:mariajudite.berkemeier@eesc.europa.eu"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settings" Target="settings.xml"/></Relationships>
</file>

<file path=word/_rels/settings.xml.rels>&#65279;<?xml version="1.0" encoding="utf-8"?><Relationships xmlns="http://schemas.openxmlformats.org/package/2006/relationships"><Relationship Type="http://schemas.openxmlformats.org/officeDocument/2006/relationships/attachedTemplate" Target="file:///\\ces-cdr.eu.int\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CTJJHAUHWN5E-1741767729-6441</_dlc_DocId>
    <_dlc_DocIdUrl xmlns="bfc960a6-20da-4c94-8684-71380fca093b">
      <Url>http://dm2016/eesc/2019/_layouts/15/DocIdRedir.aspx?ID=CTJJHAUHWN5E-1741767729-6441</Url>
      <Description>CTJJHAUHWN5E-1741767729-6441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2019-06-17T12:00:00+00:00</ProductionDate>
    <FicheYear xmlns="bfc960a6-20da-4c94-8684-71380fca093b">2019</FicheYear>
    <DocumentNumber xmlns="6cbcf4cf-e730-47de-961e-b7987213c417">1616</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2019-06-19T12:00:00+00:00</MeetingDate>
    <TaxCatchAll xmlns="bfc960a6-20da-4c94-8684-71380fca093b">
      <Value>65</Value>
      <Value>64</Value>
      <Value>63</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6308</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6cbcf4cf-e730-47de-961e-b7987213c417">544</MeetingNumber>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BD53362FFBC664E91C0C82BDF70E843" ma:contentTypeVersion="4" ma:contentTypeDescription="Defines the documents for Document Manager V2" ma:contentTypeScope="" ma:versionID="188a2fab6d5ae6ff5e0bdaea837052df">
  <xsd:schema xmlns:xsd="http://www.w3.org/2001/XMLSchema" xmlns:xs="http://www.w3.org/2001/XMLSchema" xmlns:p="http://schemas.microsoft.com/office/2006/metadata/properties" xmlns:ns2="bfc960a6-20da-4c94-8684-71380fca093b" xmlns:ns3="http://schemas.microsoft.com/sharepoint/v3/fields" xmlns:ns4="6cbcf4cf-e730-47de-961e-b7987213c417" targetNamespace="http://schemas.microsoft.com/office/2006/metadata/properties" ma:root="true" ma:fieldsID="540a514fdb074b5ca017f44daa8a17f1" ns2:_="" ns3:_="" ns4:_="">
    <xsd:import namespace="bfc960a6-20da-4c94-8684-71380fca093b"/>
    <xsd:import namespace="http://schemas.microsoft.com/sharepoint/v3/fields"/>
    <xsd:import namespace="6cbcf4cf-e730-47de-961e-b7987213c41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bcf4cf-e730-47de-961e-b7987213c417"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BF90D-178C-46B2-A0DF-77CAE2EDA940}"/>
</file>

<file path=customXml/itemProps2.xml><?xml version="1.0" encoding="utf-8"?>
<ds:datastoreItem xmlns:ds="http://schemas.openxmlformats.org/officeDocument/2006/customXml" ds:itemID="{083EC40A-EAF0-4953-A210-84C32ECE7045}"/>
</file>

<file path=customXml/itemProps3.xml><?xml version="1.0" encoding="utf-8"?>
<ds:datastoreItem xmlns:ds="http://schemas.openxmlformats.org/officeDocument/2006/customXml" ds:itemID="{F97D8BDA-A642-4D47-910A-28698938C8CB}"/>
</file>

<file path=customXml/itemProps4.xml><?xml version="1.0" encoding="utf-8"?>
<ds:datastoreItem xmlns:ds="http://schemas.openxmlformats.org/officeDocument/2006/customXml" ds:itemID="{90F808F8-40DD-45F6-A940-A5EDEFC547C1}"/>
</file>

<file path=docProps/app.xml><?xml version="1.0" encoding="utf-8"?>
<Properties xmlns="http://schemas.openxmlformats.org/officeDocument/2006/extended-properties" xmlns:vt="http://schemas.openxmlformats.org/officeDocument/2006/docPropsVTypes">
  <Template>Styles</Template>
  <TotalTime>4</TotalTime>
  <Pages>15</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Toukokuun 2019 täysistunnossa annetut lausunnot</dc:title>
  <dc:subject>Lausuntotyö, muut</dc:subject>
  <dc:creator>Marcos Jaime Tornin</dc:creator>
  <cp:keywords>EESC-2019-01616-00-01-TCD-TRA-EN</cp:keywords>
  <dc:description>Rapporteur:  - Original language: EN, FR - Date of document: 17/06/2019 - Date of meeting: 19/06/2019 - External documents:  - Administrator: Mme De Paepe Elke</dc:description>
  <cp:lastModifiedBy>APaak</cp:lastModifiedBy>
  <cp:revision>7</cp:revision>
  <cp:lastPrinted>2019-06-07T16:43:00Z</cp:lastPrinted>
  <dcterms:created xsi:type="dcterms:W3CDTF">2019-06-14T12:11:00Z</dcterms:created>
  <dcterms:modified xsi:type="dcterms:W3CDTF">2019-06-17T09:29:00Z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14/06/2019, 05/06/2019, 03/05/2019, 13/12/2018, 09/11/2018, 12/07/2018, 23/05/2018, 13/03/2018, 26/02/2018, 14/02/2018, 24/01/2018, 16/01/2018, 19/12/2017, 01/12/2017, 16/11/2017, 15/11/2017, 17/10/2017, 13/09/2017, 03/07/2017, 12/06/2017, 02/06/2017, 24/</vt:lpwstr>
  </property>
  <property fmtid="{D5CDD505-2E9C-101B-9397-08002B2CF9AE}" pid="4" name="Pref_Time">
    <vt:lpwstr>14:07:34, 16:39:54, 14:43:22, 11:27:48, 09:10:15, 14:45:38, 09:50:08, 13:54:15, 10:33:11, 11:57:02, 15:31:00, 09:45:52, 11:53:01, 15:00:14, 15:49:39, 15:47:16, 10:48:52, 11:23:50, 09:51:12, 14:43:57, 12:54:34, 12:22:33, 12:08:44, 12:23:59, 18:12:41, 09:48</vt:lpwstr>
  </property>
  <property fmtid="{D5CDD505-2E9C-101B-9397-08002B2CF9AE}" pid="5" name="Pref_User">
    <vt:lpwstr>enied, amett, enied, enied, amett, enied, hnic, mreg, jhvi, mkop, hnic, mkop, amett, jhvi, amett, tvoc, tvoc, tvoc, amett, hnic, mreg, mreg, enied, mreg, jhvi, tvoc, htoo, mreg, tvoc, hnic, mreg, hnic, amett, nmcg, amett, enied, nmcg, amett, enied, ymur, </vt:lpwstr>
  </property>
  <property fmtid="{D5CDD505-2E9C-101B-9397-08002B2CF9AE}" pid="6" name="Pref_FileName">
    <vt:lpwstr>EESC-2019-01616-00-01-TCD-ORI.docx, EESC-2019-01616-00-00-TCD-ORI.docx, EESC-2019-01082-00-00-TCD-ORI.docx, EESC-2018-05296-00-00-TCD-ORI.docx, EESC-2018-04640-00-01-TCD-ORI.docx, EESC-2018-02821-00-00-TCD-ORI.docx, EESC-2018-02039-00-00-TCD-ORI.docx, EES</vt:lpwstr>
  </property>
  <property fmtid="{D5CDD505-2E9C-101B-9397-08002B2CF9AE}" pid="7" name="ContentTypeId">
    <vt:lpwstr>0x010100EA97B91038054C99906057A708A1480A007BD53362FFBC664E91C0C82BDF70E843</vt:lpwstr>
  </property>
  <property fmtid="{D5CDD505-2E9C-101B-9397-08002B2CF9AE}" pid="8" name="_dlc_DocIdItemGuid">
    <vt:lpwstr>1dc71f19-f4f4-4b83-ba89-9dc8ef575d8b</vt:lpwstr>
  </property>
  <property fmtid="{D5CDD505-2E9C-101B-9397-08002B2CF9AE}" pid="9" name="AvailableTranslations">
    <vt:lpwstr>63;#MT|7df99101-6854-4a26-b53a-b88c0da02c26;#46;#CS|72f9705b-0217-4fd3-bea2-cbc7ed80e26e;#60;#HU|6b229040-c589-4408-b4c1-4285663d20a8;#55;#BG|1a1b3951-7821-4e6a-85f5-5673fc08bd2c;#38;#SV|c2ed69e7-a339-43d7-8f22-d93680a92aa0;#58;#LV|46f7e311-5d9f-4663-b433-18aeccb7ace7;#25;#SK|46d9fce0-ef79-4f71-b89b-cd6aa82426b8;#21;#IT|0774613c-01ed-4e5d-a25d-11d2388de825;#17;#ES|e7a6b05b-ae16-40c8-add9-68b64b03aeba;#64;#PT|50ccc04a-eadd-42ae-a0cb-acaf45f812ba;#52;#DA|5d49c027-8956-412b-aa16-e85a0f96ad0e;#59;#HR|2f555653-ed1a-4fe6-8362-9082d95989e5;#14;#DE|f6b31e5a-26fa-4935-b661-318e46daf27e;#49;#EL|6d4f4d51-af9b-4650-94b4-4276bee85c91;#62;#FI|87606a43-d45f-42d6-b8c9-e1a3457db5b7;#45;#NL|55c6556c-b4f4-441d-9acf-c498d4f838bd;#10;#FR|d2afafd3-4c81-4f60-8f52-ee33f2f54ff3;#48;#LT|a7ff5ce7-6123-4f68-865a-a57c31810414;#56;#SL|98a412ae-eb01-49e9-ae3d-585a81724cfc;#16;#PL|1e03da61-4678-4e07-b136-b5024ca9197b;#4;#EN|f2175f21-25d7-44a3-96da-d6a61b075e1b;#65;#ET|ff6c3f4c-b02c-4c3c-ab07-2c37995a7a0a;#57;#RO|feb747a2-64cd-4299-af12-4833ddc30497</vt:lpwstr>
  </property>
  <property fmtid="{D5CDD505-2E9C-101B-9397-08002B2CF9AE}" pid="10" name="DocumentType_0">
    <vt:lpwstr>TCD|cd9d6eb6-3f4f-424a-b2d1-57c9d450eaaf</vt:lpwstr>
  </property>
  <property fmtid="{D5CDD505-2E9C-101B-9397-08002B2CF9AE}" pid="11" name="MeetingNumber">
    <vt:i4>544</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1616</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2019-06-19T12:00:00Z</vt:filetime>
  </property>
  <property fmtid="{D5CDD505-2E9C-101B-9397-08002B2CF9AE}" pid="30" name="AvailableTranslations_0">
    <vt:lpwstr>MT|7df99101-6854-4a26-b53a-b88c0da02c26;CS|72f9705b-0217-4fd3-bea2-cbc7ed80e26e;HU|6b229040-c589-4408-b4c1-4285663d20a8;BG|1a1b3951-7821-4e6a-85f5-5673fc08bd2c;SV|c2ed69e7-a339-43d7-8f22-d93680a92aa0;LV|46f7e311-5d9f-4663-b433-18aeccb7ace7;SK|46d9fce0-ef79-4f71-b89b-cd6aa82426b8;IT|0774613c-01ed-4e5d-a25d-11d2388de825;HR|2f555653-ed1a-4fe6-8362-9082d95989e5;EL|6d4f4d51-af9b-4650-94b4-4276bee85c91;NL|55c6556c-b4f4-441d-9acf-c498d4f838bd;FR|d2afafd3-4c81-4f60-8f52-ee33f2f54ff3;LT|a7ff5ce7-6123-4f68-865a-a57c31810414;EN|f2175f21-25d7-44a3-96da-d6a61b075e1b;ET|ff6c3f4c-b02c-4c3c-ab07-2c37995a7a0a</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45;#NL|55c6556c-b4f4-441d-9acf-c498d4f838bd;#63;#MT|7df99101-6854-4a26-b53a-b88c0da02c26;#25;#SK|46d9fce0-ef79-4f71-b89b-cd6aa82426b8;#38;#SV|c2ed69e7-a339-43d7-8f22-d93680a92aa0;#60;#HU|6b229040-c589-4408-b4c1-4285663d20a8;#59;#HR|2f555653-ed1a-4fe6-8362-9082d95989e5;#58;#LV|46f7e311-5d9f-4663-b433-18aeccb7ace7;#65;#ET|ff6c3f4c-b02c-4c3c-ab07-2c37995a7a0a;#55;#BG|1a1b3951-7821-4e6a-85f5-5673fc08bd2c;#21;#IT|0774613c-01ed-4e5d-a25d-11d2388de825;#49;#EL|6d4f4d51-af9b-4650-94b4-4276bee85c91;#48;#LT|a7ff5ce7-6123-4f68-865a-a57c31810414;#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6308</vt:i4>
  </property>
  <property fmtid="{D5CDD505-2E9C-101B-9397-08002B2CF9AE}" pid="38" name="DocumentLanguage">
    <vt:lpwstr>62;#FI|87606a43-d45f-42d6-b8c9-e1a3457db5b7</vt:lpwstr>
  </property>
</Properties>
</file>