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2BC09" w14:textId="77777777" w:rsidR="005F5A16" w:rsidRPr="0010623A" w:rsidRDefault="005F5A16" w:rsidP="00FB47CC">
      <w:pPr>
        <w:overflowPunct w:val="0"/>
        <w:autoSpaceDE w:val="0"/>
        <w:autoSpaceDN w:val="0"/>
        <w:adjustRightInd w:val="0"/>
        <w:spacing w:line="288" w:lineRule="auto"/>
        <w:jc w:val="center"/>
        <w:textAlignment w:val="baseline"/>
        <w:rPr>
          <w:sz w:val="22"/>
          <w:szCs w:val="20"/>
        </w:rPr>
      </w:pPr>
      <w:r>
        <w:rPr>
          <w:noProof/>
          <w:sz w:val="20"/>
          <w:szCs w:val="20"/>
          <w:lang w:eastAsia="cs-CZ"/>
        </w:rPr>
        <mc:AlternateContent>
          <mc:Choice Requires="wps">
            <w:drawing>
              <wp:anchor distT="0" distB="0" distL="114300" distR="114300" simplePos="0" relativeHeight="251659264" behindDoc="1" locked="0" layoutInCell="0" allowOverlap="1" wp14:anchorId="1BB00385" wp14:editId="4A83D33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11F84" w14:textId="77777777" w:rsidR="005F5A16" w:rsidRPr="00260E65" w:rsidRDefault="005F5A16" w:rsidP="005F5A16">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0038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00711F84" w14:textId="77777777" w:rsidR="005F5A16" w:rsidRPr="00260E65" w:rsidRDefault="005F5A16" w:rsidP="005F5A16">
                      <w:pPr>
                        <w:jc w:val="center"/>
                        <w:rPr>
                          <w:rFonts w:ascii="Arial" w:hAnsi="Arial" w:cs="Arial"/>
                          <w:b/>
                          <w:bCs/>
                          <w:sz w:val="48"/>
                        </w:rPr>
                      </w:pPr>
                      <w:r>
                        <w:rPr>
                          <w:rFonts w:ascii="Arial" w:hAnsi="Arial"/>
                          <w:b/>
                          <w:sz w:val="48"/>
                        </w:rPr>
                        <w:t>CS</w:t>
                      </w:r>
                    </w:p>
                  </w:txbxContent>
                </v:textbox>
                <w10:wrap anchorx="page" anchory="page"/>
              </v:shape>
            </w:pict>
          </mc:Fallback>
        </mc:AlternateContent>
      </w:r>
      <w:r>
        <w:rPr>
          <w:noProof/>
          <w:sz w:val="22"/>
          <w:szCs w:val="20"/>
          <w:lang w:eastAsia="cs-CZ"/>
        </w:rPr>
        <w:drawing>
          <wp:inline distT="0" distB="0" distL="0" distR="0" wp14:anchorId="3E4BC7C4" wp14:editId="7C3B86A9">
            <wp:extent cx="882650" cy="556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650" cy="556895"/>
                    </a:xfrm>
                    <a:prstGeom prst="rect">
                      <a:avLst/>
                    </a:prstGeom>
                    <a:noFill/>
                    <a:ln>
                      <a:noFill/>
                    </a:ln>
                  </pic:spPr>
                </pic:pic>
              </a:graphicData>
            </a:graphic>
          </wp:inline>
        </w:drawing>
      </w:r>
    </w:p>
    <w:p w14:paraId="458457C6" w14:textId="77777777" w:rsidR="005F5A16" w:rsidRDefault="005F5A16" w:rsidP="00FB47CC">
      <w:pPr>
        <w:spacing w:line="288" w:lineRule="auto"/>
        <w:jc w:val="center"/>
        <w:rPr>
          <w:b/>
          <w:noProof/>
          <w:sz w:val="28"/>
          <w:szCs w:val="32"/>
        </w:rPr>
      </w:pPr>
      <w:r>
        <w:rPr>
          <w:rFonts w:ascii="Arial" w:hAnsi="Arial"/>
          <w:b/>
          <w:i/>
          <w:sz w:val="20"/>
          <w:szCs w:val="20"/>
        </w:rPr>
        <w:t>Evropský hospodářský a sociální výbor</w:t>
      </w:r>
      <w:r>
        <w:rPr>
          <w:b/>
          <w:sz w:val="28"/>
          <w:szCs w:val="32"/>
        </w:rPr>
        <w:t xml:space="preserve"> </w:t>
      </w:r>
    </w:p>
    <w:p w14:paraId="5964644E" w14:textId="77777777" w:rsidR="005F5A16" w:rsidRDefault="005F5A16" w:rsidP="00FB47CC">
      <w:pPr>
        <w:spacing w:line="288" w:lineRule="auto"/>
        <w:jc w:val="center"/>
        <w:rPr>
          <w:b/>
          <w:noProof/>
          <w:sz w:val="28"/>
          <w:szCs w:val="32"/>
        </w:rPr>
      </w:pPr>
    </w:p>
    <w:p w14:paraId="79EA1971" w14:textId="77777777" w:rsidR="005F5A16" w:rsidRDefault="005F5A16" w:rsidP="00FB47CC">
      <w:pPr>
        <w:spacing w:line="288" w:lineRule="auto"/>
        <w:jc w:val="center"/>
        <w:rPr>
          <w:b/>
          <w:noProof/>
          <w:sz w:val="28"/>
          <w:szCs w:val="32"/>
        </w:rPr>
      </w:pPr>
      <w:r>
        <w:rPr>
          <w:b/>
          <w:sz w:val="28"/>
          <w:szCs w:val="32"/>
        </w:rPr>
        <w:t>Cena EHSV pro občanskou společnost</w:t>
      </w:r>
    </w:p>
    <w:p w14:paraId="16F4481E" w14:textId="4A668D8E" w:rsidR="00DA410F" w:rsidRDefault="00DA410F" w:rsidP="00FB47CC">
      <w:pPr>
        <w:spacing w:line="288" w:lineRule="auto"/>
        <w:jc w:val="center"/>
        <w:rPr>
          <w:b/>
          <w:sz w:val="28"/>
          <w:szCs w:val="32"/>
        </w:rPr>
      </w:pPr>
      <w:r>
        <w:rPr>
          <w:b/>
          <w:sz w:val="28"/>
          <w:szCs w:val="32"/>
        </w:rPr>
        <w:t>Čestné prohlášení o vyloučení a kvalifikaci</w:t>
      </w:r>
    </w:p>
    <w:p w14:paraId="5B516FA1" w14:textId="77777777" w:rsidR="00FB47CC" w:rsidRPr="0024225B" w:rsidRDefault="00FB47CC" w:rsidP="00FB47CC">
      <w:pPr>
        <w:spacing w:line="288" w:lineRule="auto"/>
        <w:jc w:val="center"/>
        <w:rPr>
          <w:b/>
          <w:noProof/>
          <w:sz w:val="28"/>
          <w:szCs w:val="32"/>
        </w:rPr>
      </w:pPr>
    </w:p>
    <w:p w14:paraId="16F4481F" w14:textId="718B3224" w:rsidR="00DA410F" w:rsidRDefault="00DA410F" w:rsidP="00FB47CC">
      <w:pPr>
        <w:spacing w:line="288" w:lineRule="auto"/>
        <w:jc w:val="both"/>
      </w:pPr>
      <w:r>
        <w:t>Níže podepsaný/podepsaná [</w:t>
      </w:r>
      <w:r>
        <w:rPr>
          <w:i/>
          <w:highlight w:val="lightGray"/>
        </w:rPr>
        <w:t>jméno osoby podepisující tento formulář</w:t>
      </w:r>
      <w:r>
        <w:t>], jednající:</w:t>
      </w:r>
    </w:p>
    <w:p w14:paraId="040F8C83" w14:textId="77777777" w:rsidR="00FB47CC" w:rsidRDefault="00FB47CC" w:rsidP="00FB47CC">
      <w:pPr>
        <w:spacing w:line="288" w:lineRule="auto"/>
        <w:jc w:val="both"/>
        <w:rPr>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16F44823" w14:textId="77777777" w:rsidTr="00A40405">
        <w:tc>
          <w:tcPr>
            <w:tcW w:w="3369" w:type="dxa"/>
            <w:shd w:val="clear" w:color="auto" w:fill="auto"/>
          </w:tcPr>
          <w:p w14:paraId="16F44820" w14:textId="77777777" w:rsidR="005E41BC" w:rsidRDefault="005E41BC" w:rsidP="00FB47CC">
            <w:pPr>
              <w:spacing w:line="288" w:lineRule="auto"/>
              <w:jc w:val="both"/>
              <w:rPr>
                <w:noProof/>
              </w:rPr>
            </w:pPr>
            <w:r>
              <w:t>(</w:t>
            </w:r>
            <w:r>
              <w:rPr>
                <w:i/>
              </w:rPr>
              <w:t>pouze u fyzických osob</w:t>
            </w:r>
            <w:r>
              <w:t>) svým jménem</w:t>
            </w:r>
          </w:p>
        </w:tc>
        <w:tc>
          <w:tcPr>
            <w:tcW w:w="6378" w:type="dxa"/>
            <w:shd w:val="clear" w:color="auto" w:fill="auto"/>
          </w:tcPr>
          <w:p w14:paraId="16F44821" w14:textId="77777777" w:rsidR="003154CD" w:rsidRDefault="005E41BC" w:rsidP="00FB47CC">
            <w:pPr>
              <w:spacing w:line="288" w:lineRule="auto"/>
              <w:jc w:val="both"/>
              <w:rPr>
                <w:noProof/>
              </w:rPr>
            </w:pPr>
            <w:r>
              <w:t>(</w:t>
            </w:r>
            <w:r>
              <w:rPr>
                <w:i/>
              </w:rPr>
              <w:t>pouze u právnických osob</w:t>
            </w:r>
            <w:r>
              <w:t xml:space="preserve">) jménem níže uvedené právnické osoby: </w:t>
            </w:r>
          </w:p>
          <w:p w14:paraId="16F44822" w14:textId="77777777" w:rsidR="005E41BC" w:rsidRDefault="005E41BC" w:rsidP="00FB47CC">
            <w:pPr>
              <w:spacing w:line="288" w:lineRule="auto"/>
              <w:jc w:val="both"/>
              <w:rPr>
                <w:noProof/>
              </w:rPr>
            </w:pPr>
          </w:p>
        </w:tc>
      </w:tr>
      <w:tr w:rsidR="003154CD" w14:paraId="16F4482E" w14:textId="77777777" w:rsidTr="00A40405">
        <w:tc>
          <w:tcPr>
            <w:tcW w:w="3369" w:type="dxa"/>
            <w:shd w:val="clear" w:color="auto" w:fill="auto"/>
          </w:tcPr>
          <w:p w14:paraId="16F44824" w14:textId="0F18A9BF" w:rsidR="003154CD" w:rsidRDefault="005E41BC" w:rsidP="00FB47CC">
            <w:pPr>
              <w:spacing w:line="288" w:lineRule="auto"/>
              <w:jc w:val="both"/>
            </w:pPr>
            <w:r>
              <w:t>Číslo OP / cestovního pasu:</w:t>
            </w:r>
          </w:p>
          <w:p w14:paraId="16F44825" w14:textId="77777777" w:rsidR="005E41BC" w:rsidRDefault="005E41BC" w:rsidP="00FB47CC">
            <w:pPr>
              <w:spacing w:line="288" w:lineRule="auto"/>
              <w:jc w:val="both"/>
              <w:rPr>
                <w:noProof/>
              </w:rPr>
            </w:pPr>
          </w:p>
          <w:p w14:paraId="16F44826" w14:textId="77777777" w:rsidR="00D841AD" w:rsidRPr="005E41BC" w:rsidRDefault="00D841AD" w:rsidP="00FB47CC">
            <w:pPr>
              <w:spacing w:line="288" w:lineRule="auto"/>
              <w:jc w:val="both"/>
              <w:rPr>
                <w:noProof/>
              </w:rPr>
            </w:pPr>
            <w:r>
              <w:t>(dále jen „osoba“)</w:t>
            </w:r>
          </w:p>
        </w:tc>
        <w:tc>
          <w:tcPr>
            <w:tcW w:w="6378" w:type="dxa"/>
            <w:shd w:val="clear" w:color="auto" w:fill="auto"/>
          </w:tcPr>
          <w:p w14:paraId="16F44827" w14:textId="77777777" w:rsidR="005E41BC" w:rsidRPr="00583379" w:rsidRDefault="005E41BC" w:rsidP="00FB47CC">
            <w:pPr>
              <w:spacing w:line="288" w:lineRule="auto"/>
              <w:rPr>
                <w:b/>
              </w:rPr>
            </w:pPr>
            <w:r>
              <w:t>Celý oficiální název:</w:t>
            </w:r>
          </w:p>
          <w:p w14:paraId="16F44828" w14:textId="4034AF19" w:rsidR="005E41BC" w:rsidRPr="00892BCE" w:rsidRDefault="005E41BC" w:rsidP="00FB47CC">
            <w:pPr>
              <w:spacing w:line="288" w:lineRule="auto"/>
            </w:pPr>
            <w:r>
              <w:t>Oficiální právní forma:</w:t>
            </w:r>
          </w:p>
          <w:p w14:paraId="16F44829" w14:textId="402E1A17" w:rsidR="005E41BC" w:rsidRPr="00583379" w:rsidRDefault="005E41BC" w:rsidP="00FB47CC">
            <w:pPr>
              <w:spacing w:line="288" w:lineRule="auto"/>
              <w:rPr>
                <w:b/>
              </w:rPr>
            </w:pPr>
            <w:r>
              <w:t>Zákonné identifikační číslo:</w:t>
            </w:r>
          </w:p>
          <w:p w14:paraId="16F4482A" w14:textId="43ABAD30" w:rsidR="005E41BC" w:rsidRPr="00583379" w:rsidRDefault="005E41BC" w:rsidP="00FB47CC">
            <w:pPr>
              <w:spacing w:line="288" w:lineRule="auto"/>
              <w:rPr>
                <w:b/>
              </w:rPr>
            </w:pPr>
            <w:r>
              <w:t>Úplná oficiální adresa:</w:t>
            </w:r>
          </w:p>
          <w:p w14:paraId="16F4482B" w14:textId="2C1FD332" w:rsidR="003154CD" w:rsidRDefault="005E41BC" w:rsidP="00FB47CC">
            <w:pPr>
              <w:spacing w:line="288" w:lineRule="auto"/>
            </w:pPr>
            <w:r>
              <w:t>Identifikační číslo pro účely DPH:</w:t>
            </w:r>
          </w:p>
          <w:p w14:paraId="16F4482C" w14:textId="77777777" w:rsidR="005E41BC" w:rsidRDefault="005E41BC" w:rsidP="00FB47CC">
            <w:pPr>
              <w:spacing w:line="288" w:lineRule="auto"/>
              <w:rPr>
                <w:noProof/>
              </w:rPr>
            </w:pPr>
          </w:p>
          <w:p w14:paraId="16F4482D" w14:textId="77777777" w:rsidR="00D841AD" w:rsidRDefault="00D841AD" w:rsidP="00FB47CC">
            <w:pPr>
              <w:spacing w:line="288" w:lineRule="auto"/>
              <w:rPr>
                <w:noProof/>
              </w:rPr>
            </w:pPr>
            <w:r>
              <w:t>(dále jen „osoba“)</w:t>
            </w:r>
          </w:p>
        </w:tc>
      </w:tr>
    </w:tbl>
    <w:p w14:paraId="28B0D4AE" w14:textId="77777777" w:rsidR="007F3628" w:rsidRDefault="007F3628" w:rsidP="00FB47CC">
      <w:pPr>
        <w:spacing w:line="288" w:lineRule="auto"/>
        <w:jc w:val="both"/>
        <w:rPr>
          <w:i/>
        </w:rPr>
      </w:pPr>
    </w:p>
    <w:p w14:paraId="32C01A93" w14:textId="2DAFBE5D" w:rsidR="007F3628" w:rsidRDefault="007F3628" w:rsidP="00FB47CC">
      <w:pPr>
        <w:spacing w:line="288" w:lineRule="auto"/>
        <w:jc w:val="both"/>
      </w:pPr>
      <w:r>
        <w:t>Osoba nemusí prohlášení o vyloučení předkládat, jestliže již bylo předloženo v rámci jiného výběrového či zadávacího řízení EHSV, za předpokladu, že nedošlo ke změně situace a od data jeho vydání neuplynul více než jeden rok.</w:t>
      </w:r>
    </w:p>
    <w:p w14:paraId="4A26D1B9" w14:textId="77777777" w:rsidR="00FB47CC" w:rsidRDefault="00FB47CC" w:rsidP="00FB47CC">
      <w:pPr>
        <w:spacing w:line="288" w:lineRule="auto"/>
        <w:jc w:val="both"/>
      </w:pPr>
    </w:p>
    <w:p w14:paraId="64B20EEE" w14:textId="34C53700" w:rsidR="00AE5C0E" w:rsidRDefault="00AE5C0E" w:rsidP="00FB47CC">
      <w:pPr>
        <w:spacing w:line="288" w:lineRule="auto"/>
        <w:jc w:val="both"/>
      </w:pPr>
      <w:r>
        <w:t>V takovém případě níže podepsaná osoba prohlašuje, že totéž prohlášení o vyloučení již bylo předloženo v rámci předchozího řízení, a potvrzuje, že její situace se nijak nezměnila:</w:t>
      </w:r>
    </w:p>
    <w:p w14:paraId="0CDBDDAF" w14:textId="77777777" w:rsidR="00FB47CC" w:rsidRDefault="00FB47CC" w:rsidP="00FB47CC">
      <w:pPr>
        <w:spacing w:line="288" w:lineRule="auto"/>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0321B2B">
        <w:tc>
          <w:tcPr>
            <w:tcW w:w="2802" w:type="dxa"/>
            <w:shd w:val="clear" w:color="auto" w:fill="auto"/>
          </w:tcPr>
          <w:p w14:paraId="1DF3B1C1" w14:textId="7088E3EE" w:rsidR="00AE5C0E" w:rsidRPr="00BF7F29" w:rsidRDefault="00321B2B" w:rsidP="00FB47CC">
            <w:pPr>
              <w:spacing w:line="288" w:lineRule="auto"/>
              <w:jc w:val="center"/>
              <w:rPr>
                <w:b/>
                <w:sz w:val="22"/>
              </w:rPr>
            </w:pPr>
            <w:r>
              <w:rPr>
                <w:b/>
                <w:sz w:val="22"/>
              </w:rPr>
              <w:t>Datum prohlášení</w:t>
            </w:r>
          </w:p>
        </w:tc>
        <w:tc>
          <w:tcPr>
            <w:tcW w:w="6662" w:type="dxa"/>
            <w:shd w:val="clear" w:color="auto" w:fill="auto"/>
          </w:tcPr>
          <w:p w14:paraId="28F7052B" w14:textId="77777777" w:rsidR="00AE5C0E" w:rsidRPr="00BF7F29" w:rsidRDefault="00AE5C0E" w:rsidP="00FB47CC">
            <w:pPr>
              <w:spacing w:line="288" w:lineRule="auto"/>
              <w:jc w:val="center"/>
              <w:rPr>
                <w:b/>
                <w:sz w:val="22"/>
              </w:rPr>
            </w:pPr>
            <w:r>
              <w:rPr>
                <w:b/>
                <w:sz w:val="22"/>
              </w:rPr>
              <w:t>Předchozí řízení</w:t>
            </w:r>
          </w:p>
        </w:tc>
      </w:tr>
      <w:tr w:rsidR="00AE5C0E" w14:paraId="6F902801" w14:textId="77777777" w:rsidTr="00321B2B">
        <w:tc>
          <w:tcPr>
            <w:tcW w:w="2802" w:type="dxa"/>
            <w:shd w:val="clear" w:color="auto" w:fill="auto"/>
          </w:tcPr>
          <w:p w14:paraId="0E407693" w14:textId="6C82C9E9" w:rsidR="00AE5C0E" w:rsidRPr="00AE5C0E" w:rsidRDefault="00AE5C0E" w:rsidP="00FB47CC">
            <w:pPr>
              <w:spacing w:line="288" w:lineRule="auto"/>
            </w:pPr>
          </w:p>
        </w:tc>
        <w:tc>
          <w:tcPr>
            <w:tcW w:w="6662" w:type="dxa"/>
            <w:shd w:val="clear" w:color="auto" w:fill="auto"/>
          </w:tcPr>
          <w:p w14:paraId="5A11950E" w14:textId="77777777" w:rsidR="00AE5C0E" w:rsidRDefault="00AE5C0E" w:rsidP="00FB47CC">
            <w:pPr>
              <w:spacing w:line="288" w:lineRule="auto"/>
            </w:pPr>
          </w:p>
        </w:tc>
      </w:tr>
    </w:tbl>
    <w:p w14:paraId="16F4482F" w14:textId="433C2827" w:rsidR="00897553" w:rsidRDefault="00897553" w:rsidP="00FB47CC">
      <w:pPr>
        <w:pStyle w:val="Title"/>
        <w:numPr>
          <w:ilvl w:val="0"/>
          <w:numId w:val="29"/>
        </w:numPr>
        <w:spacing w:before="0" w:after="0" w:line="288" w:lineRule="auto"/>
        <w:ind w:left="567" w:hanging="567"/>
        <w:rPr>
          <w:noProof/>
        </w:rPr>
      </w:pPr>
      <w:r>
        <w:t>Situace zakládající vyloučení osoby</w:t>
      </w:r>
    </w:p>
    <w:p w14:paraId="0136DCD9" w14:textId="77777777" w:rsidR="00713443" w:rsidRPr="00713443" w:rsidRDefault="00713443" w:rsidP="00FB47CC">
      <w:pPr>
        <w:spacing w:line="288" w:lineRule="auto"/>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2"/>
        <w:gridCol w:w="878"/>
        <w:gridCol w:w="705"/>
      </w:tblGrid>
      <w:tr w:rsidR="00F7691A" w14:paraId="16F44833" w14:textId="77777777" w:rsidTr="00F7691A">
        <w:tc>
          <w:tcPr>
            <w:tcW w:w="8238" w:type="dxa"/>
            <w:shd w:val="clear" w:color="auto" w:fill="auto"/>
          </w:tcPr>
          <w:p w14:paraId="16F44830" w14:textId="77777777" w:rsidR="00F7691A" w:rsidRDefault="00F7691A" w:rsidP="00FB47CC">
            <w:pPr>
              <w:numPr>
                <w:ilvl w:val="0"/>
                <w:numId w:val="17"/>
              </w:numPr>
              <w:spacing w:line="288" w:lineRule="auto"/>
              <w:ind w:hanging="502"/>
              <w:jc w:val="both"/>
              <w:rPr>
                <w:noProof/>
              </w:rPr>
            </w:pPr>
            <w:r>
              <w:t xml:space="preserve"> prohlašuje, že výše uvedená osoba se nachází v následujících situacích:</w:t>
            </w:r>
          </w:p>
        </w:tc>
        <w:tc>
          <w:tcPr>
            <w:tcW w:w="812" w:type="dxa"/>
            <w:shd w:val="clear" w:color="auto" w:fill="auto"/>
          </w:tcPr>
          <w:p w14:paraId="16F44831" w14:textId="77777777" w:rsidR="00F7691A" w:rsidRDefault="00F7691A" w:rsidP="00FB47CC">
            <w:pPr>
              <w:spacing w:line="288" w:lineRule="auto"/>
              <w:ind w:left="142"/>
              <w:jc w:val="both"/>
              <w:rPr>
                <w:noProof/>
              </w:rPr>
            </w:pPr>
            <w:r>
              <w:t>ANO</w:t>
            </w:r>
          </w:p>
        </w:tc>
        <w:tc>
          <w:tcPr>
            <w:tcW w:w="705" w:type="dxa"/>
            <w:shd w:val="clear" w:color="auto" w:fill="auto"/>
          </w:tcPr>
          <w:p w14:paraId="16F44832" w14:textId="77777777" w:rsidR="00F7691A" w:rsidRDefault="00F7691A" w:rsidP="00FB47CC">
            <w:pPr>
              <w:spacing w:line="288" w:lineRule="auto"/>
              <w:ind w:left="142"/>
              <w:jc w:val="both"/>
              <w:rPr>
                <w:noProof/>
              </w:rPr>
            </w:pPr>
            <w:r>
              <w:t>NE</w:t>
            </w:r>
          </w:p>
        </w:tc>
      </w:tr>
      <w:tr w:rsidR="00E33977" w14:paraId="16F44837" w14:textId="77777777" w:rsidTr="00F7691A">
        <w:tc>
          <w:tcPr>
            <w:tcW w:w="8238" w:type="dxa"/>
            <w:shd w:val="clear" w:color="auto" w:fill="auto"/>
          </w:tcPr>
          <w:p w14:paraId="16F44834" w14:textId="4B33B59D" w:rsidR="00E33977" w:rsidRDefault="00E33977" w:rsidP="00FB47CC">
            <w:pPr>
              <w:pStyle w:val="Text1"/>
              <w:numPr>
                <w:ilvl w:val="0"/>
                <w:numId w:val="15"/>
              </w:numPr>
              <w:spacing w:before="0" w:after="0" w:line="288" w:lineRule="auto"/>
              <w:rPr>
                <w:noProof/>
              </w:rPr>
            </w:pPr>
            <w:r>
              <w:t>v úpadku nebo v úpadkovém nebo likvidačním řízení, její majetek spravuje likvidátor nebo soud, uzavřela se svými věřiteli dohodu o vyrovnání, její obchodní činnost je pozastavena nebo je ve srovnatelné situaci vyplývající z podobných řízení podle unijních nebo vnitrostátních právních předpisů</w:t>
            </w:r>
          </w:p>
        </w:tc>
        <w:tc>
          <w:tcPr>
            <w:tcW w:w="812" w:type="dxa"/>
            <w:shd w:val="clear" w:color="auto" w:fill="auto"/>
          </w:tcPr>
          <w:p w14:paraId="16F44835" w14:textId="77777777" w:rsidR="00E33977" w:rsidRDefault="00E33977" w:rsidP="00FB47CC">
            <w:pPr>
              <w:spacing w:line="288" w:lineRule="auto"/>
              <w:jc w:val="both"/>
              <w:rPr>
                <w:noProof/>
              </w:rPr>
            </w:pPr>
            <w:r>
              <w:fldChar w:fldCharType="begin">
                <w:ffData>
                  <w:name w:val=""/>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36" w14:textId="77777777" w:rsidR="00E33977" w:rsidRDefault="00E33977"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E33977" w14:paraId="16F4483B" w14:textId="77777777" w:rsidTr="00F7691A">
        <w:tc>
          <w:tcPr>
            <w:tcW w:w="8238" w:type="dxa"/>
            <w:shd w:val="clear" w:color="auto" w:fill="auto"/>
          </w:tcPr>
          <w:p w14:paraId="16F44838" w14:textId="1257480F" w:rsidR="00E33977" w:rsidRDefault="00E33977" w:rsidP="00FB47CC">
            <w:pPr>
              <w:pStyle w:val="Text1"/>
              <w:numPr>
                <w:ilvl w:val="0"/>
                <w:numId w:val="15"/>
              </w:numPr>
              <w:spacing w:before="0" w:after="0" w:line="288" w:lineRule="auto"/>
              <w:rPr>
                <w:noProof/>
              </w:rPr>
            </w:pPr>
            <w:r>
              <w:t>bylo vydáno pravomocné soudní nebo konečné správní rozhodnutí podle platných právních předpisů, které konstatuje, že osoba porušila své povinnosti týkající se placení daní nebo příspěvků na sociální zabezpečení</w:t>
            </w:r>
          </w:p>
        </w:tc>
        <w:tc>
          <w:tcPr>
            <w:tcW w:w="812" w:type="dxa"/>
            <w:shd w:val="clear" w:color="auto" w:fill="auto"/>
          </w:tcPr>
          <w:p w14:paraId="16F44839" w14:textId="77777777" w:rsidR="00E33977" w:rsidRDefault="00E33977" w:rsidP="00FB47CC">
            <w:pPr>
              <w:spacing w:line="288" w:lineRule="auto"/>
              <w:jc w:val="both"/>
              <w:rPr>
                <w:noProof/>
              </w:rPr>
            </w:pPr>
            <w:r>
              <w:fldChar w:fldCharType="begin">
                <w:ffData>
                  <w:name w:val="Check1"/>
                  <w:enabled/>
                  <w:calcOnExit w:val="0"/>
                  <w:checkBox>
                    <w:sizeAuto/>
                    <w:default w:val="0"/>
                  </w:checkBox>
                </w:ffData>
              </w:fldChar>
            </w:r>
            <w:bookmarkStart w:id="0" w:name="Check1"/>
            <w:r>
              <w:instrText xml:space="preserve"> FORMCHECKBOX </w:instrText>
            </w:r>
            <w:r w:rsidR="0058598A">
              <w:fldChar w:fldCharType="separate"/>
            </w:r>
            <w:r>
              <w:fldChar w:fldCharType="end"/>
            </w:r>
            <w:bookmarkEnd w:id="0"/>
          </w:p>
        </w:tc>
        <w:tc>
          <w:tcPr>
            <w:tcW w:w="705" w:type="dxa"/>
            <w:shd w:val="clear" w:color="auto" w:fill="auto"/>
          </w:tcPr>
          <w:p w14:paraId="16F4483A" w14:textId="77777777" w:rsidR="00E33977" w:rsidRDefault="00E33977"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7D7A5F" w14:paraId="16F4483E" w14:textId="77777777" w:rsidTr="00F7691A">
        <w:tc>
          <w:tcPr>
            <w:tcW w:w="8238" w:type="dxa"/>
            <w:shd w:val="clear" w:color="auto" w:fill="auto"/>
          </w:tcPr>
          <w:p w14:paraId="16F4483C" w14:textId="77777777" w:rsidR="007D7A5F" w:rsidRDefault="007D7A5F" w:rsidP="00FB47CC">
            <w:pPr>
              <w:pStyle w:val="Text1"/>
              <w:keepNext/>
              <w:keepLines/>
              <w:numPr>
                <w:ilvl w:val="0"/>
                <w:numId w:val="15"/>
              </w:numPr>
              <w:spacing w:before="0" w:after="0" w:line="288" w:lineRule="auto"/>
              <w:rPr>
                <w:noProof/>
              </w:rPr>
            </w:pPr>
            <w:r>
              <w:lastRenderedPageBreak/>
              <w:t>bylo vydáno pravomocné soudní nebo konečné správní rozhodnutí, podle něhož se dopustila vážného profesního pochybení tím, že porušila platné právní předpisy či etické zásady platné v oboru, v němž působí, případně tím, že se dopustila protiprávního jednání, jež má dopad na její profesní důvěryhodnost, pokud takové jednání vykazuje známky úmyslu nebo hrubé nedbalosti, zejména, nikoliv však výlučně, následujícího jednání:</w:t>
            </w:r>
          </w:p>
        </w:tc>
        <w:tc>
          <w:tcPr>
            <w:tcW w:w="1517" w:type="dxa"/>
            <w:gridSpan w:val="2"/>
            <w:shd w:val="clear" w:color="auto" w:fill="auto"/>
          </w:tcPr>
          <w:p w14:paraId="16F4483D" w14:textId="77777777" w:rsidR="007D7A5F" w:rsidRDefault="007D7A5F" w:rsidP="00FB47CC">
            <w:pPr>
              <w:keepNext/>
              <w:keepLines/>
              <w:spacing w:line="288" w:lineRule="auto"/>
              <w:jc w:val="both"/>
              <w:rPr>
                <w:noProof/>
              </w:rPr>
            </w:pPr>
          </w:p>
        </w:tc>
      </w:tr>
      <w:tr w:rsidR="00E33977" w14:paraId="16F44842" w14:textId="77777777" w:rsidTr="00F7691A">
        <w:tc>
          <w:tcPr>
            <w:tcW w:w="8238" w:type="dxa"/>
            <w:shd w:val="clear" w:color="auto" w:fill="auto"/>
          </w:tcPr>
          <w:p w14:paraId="16F4483F" w14:textId="75DD36C8" w:rsidR="00E33977" w:rsidRPr="00137801" w:rsidRDefault="00E33977" w:rsidP="00FB47CC">
            <w:pPr>
              <w:pStyle w:val="Text1"/>
              <w:numPr>
                <w:ilvl w:val="0"/>
                <w:numId w:val="27"/>
              </w:numPr>
              <w:spacing w:before="0" w:after="0" w:line="288" w:lineRule="auto"/>
              <w:ind w:left="1134" w:hanging="425"/>
              <w:rPr>
                <w:color w:val="000000"/>
              </w:rPr>
            </w:pPr>
            <w:bookmarkStart w:id="1" w:name="_DV_C368"/>
            <w:r>
              <w:rPr>
                <w:color w:val="000000"/>
              </w:rPr>
              <w:t>zkreslování, ať už úmyslného, či z nedbalosti, informací nezbytných k ověření neexistence důvodů pro vyloučení, k ověření splnění kvalifikačních kritérií nebo požadovaných v rámci realizace veřejné zakázky nebo plnění smlouvy</w:t>
            </w:r>
            <w:bookmarkEnd w:id="1"/>
          </w:p>
        </w:tc>
        <w:tc>
          <w:tcPr>
            <w:tcW w:w="812" w:type="dxa"/>
            <w:shd w:val="clear" w:color="auto" w:fill="auto"/>
          </w:tcPr>
          <w:p w14:paraId="16F44840" w14:textId="77777777" w:rsidR="00E33977" w:rsidRDefault="00E33977"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41" w14:textId="77777777" w:rsidR="00E33977" w:rsidRDefault="00E33977"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46" w14:textId="77777777" w:rsidTr="00F7691A">
        <w:tc>
          <w:tcPr>
            <w:tcW w:w="8238" w:type="dxa"/>
            <w:shd w:val="clear" w:color="auto" w:fill="auto"/>
          </w:tcPr>
          <w:p w14:paraId="16F44843" w14:textId="428B95F6" w:rsidR="00C475D8" w:rsidRDefault="00C475D8" w:rsidP="00FB47CC">
            <w:pPr>
              <w:pStyle w:val="Text1"/>
              <w:numPr>
                <w:ilvl w:val="0"/>
                <w:numId w:val="27"/>
              </w:numPr>
              <w:spacing w:before="0" w:after="0" w:line="288" w:lineRule="auto"/>
              <w:ind w:left="1134" w:hanging="425"/>
              <w:rPr>
                <w:noProof/>
              </w:rPr>
            </w:pPr>
            <w:bookmarkStart w:id="2" w:name="_DV_C369"/>
            <w:r>
              <w:rPr>
                <w:color w:val="000000"/>
              </w:rPr>
              <w:t>uzavření dohody s jinými osobami s cílem narušit hospodářskou soutěž</w:t>
            </w:r>
            <w:bookmarkEnd w:id="2"/>
          </w:p>
        </w:tc>
        <w:tc>
          <w:tcPr>
            <w:tcW w:w="812" w:type="dxa"/>
            <w:shd w:val="clear" w:color="auto" w:fill="auto"/>
          </w:tcPr>
          <w:p w14:paraId="16F44844"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45"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4A" w14:textId="77777777" w:rsidTr="00F7691A">
        <w:tc>
          <w:tcPr>
            <w:tcW w:w="8238" w:type="dxa"/>
            <w:shd w:val="clear" w:color="auto" w:fill="auto"/>
          </w:tcPr>
          <w:p w14:paraId="16F44847" w14:textId="0004C93A" w:rsidR="00C475D8" w:rsidRPr="00137801" w:rsidRDefault="00C475D8" w:rsidP="00FB47CC">
            <w:pPr>
              <w:pStyle w:val="Text1"/>
              <w:numPr>
                <w:ilvl w:val="0"/>
                <w:numId w:val="27"/>
              </w:numPr>
              <w:spacing w:before="0" w:after="0" w:line="288" w:lineRule="auto"/>
              <w:ind w:left="1134" w:hanging="425"/>
              <w:rPr>
                <w:color w:val="000000"/>
              </w:rPr>
            </w:pPr>
            <w:bookmarkStart w:id="3" w:name="_DV_C371"/>
            <w:r>
              <w:rPr>
                <w:color w:val="000000"/>
              </w:rPr>
              <w:t xml:space="preserve"> porušení práv duševního vlastnictví</w:t>
            </w:r>
            <w:bookmarkEnd w:id="3"/>
          </w:p>
        </w:tc>
        <w:tc>
          <w:tcPr>
            <w:tcW w:w="812" w:type="dxa"/>
            <w:shd w:val="clear" w:color="auto" w:fill="auto"/>
          </w:tcPr>
          <w:p w14:paraId="16F44848"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49"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4E" w14:textId="77777777" w:rsidTr="00F7691A">
        <w:tc>
          <w:tcPr>
            <w:tcW w:w="8238" w:type="dxa"/>
            <w:shd w:val="clear" w:color="auto" w:fill="auto"/>
          </w:tcPr>
          <w:p w14:paraId="16F4484B" w14:textId="52A854CA" w:rsidR="00C475D8" w:rsidRPr="00137801" w:rsidRDefault="00C475D8" w:rsidP="00FB47CC">
            <w:pPr>
              <w:pStyle w:val="Text1"/>
              <w:numPr>
                <w:ilvl w:val="0"/>
                <w:numId w:val="27"/>
              </w:numPr>
              <w:spacing w:before="0" w:after="0" w:line="288" w:lineRule="auto"/>
              <w:ind w:left="1134" w:hanging="425"/>
              <w:rPr>
                <w:color w:val="000000"/>
              </w:rPr>
            </w:pPr>
            <w:bookmarkStart w:id="4" w:name="_DV_C372"/>
            <w:r>
              <w:rPr>
                <w:color w:val="000000"/>
              </w:rPr>
              <w:t xml:space="preserve"> pokusu o ovlivnění rozhodnutí veřejného zadavatele během zadávacího řízení</w:t>
            </w:r>
            <w:bookmarkEnd w:id="4"/>
          </w:p>
        </w:tc>
        <w:tc>
          <w:tcPr>
            <w:tcW w:w="812" w:type="dxa"/>
            <w:shd w:val="clear" w:color="auto" w:fill="auto"/>
          </w:tcPr>
          <w:p w14:paraId="16F4484C"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4D"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52" w14:textId="77777777" w:rsidTr="00F7691A">
        <w:tc>
          <w:tcPr>
            <w:tcW w:w="8238" w:type="dxa"/>
            <w:shd w:val="clear" w:color="auto" w:fill="auto"/>
          </w:tcPr>
          <w:p w14:paraId="16F4484F" w14:textId="1EC9B55C" w:rsidR="00C475D8" w:rsidRPr="00583379" w:rsidRDefault="00C475D8" w:rsidP="00FB47CC">
            <w:pPr>
              <w:pStyle w:val="Text1"/>
              <w:numPr>
                <w:ilvl w:val="0"/>
                <w:numId w:val="27"/>
              </w:numPr>
              <w:spacing w:before="0" w:after="0" w:line="288" w:lineRule="auto"/>
              <w:ind w:left="1134" w:hanging="425"/>
              <w:rPr>
                <w:color w:val="000000"/>
              </w:rPr>
            </w:pPr>
            <w:bookmarkStart w:id="5" w:name="_DV_C373"/>
            <w:r>
              <w:rPr>
                <w:color w:val="000000"/>
              </w:rPr>
              <w:t xml:space="preserve"> </w:t>
            </w:r>
            <w:bookmarkEnd w:id="5"/>
            <w:r>
              <w:t>pokusu získat důvěrné informace, jež by ji neoprávněně zvýhodnily v zadávacím řízení</w:t>
            </w:r>
            <w:r>
              <w:rPr>
                <w:color w:val="000000"/>
              </w:rPr>
              <w:t xml:space="preserve"> </w:t>
            </w:r>
          </w:p>
        </w:tc>
        <w:tc>
          <w:tcPr>
            <w:tcW w:w="812" w:type="dxa"/>
            <w:shd w:val="clear" w:color="auto" w:fill="auto"/>
          </w:tcPr>
          <w:p w14:paraId="16F44850"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51"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7D7A5F" w14:paraId="16F44855" w14:textId="77777777" w:rsidTr="00F7691A">
        <w:tc>
          <w:tcPr>
            <w:tcW w:w="8238" w:type="dxa"/>
            <w:shd w:val="clear" w:color="auto" w:fill="auto"/>
          </w:tcPr>
          <w:p w14:paraId="16F44853" w14:textId="77777777" w:rsidR="007D7A5F" w:rsidRPr="00583379" w:rsidRDefault="007D7A5F" w:rsidP="00FB47CC">
            <w:pPr>
              <w:pStyle w:val="Text1"/>
              <w:numPr>
                <w:ilvl w:val="0"/>
                <w:numId w:val="15"/>
              </w:numPr>
              <w:spacing w:before="0" w:after="0" w:line="288" w:lineRule="auto"/>
              <w:ind w:left="357" w:hanging="357"/>
              <w:rPr>
                <w:color w:val="000000"/>
              </w:rPr>
            </w:pPr>
            <w:r>
              <w:t>bylo vydáno pravomocné soudní rozhodnutí, podle něhož je osoba vinna z následujících činů:</w:t>
            </w:r>
          </w:p>
        </w:tc>
        <w:tc>
          <w:tcPr>
            <w:tcW w:w="1517" w:type="dxa"/>
            <w:gridSpan w:val="2"/>
            <w:shd w:val="clear" w:color="auto" w:fill="auto"/>
          </w:tcPr>
          <w:p w14:paraId="16F44854" w14:textId="77777777" w:rsidR="007D7A5F" w:rsidRDefault="007D7A5F" w:rsidP="00FB47CC">
            <w:pPr>
              <w:spacing w:line="288" w:lineRule="auto"/>
              <w:jc w:val="both"/>
              <w:rPr>
                <w:noProof/>
              </w:rPr>
            </w:pPr>
          </w:p>
        </w:tc>
      </w:tr>
      <w:tr w:rsidR="00C475D8" w14:paraId="16F44859" w14:textId="77777777" w:rsidTr="00F7691A">
        <w:tc>
          <w:tcPr>
            <w:tcW w:w="8238" w:type="dxa"/>
            <w:shd w:val="clear" w:color="auto" w:fill="auto"/>
          </w:tcPr>
          <w:p w14:paraId="16F44856" w14:textId="3B3F41F2" w:rsidR="00C475D8" w:rsidRDefault="00C475D8" w:rsidP="00FB47CC">
            <w:pPr>
              <w:pStyle w:val="Text1"/>
              <w:numPr>
                <w:ilvl w:val="0"/>
                <w:numId w:val="28"/>
              </w:numPr>
              <w:spacing w:before="0" w:after="0" w:line="288" w:lineRule="auto"/>
              <w:ind w:left="1134" w:hanging="425"/>
              <w:rPr>
                <w:noProof/>
              </w:rPr>
            </w:pPr>
            <w:r>
              <w:t>podvodu ve smyslu článku 3 směrnice (EU) 2017/1371 a článku 1 Úmluvy o ochraně finančních zájmů Evropských společenství, vypracované aktem Rady ze dne 26. července 1995</w:t>
            </w:r>
          </w:p>
        </w:tc>
        <w:tc>
          <w:tcPr>
            <w:tcW w:w="812" w:type="dxa"/>
            <w:shd w:val="clear" w:color="auto" w:fill="auto"/>
          </w:tcPr>
          <w:p w14:paraId="16F44857"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58"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5D" w14:textId="77777777" w:rsidTr="00F7691A">
        <w:tc>
          <w:tcPr>
            <w:tcW w:w="8238" w:type="dxa"/>
            <w:shd w:val="clear" w:color="auto" w:fill="auto"/>
          </w:tcPr>
          <w:p w14:paraId="16F4485A" w14:textId="5435F6D1" w:rsidR="00C475D8" w:rsidRDefault="00C475D8" w:rsidP="00FB47CC">
            <w:pPr>
              <w:pStyle w:val="Text1"/>
              <w:numPr>
                <w:ilvl w:val="0"/>
                <w:numId w:val="28"/>
              </w:numPr>
              <w:spacing w:before="0" w:after="0" w:line="288" w:lineRule="auto"/>
              <w:ind w:left="1134" w:hanging="425"/>
              <w:rPr>
                <w:noProof/>
              </w:rPr>
            </w:pPr>
            <w:r>
              <w:t xml:space="preserve">korupce, jak je vymezena v čl. 4 odst. 2 směrnice (EU) 2017/1371 </w:t>
            </w:r>
            <w:r w:rsidR="00196E78">
              <w:t>a </w:t>
            </w:r>
            <w:r>
              <w:t>článku 3 Úmluvy o boji proti korupci úředníků Evropských společenství nebo členských států Evropské unie, vypracované aktem Rady ze dne 26. května 1997, a jednání uvedeného v čl. 2 odst. 1 rámcového rozhodnutí Rady 2003/568/SVV, jakož i korupce, jak je vymezena v platných právních předpisech</w:t>
            </w:r>
          </w:p>
        </w:tc>
        <w:tc>
          <w:tcPr>
            <w:tcW w:w="812" w:type="dxa"/>
            <w:shd w:val="clear" w:color="auto" w:fill="auto"/>
          </w:tcPr>
          <w:p w14:paraId="16F4485B"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5C"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61" w14:textId="77777777" w:rsidTr="00F7691A">
        <w:tc>
          <w:tcPr>
            <w:tcW w:w="8238" w:type="dxa"/>
            <w:shd w:val="clear" w:color="auto" w:fill="auto"/>
          </w:tcPr>
          <w:p w14:paraId="16F4485E" w14:textId="7AA34A8D" w:rsidR="00C475D8" w:rsidRDefault="00A25C17" w:rsidP="00FB47CC">
            <w:pPr>
              <w:pStyle w:val="Text1"/>
              <w:numPr>
                <w:ilvl w:val="0"/>
                <w:numId w:val="28"/>
              </w:numPr>
              <w:spacing w:before="0" w:after="0" w:line="288" w:lineRule="auto"/>
              <w:ind w:left="1134" w:hanging="425"/>
              <w:rPr>
                <w:noProof/>
              </w:rPr>
            </w:pPr>
            <w:r>
              <w:t>jednání souvisejícího se zločinným spolčením, jak je vymezeno v článku 2 rámcového rozhodnutí Rady 2008/841/SVV</w:t>
            </w:r>
          </w:p>
        </w:tc>
        <w:tc>
          <w:tcPr>
            <w:tcW w:w="812" w:type="dxa"/>
            <w:shd w:val="clear" w:color="auto" w:fill="auto"/>
          </w:tcPr>
          <w:p w14:paraId="16F4485F"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60"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65" w14:textId="77777777" w:rsidTr="00F7691A">
        <w:tc>
          <w:tcPr>
            <w:tcW w:w="8238" w:type="dxa"/>
            <w:shd w:val="clear" w:color="auto" w:fill="auto"/>
          </w:tcPr>
          <w:p w14:paraId="16F44862" w14:textId="168ACF66" w:rsidR="00C475D8" w:rsidRPr="00137801" w:rsidRDefault="00C475D8" w:rsidP="00FB47CC">
            <w:pPr>
              <w:pStyle w:val="Text1"/>
              <w:numPr>
                <w:ilvl w:val="0"/>
                <w:numId w:val="28"/>
              </w:numPr>
              <w:spacing w:before="0" w:after="0" w:line="288" w:lineRule="auto"/>
              <w:ind w:left="1134" w:hanging="425"/>
              <w:rPr>
                <w:color w:val="000000"/>
              </w:rPr>
            </w:pPr>
            <w:r>
              <w:t>praní peněz nebo financování terorismu, ve smyslu čl. 1 odst. 3, 4 a 5 směrnice Evropského parlamentu a Rady (EU) 2015/849</w:t>
            </w:r>
          </w:p>
        </w:tc>
        <w:tc>
          <w:tcPr>
            <w:tcW w:w="812" w:type="dxa"/>
            <w:shd w:val="clear" w:color="auto" w:fill="auto"/>
          </w:tcPr>
          <w:p w14:paraId="16F44863"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64"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69" w14:textId="77777777" w:rsidTr="00F7691A">
        <w:tc>
          <w:tcPr>
            <w:tcW w:w="8238" w:type="dxa"/>
            <w:shd w:val="clear" w:color="auto" w:fill="auto"/>
          </w:tcPr>
          <w:p w14:paraId="16F44866" w14:textId="791A6BB0" w:rsidR="00C475D8" w:rsidRPr="00137801" w:rsidRDefault="00C475D8" w:rsidP="00FB47CC">
            <w:pPr>
              <w:pStyle w:val="Text1"/>
              <w:numPr>
                <w:ilvl w:val="0"/>
                <w:numId w:val="28"/>
              </w:numPr>
              <w:spacing w:before="0" w:after="0" w:line="288" w:lineRule="auto"/>
              <w:ind w:left="1134" w:hanging="425"/>
              <w:rPr>
                <w:color w:val="000000"/>
              </w:rPr>
            </w:pPr>
            <w:bookmarkStart w:id="6" w:name="_DV_M253"/>
            <w:bookmarkEnd w:id="6"/>
            <w:r>
              <w:t xml:space="preserve">teroristických trestných činů, jak jsou vymezeny v článku 1 rámcového rozhodnutí Rady 2002/475/SVV, nebo trestných činů spojených s teroristickými činnostmi, jak jsou vymezeny v článku 3 uvedeného rámcového rozhodnutí, anebo návodu, pomoci či účastenství při jejich spáchání nebo pokusu o ně, jak jsou vymezeny </w:t>
            </w:r>
            <w:r w:rsidR="00196E78">
              <w:t>v </w:t>
            </w:r>
            <w:r>
              <w:t>článku 4 uvedeného rámcového rozhodnutí</w:t>
            </w:r>
          </w:p>
        </w:tc>
        <w:tc>
          <w:tcPr>
            <w:tcW w:w="812" w:type="dxa"/>
            <w:shd w:val="clear" w:color="auto" w:fill="auto"/>
          </w:tcPr>
          <w:p w14:paraId="16F44867"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68"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6D" w14:textId="77777777" w:rsidTr="00F7691A">
        <w:tc>
          <w:tcPr>
            <w:tcW w:w="8238" w:type="dxa"/>
            <w:shd w:val="clear" w:color="auto" w:fill="auto"/>
          </w:tcPr>
          <w:p w14:paraId="16F4486A" w14:textId="6642F72D" w:rsidR="00C475D8" w:rsidRPr="00583379" w:rsidRDefault="00C475D8" w:rsidP="00FF783B">
            <w:pPr>
              <w:pStyle w:val="Text1"/>
              <w:numPr>
                <w:ilvl w:val="0"/>
                <w:numId w:val="28"/>
              </w:numPr>
              <w:spacing w:before="0" w:after="0" w:line="288" w:lineRule="auto"/>
              <w:ind w:left="1134" w:hanging="425"/>
              <w:rPr>
                <w:color w:val="000000"/>
              </w:rPr>
            </w:pPr>
            <w:bookmarkStart w:id="7" w:name="_DV_M254"/>
            <w:bookmarkEnd w:id="7"/>
            <w:r>
              <w:t>dětské práce a jiných trestných činů souvisejících s obchodováním s lidmi podle článku 2 směrnice Evropského parlamentu a</w:t>
            </w:r>
            <w:r w:rsidR="00FF783B">
              <w:t> </w:t>
            </w:r>
            <w:r>
              <w:t>Rady</w:t>
            </w:r>
            <w:r w:rsidR="00FF783B">
              <w:t> </w:t>
            </w:r>
            <w:r>
              <w:t>2011/36/EU</w:t>
            </w:r>
          </w:p>
        </w:tc>
        <w:tc>
          <w:tcPr>
            <w:tcW w:w="812" w:type="dxa"/>
            <w:shd w:val="clear" w:color="auto" w:fill="auto"/>
          </w:tcPr>
          <w:p w14:paraId="16F4486B"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6C"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71" w14:textId="77777777" w:rsidTr="00F7691A">
        <w:tc>
          <w:tcPr>
            <w:tcW w:w="8238" w:type="dxa"/>
            <w:shd w:val="clear" w:color="auto" w:fill="auto"/>
          </w:tcPr>
          <w:p w14:paraId="16F4486E" w14:textId="09CE19F3" w:rsidR="00C475D8" w:rsidRPr="00583379" w:rsidRDefault="00AD26DC" w:rsidP="00FB47CC">
            <w:pPr>
              <w:pStyle w:val="Text1"/>
              <w:numPr>
                <w:ilvl w:val="0"/>
                <w:numId w:val="15"/>
              </w:numPr>
              <w:spacing w:before="0" w:after="0" w:line="288" w:lineRule="auto"/>
              <w:rPr>
                <w:color w:val="000000"/>
              </w:rPr>
            </w:pPr>
            <w:r>
              <w:lastRenderedPageBreak/>
              <w:t xml:space="preserve">při realizaci veřejné zakázky nebo plnění smlouvy financované z rozpočtu Unie se dopustila závažných pochybení, jež vedla k předčasnému ukončení této veřejné zakázky, vymáhání náhrady škod nebo jiným smluvním sankcím nebo která byla zjištěna při kontrolách, auditech či šetřeních provedených veřejným zadavatelem, </w:t>
            </w:r>
            <w:r>
              <w:rPr>
                <w:color w:val="000000"/>
              </w:rPr>
              <w:t>Evropským úřadem pro boj proti podvodům (OLAF)</w:t>
            </w:r>
            <w:r>
              <w:t xml:space="preserve"> nebo Účetním dvorem </w:t>
            </w:r>
          </w:p>
        </w:tc>
        <w:tc>
          <w:tcPr>
            <w:tcW w:w="812" w:type="dxa"/>
            <w:shd w:val="clear" w:color="auto" w:fill="auto"/>
          </w:tcPr>
          <w:p w14:paraId="16F4486F"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70"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C475D8" w14:paraId="16F44875" w14:textId="77777777" w:rsidTr="00F7691A">
        <w:tc>
          <w:tcPr>
            <w:tcW w:w="8238" w:type="dxa"/>
            <w:shd w:val="clear" w:color="auto" w:fill="auto"/>
          </w:tcPr>
          <w:p w14:paraId="16F44872" w14:textId="77777777" w:rsidR="00C475D8" w:rsidRDefault="00C475D8" w:rsidP="00FB47CC">
            <w:pPr>
              <w:pStyle w:val="Text1"/>
              <w:numPr>
                <w:ilvl w:val="0"/>
                <w:numId w:val="15"/>
              </w:numPr>
              <w:spacing w:before="0" w:after="0" w:line="288" w:lineRule="auto"/>
              <w:rPr>
                <w:noProof/>
              </w:rPr>
            </w:pPr>
            <w:r>
              <w:t>bylo vydáno pravomocné soudní nebo konečné správní rozhodnutí, podle něhož se osoba dopustila nesrovnalostí ve smyslu čl. 1 odst. 2 nařízení Rady (ES, Euratom) č. 2988/95</w:t>
            </w:r>
          </w:p>
        </w:tc>
        <w:tc>
          <w:tcPr>
            <w:tcW w:w="812" w:type="dxa"/>
            <w:shd w:val="clear" w:color="auto" w:fill="auto"/>
          </w:tcPr>
          <w:p w14:paraId="16F44873"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74" w14:textId="77777777" w:rsidR="00C475D8" w:rsidRDefault="00C475D8"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EF2BEC" w14:paraId="794E089C" w14:textId="77777777" w:rsidTr="00F7691A">
        <w:tc>
          <w:tcPr>
            <w:tcW w:w="8238" w:type="dxa"/>
            <w:shd w:val="clear" w:color="auto" w:fill="auto"/>
          </w:tcPr>
          <w:p w14:paraId="5DEB9849" w14:textId="42C627BD" w:rsidR="00EF2BEC" w:rsidRDefault="00EF2BEC" w:rsidP="00FB47CC">
            <w:pPr>
              <w:pStyle w:val="Text1"/>
              <w:numPr>
                <w:ilvl w:val="0"/>
                <w:numId w:val="15"/>
              </w:numPr>
              <w:spacing w:before="0" w:after="0" w:line="288" w:lineRule="auto"/>
              <w:rPr>
                <w:color w:val="000000"/>
              </w:rPr>
            </w:pPr>
            <w:r>
              <w:rPr>
                <w:color w:val="000000"/>
              </w:rPr>
              <w:t>bylo vydáno pravomocné soudní nebo konečné správní rozhodnutí, podle něhož osoba vytvořila subjekt v jiné jurisdikci s cílem obejít fiskální, sociální nebo jakékoli jiné právní povinnosti v jurisdikci, pod kterou spadá její sídlo, správní ústředí nebo hlavní místo podnikání</w:t>
            </w:r>
          </w:p>
        </w:tc>
        <w:tc>
          <w:tcPr>
            <w:tcW w:w="812" w:type="dxa"/>
            <w:shd w:val="clear" w:color="auto" w:fill="auto"/>
          </w:tcPr>
          <w:p w14:paraId="323E098E" w14:textId="5CC3DF43" w:rsidR="00EF2BEC" w:rsidRDefault="00EF2BE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10148AE" w14:textId="71C1DB1B" w:rsidR="00EF2BEC" w:rsidRDefault="00EF2BE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EF2BEC" w14:paraId="7680D48F" w14:textId="77777777" w:rsidTr="00F7691A">
        <w:tc>
          <w:tcPr>
            <w:tcW w:w="8238" w:type="dxa"/>
            <w:shd w:val="clear" w:color="auto" w:fill="auto"/>
          </w:tcPr>
          <w:p w14:paraId="12F0F793" w14:textId="70BCA1D3" w:rsidR="00EF2BEC" w:rsidRDefault="00EF2BEC" w:rsidP="00FB47CC">
            <w:pPr>
              <w:pStyle w:val="Text1"/>
              <w:numPr>
                <w:ilvl w:val="0"/>
                <w:numId w:val="15"/>
              </w:numPr>
              <w:spacing w:before="0" w:after="0" w:line="288" w:lineRule="auto"/>
              <w:rPr>
                <w:color w:val="000000"/>
              </w:rPr>
            </w:pPr>
            <w:r>
              <w:t>(</w:t>
            </w:r>
            <w:r>
              <w:rPr>
                <w:i/>
              </w:rPr>
              <w:t>pouze u právnických osob</w:t>
            </w:r>
            <w:r>
              <w:t xml:space="preserve">) </w:t>
            </w:r>
            <w:r>
              <w:rPr>
                <w:color w:val="000000"/>
              </w:rPr>
              <w:t>bylo vydáno pravomocné soudní nebo konečné správní rozhodnutí, podle něhož byla právnická osoba vytvořena s cílem uvedeným pod písmenem g)</w:t>
            </w:r>
          </w:p>
        </w:tc>
        <w:tc>
          <w:tcPr>
            <w:tcW w:w="812" w:type="dxa"/>
            <w:shd w:val="clear" w:color="auto" w:fill="auto"/>
          </w:tcPr>
          <w:p w14:paraId="415689BC" w14:textId="4F1B388E" w:rsidR="00EF2BEC" w:rsidRDefault="00EF2BE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2FEEC824" w14:textId="6945CFDF" w:rsidR="00EF2BEC" w:rsidRDefault="00EF2BE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EF2BEC" w14:paraId="16F4487E" w14:textId="77777777" w:rsidTr="00F7691A">
        <w:tc>
          <w:tcPr>
            <w:tcW w:w="8238" w:type="dxa"/>
            <w:shd w:val="clear" w:color="auto" w:fill="auto"/>
          </w:tcPr>
          <w:p w14:paraId="16F44876" w14:textId="6703E0C7" w:rsidR="00EF2BEC" w:rsidRDefault="00EF2BEC" w:rsidP="00FB47CC">
            <w:pPr>
              <w:pStyle w:val="Text1"/>
              <w:numPr>
                <w:ilvl w:val="0"/>
                <w:numId w:val="15"/>
              </w:numPr>
              <w:spacing w:before="0" w:after="0" w:line="288" w:lineRule="auto"/>
              <w:rPr>
                <w:color w:val="000000"/>
              </w:rPr>
            </w:pPr>
            <w:r>
              <w:rPr>
                <w:color w:val="000000"/>
              </w:rPr>
              <w:t>v případech uvedených výše pod písmeny c) až h) se na osobu vztahuje či vztahují:</w:t>
            </w:r>
          </w:p>
          <w:p w14:paraId="16F44877" w14:textId="36ADF47C" w:rsidR="00EF2BEC" w:rsidRDefault="00EF2BEC" w:rsidP="00FB47CC">
            <w:pPr>
              <w:pStyle w:val="Text1"/>
              <w:numPr>
                <w:ilvl w:val="0"/>
                <w:numId w:val="25"/>
              </w:numPr>
              <w:spacing w:before="0" w:after="0" w:line="288" w:lineRule="auto"/>
              <w:ind w:left="709" w:firstLine="0"/>
              <w:rPr>
                <w:color w:val="000000"/>
              </w:rPr>
            </w:pPr>
            <w:r>
              <w:rPr>
                <w:color w:val="000000"/>
              </w:rPr>
              <w:t>fakta zjištěná při auditech nebo vyšetřování Úřadu evropského veřejného žalobce, jakmile bude zřízen, Účetního dvora, úřadu OLAF nebo útvaru interního auditu nebo při jakékoli jiné prověrce, auditu či kontrole prováděných na pokyn schvalující osoby orgánu EU, evropského úřadu nebo agentury či instituce EU;</w:t>
            </w:r>
          </w:p>
          <w:p w14:paraId="16F44878" w14:textId="77777777" w:rsidR="00EF2BEC" w:rsidRDefault="00EF2BEC" w:rsidP="00FB47CC">
            <w:pPr>
              <w:pStyle w:val="Text1"/>
              <w:numPr>
                <w:ilvl w:val="0"/>
                <w:numId w:val="25"/>
              </w:numPr>
              <w:spacing w:before="0" w:after="0" w:line="288" w:lineRule="auto"/>
              <w:ind w:left="709" w:firstLine="0"/>
              <w:rPr>
                <w:color w:val="000000"/>
              </w:rPr>
            </w:pPr>
            <w:r>
              <w:rPr>
                <w:color w:val="000000"/>
              </w:rPr>
              <w:t>správní rozhodnutí, jež nejsou konečná, která mohou zahrnovat disciplinární opatření přijatá příslušným orgánem dohledu odpovědným za ověřování dodržování zásad profesní etiky;</w:t>
            </w:r>
          </w:p>
          <w:p w14:paraId="16F44879" w14:textId="11B9C96D" w:rsidR="00EF2BEC" w:rsidRDefault="00A64343" w:rsidP="00FB47CC">
            <w:pPr>
              <w:pStyle w:val="Text1"/>
              <w:numPr>
                <w:ilvl w:val="0"/>
                <w:numId w:val="25"/>
              </w:numPr>
              <w:spacing w:before="0" w:after="0" w:line="288" w:lineRule="auto"/>
              <w:ind w:left="709" w:firstLine="0"/>
              <w:rPr>
                <w:color w:val="000000"/>
              </w:rPr>
            </w:pPr>
            <w:r>
              <w:rPr>
                <w:color w:val="000000"/>
              </w:rPr>
              <w:t xml:space="preserve"> fakta uvedená v rozhodnutích subjektů či osob pověřených úkoly souvisejícími s plněním rozpočtu EU;</w:t>
            </w:r>
          </w:p>
          <w:p w14:paraId="7B88A7A4" w14:textId="1F7123E1" w:rsidR="00A64343" w:rsidRDefault="00F60846" w:rsidP="00FB47CC">
            <w:pPr>
              <w:pStyle w:val="Text1"/>
              <w:numPr>
                <w:ilvl w:val="0"/>
                <w:numId w:val="25"/>
              </w:numPr>
              <w:spacing w:before="0" w:after="0" w:line="288" w:lineRule="auto"/>
              <w:ind w:left="709" w:firstLine="0"/>
              <w:rPr>
                <w:color w:val="000000"/>
              </w:rPr>
            </w:pPr>
            <w:r>
              <w:rPr>
                <w:color w:val="000000"/>
              </w:rPr>
              <w:t>informace předávané členskými státy vynakládajícími finanční prostředky Unie;</w:t>
            </w:r>
          </w:p>
          <w:p w14:paraId="16F4487A" w14:textId="03C984FB" w:rsidR="00EF2BEC" w:rsidRDefault="00EF2BEC" w:rsidP="00FB47CC">
            <w:pPr>
              <w:pStyle w:val="Text1"/>
              <w:numPr>
                <w:ilvl w:val="0"/>
                <w:numId w:val="25"/>
              </w:numPr>
              <w:spacing w:before="0" w:after="0" w:line="288" w:lineRule="auto"/>
              <w:ind w:left="709" w:firstLine="0"/>
              <w:rPr>
                <w:color w:val="000000"/>
              </w:rPr>
            </w:pPr>
            <w:r>
              <w:rPr>
                <w:color w:val="000000"/>
              </w:rPr>
              <w:t>rozhodnutí Komise týkající se porušení právních předpisů Unie v oblasti hospodářské soutěže nebo rozhodnutí příslušného vnitrostátního orgánu týkající se porušení právních předpisů v oblasti hospodářské soutěže na úrovni Unie nebo členského státu nebo</w:t>
            </w:r>
          </w:p>
          <w:p w14:paraId="16F4487B" w14:textId="77777777" w:rsidR="00EF2BEC" w:rsidRPr="00583379" w:rsidRDefault="00EF2BEC" w:rsidP="00FB47CC">
            <w:pPr>
              <w:pStyle w:val="Text1"/>
              <w:numPr>
                <w:ilvl w:val="0"/>
                <w:numId w:val="25"/>
              </w:numPr>
              <w:spacing w:before="0" w:after="0" w:line="288" w:lineRule="auto"/>
              <w:ind w:left="709" w:firstLine="0"/>
              <w:rPr>
                <w:color w:val="000000"/>
              </w:rPr>
            </w:pPr>
            <w:r>
              <w:rPr>
                <w:color w:val="000000"/>
              </w:rPr>
              <w:t xml:space="preserve">rozhodnutí o vyloučení vydané schvalující osobou orgánu EU, evropského úřadu nebo agentury či instituce EU. </w:t>
            </w:r>
          </w:p>
        </w:tc>
        <w:tc>
          <w:tcPr>
            <w:tcW w:w="812" w:type="dxa"/>
            <w:shd w:val="clear" w:color="auto" w:fill="auto"/>
          </w:tcPr>
          <w:p w14:paraId="16F4487C" w14:textId="77777777" w:rsidR="00EF2BEC" w:rsidRDefault="00EF2BE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705" w:type="dxa"/>
            <w:shd w:val="clear" w:color="auto" w:fill="auto"/>
          </w:tcPr>
          <w:p w14:paraId="16F4487D" w14:textId="77777777" w:rsidR="00EF2BEC" w:rsidRDefault="00EF2BE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bl>
    <w:p w14:paraId="16F4487F" w14:textId="5888B51F" w:rsidR="00897553" w:rsidRPr="0024225B" w:rsidRDefault="00897553" w:rsidP="00FB47CC">
      <w:pPr>
        <w:pStyle w:val="Title"/>
        <w:keepNext/>
        <w:keepLines/>
        <w:numPr>
          <w:ilvl w:val="0"/>
          <w:numId w:val="29"/>
        </w:numPr>
        <w:spacing w:before="0" w:after="0" w:line="288" w:lineRule="auto"/>
        <w:ind w:left="567" w:hanging="567"/>
        <w:rPr>
          <w:b w:val="0"/>
          <w:smallCaps w:val="0"/>
        </w:rPr>
      </w:pPr>
      <w:bookmarkStart w:id="8" w:name="_DV_C376"/>
      <w:r>
        <w:lastRenderedPageBreak/>
        <w:t>Situace zakládající vyloučení fyzických nebo právnických osob oprávněných zastupovat právnickou osobu nebo majících v ní rozhodovací či řídící pravomoc a skutečného majitele</w:t>
      </w:r>
    </w:p>
    <w:p w14:paraId="58A68F1C" w14:textId="77777777" w:rsidR="00FB47CC" w:rsidRDefault="00FB47CC" w:rsidP="00FB47CC">
      <w:pPr>
        <w:keepNext/>
        <w:keepLines/>
        <w:autoSpaceDE w:val="0"/>
        <w:autoSpaceDN w:val="0"/>
        <w:adjustRightInd w:val="0"/>
        <w:spacing w:line="288" w:lineRule="auto"/>
        <w:jc w:val="center"/>
        <w:rPr>
          <w:b/>
          <w:i/>
          <w:u w:val="single"/>
        </w:rPr>
      </w:pPr>
    </w:p>
    <w:p w14:paraId="16F44880" w14:textId="3C8F185D" w:rsidR="00897553" w:rsidRPr="0024225B" w:rsidRDefault="001F135A" w:rsidP="00FB47CC">
      <w:pPr>
        <w:keepNext/>
        <w:keepLines/>
        <w:autoSpaceDE w:val="0"/>
        <w:autoSpaceDN w:val="0"/>
        <w:adjustRightInd w:val="0"/>
        <w:spacing w:line="288" w:lineRule="auto"/>
        <w:jc w:val="center"/>
        <w:rPr>
          <w:i/>
          <w:noProof/>
        </w:rPr>
      </w:pPr>
      <w:r>
        <w:rPr>
          <w:b/>
          <w:i/>
          <w:u w:val="single"/>
        </w:rPr>
        <w:t>Netýká se fyzických osob. Je-li uchazečem fyzická osoba, následující část se vyškrtne.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736"/>
        <w:gridCol w:w="606"/>
        <w:gridCol w:w="1203"/>
      </w:tblGrid>
      <w:tr w:rsidR="001F135A" w14:paraId="16F44885" w14:textId="77777777" w:rsidTr="003F754E">
        <w:tc>
          <w:tcPr>
            <w:tcW w:w="7747" w:type="dxa"/>
            <w:shd w:val="clear" w:color="auto" w:fill="auto"/>
            <w:vAlign w:val="center"/>
          </w:tcPr>
          <w:p w14:paraId="16F44881" w14:textId="2E3C69C6" w:rsidR="001F135A" w:rsidRPr="003E5E5C" w:rsidRDefault="00891643" w:rsidP="00FF783B">
            <w:pPr>
              <w:keepNext/>
              <w:keepLines/>
              <w:numPr>
                <w:ilvl w:val="0"/>
                <w:numId w:val="17"/>
              </w:numPr>
              <w:spacing w:line="288" w:lineRule="auto"/>
              <w:jc w:val="both"/>
              <w:rPr>
                <w:noProof/>
              </w:rPr>
            </w:pPr>
            <w:r>
              <w:t>prohlašuje, že fyzická nebo právnická osoba, která je členem správního, řídícího nebo dozorčího orgánu výše uvedené právnické osoby nebo která je oprávněná výše uvedenou právnickou osobu zastupovat, má v ní rozhodovací či řídící pravomoc (to zahrnuje např. ředitele, členy řídících a dozorčích orgánů a případy, kdy jedna fyzická nebo právnická osoba drží většinový podíl), případně skutečný majitel (jak je vymezen v</w:t>
            </w:r>
            <w:r w:rsidR="00FF783B">
              <w:t> </w:t>
            </w:r>
            <w:r>
              <w:t>čl.</w:t>
            </w:r>
            <w:r w:rsidR="00FF783B">
              <w:t> </w:t>
            </w:r>
            <w:r>
              <w:t>3 bodě 6 směrnice (EU) 2015/849), se nachází v</w:t>
            </w:r>
            <w:r w:rsidR="00FF783B">
              <w:t> </w:t>
            </w:r>
            <w:r>
              <w:t xml:space="preserve">následujících situacích: </w:t>
            </w:r>
          </w:p>
        </w:tc>
        <w:tc>
          <w:tcPr>
            <w:tcW w:w="670" w:type="dxa"/>
            <w:shd w:val="clear" w:color="auto" w:fill="auto"/>
          </w:tcPr>
          <w:p w14:paraId="16F44882" w14:textId="77777777" w:rsidR="001F135A" w:rsidRDefault="001F135A" w:rsidP="00FB47CC">
            <w:pPr>
              <w:keepNext/>
              <w:keepLines/>
              <w:spacing w:line="288" w:lineRule="auto"/>
              <w:jc w:val="both"/>
              <w:rPr>
                <w:noProof/>
              </w:rPr>
            </w:pPr>
            <w:r>
              <w:t>ANO</w:t>
            </w:r>
          </w:p>
        </w:tc>
        <w:tc>
          <w:tcPr>
            <w:tcW w:w="614" w:type="dxa"/>
            <w:shd w:val="clear" w:color="auto" w:fill="auto"/>
          </w:tcPr>
          <w:p w14:paraId="16F44883" w14:textId="77777777" w:rsidR="001F135A" w:rsidRDefault="001F135A" w:rsidP="00FB47CC">
            <w:pPr>
              <w:keepNext/>
              <w:keepLines/>
              <w:spacing w:line="288" w:lineRule="auto"/>
              <w:jc w:val="both"/>
              <w:rPr>
                <w:noProof/>
              </w:rPr>
            </w:pPr>
            <w:r>
              <w:t>NE</w:t>
            </w:r>
          </w:p>
        </w:tc>
        <w:tc>
          <w:tcPr>
            <w:tcW w:w="630" w:type="dxa"/>
          </w:tcPr>
          <w:p w14:paraId="16F44884" w14:textId="77777777" w:rsidR="001F135A" w:rsidRDefault="001F135A" w:rsidP="00FB47CC">
            <w:pPr>
              <w:keepNext/>
              <w:keepLines/>
              <w:spacing w:line="288" w:lineRule="auto"/>
              <w:jc w:val="both"/>
              <w:rPr>
                <w:noProof/>
              </w:rPr>
            </w:pPr>
            <w:r>
              <w:t>Nepoužije se</w:t>
            </w:r>
          </w:p>
        </w:tc>
      </w:tr>
      <w:tr w:rsidR="001F135A" w14:paraId="16F4488A" w14:textId="77777777" w:rsidTr="003F754E">
        <w:tc>
          <w:tcPr>
            <w:tcW w:w="7747" w:type="dxa"/>
            <w:shd w:val="clear" w:color="auto" w:fill="auto"/>
            <w:vAlign w:val="center"/>
          </w:tcPr>
          <w:p w14:paraId="16F44886" w14:textId="77777777" w:rsidR="001F135A" w:rsidRDefault="001F135A" w:rsidP="00FB47CC">
            <w:pPr>
              <w:pStyle w:val="Text1"/>
              <w:spacing w:before="0" w:after="0" w:line="288" w:lineRule="auto"/>
              <w:ind w:left="360"/>
              <w:rPr>
                <w:noProof/>
              </w:rPr>
            </w:pPr>
            <w:r>
              <w:t>Situace uvedená výše pod písmenem c) (vážné profesní pochybení)</w:t>
            </w:r>
          </w:p>
        </w:tc>
        <w:tc>
          <w:tcPr>
            <w:tcW w:w="670" w:type="dxa"/>
            <w:shd w:val="clear" w:color="auto" w:fill="auto"/>
            <w:vAlign w:val="center"/>
          </w:tcPr>
          <w:p w14:paraId="16F44887"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14" w:type="dxa"/>
            <w:shd w:val="clear" w:color="auto" w:fill="auto"/>
            <w:vAlign w:val="center"/>
          </w:tcPr>
          <w:p w14:paraId="16F44888"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30" w:type="dxa"/>
          </w:tcPr>
          <w:p w14:paraId="16F44889"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1F135A" w14:paraId="16F4488F" w14:textId="77777777" w:rsidTr="003F754E">
        <w:tc>
          <w:tcPr>
            <w:tcW w:w="7747" w:type="dxa"/>
            <w:shd w:val="clear" w:color="auto" w:fill="auto"/>
            <w:vAlign w:val="center"/>
          </w:tcPr>
          <w:p w14:paraId="16F4488B" w14:textId="77777777" w:rsidR="001F135A" w:rsidRDefault="001F135A" w:rsidP="00FB47CC">
            <w:pPr>
              <w:pStyle w:val="Text1"/>
              <w:spacing w:before="0" w:after="0" w:line="288" w:lineRule="auto"/>
              <w:ind w:left="360"/>
              <w:rPr>
                <w:noProof/>
              </w:rPr>
            </w:pPr>
            <w:r>
              <w:t>Situace uvedená výše pod písmenem d) (podvod, korupce nebo jiný trestný čin)</w:t>
            </w:r>
          </w:p>
        </w:tc>
        <w:tc>
          <w:tcPr>
            <w:tcW w:w="670" w:type="dxa"/>
            <w:shd w:val="clear" w:color="auto" w:fill="auto"/>
            <w:vAlign w:val="center"/>
          </w:tcPr>
          <w:p w14:paraId="16F4488C"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14" w:type="dxa"/>
            <w:shd w:val="clear" w:color="auto" w:fill="auto"/>
            <w:vAlign w:val="center"/>
          </w:tcPr>
          <w:p w14:paraId="16F4488D"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30" w:type="dxa"/>
          </w:tcPr>
          <w:p w14:paraId="16F4488E"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1F135A" w14:paraId="16F44894" w14:textId="77777777" w:rsidTr="003F754E">
        <w:tc>
          <w:tcPr>
            <w:tcW w:w="7747" w:type="dxa"/>
            <w:shd w:val="clear" w:color="auto" w:fill="auto"/>
            <w:vAlign w:val="center"/>
          </w:tcPr>
          <w:p w14:paraId="16F44890" w14:textId="77777777" w:rsidR="001F135A" w:rsidRDefault="001F135A" w:rsidP="00FB47CC">
            <w:pPr>
              <w:pStyle w:val="Text1"/>
              <w:spacing w:before="0" w:after="0" w:line="288" w:lineRule="auto"/>
              <w:ind w:left="360"/>
              <w:rPr>
                <w:noProof/>
              </w:rPr>
            </w:pPr>
            <w:r>
              <w:t>Situace uvedená výše pod písmenem e) (závažné pochybení při realizaci zakázky)</w:t>
            </w:r>
          </w:p>
        </w:tc>
        <w:tc>
          <w:tcPr>
            <w:tcW w:w="670" w:type="dxa"/>
            <w:shd w:val="clear" w:color="auto" w:fill="auto"/>
            <w:vAlign w:val="center"/>
          </w:tcPr>
          <w:p w14:paraId="16F44891"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14" w:type="dxa"/>
            <w:shd w:val="clear" w:color="auto" w:fill="auto"/>
            <w:vAlign w:val="center"/>
          </w:tcPr>
          <w:p w14:paraId="16F44892"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30" w:type="dxa"/>
          </w:tcPr>
          <w:p w14:paraId="16F44893"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1F135A" w14:paraId="16F44899" w14:textId="77777777" w:rsidTr="003F754E">
        <w:tc>
          <w:tcPr>
            <w:tcW w:w="7747" w:type="dxa"/>
            <w:shd w:val="clear" w:color="auto" w:fill="auto"/>
            <w:vAlign w:val="center"/>
          </w:tcPr>
          <w:p w14:paraId="16F44895" w14:textId="77777777" w:rsidR="001F135A" w:rsidRDefault="001F135A" w:rsidP="00FB47CC">
            <w:pPr>
              <w:pStyle w:val="Text1"/>
              <w:spacing w:before="0" w:after="0" w:line="288" w:lineRule="auto"/>
              <w:ind w:left="360"/>
              <w:rPr>
                <w:noProof/>
              </w:rPr>
            </w:pPr>
            <w:r>
              <w:t>Situace uvedená výše pod písmenem f) (nesrovnalost)</w:t>
            </w:r>
          </w:p>
        </w:tc>
        <w:tc>
          <w:tcPr>
            <w:tcW w:w="670" w:type="dxa"/>
            <w:shd w:val="clear" w:color="auto" w:fill="auto"/>
            <w:vAlign w:val="center"/>
          </w:tcPr>
          <w:p w14:paraId="16F44896"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14" w:type="dxa"/>
            <w:shd w:val="clear" w:color="auto" w:fill="auto"/>
            <w:vAlign w:val="center"/>
          </w:tcPr>
          <w:p w14:paraId="16F44897"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30" w:type="dxa"/>
          </w:tcPr>
          <w:p w14:paraId="16F44898" w14:textId="77777777" w:rsidR="001F135A" w:rsidRDefault="001F135A"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3F754E" w14:paraId="2E60BF88" w14:textId="77777777" w:rsidTr="003F754E">
        <w:tc>
          <w:tcPr>
            <w:tcW w:w="7747" w:type="dxa"/>
            <w:shd w:val="clear" w:color="auto" w:fill="auto"/>
            <w:vAlign w:val="center"/>
          </w:tcPr>
          <w:p w14:paraId="52155F20" w14:textId="5964EA50" w:rsidR="003F754E" w:rsidRDefault="003F754E" w:rsidP="00FB47CC">
            <w:pPr>
              <w:pStyle w:val="Text1"/>
              <w:spacing w:before="0" w:after="0" w:line="288" w:lineRule="auto"/>
              <w:ind w:left="360"/>
              <w:rPr>
                <w:noProof/>
              </w:rPr>
            </w:pPr>
            <w:r>
              <w:t>Situace uvedená výše pod písmenem g) (vytvoření subjektu s cílem obejít právní povinnosti)</w:t>
            </w:r>
          </w:p>
        </w:tc>
        <w:tc>
          <w:tcPr>
            <w:tcW w:w="670" w:type="dxa"/>
            <w:shd w:val="clear" w:color="auto" w:fill="auto"/>
            <w:vAlign w:val="center"/>
          </w:tcPr>
          <w:p w14:paraId="18EF2326" w14:textId="0489205B" w:rsidR="003F754E" w:rsidRDefault="003F754E"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14" w:type="dxa"/>
            <w:shd w:val="clear" w:color="auto" w:fill="auto"/>
            <w:vAlign w:val="center"/>
          </w:tcPr>
          <w:p w14:paraId="29241816" w14:textId="1BAB0021" w:rsidR="003F754E" w:rsidRDefault="003F754E"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30" w:type="dxa"/>
          </w:tcPr>
          <w:p w14:paraId="68BCCF11" w14:textId="0A30A6E4" w:rsidR="003F754E" w:rsidRDefault="003F754E"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3F754E" w14:paraId="1503AB7C" w14:textId="77777777" w:rsidTr="003F754E">
        <w:tc>
          <w:tcPr>
            <w:tcW w:w="7747" w:type="dxa"/>
            <w:shd w:val="clear" w:color="auto" w:fill="auto"/>
            <w:vAlign w:val="center"/>
          </w:tcPr>
          <w:p w14:paraId="4FFD6952" w14:textId="5C59B102" w:rsidR="003F754E" w:rsidRDefault="003F754E" w:rsidP="00FB47CC">
            <w:pPr>
              <w:pStyle w:val="Text1"/>
              <w:spacing w:before="0" w:after="0" w:line="288" w:lineRule="auto"/>
              <w:ind w:left="360"/>
              <w:rPr>
                <w:noProof/>
              </w:rPr>
            </w:pPr>
            <w:r>
              <w:t>Situace uvedená výše pod písmenem h) (subjekt vytvořený s cílem obejít právní povinnosti)</w:t>
            </w:r>
          </w:p>
        </w:tc>
        <w:tc>
          <w:tcPr>
            <w:tcW w:w="670" w:type="dxa"/>
            <w:shd w:val="clear" w:color="auto" w:fill="auto"/>
            <w:vAlign w:val="center"/>
          </w:tcPr>
          <w:p w14:paraId="47BE4182" w14:textId="6B6D861F" w:rsidR="003F754E" w:rsidRDefault="003F754E"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14" w:type="dxa"/>
            <w:shd w:val="clear" w:color="auto" w:fill="auto"/>
            <w:vAlign w:val="center"/>
          </w:tcPr>
          <w:p w14:paraId="68E40672" w14:textId="63BF3438" w:rsidR="003F754E" w:rsidRDefault="003F754E"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30" w:type="dxa"/>
          </w:tcPr>
          <w:p w14:paraId="0ED824AD" w14:textId="394323D5" w:rsidR="003F754E" w:rsidRDefault="003F754E"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bl>
    <w:p w14:paraId="41EF3184" w14:textId="77777777" w:rsidR="00FB47CC" w:rsidRDefault="00FB47CC" w:rsidP="00FB47CC">
      <w:pPr>
        <w:pStyle w:val="Title"/>
        <w:spacing w:before="0" w:after="0" w:line="288" w:lineRule="auto"/>
        <w:ind w:left="567"/>
        <w:rPr>
          <w:noProof/>
        </w:rPr>
      </w:pPr>
    </w:p>
    <w:p w14:paraId="16F4489A" w14:textId="653F2159" w:rsidR="00CA27B0" w:rsidRDefault="00CA27B0" w:rsidP="00FB47CC">
      <w:pPr>
        <w:pStyle w:val="Title"/>
        <w:numPr>
          <w:ilvl w:val="0"/>
          <w:numId w:val="29"/>
        </w:numPr>
        <w:spacing w:before="0" w:after="0" w:line="288" w:lineRule="auto"/>
        <w:ind w:left="567" w:hanging="567"/>
        <w:rPr>
          <w:noProof/>
        </w:rPr>
      </w:pPr>
      <w:r>
        <w:t>Situace zakládající vyloučení fyzických nebo právnických osob, které neomezeně ručí za závazky právnické osoby</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736"/>
        <w:gridCol w:w="606"/>
        <w:gridCol w:w="1203"/>
      </w:tblGrid>
      <w:tr w:rsidR="003E5E5C" w14:paraId="16F4489F" w14:textId="77777777" w:rsidTr="007E18C5">
        <w:tc>
          <w:tcPr>
            <w:tcW w:w="7747" w:type="dxa"/>
            <w:shd w:val="clear" w:color="auto" w:fill="auto"/>
          </w:tcPr>
          <w:p w14:paraId="16F4489B" w14:textId="2875510D" w:rsidR="003E5E5C" w:rsidRDefault="003E5E5C" w:rsidP="00FB47CC">
            <w:pPr>
              <w:numPr>
                <w:ilvl w:val="0"/>
                <w:numId w:val="17"/>
              </w:numPr>
              <w:spacing w:line="288" w:lineRule="auto"/>
              <w:jc w:val="both"/>
              <w:rPr>
                <w:noProof/>
              </w:rPr>
            </w:pPr>
            <w:r>
              <w:t xml:space="preserve"> prohlašuje, že fyzická nebo právnická osoba, která neomezeně ručí za závazky výše uvedené právnické osoby, se nachází </w:t>
            </w:r>
            <w:r w:rsidR="00196E78">
              <w:t>v </w:t>
            </w:r>
            <w:r>
              <w:t xml:space="preserve">následujících situacích: </w:t>
            </w:r>
          </w:p>
        </w:tc>
        <w:tc>
          <w:tcPr>
            <w:tcW w:w="670" w:type="dxa"/>
            <w:shd w:val="clear" w:color="auto" w:fill="auto"/>
          </w:tcPr>
          <w:p w14:paraId="16F4489C" w14:textId="77777777" w:rsidR="003E5E5C" w:rsidRDefault="003E5E5C" w:rsidP="00FB47CC">
            <w:pPr>
              <w:spacing w:line="288" w:lineRule="auto"/>
              <w:jc w:val="both"/>
              <w:rPr>
                <w:noProof/>
              </w:rPr>
            </w:pPr>
            <w:r>
              <w:t>ANO</w:t>
            </w:r>
          </w:p>
        </w:tc>
        <w:tc>
          <w:tcPr>
            <w:tcW w:w="614" w:type="dxa"/>
          </w:tcPr>
          <w:p w14:paraId="16F4489D" w14:textId="77777777" w:rsidR="003E5E5C" w:rsidRDefault="003E5E5C" w:rsidP="00FB47CC">
            <w:pPr>
              <w:spacing w:line="288" w:lineRule="auto"/>
              <w:jc w:val="both"/>
              <w:rPr>
                <w:noProof/>
              </w:rPr>
            </w:pPr>
            <w:r>
              <w:t>NE</w:t>
            </w:r>
          </w:p>
        </w:tc>
        <w:tc>
          <w:tcPr>
            <w:tcW w:w="630" w:type="dxa"/>
            <w:shd w:val="clear" w:color="auto" w:fill="auto"/>
          </w:tcPr>
          <w:p w14:paraId="16F4489E" w14:textId="77777777" w:rsidR="003E5E5C" w:rsidRDefault="003E5E5C" w:rsidP="00FB47CC">
            <w:pPr>
              <w:spacing w:line="288" w:lineRule="auto"/>
              <w:jc w:val="both"/>
              <w:rPr>
                <w:noProof/>
              </w:rPr>
            </w:pPr>
            <w:r>
              <w:t>Nepoužije se</w:t>
            </w:r>
          </w:p>
        </w:tc>
      </w:tr>
      <w:tr w:rsidR="003E5E5C" w14:paraId="16F448A4" w14:textId="77777777" w:rsidTr="004B29AF">
        <w:tc>
          <w:tcPr>
            <w:tcW w:w="7747" w:type="dxa"/>
            <w:shd w:val="clear" w:color="auto" w:fill="auto"/>
            <w:vAlign w:val="center"/>
          </w:tcPr>
          <w:p w14:paraId="16F448A0" w14:textId="77777777" w:rsidR="003E5E5C" w:rsidRDefault="003E5E5C" w:rsidP="00FB47CC">
            <w:pPr>
              <w:pStyle w:val="Text1"/>
              <w:spacing w:before="0" w:after="0" w:line="288" w:lineRule="auto"/>
              <w:ind w:left="360"/>
              <w:rPr>
                <w:noProof/>
              </w:rPr>
            </w:pPr>
            <w:r>
              <w:t>Situace uvedená výše pod písmenem a) (úpadek)</w:t>
            </w:r>
          </w:p>
        </w:tc>
        <w:tc>
          <w:tcPr>
            <w:tcW w:w="670" w:type="dxa"/>
            <w:shd w:val="clear" w:color="auto" w:fill="auto"/>
            <w:vAlign w:val="center"/>
          </w:tcPr>
          <w:p w14:paraId="16F448A1" w14:textId="77777777" w:rsidR="003E5E5C" w:rsidRDefault="003E5E5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14" w:type="dxa"/>
          </w:tcPr>
          <w:p w14:paraId="16F448A2" w14:textId="77777777" w:rsidR="003E5E5C" w:rsidRDefault="003E5E5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30" w:type="dxa"/>
            <w:shd w:val="clear" w:color="auto" w:fill="auto"/>
            <w:vAlign w:val="center"/>
          </w:tcPr>
          <w:p w14:paraId="16F448A3" w14:textId="77777777" w:rsidR="003E5E5C" w:rsidRDefault="003E5E5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FB47CC">
            <w:pPr>
              <w:pStyle w:val="Text1"/>
              <w:spacing w:before="0" w:after="0" w:line="288" w:lineRule="auto"/>
              <w:ind w:left="360"/>
              <w:rPr>
                <w:noProof/>
              </w:rPr>
            </w:pPr>
            <w:r>
              <w:t>Situace uvedená výše pod písmenem b) (porušení povinnosti placení daní nebo příspěvků na sociální zabezpečení)</w:t>
            </w:r>
          </w:p>
        </w:tc>
        <w:tc>
          <w:tcPr>
            <w:tcW w:w="670" w:type="dxa"/>
            <w:shd w:val="clear" w:color="auto" w:fill="auto"/>
            <w:vAlign w:val="center"/>
          </w:tcPr>
          <w:p w14:paraId="16F448A6" w14:textId="77777777" w:rsidR="003E5E5C" w:rsidRDefault="003E5E5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14" w:type="dxa"/>
          </w:tcPr>
          <w:p w14:paraId="16F448A7" w14:textId="77777777" w:rsidR="003E5E5C" w:rsidRDefault="003E5E5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30" w:type="dxa"/>
            <w:shd w:val="clear" w:color="auto" w:fill="auto"/>
            <w:vAlign w:val="center"/>
          </w:tcPr>
          <w:p w14:paraId="16F448A8" w14:textId="77777777" w:rsidR="003E5E5C" w:rsidRDefault="003E5E5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bl>
    <w:p w14:paraId="2886748D" w14:textId="77777777" w:rsidR="00FB47CC" w:rsidRDefault="00FB47CC" w:rsidP="00FB47CC">
      <w:pPr>
        <w:pStyle w:val="Title"/>
        <w:spacing w:before="0" w:after="0" w:line="288" w:lineRule="auto"/>
        <w:ind w:left="567"/>
        <w:rPr>
          <w:noProof/>
        </w:rPr>
      </w:pPr>
    </w:p>
    <w:p w14:paraId="16F448AA" w14:textId="27D4C496" w:rsidR="00CA27B0" w:rsidRDefault="00CA27B0" w:rsidP="00FB47CC">
      <w:pPr>
        <w:pStyle w:val="Title"/>
        <w:numPr>
          <w:ilvl w:val="0"/>
          <w:numId w:val="29"/>
        </w:numPr>
        <w:spacing w:before="0" w:after="0" w:line="288" w:lineRule="auto"/>
        <w:ind w:left="567" w:hanging="567"/>
        <w:rPr>
          <w:noProof/>
        </w:rPr>
      </w:pPr>
      <w:r>
        <w:t>Důvody pro odmítnutí v tomto výběrovém řízení</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7"/>
        <w:gridCol w:w="736"/>
        <w:gridCol w:w="613"/>
      </w:tblGrid>
      <w:tr w:rsidR="003E5E5C" w14:paraId="16F448AE" w14:textId="77777777" w:rsidTr="007E18C5">
        <w:tc>
          <w:tcPr>
            <w:tcW w:w="8472" w:type="dxa"/>
            <w:shd w:val="clear" w:color="auto" w:fill="auto"/>
          </w:tcPr>
          <w:p w14:paraId="16F448AB" w14:textId="6F653644" w:rsidR="003E5E5C" w:rsidRDefault="003E5E5C" w:rsidP="00FB47CC">
            <w:pPr>
              <w:numPr>
                <w:ilvl w:val="0"/>
                <w:numId w:val="17"/>
              </w:numPr>
              <w:spacing w:line="288" w:lineRule="auto"/>
              <w:jc w:val="both"/>
              <w:rPr>
                <w:noProof/>
              </w:rPr>
            </w:pPr>
            <w:r>
              <w:t>prohlašuje, že výše uvedená osoba:</w:t>
            </w:r>
          </w:p>
        </w:tc>
        <w:tc>
          <w:tcPr>
            <w:tcW w:w="670" w:type="dxa"/>
            <w:shd w:val="clear" w:color="auto" w:fill="auto"/>
          </w:tcPr>
          <w:p w14:paraId="16F448AC" w14:textId="77777777" w:rsidR="003E5E5C" w:rsidRDefault="003E5E5C" w:rsidP="00FB47CC">
            <w:pPr>
              <w:spacing w:line="288" w:lineRule="auto"/>
              <w:jc w:val="both"/>
              <w:rPr>
                <w:noProof/>
              </w:rPr>
            </w:pPr>
            <w:r>
              <w:t>ANO</w:t>
            </w:r>
          </w:p>
        </w:tc>
        <w:tc>
          <w:tcPr>
            <w:tcW w:w="614" w:type="dxa"/>
            <w:shd w:val="clear" w:color="auto" w:fill="auto"/>
          </w:tcPr>
          <w:p w14:paraId="16F448AD" w14:textId="77777777" w:rsidR="003E5E5C" w:rsidRDefault="003E5E5C" w:rsidP="00FB47CC">
            <w:pPr>
              <w:spacing w:line="288" w:lineRule="auto"/>
              <w:jc w:val="both"/>
              <w:rPr>
                <w:noProof/>
              </w:rPr>
            </w:pPr>
            <w:r>
              <w:t>NE</w:t>
            </w:r>
          </w:p>
        </w:tc>
      </w:tr>
      <w:tr w:rsidR="003E5E5C" w14:paraId="16F448B2" w14:textId="77777777" w:rsidTr="007C6650">
        <w:tc>
          <w:tcPr>
            <w:tcW w:w="8472" w:type="dxa"/>
            <w:shd w:val="clear" w:color="auto" w:fill="auto"/>
          </w:tcPr>
          <w:p w14:paraId="16F448AF" w14:textId="0E36D9C7" w:rsidR="003E5E5C" w:rsidRDefault="00D875FE" w:rsidP="00FB47CC">
            <w:pPr>
              <w:pStyle w:val="Text1"/>
              <w:spacing w:before="0" w:after="0" w:line="288" w:lineRule="auto"/>
              <w:ind w:left="360"/>
              <w:rPr>
                <w:noProof/>
              </w:rPr>
            </w:pPr>
            <w:r>
              <w:t xml:space="preserve">Byla zapojena do přípravy pravidel pro udělení ocenění v rámci tohoto výběrového řízení a tato skutečnost znamená narušení zásady rovného zacházení, včetně narušení soutěže mezi účastníky, které nelze napravit jiným způsobem. </w:t>
            </w:r>
          </w:p>
        </w:tc>
        <w:tc>
          <w:tcPr>
            <w:tcW w:w="670" w:type="dxa"/>
            <w:shd w:val="clear" w:color="auto" w:fill="auto"/>
          </w:tcPr>
          <w:p w14:paraId="16F448B0" w14:textId="77777777" w:rsidR="003E5E5C" w:rsidRDefault="003E5E5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14" w:type="dxa"/>
            <w:shd w:val="clear" w:color="auto" w:fill="auto"/>
          </w:tcPr>
          <w:p w14:paraId="16F448B1" w14:textId="77777777" w:rsidR="003E5E5C" w:rsidRDefault="003E5E5C" w:rsidP="00FB47CC">
            <w:pPr>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bl>
    <w:bookmarkEnd w:id="8"/>
    <w:p w14:paraId="16F448B3" w14:textId="694D6E66" w:rsidR="00F96EAB" w:rsidRPr="006C6DFD" w:rsidRDefault="00F96EAB" w:rsidP="00FB47CC">
      <w:pPr>
        <w:pStyle w:val="Title"/>
        <w:keepNext/>
        <w:keepLines/>
        <w:numPr>
          <w:ilvl w:val="0"/>
          <w:numId w:val="29"/>
        </w:numPr>
        <w:spacing w:before="0" w:after="0" w:line="288" w:lineRule="auto"/>
        <w:ind w:left="567" w:hanging="567"/>
        <w:rPr>
          <w:noProof/>
        </w:rPr>
      </w:pPr>
      <w:r>
        <w:lastRenderedPageBreak/>
        <w:t>Nápravná opatření</w:t>
      </w:r>
    </w:p>
    <w:p w14:paraId="16F448B4" w14:textId="2F16EA6D" w:rsidR="005C6293" w:rsidRDefault="005C6293" w:rsidP="00FB47CC">
      <w:pPr>
        <w:keepNext/>
        <w:keepLines/>
        <w:spacing w:line="288" w:lineRule="auto"/>
        <w:jc w:val="both"/>
        <w:rPr>
          <w:color w:val="000000"/>
        </w:rPr>
      </w:pPr>
      <w:r>
        <w:t>Jestliže bylo učiněno prohlášení, podle něhož se osoba nachází v některé z výše uvedených situací zakládajících důvody pro její vyloučení, musí být uvedeno, jaká opatření k nápravě takové situace učinila, a tím prokázána její důvěryhodnost.</w:t>
      </w:r>
      <w:r>
        <w:rPr>
          <w:bCs/>
          <w:iCs/>
          <w:color w:val="000000"/>
        </w:rPr>
        <w:t xml:space="preserve"> Může se jednat např. o technická, organizační a personální opatření, jež mají zamezit trvání této situace, nebo o náhradu škody či úhradu pokuty, daní nebo příspěvků na sociální zabezpečení. </w:t>
      </w:r>
      <w:r>
        <w:t>Příslušné písemné doklady, které přijetí nápravných opatření prokazují, musí být přiloženy k tomuto prohlášení.</w:t>
      </w:r>
      <w:r w:rsidR="00FF783B">
        <w:rPr>
          <w:color w:val="000000"/>
        </w:rPr>
        <w:t xml:space="preserve"> Netýká </w:t>
      </w:r>
      <w:r>
        <w:rPr>
          <w:color w:val="000000"/>
        </w:rPr>
        <w:t>se případů uvedených pod písmenem d) tohoto prohlášení.</w:t>
      </w:r>
    </w:p>
    <w:p w14:paraId="0E4E4B80" w14:textId="77777777" w:rsidR="00FB47CC" w:rsidRPr="00FB47CC" w:rsidRDefault="00FB47CC" w:rsidP="00FB47CC">
      <w:pPr>
        <w:keepNext/>
        <w:keepLines/>
        <w:spacing w:line="288" w:lineRule="auto"/>
        <w:jc w:val="both"/>
        <w:rPr>
          <w:color w:val="000000"/>
          <w:sz w:val="16"/>
          <w:szCs w:val="16"/>
        </w:rPr>
      </w:pPr>
    </w:p>
    <w:p w14:paraId="16F448B5" w14:textId="5A91275B" w:rsidR="00F96EAB" w:rsidRPr="007D7A5F" w:rsidRDefault="00F96EAB" w:rsidP="00FB47CC">
      <w:pPr>
        <w:pStyle w:val="Title"/>
        <w:numPr>
          <w:ilvl w:val="0"/>
          <w:numId w:val="29"/>
        </w:numPr>
        <w:spacing w:before="0" w:after="0" w:line="288" w:lineRule="auto"/>
        <w:ind w:left="567" w:hanging="567"/>
        <w:rPr>
          <w:noProof/>
        </w:rPr>
      </w:pPr>
      <w:r>
        <w:t>Doklady na vyžádání</w:t>
      </w:r>
    </w:p>
    <w:p w14:paraId="415D3985" w14:textId="78E71AB8" w:rsidR="0011512C" w:rsidRDefault="00B84C49" w:rsidP="00FB47CC">
      <w:pPr>
        <w:spacing w:line="288" w:lineRule="auto"/>
        <w:ind w:firstLine="11"/>
        <w:jc w:val="both"/>
      </w:pPr>
      <w:r>
        <w:t xml:space="preserve">Níže podepsaná osoba musí na žádost veřejného zadavatele a v jím stanovené lhůtě předložit informace o fyzických nebo právnických osobách, které jsou členem správního, řídícího nebo dozorčího orgánu daného subjektu nebo jsou oprávněny ji zastupovat či v ní mají rozhodovací či řídící pravomoc, včetně právnických a fyzických osob ve vlastnické a řídicí struktuře </w:t>
      </w:r>
      <w:r w:rsidR="00196E78">
        <w:t>a </w:t>
      </w:r>
      <w:r>
        <w:t xml:space="preserve">skutečných majitelů. </w:t>
      </w:r>
    </w:p>
    <w:p w14:paraId="54F8F8AF" w14:textId="77777777" w:rsidR="00FB47CC" w:rsidRPr="00FB47CC" w:rsidRDefault="00FB47CC" w:rsidP="00FB47CC">
      <w:pPr>
        <w:spacing w:line="288" w:lineRule="auto"/>
        <w:ind w:firstLine="11"/>
        <w:jc w:val="both"/>
        <w:rPr>
          <w:noProof/>
          <w:sz w:val="16"/>
          <w:szCs w:val="16"/>
        </w:rPr>
      </w:pPr>
    </w:p>
    <w:p w14:paraId="16F448B6" w14:textId="2913350A" w:rsidR="00DA410F" w:rsidRDefault="00735919" w:rsidP="00FB47CC">
      <w:pPr>
        <w:spacing w:line="288" w:lineRule="auto"/>
        <w:ind w:firstLine="11"/>
        <w:jc w:val="both"/>
      </w:pPr>
      <w:r>
        <w:t>Rovněž musí předložit následující doklady vztahující se k ní samotné a k fyzickým či právnickým osobám, jejichž způsobilosti hodlá využít, nebo k subdodavateli, a k fyzickým či právnickým osobám, které neomezeně ručí za její závazky:</w:t>
      </w:r>
    </w:p>
    <w:p w14:paraId="60E68A96" w14:textId="77777777" w:rsidR="00FB47CC" w:rsidRPr="00FB47CC" w:rsidRDefault="00FB47CC" w:rsidP="00FB47CC">
      <w:pPr>
        <w:spacing w:line="288" w:lineRule="auto"/>
        <w:ind w:firstLine="11"/>
        <w:jc w:val="both"/>
        <w:rPr>
          <w:noProof/>
          <w:sz w:val="16"/>
          <w:szCs w:val="16"/>
        </w:rPr>
      </w:pPr>
    </w:p>
    <w:p w14:paraId="16F448B7" w14:textId="100AFC3A" w:rsidR="00357CC2" w:rsidRDefault="00DA410F" w:rsidP="00FB47CC">
      <w:pPr>
        <w:pStyle w:val="Text1"/>
        <w:spacing w:before="0" w:after="0" w:line="288" w:lineRule="auto"/>
        <w:ind w:left="0"/>
      </w:pPr>
      <w:r>
        <w:t xml:space="preserve">U situací popsaných pod písmeny a), c), d), f), g) a h) je nutné předložit aktuální výpis </w:t>
      </w:r>
      <w:r w:rsidR="00196E78">
        <w:t>z </w:t>
      </w:r>
      <w:r>
        <w:t xml:space="preserve">trestního rejstříku, nebo – v případě jeho neexistence – aktuální rovnocenný doklad, jejž vydal soudní nebo správní orgán země, v níž má daná osoba své sídlo či bydliště, a z něhož vyplývá, že jsou tyto požadavky splněny. </w:t>
      </w:r>
    </w:p>
    <w:p w14:paraId="107AFA84" w14:textId="77777777" w:rsidR="00FB47CC" w:rsidRPr="00FB47CC" w:rsidRDefault="00FB47CC" w:rsidP="00FB47CC">
      <w:pPr>
        <w:pStyle w:val="Text1"/>
        <w:spacing w:before="0" w:after="0" w:line="288" w:lineRule="auto"/>
        <w:ind w:left="0"/>
        <w:rPr>
          <w:noProof/>
          <w:sz w:val="16"/>
          <w:szCs w:val="16"/>
        </w:rPr>
      </w:pPr>
    </w:p>
    <w:p w14:paraId="16F448B8" w14:textId="1592A122" w:rsidR="00E6004E" w:rsidRDefault="00357CC2" w:rsidP="00FB47CC">
      <w:pPr>
        <w:tabs>
          <w:tab w:val="left" w:pos="-480"/>
          <w:tab w:val="left" w:pos="-142"/>
          <w:tab w:val="left" w:pos="426"/>
          <w:tab w:val="left" w:pos="4680"/>
          <w:tab w:val="left" w:pos="8400"/>
        </w:tabs>
        <w:spacing w:line="288" w:lineRule="auto"/>
        <w:jc w:val="both"/>
        <w:rPr>
          <w:snapToGrid w:val="0"/>
        </w:rPr>
      </w:pPr>
      <w:r>
        <w:t xml:space="preserve">U situace popsané pod písmenem b) je nutné předložit aktuální osvědčení vydaná příslušnými orgány dotyčného státu. Tyto doklady musejí prokazovat zaplacení veškerých daní a poplatků a příspěvků na sociální zabezpečení, které je osoba povinna platit, mimo jiné například DPH, daně z příjmu fyzických osob, daně z příjmu právnických osob </w:t>
      </w:r>
      <w:r w:rsidR="00196E78">
        <w:t>a </w:t>
      </w:r>
      <w:r>
        <w:t>příspěvků na sociální zabezpečení.</w:t>
      </w:r>
      <w:r>
        <w:rPr>
          <w:snapToGrid w:val="0"/>
        </w:rPr>
        <w:t xml:space="preserve"> Není-li některý z výše popsaných dokumentů </w:t>
      </w:r>
      <w:r w:rsidR="00196E78">
        <w:rPr>
          <w:snapToGrid w:val="0"/>
        </w:rPr>
        <w:t>v </w:t>
      </w:r>
      <w:r>
        <w:rPr>
          <w:snapToGrid w:val="0"/>
        </w:rPr>
        <w:t xml:space="preserve">dotyčné zemi vydáván, lze jej nahradit přísežným prohlášením učiněným u justičního orgánu nebo notáře, nebo – pokud neexistuje – čestným prohlášením učiněným </w:t>
      </w:r>
      <w:r w:rsidR="00196E78">
        <w:rPr>
          <w:snapToGrid w:val="0"/>
        </w:rPr>
        <w:t>u </w:t>
      </w:r>
      <w:r>
        <w:rPr>
          <w:snapToGrid w:val="0"/>
        </w:rPr>
        <w:t>správního orgánu nebo příslušné profesní organizace země, v níž má daná osoba své sídlo či bydliště.</w:t>
      </w:r>
    </w:p>
    <w:p w14:paraId="353C5316" w14:textId="77777777" w:rsidR="00FB47CC" w:rsidRPr="00FB47CC" w:rsidRDefault="00FB47CC" w:rsidP="00FB47CC">
      <w:pPr>
        <w:tabs>
          <w:tab w:val="left" w:pos="-480"/>
          <w:tab w:val="left" w:pos="-142"/>
          <w:tab w:val="left" w:pos="426"/>
          <w:tab w:val="left" w:pos="4680"/>
          <w:tab w:val="left" w:pos="8400"/>
        </w:tabs>
        <w:spacing w:line="288" w:lineRule="auto"/>
        <w:jc w:val="both"/>
        <w:rPr>
          <w:noProof/>
          <w:snapToGrid w:val="0"/>
          <w:sz w:val="16"/>
          <w:szCs w:val="16"/>
        </w:rPr>
      </w:pPr>
    </w:p>
    <w:p w14:paraId="16F448B9" w14:textId="6E697A76" w:rsidR="008C4A00" w:rsidRDefault="00C55150" w:rsidP="00FB47CC">
      <w:pPr>
        <w:spacing w:line="288" w:lineRule="auto"/>
        <w:jc w:val="both"/>
      </w:pPr>
      <w:r>
        <w:t xml:space="preserve">Doklady, které již byly předloženy v rámci jiného výběrového či zadávacího řízení EHSV, není třeba předkládat. Datum vystavení těchto dokladů nesmí být starší než jeden rok před datem žádosti veřejného zadavatele o jejich předložení a musí být k danému datu platné. </w:t>
      </w:r>
    </w:p>
    <w:p w14:paraId="5F8BF288" w14:textId="77777777" w:rsidR="00FB47CC" w:rsidRPr="00FB47CC" w:rsidRDefault="00FB47CC" w:rsidP="00FB47CC">
      <w:pPr>
        <w:spacing w:line="288" w:lineRule="auto"/>
        <w:jc w:val="both"/>
        <w:rPr>
          <w:sz w:val="16"/>
          <w:szCs w:val="16"/>
        </w:rPr>
      </w:pPr>
    </w:p>
    <w:p w14:paraId="16F448BA" w14:textId="3D2C9FE3" w:rsidR="008C4A00" w:rsidRDefault="00A40405" w:rsidP="00FB47CC">
      <w:pPr>
        <w:spacing w:line="288" w:lineRule="auto"/>
        <w:jc w:val="both"/>
      </w:pPr>
      <w:r>
        <w:t xml:space="preserve">Níže podepsaná osoba prohlašuje, že písemné doklady již byly předloženy v rámci předchozího řízení, a potvrzuje, že situace osoby se nijak nezměnila. </w:t>
      </w:r>
    </w:p>
    <w:p w14:paraId="73FEAD5D" w14:textId="77777777" w:rsidR="00FB47CC" w:rsidRPr="00FB47CC" w:rsidRDefault="00FB47CC" w:rsidP="00FB47CC">
      <w:pPr>
        <w:spacing w:line="288" w:lineRule="auto"/>
        <w:jc w:val="both"/>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BF7F29">
        <w:tc>
          <w:tcPr>
            <w:tcW w:w="4786" w:type="dxa"/>
            <w:shd w:val="clear" w:color="auto" w:fill="auto"/>
          </w:tcPr>
          <w:p w14:paraId="16F448BB" w14:textId="77777777" w:rsidR="000C2EE8" w:rsidRPr="00BF7F29" w:rsidRDefault="000C2EE8" w:rsidP="00FB47CC">
            <w:pPr>
              <w:spacing w:line="288" w:lineRule="auto"/>
              <w:jc w:val="center"/>
              <w:rPr>
                <w:b/>
                <w:sz w:val="22"/>
              </w:rPr>
            </w:pPr>
            <w:r>
              <w:rPr>
                <w:b/>
                <w:sz w:val="22"/>
              </w:rPr>
              <w:t>Dokument</w:t>
            </w:r>
          </w:p>
        </w:tc>
        <w:tc>
          <w:tcPr>
            <w:tcW w:w="4678" w:type="dxa"/>
            <w:shd w:val="clear" w:color="auto" w:fill="auto"/>
          </w:tcPr>
          <w:p w14:paraId="16F448BC" w14:textId="77777777" w:rsidR="000C2EE8" w:rsidRPr="00BF7F29" w:rsidRDefault="000C2EE8" w:rsidP="00FB47CC">
            <w:pPr>
              <w:spacing w:line="288" w:lineRule="auto"/>
              <w:jc w:val="center"/>
              <w:rPr>
                <w:b/>
                <w:sz w:val="22"/>
              </w:rPr>
            </w:pPr>
            <w:r>
              <w:rPr>
                <w:b/>
                <w:sz w:val="22"/>
              </w:rPr>
              <w:t>Předchozí řízení</w:t>
            </w:r>
          </w:p>
        </w:tc>
      </w:tr>
      <w:tr w:rsidR="00FF0711" w14:paraId="16F448C0" w14:textId="77777777" w:rsidTr="00BF7F29">
        <w:tc>
          <w:tcPr>
            <w:tcW w:w="4786" w:type="dxa"/>
            <w:shd w:val="clear" w:color="auto" w:fill="auto"/>
          </w:tcPr>
          <w:p w14:paraId="16F448BE" w14:textId="77777777" w:rsidR="00FF0711" w:rsidRDefault="00FF0711" w:rsidP="00FB47CC">
            <w:pPr>
              <w:spacing w:line="288" w:lineRule="auto"/>
            </w:pPr>
            <w:r>
              <w:rPr>
                <w:i/>
                <w:highlight w:val="lightGray"/>
              </w:rPr>
              <w:t>Vložte tolik řádků, kolik je potřeba.</w:t>
            </w:r>
          </w:p>
        </w:tc>
        <w:tc>
          <w:tcPr>
            <w:tcW w:w="4678" w:type="dxa"/>
            <w:shd w:val="clear" w:color="auto" w:fill="auto"/>
          </w:tcPr>
          <w:p w14:paraId="16F448BF" w14:textId="77777777" w:rsidR="00FF0711" w:rsidRDefault="00FF0711" w:rsidP="00FB47CC">
            <w:pPr>
              <w:spacing w:line="288" w:lineRule="auto"/>
            </w:pPr>
          </w:p>
        </w:tc>
      </w:tr>
    </w:tbl>
    <w:p w14:paraId="16F448C1" w14:textId="1DD6647F" w:rsidR="00DC56F6" w:rsidRPr="00BC61E2" w:rsidRDefault="00F816D2" w:rsidP="00FB47CC">
      <w:pPr>
        <w:pStyle w:val="Title"/>
        <w:keepNext/>
        <w:keepLines/>
        <w:numPr>
          <w:ilvl w:val="0"/>
          <w:numId w:val="29"/>
        </w:numPr>
        <w:spacing w:before="0" w:after="0" w:line="288" w:lineRule="auto"/>
        <w:ind w:left="567" w:hanging="567"/>
        <w:rPr>
          <w:i/>
        </w:rPr>
      </w:pPr>
      <w:r>
        <w:lastRenderedPageBreak/>
        <w:t>Kvalifikační kritéria</w:t>
      </w:r>
      <w:r>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736"/>
        <w:gridCol w:w="600"/>
        <w:gridCol w:w="1203"/>
      </w:tblGrid>
      <w:tr w:rsidR="00376A09" w14:paraId="16F448C6" w14:textId="77777777" w:rsidTr="00376A09">
        <w:tc>
          <w:tcPr>
            <w:tcW w:w="7344" w:type="dxa"/>
            <w:shd w:val="clear" w:color="auto" w:fill="auto"/>
          </w:tcPr>
          <w:p w14:paraId="16F448C2" w14:textId="7F394D50" w:rsidR="00376A09" w:rsidRPr="00C475D8" w:rsidRDefault="00376A09" w:rsidP="00FB47CC">
            <w:pPr>
              <w:keepNext/>
              <w:keepLines/>
              <w:numPr>
                <w:ilvl w:val="0"/>
                <w:numId w:val="26"/>
              </w:numPr>
              <w:spacing w:line="288" w:lineRule="auto"/>
              <w:ind w:hanging="502"/>
              <w:jc w:val="both"/>
              <w:rPr>
                <w:noProof/>
              </w:rPr>
            </w:pPr>
            <w:r>
              <w:t>prohlašuje, že výše uvedená osoba splňuje příslušná kvalifikační kritéria uvedená v pravidlech výběrového řízení:</w:t>
            </w:r>
          </w:p>
        </w:tc>
        <w:tc>
          <w:tcPr>
            <w:tcW w:w="704" w:type="dxa"/>
            <w:shd w:val="clear" w:color="auto" w:fill="auto"/>
          </w:tcPr>
          <w:p w14:paraId="16F448C3" w14:textId="77777777" w:rsidR="00376A09" w:rsidRDefault="00376A09" w:rsidP="00FB47CC">
            <w:pPr>
              <w:keepNext/>
              <w:keepLines/>
              <w:spacing w:line="288" w:lineRule="auto"/>
              <w:jc w:val="both"/>
              <w:rPr>
                <w:noProof/>
              </w:rPr>
            </w:pPr>
            <w:r>
              <w:t>ANO</w:t>
            </w:r>
          </w:p>
        </w:tc>
        <w:tc>
          <w:tcPr>
            <w:tcW w:w="608" w:type="dxa"/>
            <w:shd w:val="clear" w:color="auto" w:fill="auto"/>
          </w:tcPr>
          <w:p w14:paraId="16F448C4" w14:textId="77777777" w:rsidR="00376A09" w:rsidRDefault="00376A09" w:rsidP="00FB47CC">
            <w:pPr>
              <w:keepNext/>
              <w:keepLines/>
              <w:spacing w:line="288" w:lineRule="auto"/>
              <w:jc w:val="both"/>
              <w:rPr>
                <w:noProof/>
              </w:rPr>
            </w:pPr>
            <w:r>
              <w:t>NE</w:t>
            </w:r>
          </w:p>
        </w:tc>
        <w:tc>
          <w:tcPr>
            <w:tcW w:w="630" w:type="dxa"/>
            <w:shd w:val="clear" w:color="auto" w:fill="auto"/>
          </w:tcPr>
          <w:p w14:paraId="16F448C5" w14:textId="77777777" w:rsidR="00376A09" w:rsidRDefault="00376A09" w:rsidP="00FB47CC">
            <w:pPr>
              <w:keepNext/>
              <w:keepLines/>
              <w:spacing w:line="288" w:lineRule="auto"/>
              <w:jc w:val="both"/>
              <w:rPr>
                <w:noProof/>
              </w:rPr>
            </w:pPr>
            <w:r>
              <w:t>Nepoužije se</w:t>
            </w:r>
          </w:p>
        </w:tc>
      </w:tr>
      <w:tr w:rsidR="00376A09" w14:paraId="16F448D0" w14:textId="77777777" w:rsidTr="0024225B">
        <w:tc>
          <w:tcPr>
            <w:tcW w:w="7344" w:type="dxa"/>
            <w:shd w:val="clear" w:color="auto" w:fill="auto"/>
          </w:tcPr>
          <w:p w14:paraId="16F448CC" w14:textId="2588A537" w:rsidR="00376A09" w:rsidRDefault="00376A09" w:rsidP="00FB47CC">
            <w:pPr>
              <w:pStyle w:val="Text1"/>
              <w:keepNext/>
              <w:keepLines/>
              <w:numPr>
                <w:ilvl w:val="0"/>
                <w:numId w:val="24"/>
              </w:numPr>
              <w:spacing w:before="0" w:after="0" w:line="288" w:lineRule="auto"/>
              <w:rPr>
                <w:noProof/>
              </w:rPr>
            </w:pPr>
            <w:r>
              <w:t>Splňuje příslušná kvalifikační kritéria pro uchazeče uvedená v odstavci 3.1 pravidel výběrového řízení.</w:t>
            </w:r>
          </w:p>
        </w:tc>
        <w:tc>
          <w:tcPr>
            <w:tcW w:w="704" w:type="dxa"/>
            <w:shd w:val="clear" w:color="auto" w:fill="auto"/>
          </w:tcPr>
          <w:p w14:paraId="16F448CD" w14:textId="77777777" w:rsidR="00376A09" w:rsidRDefault="00376A09" w:rsidP="00FB47CC">
            <w:pPr>
              <w:keepNext/>
              <w:keepLines/>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08" w:type="dxa"/>
            <w:shd w:val="clear" w:color="auto" w:fill="auto"/>
          </w:tcPr>
          <w:p w14:paraId="16F448CE" w14:textId="77777777" w:rsidR="00376A09" w:rsidRDefault="00376A09" w:rsidP="00FB47CC">
            <w:pPr>
              <w:keepNext/>
              <w:keepLines/>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c>
          <w:tcPr>
            <w:tcW w:w="630" w:type="dxa"/>
          </w:tcPr>
          <w:p w14:paraId="16F448CF" w14:textId="77777777" w:rsidR="00376A09" w:rsidRDefault="00376A09" w:rsidP="00FB47CC">
            <w:pPr>
              <w:keepNext/>
              <w:keepLines/>
              <w:spacing w:line="288" w:lineRule="auto"/>
              <w:jc w:val="both"/>
              <w:rPr>
                <w:noProof/>
              </w:rPr>
            </w:pPr>
            <w:r>
              <w:fldChar w:fldCharType="begin">
                <w:ffData>
                  <w:name w:val="Check1"/>
                  <w:enabled/>
                  <w:calcOnExit w:val="0"/>
                  <w:checkBox>
                    <w:sizeAuto/>
                    <w:default w:val="0"/>
                  </w:checkBox>
                </w:ffData>
              </w:fldChar>
            </w:r>
            <w:r>
              <w:instrText xml:space="preserve"> FORMCHECKBOX </w:instrText>
            </w:r>
            <w:r w:rsidR="0058598A">
              <w:fldChar w:fldCharType="separate"/>
            </w:r>
            <w:r>
              <w:fldChar w:fldCharType="end"/>
            </w:r>
          </w:p>
        </w:tc>
      </w:tr>
    </w:tbl>
    <w:p w14:paraId="16F448D8" w14:textId="77777777" w:rsidR="00DC56F6" w:rsidRDefault="00DC56F6" w:rsidP="00FB47CC">
      <w:pPr>
        <w:spacing w:line="288" w:lineRule="auto"/>
      </w:pPr>
    </w:p>
    <w:p w14:paraId="16F448E3" w14:textId="327D0025" w:rsidR="00154CF6" w:rsidRPr="00BC61E2" w:rsidRDefault="00154CF6" w:rsidP="00FB47CC">
      <w:pPr>
        <w:pStyle w:val="Title"/>
        <w:numPr>
          <w:ilvl w:val="0"/>
          <w:numId w:val="29"/>
        </w:numPr>
        <w:spacing w:before="0" w:after="0" w:line="288" w:lineRule="auto"/>
        <w:ind w:left="567" w:hanging="567"/>
        <w:rPr>
          <w:i/>
        </w:rPr>
      </w:pPr>
      <w:r>
        <w:t>Doklady k provedení výběru</w:t>
      </w:r>
    </w:p>
    <w:p w14:paraId="16F448E4" w14:textId="12D9743B" w:rsidR="00154CF6" w:rsidRDefault="00154CF6" w:rsidP="00FB47CC">
      <w:pPr>
        <w:spacing w:line="288" w:lineRule="auto"/>
        <w:jc w:val="both"/>
      </w:pPr>
      <w:r>
        <w:t>Níže podepsaná osoba prohlašuje, že výše uvedená osoba je na vyžádání schopna neprodleně předložit nezbytné podklady a dokumenty, jež jsou vyjmenované v příslušných kapitolách pravidel výběrového řízení a jež nejsou k dispozici v elektronické podobě.</w:t>
      </w:r>
    </w:p>
    <w:p w14:paraId="3B4CB833" w14:textId="77777777" w:rsidR="00FF783B" w:rsidRDefault="00FF783B" w:rsidP="00FB47CC">
      <w:pPr>
        <w:spacing w:line="288" w:lineRule="auto"/>
        <w:jc w:val="both"/>
        <w:rPr>
          <w:noProof/>
        </w:rPr>
      </w:pPr>
    </w:p>
    <w:p w14:paraId="16F448E5" w14:textId="6C19A572" w:rsidR="001C5CDF" w:rsidRDefault="001C5CDF" w:rsidP="00FB47CC">
      <w:pPr>
        <w:spacing w:line="288" w:lineRule="auto"/>
        <w:jc w:val="both"/>
      </w:pPr>
      <w:r>
        <w:t xml:space="preserve">Doklady, které již byly předloženy v rámci jiného výběrového či zadávacího řízení EHSV, není třeba předkládat. Datum vystavení těchto dokladů nesmí být starší než jeden rok před datem žádosti veřejného zadavatele o jejich předložení a musí být k danému datu platné. </w:t>
      </w:r>
    </w:p>
    <w:p w14:paraId="2EED062B" w14:textId="77777777" w:rsidR="00FF783B" w:rsidRDefault="00FF783B" w:rsidP="00FB47CC">
      <w:pPr>
        <w:spacing w:line="288" w:lineRule="auto"/>
        <w:jc w:val="both"/>
      </w:pPr>
    </w:p>
    <w:p w14:paraId="16F448E6" w14:textId="72C98ACD" w:rsidR="001C5CDF" w:rsidRDefault="00154CF6" w:rsidP="00FB47CC">
      <w:pPr>
        <w:spacing w:line="288" w:lineRule="auto"/>
        <w:jc w:val="both"/>
      </w:pPr>
      <w:r>
        <w:t>Níže podepsaná osoba prohlašuje, že písemné doklady již byly předloženy v rámci předchozího řízení, a potvrzuje, že situace osoby se nijak nezměnila.</w:t>
      </w:r>
    </w:p>
    <w:p w14:paraId="38DECCBD" w14:textId="77777777" w:rsidR="00FF783B" w:rsidRDefault="00FF783B" w:rsidP="00FB47CC">
      <w:pPr>
        <w:spacing w:line="288" w:lineRule="auto"/>
        <w:jc w:val="both"/>
      </w:pPr>
      <w:bookmarkStart w:id="9" w:name="_GoBack"/>
      <w:bookmarkEnd w:id="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16F448E9" w14:textId="77777777" w:rsidTr="00BF7F29">
        <w:tc>
          <w:tcPr>
            <w:tcW w:w="4786" w:type="dxa"/>
            <w:shd w:val="clear" w:color="auto" w:fill="auto"/>
          </w:tcPr>
          <w:p w14:paraId="16F448E7" w14:textId="77777777" w:rsidR="00C87D95" w:rsidRPr="00BF7F29" w:rsidRDefault="00C87D95" w:rsidP="00FB47CC">
            <w:pPr>
              <w:spacing w:line="288" w:lineRule="auto"/>
              <w:jc w:val="center"/>
              <w:rPr>
                <w:b/>
                <w:sz w:val="22"/>
              </w:rPr>
            </w:pPr>
            <w:r>
              <w:rPr>
                <w:b/>
                <w:sz w:val="22"/>
              </w:rPr>
              <w:t>Dokument</w:t>
            </w:r>
          </w:p>
        </w:tc>
        <w:tc>
          <w:tcPr>
            <w:tcW w:w="4678" w:type="dxa"/>
            <w:shd w:val="clear" w:color="auto" w:fill="auto"/>
          </w:tcPr>
          <w:p w14:paraId="16F448E8" w14:textId="77777777" w:rsidR="00C87D95" w:rsidRPr="00BF7F29" w:rsidRDefault="00C87D95" w:rsidP="00FB47CC">
            <w:pPr>
              <w:spacing w:line="288" w:lineRule="auto"/>
              <w:jc w:val="center"/>
              <w:rPr>
                <w:b/>
                <w:sz w:val="22"/>
              </w:rPr>
            </w:pPr>
            <w:r>
              <w:rPr>
                <w:b/>
                <w:sz w:val="22"/>
              </w:rPr>
              <w:t>Předchozí řízení</w:t>
            </w:r>
          </w:p>
        </w:tc>
      </w:tr>
      <w:tr w:rsidR="00C87D95" w14:paraId="16F448EC" w14:textId="77777777" w:rsidTr="00BF7F29">
        <w:tc>
          <w:tcPr>
            <w:tcW w:w="4786" w:type="dxa"/>
            <w:shd w:val="clear" w:color="auto" w:fill="auto"/>
          </w:tcPr>
          <w:p w14:paraId="16F448EA" w14:textId="77777777" w:rsidR="00C87D95" w:rsidRDefault="00C87D95" w:rsidP="00FB47CC">
            <w:pPr>
              <w:spacing w:line="288" w:lineRule="auto"/>
            </w:pPr>
            <w:r>
              <w:rPr>
                <w:i/>
                <w:highlight w:val="lightGray"/>
              </w:rPr>
              <w:t>Vložte tolik řádků, kolik je potřeba.</w:t>
            </w:r>
          </w:p>
        </w:tc>
        <w:tc>
          <w:tcPr>
            <w:tcW w:w="4678" w:type="dxa"/>
            <w:shd w:val="clear" w:color="auto" w:fill="auto"/>
          </w:tcPr>
          <w:p w14:paraId="16F448EB" w14:textId="77777777" w:rsidR="00C87D95" w:rsidRDefault="00C87D95" w:rsidP="00FB47CC">
            <w:pPr>
              <w:spacing w:line="288" w:lineRule="auto"/>
            </w:pPr>
          </w:p>
        </w:tc>
      </w:tr>
    </w:tbl>
    <w:p w14:paraId="16F448ED" w14:textId="77777777" w:rsidR="001C5CDF" w:rsidRDefault="001C5CDF" w:rsidP="00FB47CC">
      <w:pPr>
        <w:spacing w:line="288" w:lineRule="auto"/>
        <w:jc w:val="both"/>
        <w:rPr>
          <w:noProof/>
        </w:rPr>
      </w:pPr>
    </w:p>
    <w:p w14:paraId="16F448EE" w14:textId="780ABD5E" w:rsidR="00BA61F8" w:rsidRPr="0024225B" w:rsidRDefault="00BA61F8" w:rsidP="00FB47CC">
      <w:pPr>
        <w:spacing w:line="288" w:lineRule="auto"/>
        <w:jc w:val="both"/>
        <w:rPr>
          <w:b/>
          <w:i/>
          <w:noProof/>
        </w:rPr>
      </w:pPr>
      <w:r>
        <w:rPr>
          <w:b/>
          <w:i/>
        </w:rPr>
        <w:t>Výše uvedená osoba může být v tomto výběrovém řízení odmítnuta a mohou jí být uloženy správní sankce (vyloučení nebo finanční pokuta), pokud se některé z prohlášení nebo informací učiněných či poskytnutých v rámci plnění podmínek účasti v tomto řízení ukáží jako nepravdivé.</w:t>
      </w:r>
    </w:p>
    <w:p w14:paraId="16F448EF" w14:textId="77777777" w:rsidR="00156071" w:rsidRPr="00F76ABA" w:rsidRDefault="00156071" w:rsidP="00FB47CC">
      <w:pPr>
        <w:spacing w:line="288" w:lineRule="auto"/>
        <w:jc w:val="both"/>
        <w:rPr>
          <w:noProof/>
        </w:rPr>
      </w:pPr>
    </w:p>
    <w:p w14:paraId="16F448F0" w14:textId="77777777" w:rsidR="00DA410F" w:rsidRPr="00F76ABA" w:rsidRDefault="004D4F4A" w:rsidP="00FB47CC">
      <w:pPr>
        <w:tabs>
          <w:tab w:val="left" w:pos="4395"/>
          <w:tab w:val="left" w:pos="7797"/>
        </w:tabs>
        <w:spacing w:line="288" w:lineRule="auto"/>
        <w:jc w:val="both"/>
        <w:rPr>
          <w:noProof/>
        </w:rPr>
      </w:pPr>
      <w:r>
        <w:t>Celé jméno</w:t>
      </w:r>
      <w:r>
        <w:tab/>
        <w:t>Datum</w:t>
      </w:r>
      <w:r>
        <w:tab/>
        <w:t>Podpis</w:t>
      </w:r>
    </w:p>
    <w:p w14:paraId="16F448F1" w14:textId="77777777" w:rsidR="00DA410F" w:rsidRPr="00F76ABA" w:rsidRDefault="00DA410F" w:rsidP="00FB47CC">
      <w:pPr>
        <w:spacing w:line="288" w:lineRule="auto"/>
        <w:rPr>
          <w:noProof/>
        </w:rPr>
      </w:pPr>
    </w:p>
    <w:sectPr w:rsidR="00DA410F" w:rsidRPr="00F76ABA" w:rsidSect="0058598A">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8F4" w14:textId="77777777" w:rsidR="007E18C5" w:rsidRDefault="007E18C5">
      <w:r>
        <w:separator/>
      </w:r>
    </w:p>
  </w:endnote>
  <w:endnote w:type="continuationSeparator" w:id="0">
    <w:p w14:paraId="16F448F5" w14:textId="77777777" w:rsidR="007E18C5" w:rsidRDefault="007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6A8FC" w14:textId="77777777" w:rsidR="00FF783B" w:rsidRPr="00FF783B" w:rsidRDefault="00FF783B" w:rsidP="00FF7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93A2" w14:textId="6ED6F9F8" w:rsidR="00B13322" w:rsidRPr="00FF783B" w:rsidRDefault="00FF783B" w:rsidP="00FF783B">
    <w:pPr>
      <w:pStyle w:val="Footer"/>
    </w:pPr>
    <w:r>
      <w:t xml:space="preserve">EESC-2019-00904-21-00-NB-TRA (EN) </w:t>
    </w:r>
    <w:r>
      <w:fldChar w:fldCharType="begin"/>
    </w:r>
    <w:r>
      <w:instrText xml:space="preserve"> PAGE  \* Arabic  \* MERGEFORMAT </w:instrText>
    </w:r>
    <w:r>
      <w:fldChar w:fldCharType="separate"/>
    </w:r>
    <w:r w:rsidR="0058598A">
      <w:rPr>
        <w:noProof/>
      </w:rPr>
      <w:t>1</w:t>
    </w:r>
    <w:r>
      <w:fldChar w:fldCharType="end"/>
    </w:r>
    <w:r>
      <w:t>/</w:t>
    </w:r>
    <w:r>
      <w:fldChar w:fldCharType="begin"/>
    </w:r>
    <w:r>
      <w:instrText xml:space="preserve"> = </w:instrText>
    </w:r>
    <w:fldSimple w:instr=" NUMPAGES ">
      <w:r w:rsidR="0058598A">
        <w:rPr>
          <w:noProof/>
        </w:rPr>
        <w:instrText>6</w:instrText>
      </w:r>
    </w:fldSimple>
    <w:r>
      <w:instrText xml:space="preserve"> -0 </w:instrText>
    </w:r>
    <w:r>
      <w:fldChar w:fldCharType="separate"/>
    </w:r>
    <w:r w:rsidR="0058598A">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83707" w14:textId="77777777" w:rsidR="00FF783B" w:rsidRPr="00FF783B" w:rsidRDefault="00FF783B" w:rsidP="00FF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448F2" w14:textId="77777777" w:rsidR="007E18C5" w:rsidRDefault="007E18C5">
      <w:r>
        <w:separator/>
      </w:r>
    </w:p>
  </w:footnote>
  <w:footnote w:type="continuationSeparator" w:id="0">
    <w:p w14:paraId="16F448F3" w14:textId="77777777" w:rsidR="007E18C5" w:rsidRDefault="007E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5671" w14:textId="77777777" w:rsidR="00FF783B" w:rsidRPr="00FF783B" w:rsidRDefault="00FF783B" w:rsidP="00FF7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44DBC" w14:textId="77777777" w:rsidR="00FF783B" w:rsidRPr="00FF783B" w:rsidRDefault="00FF783B" w:rsidP="00FF7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3D6D" w14:textId="77777777" w:rsidR="00FF783B" w:rsidRPr="00FF783B" w:rsidRDefault="00FF783B" w:rsidP="00FF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31F01"/>
    <w:multiLevelType w:val="hybridMultilevel"/>
    <w:tmpl w:val="DA70A462"/>
    <w:lvl w:ilvl="0" w:tplc="9C7A6FD4">
      <w:start w:val="1"/>
      <w:numFmt w:val="lowerRoman"/>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25110E"/>
    <w:multiLevelType w:val="hybridMultilevel"/>
    <w:tmpl w:val="DA70A462"/>
    <w:lvl w:ilvl="0" w:tplc="9C7A6FD4">
      <w:start w:val="1"/>
      <w:numFmt w:val="lowerRoman"/>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8" w15:restartNumberingAfterBreak="0">
    <w:nsid w:val="7E04209D"/>
    <w:multiLevelType w:val="hybridMultilevel"/>
    <w:tmpl w:val="56DC965A"/>
    <w:lvl w:ilvl="0" w:tplc="7BA4A798">
      <w:start w:val="1"/>
      <w:numFmt w:val="upp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18"/>
  </w:num>
  <w:num w:numId="4">
    <w:abstractNumId w:val="4"/>
  </w:num>
  <w:num w:numId="5">
    <w:abstractNumId w:val="16"/>
  </w:num>
  <w:num w:numId="6">
    <w:abstractNumId w:val="11"/>
  </w:num>
  <w:num w:numId="7">
    <w:abstractNumId w:val="27"/>
  </w:num>
  <w:num w:numId="8">
    <w:abstractNumId w:val="17"/>
  </w:num>
  <w:num w:numId="9">
    <w:abstractNumId w:val="9"/>
  </w:num>
  <w:num w:numId="10">
    <w:abstractNumId w:val="7"/>
  </w:num>
  <w:num w:numId="11">
    <w:abstractNumId w:val="2"/>
  </w:num>
  <w:num w:numId="12">
    <w:abstractNumId w:val="22"/>
  </w:num>
  <w:num w:numId="13">
    <w:abstractNumId w:val="26"/>
  </w:num>
  <w:num w:numId="14">
    <w:abstractNumId w:val="20"/>
  </w:num>
  <w:num w:numId="15">
    <w:abstractNumId w:val="8"/>
  </w:num>
  <w:num w:numId="16">
    <w:abstractNumId w:val="21"/>
  </w:num>
  <w:num w:numId="17">
    <w:abstractNumId w:val="10"/>
  </w:num>
  <w:num w:numId="18">
    <w:abstractNumId w:val="1"/>
  </w:num>
  <w:num w:numId="19">
    <w:abstractNumId w:val="3"/>
  </w:num>
  <w:num w:numId="20">
    <w:abstractNumId w:val="19"/>
  </w:num>
  <w:num w:numId="21">
    <w:abstractNumId w:val="25"/>
  </w:num>
  <w:num w:numId="22">
    <w:abstractNumId w:val="15"/>
  </w:num>
  <w:num w:numId="23">
    <w:abstractNumId w:val="24"/>
  </w:num>
  <w:num w:numId="24">
    <w:abstractNumId w:val="14"/>
  </w:num>
  <w:num w:numId="25">
    <w:abstractNumId w:val="6"/>
  </w:num>
  <w:num w:numId="26">
    <w:abstractNumId w:val="13"/>
  </w:num>
  <w:num w:numId="27">
    <w:abstractNumId w:val="12"/>
  </w:num>
  <w:num w:numId="28">
    <w:abstractNumId w:val="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11D8F"/>
    <w:rsid w:val="000137BA"/>
    <w:rsid w:val="00055F7F"/>
    <w:rsid w:val="00060716"/>
    <w:rsid w:val="00064BE7"/>
    <w:rsid w:val="00086A53"/>
    <w:rsid w:val="000B1CF8"/>
    <w:rsid w:val="000C2EE8"/>
    <w:rsid w:val="000C68B3"/>
    <w:rsid w:val="000F40A3"/>
    <w:rsid w:val="0010150F"/>
    <w:rsid w:val="00105C02"/>
    <w:rsid w:val="00113FC7"/>
    <w:rsid w:val="0011512C"/>
    <w:rsid w:val="0011661C"/>
    <w:rsid w:val="00116FF1"/>
    <w:rsid w:val="001228C9"/>
    <w:rsid w:val="00134415"/>
    <w:rsid w:val="00137801"/>
    <w:rsid w:val="00154CF6"/>
    <w:rsid w:val="00156071"/>
    <w:rsid w:val="00162502"/>
    <w:rsid w:val="001751BC"/>
    <w:rsid w:val="00180151"/>
    <w:rsid w:val="00196E78"/>
    <w:rsid w:val="001C4F29"/>
    <w:rsid w:val="001C5CDF"/>
    <w:rsid w:val="001F135A"/>
    <w:rsid w:val="00210CBD"/>
    <w:rsid w:val="002121C3"/>
    <w:rsid w:val="00214D18"/>
    <w:rsid w:val="0022529D"/>
    <w:rsid w:val="00230ACC"/>
    <w:rsid w:val="0024225B"/>
    <w:rsid w:val="00243078"/>
    <w:rsid w:val="00251321"/>
    <w:rsid w:val="002610C3"/>
    <w:rsid w:val="00265657"/>
    <w:rsid w:val="00272075"/>
    <w:rsid w:val="00282169"/>
    <w:rsid w:val="002938BC"/>
    <w:rsid w:val="00293915"/>
    <w:rsid w:val="002A328B"/>
    <w:rsid w:val="002C1324"/>
    <w:rsid w:val="002C76EE"/>
    <w:rsid w:val="002E4DDF"/>
    <w:rsid w:val="002F0D05"/>
    <w:rsid w:val="00300E03"/>
    <w:rsid w:val="003154CD"/>
    <w:rsid w:val="00321B2B"/>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2874"/>
    <w:rsid w:val="003E38BD"/>
    <w:rsid w:val="003E3BA0"/>
    <w:rsid w:val="003E4DCC"/>
    <w:rsid w:val="003E5E5C"/>
    <w:rsid w:val="003F754E"/>
    <w:rsid w:val="004032E5"/>
    <w:rsid w:val="0040714B"/>
    <w:rsid w:val="00425174"/>
    <w:rsid w:val="00437501"/>
    <w:rsid w:val="00452C5D"/>
    <w:rsid w:val="00453010"/>
    <w:rsid w:val="0046077A"/>
    <w:rsid w:val="004613D0"/>
    <w:rsid w:val="00466AA5"/>
    <w:rsid w:val="004729C1"/>
    <w:rsid w:val="004764EF"/>
    <w:rsid w:val="00476C53"/>
    <w:rsid w:val="004A3BDB"/>
    <w:rsid w:val="004A4B4A"/>
    <w:rsid w:val="004B187F"/>
    <w:rsid w:val="004B1983"/>
    <w:rsid w:val="004B29AF"/>
    <w:rsid w:val="004D4F4A"/>
    <w:rsid w:val="004D4F81"/>
    <w:rsid w:val="0050151E"/>
    <w:rsid w:val="00501E73"/>
    <w:rsid w:val="005063A7"/>
    <w:rsid w:val="00515AA9"/>
    <w:rsid w:val="00564B62"/>
    <w:rsid w:val="00567B22"/>
    <w:rsid w:val="00583379"/>
    <w:rsid w:val="0058598A"/>
    <w:rsid w:val="00590E7C"/>
    <w:rsid w:val="005A24DC"/>
    <w:rsid w:val="005B251C"/>
    <w:rsid w:val="005B4A26"/>
    <w:rsid w:val="005C6293"/>
    <w:rsid w:val="005E41BC"/>
    <w:rsid w:val="005E5268"/>
    <w:rsid w:val="005F5A16"/>
    <w:rsid w:val="0063730B"/>
    <w:rsid w:val="006572BD"/>
    <w:rsid w:val="00664C39"/>
    <w:rsid w:val="00670A9C"/>
    <w:rsid w:val="00672EE1"/>
    <w:rsid w:val="00693DC0"/>
    <w:rsid w:val="006950F4"/>
    <w:rsid w:val="006A5BCA"/>
    <w:rsid w:val="006B218F"/>
    <w:rsid w:val="006B7C44"/>
    <w:rsid w:val="006C5DA3"/>
    <w:rsid w:val="006C6DFD"/>
    <w:rsid w:val="006D227E"/>
    <w:rsid w:val="006E113F"/>
    <w:rsid w:val="006E194A"/>
    <w:rsid w:val="006F2DF6"/>
    <w:rsid w:val="007105F4"/>
    <w:rsid w:val="00713443"/>
    <w:rsid w:val="00716B55"/>
    <w:rsid w:val="00730771"/>
    <w:rsid w:val="00731D23"/>
    <w:rsid w:val="00735919"/>
    <w:rsid w:val="00753333"/>
    <w:rsid w:val="007633B2"/>
    <w:rsid w:val="007740A0"/>
    <w:rsid w:val="007801E8"/>
    <w:rsid w:val="00797829"/>
    <w:rsid w:val="007C10CF"/>
    <w:rsid w:val="007C1171"/>
    <w:rsid w:val="007C6650"/>
    <w:rsid w:val="007D3A16"/>
    <w:rsid w:val="007D7A5F"/>
    <w:rsid w:val="007E18C5"/>
    <w:rsid w:val="007E7A77"/>
    <w:rsid w:val="007F3628"/>
    <w:rsid w:val="0080588E"/>
    <w:rsid w:val="00810432"/>
    <w:rsid w:val="00827F90"/>
    <w:rsid w:val="0084444D"/>
    <w:rsid w:val="00845AA5"/>
    <w:rsid w:val="00855A0B"/>
    <w:rsid w:val="00863E25"/>
    <w:rsid w:val="00870C14"/>
    <w:rsid w:val="00874F07"/>
    <w:rsid w:val="00876E1A"/>
    <w:rsid w:val="00890B0C"/>
    <w:rsid w:val="008914D7"/>
    <w:rsid w:val="00891643"/>
    <w:rsid w:val="00892BCE"/>
    <w:rsid w:val="008964D0"/>
    <w:rsid w:val="00897553"/>
    <w:rsid w:val="008A431D"/>
    <w:rsid w:val="008B1377"/>
    <w:rsid w:val="008B6FD1"/>
    <w:rsid w:val="008C034B"/>
    <w:rsid w:val="008C4A00"/>
    <w:rsid w:val="008C5868"/>
    <w:rsid w:val="008E37E8"/>
    <w:rsid w:val="008F0F38"/>
    <w:rsid w:val="008F594B"/>
    <w:rsid w:val="00911FA8"/>
    <w:rsid w:val="009134A2"/>
    <w:rsid w:val="00936963"/>
    <w:rsid w:val="009402EB"/>
    <w:rsid w:val="00951A6D"/>
    <w:rsid w:val="00954EF6"/>
    <w:rsid w:val="009765C0"/>
    <w:rsid w:val="009857B0"/>
    <w:rsid w:val="00985E31"/>
    <w:rsid w:val="009D19B9"/>
    <w:rsid w:val="009F09C3"/>
    <w:rsid w:val="009F5E6E"/>
    <w:rsid w:val="00A25C17"/>
    <w:rsid w:val="00A278B9"/>
    <w:rsid w:val="00A40405"/>
    <w:rsid w:val="00A52221"/>
    <w:rsid w:val="00A64343"/>
    <w:rsid w:val="00A67419"/>
    <w:rsid w:val="00A937E4"/>
    <w:rsid w:val="00AA00F5"/>
    <w:rsid w:val="00AA0A0C"/>
    <w:rsid w:val="00AA10D6"/>
    <w:rsid w:val="00AB251A"/>
    <w:rsid w:val="00AB30FA"/>
    <w:rsid w:val="00AB7525"/>
    <w:rsid w:val="00AD1D16"/>
    <w:rsid w:val="00AD26DC"/>
    <w:rsid w:val="00AD3CBA"/>
    <w:rsid w:val="00AE5C0E"/>
    <w:rsid w:val="00AF508E"/>
    <w:rsid w:val="00AF6D8E"/>
    <w:rsid w:val="00B131CB"/>
    <w:rsid w:val="00B13322"/>
    <w:rsid w:val="00B13667"/>
    <w:rsid w:val="00B26822"/>
    <w:rsid w:val="00B316EE"/>
    <w:rsid w:val="00B418F3"/>
    <w:rsid w:val="00B84C49"/>
    <w:rsid w:val="00B87110"/>
    <w:rsid w:val="00B953D3"/>
    <w:rsid w:val="00B95C2F"/>
    <w:rsid w:val="00BA61F8"/>
    <w:rsid w:val="00BC0CF6"/>
    <w:rsid w:val="00BC61E2"/>
    <w:rsid w:val="00BC6FFF"/>
    <w:rsid w:val="00BD22D5"/>
    <w:rsid w:val="00BE4FA7"/>
    <w:rsid w:val="00BF2C04"/>
    <w:rsid w:val="00BF7F29"/>
    <w:rsid w:val="00C03988"/>
    <w:rsid w:val="00C11B0F"/>
    <w:rsid w:val="00C24852"/>
    <w:rsid w:val="00C25331"/>
    <w:rsid w:val="00C25E66"/>
    <w:rsid w:val="00C40246"/>
    <w:rsid w:val="00C42E79"/>
    <w:rsid w:val="00C475D8"/>
    <w:rsid w:val="00C55150"/>
    <w:rsid w:val="00C61FE0"/>
    <w:rsid w:val="00C67D45"/>
    <w:rsid w:val="00C734EA"/>
    <w:rsid w:val="00C74EBC"/>
    <w:rsid w:val="00C86C9B"/>
    <w:rsid w:val="00C87D95"/>
    <w:rsid w:val="00C974B3"/>
    <w:rsid w:val="00CA27B0"/>
    <w:rsid w:val="00CA5311"/>
    <w:rsid w:val="00CB5635"/>
    <w:rsid w:val="00CC289B"/>
    <w:rsid w:val="00CC78A2"/>
    <w:rsid w:val="00CD27BA"/>
    <w:rsid w:val="00CE5846"/>
    <w:rsid w:val="00CF7AF0"/>
    <w:rsid w:val="00D10011"/>
    <w:rsid w:val="00D13F4B"/>
    <w:rsid w:val="00D177A8"/>
    <w:rsid w:val="00D231DD"/>
    <w:rsid w:val="00D37B9A"/>
    <w:rsid w:val="00D4254D"/>
    <w:rsid w:val="00D45463"/>
    <w:rsid w:val="00D841AD"/>
    <w:rsid w:val="00D875FE"/>
    <w:rsid w:val="00D90142"/>
    <w:rsid w:val="00D9381D"/>
    <w:rsid w:val="00DA286B"/>
    <w:rsid w:val="00DA410F"/>
    <w:rsid w:val="00DA59FF"/>
    <w:rsid w:val="00DC3E96"/>
    <w:rsid w:val="00DC56F6"/>
    <w:rsid w:val="00DE5E11"/>
    <w:rsid w:val="00DF45B2"/>
    <w:rsid w:val="00E00149"/>
    <w:rsid w:val="00E012CB"/>
    <w:rsid w:val="00E12354"/>
    <w:rsid w:val="00E2030C"/>
    <w:rsid w:val="00E21446"/>
    <w:rsid w:val="00E33977"/>
    <w:rsid w:val="00E41D05"/>
    <w:rsid w:val="00E53B02"/>
    <w:rsid w:val="00E6004E"/>
    <w:rsid w:val="00E70043"/>
    <w:rsid w:val="00E807C2"/>
    <w:rsid w:val="00E864F4"/>
    <w:rsid w:val="00E936C8"/>
    <w:rsid w:val="00E95C5B"/>
    <w:rsid w:val="00EA6BA4"/>
    <w:rsid w:val="00EB2A41"/>
    <w:rsid w:val="00EC37A3"/>
    <w:rsid w:val="00EC5131"/>
    <w:rsid w:val="00EC63BD"/>
    <w:rsid w:val="00EE7CE7"/>
    <w:rsid w:val="00EF2BEC"/>
    <w:rsid w:val="00EF452B"/>
    <w:rsid w:val="00EF4899"/>
    <w:rsid w:val="00F00EDA"/>
    <w:rsid w:val="00F028EB"/>
    <w:rsid w:val="00F36DA9"/>
    <w:rsid w:val="00F4376C"/>
    <w:rsid w:val="00F50D55"/>
    <w:rsid w:val="00F60846"/>
    <w:rsid w:val="00F613D0"/>
    <w:rsid w:val="00F632A4"/>
    <w:rsid w:val="00F665FB"/>
    <w:rsid w:val="00F701C8"/>
    <w:rsid w:val="00F7691A"/>
    <w:rsid w:val="00F816D2"/>
    <w:rsid w:val="00F82CD4"/>
    <w:rsid w:val="00F96EAB"/>
    <w:rsid w:val="00FA402F"/>
    <w:rsid w:val="00FB47CC"/>
    <w:rsid w:val="00FD2C3B"/>
    <w:rsid w:val="00FE4B90"/>
    <w:rsid w:val="00FF0711"/>
    <w:rsid w:val="00FF1108"/>
    <w:rsid w:val="00FF34E8"/>
    <w:rsid w:val="00FF6437"/>
    <w:rsid w:val="00FF7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16F4481E"/>
  <w15:docId w15:val="{72FD6CD3-E165-4CA6-AD84-750021AC2B32}"/>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cs-CZ"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cs-CZ"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cs-CZ" w:eastAsia="en-GB" w:bidi="ar-SA"/>
    </w:rPr>
  </w:style>
  <w:style w:type="paragraph" w:styleId="Header">
    <w:name w:val="header"/>
    <w:basedOn w:val="Normal"/>
    <w:rsid w:val="00DA410F"/>
    <w:pPr>
      <w:spacing w:line="288" w:lineRule="auto"/>
      <w:jc w:val="both"/>
    </w:pPr>
    <w:rPr>
      <w:sz w:val="22"/>
    </w:r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spacing w:line="288" w:lineRule="auto"/>
      <w:jc w:val="both"/>
    </w:pPr>
    <w:rPr>
      <w:sz w:val="22"/>
    </w:r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cs-CZ"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cs-CZ"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2"/>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CTJJHAUHWN5E-3-7617</_dlc_DocId>
    <_dlc_DocIdUrl xmlns="bfc960a6-20da-4c94-8684-71380fca093b">
      <Url>http://dm2016/eesc/2019/_layouts/15/DocIdRedir.aspx?ID=CTJJHAUHWN5E-3-7617</Url>
      <Description>CTJJHAUHWN5E-3-7617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NB</TermName>
          <TermId xmlns="http://schemas.microsoft.com/office/infopath/2007/PartnerControls">086d36d2-b81a-4b8e-8d1e-a22010addc8b</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2019-03-15T12:00:00+00:00</ProductionDate>
    <DocumentNumber xmlns="1a880128-5ecc-41cf-b0c3-c2c47c4bf0f0">904</DocumentNumber>
    <FicheYear xmlns="bfc960a6-20da-4c94-8684-71380fca093b">2019</FicheYear>
    <DocumentVersion xmlns="bfc960a6-20da-4c94-8684-71380fca093b">0</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2019-03-19T12:00:00+00:00</MeetingDate>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TaxCatchAll xmlns="bfc960a6-20da-4c94-8684-71380fca093b">
      <Value>67</Value>
      <Value>65</Value>
      <Value>64</Value>
      <Value>63</Value>
      <Value>62</Value>
      <Value>60</Value>
      <Value>59</Value>
      <Value>58</Value>
      <Value>57</Value>
      <Value>56</Value>
      <Value>55</Value>
      <Value>52</Value>
      <Value>49</Value>
      <Value>48</Value>
      <Value>46</Value>
      <Value>45</Value>
      <Value>38</Value>
      <Value>25</Value>
      <Value>21</Value>
      <Value>17</Value>
      <Value>16</Value>
      <Value>14</Value>
      <Value>10</Value>
      <Value>98</Value>
      <Value>7</Value>
      <Value>5</Value>
      <Value>4</Value>
      <Value>2</Value>
      <Value>1</Value>
    </TaxCatchAll>
    <Rapporteur xmlns="bfc960a6-20da-4c94-8684-71380fca093b"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bfc960a6-20da-4c94-8684-71380fca093b">2019</DocumentYear>
    <FicheNumber xmlns="bfc960a6-20da-4c94-8684-71380fca093b">3016</FicheNumber>
    <AdoptionDate xmlns="bfc960a6-20da-4c94-8684-71380fca093b" xsi:nil="true"/>
    <DocumentPart xmlns="bfc960a6-20da-4c94-8684-71380fca093b">21</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BUR CESE</TermName>
          <TermId xmlns="http://schemas.microsoft.com/office/infopath/2007/PartnerControls">4274fb1d-1fa2-4436-baac-f79426b09598</TermId>
        </TermInfo>
      </Terms>
    </MeetingName_0>
    <RequestingService xmlns="bfc960a6-20da-4c94-8684-71380fca093b">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MeetingNumber xmlns="1a880128-5ecc-41cf-b0c3-c2c47c4bf0f0" xsi:nil="true"/>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96ACDE40F503D428B912E19D7E3B18C" ma:contentTypeVersion="4" ma:contentTypeDescription="Defines the documents for Document Manager V2" ma:contentTypeScope="" ma:versionID="5ff9cf38c9207e6e8fff85a7a6b45f2e">
  <xsd:schema xmlns:xsd="http://www.w3.org/2001/XMLSchema" xmlns:xs="http://www.w3.org/2001/XMLSchema" xmlns:p="http://schemas.microsoft.com/office/2006/metadata/properties" xmlns:ns2="bfc960a6-20da-4c94-8684-71380fca093b" xmlns:ns3="http://schemas.microsoft.com/sharepoint/v3/fields" xmlns:ns4="1a880128-5ecc-41cf-b0c3-c2c47c4bf0f0" targetNamespace="http://schemas.microsoft.com/office/2006/metadata/properties" ma:root="true" ma:fieldsID="7dc887b1a9520bb49ac5dea0581373bc" ns2:_="" ns3:_="" ns4:_="">
    <xsd:import namespace="bfc960a6-20da-4c94-8684-71380fca093b"/>
    <xsd:import namespace="http://schemas.microsoft.com/sharepoint/v3/fields"/>
    <xsd:import namespace="1a880128-5ecc-41cf-b0c3-c2c47c4bf0f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880128-5ecc-41cf-b0c3-c2c47c4bf0f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807135E-DE6F-4435-A02A-C9A10783FC28}"/>
</file>

<file path=customXml/itemProps2.xml><?xml version="1.0" encoding="utf-8"?>
<ds:datastoreItem xmlns:ds="http://schemas.openxmlformats.org/officeDocument/2006/customXml" ds:itemID="{CC78E283-07B6-4677-B0CA-86BCC92994C6}"/>
</file>

<file path=customXml/itemProps3.xml><?xml version="1.0" encoding="utf-8"?>
<ds:datastoreItem xmlns:ds="http://schemas.openxmlformats.org/officeDocument/2006/customXml" ds:itemID="{0FEC6A05-3D1C-498D-89E6-DD5CCEBC6C77}"/>
</file>

<file path=customXml/itemProps4.xml><?xml version="1.0" encoding="utf-8"?>
<ds:datastoreItem xmlns:ds="http://schemas.openxmlformats.org/officeDocument/2006/customXml" ds:itemID="{7D57AD1A-D504-4CC2-9A14-715860E5CCA5}"/>
</file>

<file path=customXml/itemProps5.xml><?xml version="1.0" encoding="utf-8"?>
<ds:datastoreItem xmlns:ds="http://schemas.openxmlformats.org/officeDocument/2006/customXml" ds:itemID="{AC5E1DA4-520A-41F3-82A1-437343029CD9}"/>
</file>

<file path=customXml/itemProps6.xml><?xml version="1.0" encoding="utf-8"?>
<ds:datastoreItem xmlns:ds="http://schemas.openxmlformats.org/officeDocument/2006/customXml" ds:itemID="{CE8DF1CF-2FCC-479D-9B01-C172A8068A0F}"/>
</file>

<file path=docProps/app.xml><?xml version="1.0" encoding="utf-8"?>
<Properties xmlns="http://schemas.openxmlformats.org/officeDocument/2006/extended-properties" xmlns:vt="http://schemas.openxmlformats.org/officeDocument/2006/docPropsVTypes">
  <Template>Styles.dotm</Template>
  <TotalTime>73</TotalTime>
  <Pages>6</Pages>
  <Words>1924</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Pt_E.2_ANN1_Čestné prohlášení o vyloučení a kvalifikaci</dc:title>
  <dc:creator>JanSaloni</dc:creator>
  <cp:keywords>EESC-2019-00904-21-00-NB-TRA-EN</cp:keywords>
  <dc:description>Rapporteur:  - Original language: EN - Date of document: 15/03/2019 - Date of meeting: 19/03/2019 - External documents:  - Administrator: Mme Jeanpierre Françoise Simone Marie-José</dc:description>
  <cp:lastModifiedBy>lkup</cp:lastModifiedBy>
  <cp:revision>7</cp:revision>
  <cp:lastPrinted>2019-03-12T12:59:00Z</cp:lastPrinted>
  <dcterms:created xsi:type="dcterms:W3CDTF">2019-03-14T12:35:00Z</dcterms:created>
  <dcterms:modified xsi:type="dcterms:W3CDTF">2019-03-15T15:13:00Z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10" name="Pref_formatted">
    <vt:bool>true</vt:bool>
  </property>
  <property fmtid="{D5CDD505-2E9C-101B-9397-08002B2CF9AE}" pid="11" name="Pref_Date">
    <vt:lpwstr>14/03/2019</vt:lpwstr>
  </property>
  <property fmtid="{D5CDD505-2E9C-101B-9397-08002B2CF9AE}" pid="12" name="Pref_Time">
    <vt:lpwstr>13:22:18</vt:lpwstr>
  </property>
  <property fmtid="{D5CDD505-2E9C-101B-9397-08002B2CF9AE}" pid="13" name="Pref_User">
    <vt:lpwstr>LAchi</vt:lpwstr>
  </property>
  <property fmtid="{D5CDD505-2E9C-101B-9397-08002B2CF9AE}" pid="14" name="Pref_FileName">
    <vt:lpwstr>EESC-2019-00904-21-00-NB-ORI.docx</vt:lpwstr>
  </property>
  <property fmtid="{D5CDD505-2E9C-101B-9397-08002B2CF9AE}" pid="15" name="ContentTypeId">
    <vt:lpwstr>0x010100EA97B91038054C99906057A708A1480A00F96ACDE40F503D428B912E19D7E3B18C</vt:lpwstr>
  </property>
  <property fmtid="{D5CDD505-2E9C-101B-9397-08002B2CF9AE}" pid="16" name="_dlc_DocIdItemGuid">
    <vt:lpwstr>818955d9-970a-4e25-aa6f-e0b9da8eba83</vt:lpwstr>
  </property>
  <property fmtid="{D5CDD505-2E9C-101B-9397-08002B2CF9AE}" pid="17" name="AvailableTranslations">
    <vt:lpwstr>63;#MT|7df99101-6854-4a26-b53a-b88c0da02c26;#57;#RO|feb747a2-64cd-4299-af12-4833ddc30497;#38;#SV|c2ed69e7-a339-43d7-8f22-d93680a92aa0;#48;#LT|a7ff5ce7-6123-4f68-865a-a57c31810414;#65;#ET|ff6c3f4c-b02c-4c3c-ab07-2c37995a7a0a;#45;#NL|55c6556c-b4f4-441d-9acf-c498d4f838bd;#16;#PL|1e03da61-4678-4e07-b136-b5024ca9197b;#62;#FI|87606a43-d45f-42d6-b8c9-e1a3457db5b7;#52;#DA|5d49c027-8956-412b-aa16-e85a0f96ad0e;#59;#HR|2f555653-ed1a-4fe6-8362-9082d95989e5;#17;#ES|e7a6b05b-ae16-40c8-add9-68b64b03aeba;#4;#EN|f2175f21-25d7-44a3-96da-d6a61b075e1b;#58;#LV|46f7e311-5d9f-4663-b433-18aeccb7ace7;#10;#FR|d2afafd3-4c81-4f60-8f52-ee33f2f54ff3;#49;#EL|6d4f4d51-af9b-4650-94b4-4276bee85c91;#55;#BG|1a1b3951-7821-4e6a-85f5-5673fc08bd2c;#21;#IT|0774613c-01ed-4e5d-a25d-11d2388de825;#60;#HU|6b229040-c589-4408-b4c1-4285663d20a8;#25;#SK|46d9fce0-ef79-4f71-b89b-cd6aa82426b8;#64;#PT|50ccc04a-eadd-42ae-a0cb-acaf45f812ba;#56;#SL|98a412ae-eb01-49e9-ae3d-585a81724cfc;#46;#CS|72f9705b-0217-4fd3-bea2-cbc7ed80e26e;#14;#DE|f6b31e5a-26fa-4935-b661-318e46daf27e</vt:lpwstr>
  </property>
  <property fmtid="{D5CDD505-2E9C-101B-9397-08002B2CF9AE}" pid="18" name="DossierName">
    <vt:lpwstr/>
  </property>
  <property fmtid="{D5CDD505-2E9C-101B-9397-08002B2CF9AE}" pid="19" name="DocumentStatus">
    <vt:lpwstr>2;#TRA|150d2a88-1431-44e6-a8ca-0bb753ab8672</vt:lpwstr>
  </property>
  <property fmtid="{D5CDD505-2E9C-101B-9397-08002B2CF9AE}" pid="20" name="Confidentiality">
    <vt:lpwstr>5;#Unrestricted|826e22d7-d029-4ec0-a450-0c28ff673572</vt:lpwstr>
  </property>
  <property fmtid="{D5CDD505-2E9C-101B-9397-08002B2CF9AE}" pid="21" name="OriginalLanguage">
    <vt:lpwstr>4;#EN|f2175f21-25d7-44a3-96da-d6a61b075e1b</vt:lpwstr>
  </property>
  <property fmtid="{D5CDD505-2E9C-101B-9397-08002B2CF9AE}" pid="22" name="MeetingName">
    <vt:lpwstr>98;#BUR CESE|4274fb1d-1fa2-4436-baac-f79426b09598</vt:lpwstr>
  </property>
  <property fmtid="{D5CDD505-2E9C-101B-9397-08002B2CF9AE}" pid="23" name="VersionStatus">
    <vt:lpwstr>7;#Final|ea5e6674-7b27-4bac-b091-73adbb394efe</vt:lpwstr>
  </property>
  <property fmtid="{D5CDD505-2E9C-101B-9397-08002B2CF9AE}" pid="24" name="DocumentSource">
    <vt:lpwstr>1;#EESC|422833ec-8d7e-4e65-8e4e-8bed07ffb729</vt:lpwstr>
  </property>
  <property fmtid="{D5CDD505-2E9C-101B-9397-08002B2CF9AE}" pid="25" name="DocumentType">
    <vt:lpwstr>67;#NB|086d36d2-b81a-4b8e-8d1e-a22010addc8b</vt:lpwstr>
  </property>
  <property fmtid="{D5CDD505-2E9C-101B-9397-08002B2CF9AE}" pid="26" name="DocumentLanguage">
    <vt:lpwstr>46;#CS|72f9705b-0217-4fd3-bea2-cbc7ed80e26e</vt:lpwstr>
  </property>
  <property fmtid="{D5CDD505-2E9C-101B-9397-08002B2CF9AE}" pid="27" name="_docset_NoMedatataSyncRequired">
    <vt:lpwstr>True</vt:lpwstr>
  </property>
</Properties>
</file>