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405A0" w:rsidRPr="00F93161" w:rsidRDefault="006A08D5" w:rsidP="000D6B2F">
      <w:pPr>
        <w:snapToGrid w:val="0"/>
        <w:jc w:val="center"/>
      </w:pPr>
      <w:r w:rsidRPr="00F93161">
        <w:fldChar w:fldCharType="begin"/>
      </w:r>
      <w:r w:rsidRPr="00F93161">
        <w:instrText xml:space="preserve">  </w:instrText>
      </w:r>
      <w:r w:rsidRPr="00F93161">
        <w:fldChar w:fldCharType="end"/>
      </w:r>
      <w:r>
        <w:rPr>
          <w:noProof/>
          <w:lang w:val="en-GB" w:eastAsia="en-GB"/>
        </w:rPr>
        <w:drawing>
          <wp:inline distT="0" distB="0" distL="0" distR="0" wp14:anchorId="67B74F51" wp14:editId="7E6AD520">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r>
        <w:rPr>
          <w:noProof/>
          <w:sz w:val="20"/>
          <w:lang w:val="en-GB" w:eastAsia="en-GB"/>
        </w:rPr>
        <mc:AlternateContent>
          <mc:Choice Requires="wps">
            <w:drawing>
              <wp:anchor distT="0" distB="0" distL="114300" distR="114300" simplePos="0" relativeHeight="251659264" behindDoc="1" locked="0" layoutInCell="0" allowOverlap="1" wp14:anchorId="637F32BF" wp14:editId="21CAA8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B66" w:rsidRPr="00260E65" w:rsidRDefault="00FE6B66">
                            <w:pPr>
                              <w:jc w:val="center"/>
                              <w:rPr>
                                <w:rFonts w:ascii="Arial" w:hAnsi="Arial" w:cs="Arial"/>
                                <w:b/>
                                <w:bCs/>
                                <w:sz w:val="48"/>
                              </w:rPr>
                            </w:pPr>
                            <w:r>
                              <w:rPr>
                                <w:rFonts w:ascii="Arial" w:hAnsi="Arial"/>
                                <w:b/>
                                <w:bCs/>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F32B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FE6B66" w:rsidRPr="00260E65" w:rsidRDefault="00FE6B66">
                      <w:pPr>
                        <w:jc w:val="center"/>
                        <w:rPr>
                          <w:rFonts w:ascii="Arial" w:hAnsi="Arial" w:cs="Arial"/>
                          <w:b/>
                          <w:bCs/>
                          <w:sz w:val="48"/>
                        </w:rPr>
                      </w:pPr>
                      <w:r>
                        <w:rPr>
                          <w:rFonts w:ascii="Arial" w:hAnsi="Arial"/>
                          <w:b/>
                          <w:bCs/>
                          <w:sz w:val="48"/>
                        </w:rPr>
                        <w:t>SV</w:t>
                      </w:r>
                    </w:p>
                  </w:txbxContent>
                </v:textbox>
                <w10:wrap anchorx="page" anchory="page"/>
              </v:shape>
            </w:pict>
          </mc:Fallback>
        </mc:AlternateContent>
      </w:r>
    </w:p>
    <w:p w:rsidR="008405A0" w:rsidRPr="00F93161" w:rsidRDefault="00876D7B" w:rsidP="000D6B2F">
      <w:pPr>
        <w:snapToGrid w:val="0"/>
        <w:jc w:val="center"/>
        <w:rPr>
          <w:rFonts w:ascii="Arial" w:eastAsia="MS Mincho" w:hAnsi="Arial" w:cs="Arial"/>
          <w:b/>
          <w:i/>
          <w:sz w:val="20"/>
        </w:rPr>
      </w:pPr>
      <w:r>
        <w:rPr>
          <w:rFonts w:ascii="Arial" w:hAnsi="Arial"/>
          <w:b/>
          <w:i/>
          <w:sz w:val="20"/>
        </w:rPr>
        <w:t>Eu</w:t>
      </w:r>
      <w:r w:rsidR="00890945">
        <w:rPr>
          <w:rFonts w:ascii="Arial" w:hAnsi="Arial"/>
          <w:b/>
          <w:i/>
          <w:sz w:val="20"/>
        </w:rPr>
        <w:t>ropeiska ekonomiska och sociala </w:t>
      </w:r>
      <w:r>
        <w:rPr>
          <w:rFonts w:ascii="Arial" w:hAnsi="Arial"/>
          <w:b/>
          <w:i/>
          <w:sz w:val="20"/>
        </w:rPr>
        <w:t>kommittén</w:t>
      </w:r>
    </w:p>
    <w:p w:rsidR="008405A0" w:rsidRPr="00D85439" w:rsidRDefault="008405A0" w:rsidP="000D6B2F">
      <w:pPr>
        <w:snapToGrid w:val="0"/>
        <w:rPr>
          <w:lang w:val="en-GB"/>
        </w:rPr>
      </w:pPr>
    </w:p>
    <w:p w:rsidR="008405A0" w:rsidRPr="00D85439" w:rsidRDefault="008405A0" w:rsidP="000D6B2F">
      <w:pPr>
        <w:snapToGrid w:val="0"/>
        <w:rPr>
          <w:lang w:val="en-GB"/>
        </w:rPr>
      </w:pPr>
    </w:p>
    <w:p w:rsidR="008405A0" w:rsidRPr="00D85439" w:rsidRDefault="00890945" w:rsidP="000D6B2F">
      <w:pPr>
        <w:snapToGrid w:val="0"/>
        <w:jc w:val="right"/>
        <w:rPr>
          <w:rFonts w:eastAsia="MS Mincho"/>
        </w:rPr>
      </w:pPr>
      <w:r>
        <w:t>Bryssel den 14 </w:t>
      </w:r>
      <w:r w:rsidR="00FC0B2C">
        <w:t>mars 2019</w:t>
      </w:r>
    </w:p>
    <w:p w:rsidR="008405A0" w:rsidRPr="00D85439" w:rsidRDefault="008405A0" w:rsidP="000D6B2F">
      <w:pPr>
        <w:snapToGrid w:val="0"/>
        <w:rPr>
          <w:lang w:val="en-GB"/>
        </w:rPr>
      </w:pPr>
    </w:p>
    <w:p w:rsidR="008405A0" w:rsidRPr="00D85439" w:rsidRDefault="008405A0" w:rsidP="000D6B2F">
      <w:pPr>
        <w:snapToGrid w:val="0"/>
        <w:rPr>
          <w:lang w:val="en-GB"/>
        </w:rPr>
      </w:pPr>
    </w:p>
    <w:p w:rsidR="00AF6F3E" w:rsidRPr="00D85439" w:rsidRDefault="00AF6F3E" w:rsidP="000D6B2F">
      <w:pPr>
        <w:snapToGrid w:val="0"/>
        <w:rPr>
          <w:lang w:val="en-GB"/>
        </w:rPr>
      </w:pPr>
    </w:p>
    <w:p w:rsidR="006819C8" w:rsidRPr="00D85439" w:rsidRDefault="006819C8" w:rsidP="000D6B2F">
      <w:pPr>
        <w:snapToGrid w:val="0"/>
        <w:rPr>
          <w:lang w:val="en-GB"/>
        </w:rPr>
      </w:pPr>
    </w:p>
    <w:tbl>
      <w:tblPr>
        <w:tblW w:w="0" w:type="auto"/>
        <w:tblLayout w:type="fixed"/>
        <w:tblLook w:val="0000" w:firstRow="0" w:lastRow="0" w:firstColumn="0" w:lastColumn="0" w:noHBand="0" w:noVBand="0"/>
      </w:tblPr>
      <w:tblGrid>
        <w:gridCol w:w="9289"/>
      </w:tblGrid>
      <w:tr w:rsidR="008405A0" w:rsidRPr="00D85439" w:rsidTr="00A72D7A">
        <w:tc>
          <w:tcPr>
            <w:tcW w:w="9289" w:type="dxa"/>
            <w:tcBorders>
              <w:top w:val="nil"/>
              <w:left w:val="nil"/>
              <w:bottom w:val="double" w:sz="4" w:space="0" w:color="auto"/>
              <w:right w:val="nil"/>
            </w:tcBorders>
          </w:tcPr>
          <w:p w:rsidR="008405A0" w:rsidRPr="00D85439" w:rsidRDefault="00FC0B2C" w:rsidP="000D6B2F">
            <w:pPr>
              <w:snapToGrid w:val="0"/>
              <w:jc w:val="center"/>
              <w:rPr>
                <w:rFonts w:eastAsia="MS Mincho"/>
                <w:b/>
                <w:sz w:val="32"/>
              </w:rPr>
            </w:pPr>
            <w:r>
              <w:rPr>
                <w:b/>
                <w:sz w:val="32"/>
              </w:rPr>
              <w:t xml:space="preserve">PLENARSESSIONEN </w:t>
            </w:r>
            <w:r>
              <w:rPr>
                <w:b/>
                <w:sz w:val="32"/>
              </w:rPr>
              <w:cr/>
            </w:r>
            <w:r>
              <w:rPr>
                <w:b/>
                <w:sz w:val="32"/>
              </w:rPr>
              <w:br/>
              <w:t xml:space="preserve"> </w:t>
            </w:r>
            <w:r>
              <w:rPr>
                <w:b/>
                <w:sz w:val="32"/>
              </w:rPr>
              <w:cr/>
            </w:r>
            <w:r>
              <w:rPr>
                <w:b/>
                <w:sz w:val="32"/>
              </w:rPr>
              <w:br/>
              <w:t xml:space="preserve">DEN 20–21 FEBRUARI 2019 </w:t>
            </w:r>
            <w:r>
              <w:rPr>
                <w:b/>
                <w:sz w:val="32"/>
              </w:rPr>
              <w:cr/>
            </w:r>
            <w:r>
              <w:rPr>
                <w:b/>
                <w:sz w:val="32"/>
              </w:rPr>
              <w:br/>
              <w:t xml:space="preserve"> </w:t>
            </w:r>
            <w:r>
              <w:rPr>
                <w:b/>
                <w:sz w:val="32"/>
              </w:rPr>
              <w:cr/>
            </w:r>
            <w:r>
              <w:rPr>
                <w:b/>
                <w:sz w:val="32"/>
              </w:rPr>
              <w:br/>
              <w:t>SAMMANFATTNING AV ANTAGNA YTTRANDEN</w:t>
            </w:r>
          </w:p>
          <w:p w:rsidR="008405A0" w:rsidRPr="00D85439" w:rsidRDefault="008405A0" w:rsidP="000D6B2F">
            <w:pPr>
              <w:rPr>
                <w:lang w:val="en-GB"/>
              </w:rPr>
            </w:pPr>
          </w:p>
          <w:p w:rsidR="008405A0" w:rsidRPr="00D85439" w:rsidRDefault="008405A0" w:rsidP="000D6B2F">
            <w:pPr>
              <w:rPr>
                <w:lang w:val="en-GB"/>
              </w:rPr>
            </w:pPr>
          </w:p>
        </w:tc>
      </w:tr>
      <w:tr w:rsidR="008405A0" w:rsidRPr="00D85439" w:rsidTr="00A72D7A">
        <w:tc>
          <w:tcPr>
            <w:tcW w:w="9289" w:type="dxa"/>
            <w:tcBorders>
              <w:top w:val="double" w:sz="4" w:space="0" w:color="auto"/>
              <w:left w:val="double" w:sz="4" w:space="0" w:color="auto"/>
              <w:bottom w:val="double" w:sz="4" w:space="0" w:color="auto"/>
              <w:right w:val="double" w:sz="4" w:space="0" w:color="auto"/>
            </w:tcBorders>
          </w:tcPr>
          <w:p w:rsidR="00FF15DA" w:rsidRPr="00D85439" w:rsidRDefault="00FF15DA" w:rsidP="000D6B2F">
            <w:pPr>
              <w:snapToGrid w:val="0"/>
              <w:jc w:val="center"/>
              <w:rPr>
                <w:b/>
                <w:lang w:val="en-GB"/>
              </w:rPr>
            </w:pPr>
          </w:p>
          <w:p w:rsidR="00FC0B2C" w:rsidRPr="00D85439" w:rsidRDefault="00FC0B2C" w:rsidP="000D6B2F">
            <w:pPr>
              <w:snapToGrid w:val="0"/>
              <w:jc w:val="center"/>
              <w:rPr>
                <w:rFonts w:eastAsia="MS Mincho"/>
                <w:b/>
              </w:rPr>
            </w:pPr>
            <w:r>
              <w:rPr>
                <w:b/>
              </w:rPr>
              <w:t>Detta dokument finns tillgängligt på de officiella språken på kommitténs webbplats på följande adress:</w:t>
            </w:r>
          </w:p>
          <w:p w:rsidR="00FC0B2C" w:rsidRPr="00D85439" w:rsidRDefault="00FC0B2C" w:rsidP="000D6B2F">
            <w:pPr>
              <w:snapToGrid w:val="0"/>
              <w:jc w:val="center"/>
              <w:rPr>
                <w:b/>
                <w:lang w:val="en-GB"/>
              </w:rPr>
            </w:pPr>
          </w:p>
          <w:p w:rsidR="00FC0B2C" w:rsidRPr="00D85439" w:rsidRDefault="005C1B76" w:rsidP="000D6B2F">
            <w:pPr>
              <w:jc w:val="center"/>
              <w:rPr>
                <w:rStyle w:val="Hyperlink"/>
                <w:b/>
              </w:rPr>
            </w:pPr>
            <w:hyperlink r:id="rId13">
              <w:r>
                <w:rPr>
                  <w:rStyle w:val="Hyperlink"/>
                </w:rPr>
                <w:t>http://www.eesc.europa.eu/sv/our-work/op</w:t>
              </w:r>
              <w:r>
                <w:rPr>
                  <w:rStyle w:val="Hyperlink"/>
                </w:rPr>
                <w:t>inions-information-reports/plenary-session-summaries</w:t>
              </w:r>
            </w:hyperlink>
          </w:p>
          <w:p w:rsidR="00FC0B2C" w:rsidRPr="00D85439" w:rsidRDefault="00FC0B2C" w:rsidP="000D6B2F">
            <w:pPr>
              <w:snapToGrid w:val="0"/>
              <w:jc w:val="center"/>
              <w:rPr>
                <w:b/>
                <w:lang w:val="en-GB"/>
              </w:rPr>
            </w:pPr>
          </w:p>
          <w:p w:rsidR="00FC0B2C" w:rsidRPr="00D85439" w:rsidRDefault="00FC0B2C" w:rsidP="000D6B2F">
            <w:pPr>
              <w:snapToGrid w:val="0"/>
              <w:jc w:val="center"/>
              <w:rPr>
                <w:rFonts w:eastAsia="SimSun"/>
                <w:b/>
                <w:lang w:val="en-GB"/>
              </w:rPr>
            </w:pPr>
          </w:p>
          <w:p w:rsidR="00FC0B2C" w:rsidRPr="00D85439" w:rsidRDefault="00FC0B2C" w:rsidP="000D6B2F">
            <w:pPr>
              <w:snapToGrid w:val="0"/>
              <w:jc w:val="center"/>
              <w:rPr>
                <w:rFonts w:eastAsia="MS Mincho"/>
                <w:b/>
              </w:rPr>
            </w:pPr>
            <w:r>
              <w:rPr>
                <w:b/>
              </w:rPr>
              <w:t>De yttranden som tas upp finns tillgängliga på internet via kommitténs sökmotor:</w:t>
            </w:r>
          </w:p>
          <w:p w:rsidR="00FC0B2C" w:rsidRPr="00D85439" w:rsidRDefault="00FC0B2C" w:rsidP="000D6B2F">
            <w:pPr>
              <w:snapToGrid w:val="0"/>
              <w:jc w:val="center"/>
              <w:rPr>
                <w:b/>
                <w:lang w:val="en-GB"/>
              </w:rPr>
            </w:pPr>
          </w:p>
          <w:p w:rsidR="00FC0B2C" w:rsidRPr="00D85439" w:rsidRDefault="005C1B76" w:rsidP="000D6B2F">
            <w:pPr>
              <w:jc w:val="center"/>
              <w:rPr>
                <w:rStyle w:val="Hyperlink"/>
                <w:b/>
              </w:rPr>
            </w:pPr>
            <w:hyperlink r:id="rId14">
              <w:r>
                <w:rPr>
                  <w:rStyle w:val="Hyperlink"/>
                </w:rPr>
                <w:t>http://dm.eesc.europa.eu/EESCD</w:t>
              </w:r>
              <w:r>
                <w:rPr>
                  <w:rStyle w:val="Hyperlink"/>
                </w:rPr>
                <w:t>ocumentSearch/Pages/opinionssearch.aspx</w:t>
              </w:r>
            </w:hyperlink>
          </w:p>
          <w:p w:rsidR="008405A0" w:rsidRPr="00D85439" w:rsidRDefault="008405A0" w:rsidP="000D6B2F">
            <w:pPr>
              <w:snapToGrid w:val="0"/>
              <w:jc w:val="center"/>
              <w:rPr>
                <w:b/>
                <w:bCs/>
                <w:lang w:val="en-GB"/>
              </w:rPr>
            </w:pPr>
          </w:p>
        </w:tc>
      </w:tr>
    </w:tbl>
    <w:p w:rsidR="008F7791" w:rsidRPr="00D85439" w:rsidRDefault="008F7791" w:rsidP="000D6B2F">
      <w:pPr>
        <w:rPr>
          <w:rFonts w:eastAsia="SimSun"/>
          <w:lang w:val="en-GB"/>
        </w:rPr>
      </w:pPr>
    </w:p>
    <w:p w:rsidR="00A9340A" w:rsidRPr="00D85439" w:rsidRDefault="00A9340A" w:rsidP="000D6B2F">
      <w:pPr>
        <w:rPr>
          <w:rFonts w:eastAsia="SimSun"/>
          <w:lang w:val="en-GB"/>
        </w:rPr>
        <w:sectPr w:rsidR="00A9340A" w:rsidRPr="00D85439" w:rsidSect="00527880">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D85439" w:rsidRDefault="00876D7B" w:rsidP="000D6B2F">
      <w:pPr>
        <w:snapToGrid w:val="0"/>
        <w:rPr>
          <w:b/>
        </w:rPr>
      </w:pPr>
      <w:r>
        <w:rPr>
          <w:b/>
        </w:rPr>
        <w:lastRenderedPageBreak/>
        <w:t>Innehåll:</w:t>
      </w:r>
    </w:p>
    <w:p w:rsidR="00D16D76" w:rsidRPr="00D85439" w:rsidRDefault="00D16D76" w:rsidP="000D6B2F">
      <w:pPr>
        <w:rPr>
          <w:lang w:val="en-GB"/>
        </w:rPr>
      </w:pPr>
    </w:p>
    <w:p w:rsidR="00DD5204" w:rsidRDefault="003353E8">
      <w:pPr>
        <w:pStyle w:val="TOC1"/>
        <w:rPr>
          <w:rFonts w:asciiTheme="minorHAnsi" w:eastAsiaTheme="minorEastAsia" w:hAnsiTheme="minorHAnsi" w:cstheme="minorBidi"/>
          <w:noProof/>
        </w:rPr>
      </w:pPr>
      <w:r w:rsidRPr="00D85439">
        <w:fldChar w:fldCharType="begin"/>
      </w:r>
      <w:r w:rsidRPr="00D85439">
        <w:instrText xml:space="preserve"> TOC \o "1-1" \h \z \u </w:instrText>
      </w:r>
      <w:r w:rsidRPr="00D85439">
        <w:fldChar w:fldCharType="separate"/>
      </w:r>
      <w:hyperlink w:anchor="_Toc2173204" w:history="1">
        <w:r w:rsidR="00DD5204" w:rsidRPr="00D36E41">
          <w:rPr>
            <w:rStyle w:val="Hyperlink"/>
            <w:caps/>
          </w:rPr>
          <w:t>1.</w:t>
        </w:r>
        <w:r w:rsidR="00DD5204">
          <w:rPr>
            <w:rFonts w:asciiTheme="minorHAnsi" w:eastAsiaTheme="minorEastAsia" w:hAnsiTheme="minorHAnsi" w:cstheme="minorBidi"/>
          </w:rPr>
          <w:tab/>
        </w:r>
        <w:r w:rsidR="00DD5204" w:rsidRPr="00D36E41">
          <w:rPr>
            <w:rStyle w:val="Hyperlink"/>
            <w:b/>
            <w:caps/>
          </w:rPr>
          <w:t>Economic and Monetary Union, Economic and Social Cohesion</w:t>
        </w:r>
        <w:r w:rsidR="00DD5204">
          <w:rPr>
            <w:webHidden/>
          </w:rPr>
          <w:tab/>
        </w:r>
        <w:r w:rsidR="00DD5204">
          <w:rPr>
            <w:webHidden/>
          </w:rPr>
          <w:fldChar w:fldCharType="begin"/>
        </w:r>
        <w:r w:rsidR="00DD5204">
          <w:rPr>
            <w:webHidden/>
          </w:rPr>
          <w:instrText xml:space="preserve"> PAGEREF _Toc2173204 \h </w:instrText>
        </w:r>
        <w:r w:rsidR="00DD5204">
          <w:rPr>
            <w:webHidden/>
          </w:rPr>
        </w:r>
        <w:r w:rsidR="00DD5204">
          <w:rPr>
            <w:webHidden/>
          </w:rPr>
          <w:fldChar w:fldCharType="separate"/>
        </w:r>
        <w:r w:rsidR="00DD5204">
          <w:rPr>
            <w:webHidden/>
          </w:rPr>
          <w:t>3</w:t>
        </w:r>
        <w:r w:rsidR="00DD5204">
          <w:rPr>
            <w:webHidden/>
          </w:rPr>
          <w:fldChar w:fldCharType="end"/>
        </w:r>
      </w:hyperlink>
    </w:p>
    <w:p w:rsidR="00DD5204" w:rsidRDefault="005C1B76">
      <w:pPr>
        <w:pStyle w:val="TOC1"/>
        <w:rPr>
          <w:rFonts w:asciiTheme="minorHAnsi" w:eastAsiaTheme="minorEastAsia" w:hAnsiTheme="minorHAnsi" w:cstheme="minorBidi"/>
        </w:rPr>
      </w:pPr>
      <w:hyperlink w:anchor="_Toc2173205" w:history="1">
        <w:r w:rsidR="00DD5204" w:rsidRPr="00D36E41">
          <w:rPr>
            <w:rStyle w:val="Hyperlink"/>
            <w:caps/>
          </w:rPr>
          <w:t>2.</w:t>
        </w:r>
        <w:r w:rsidR="00DD5204">
          <w:rPr>
            <w:rFonts w:asciiTheme="minorHAnsi" w:eastAsiaTheme="minorEastAsia" w:hAnsiTheme="minorHAnsi" w:cstheme="minorBidi"/>
          </w:rPr>
          <w:tab/>
        </w:r>
        <w:r w:rsidR="00DD5204" w:rsidRPr="00D36E41">
          <w:rPr>
            <w:rStyle w:val="Hyperlink"/>
            <w:b/>
            <w:caps/>
          </w:rPr>
          <w:t>Transport, Energy, Infrastructure and the Information Society</w:t>
        </w:r>
        <w:r w:rsidR="00DD5204">
          <w:rPr>
            <w:webHidden/>
          </w:rPr>
          <w:tab/>
        </w:r>
        <w:r w:rsidR="00DD5204">
          <w:rPr>
            <w:webHidden/>
          </w:rPr>
          <w:fldChar w:fldCharType="begin"/>
        </w:r>
        <w:r w:rsidR="00DD5204">
          <w:rPr>
            <w:webHidden/>
          </w:rPr>
          <w:instrText xml:space="preserve"> PAGEREF _Toc2173205 \h </w:instrText>
        </w:r>
        <w:r w:rsidR="00DD5204">
          <w:rPr>
            <w:webHidden/>
          </w:rPr>
        </w:r>
        <w:r w:rsidR="00DD5204">
          <w:rPr>
            <w:webHidden/>
          </w:rPr>
          <w:fldChar w:fldCharType="separate"/>
        </w:r>
        <w:r w:rsidR="00DD5204">
          <w:rPr>
            <w:webHidden/>
          </w:rPr>
          <w:t>6</w:t>
        </w:r>
        <w:r w:rsidR="00DD5204">
          <w:rPr>
            <w:webHidden/>
          </w:rPr>
          <w:fldChar w:fldCharType="end"/>
        </w:r>
      </w:hyperlink>
    </w:p>
    <w:p w:rsidR="00DD5204" w:rsidRDefault="005C1B76">
      <w:pPr>
        <w:pStyle w:val="TOC1"/>
        <w:rPr>
          <w:rFonts w:asciiTheme="minorHAnsi" w:eastAsiaTheme="minorEastAsia" w:hAnsiTheme="minorHAnsi" w:cstheme="minorBidi"/>
        </w:rPr>
      </w:pPr>
      <w:hyperlink w:anchor="_Toc2173206" w:history="1">
        <w:r w:rsidR="00DD5204" w:rsidRPr="00D36E41">
          <w:rPr>
            <w:rStyle w:val="Hyperlink"/>
          </w:rPr>
          <w:t>3.</w:t>
        </w:r>
        <w:r w:rsidR="00DD5204">
          <w:rPr>
            <w:rFonts w:asciiTheme="minorHAnsi" w:eastAsiaTheme="minorEastAsia" w:hAnsiTheme="minorHAnsi" w:cstheme="minorBidi"/>
          </w:rPr>
          <w:tab/>
        </w:r>
        <w:r w:rsidR="00DD5204" w:rsidRPr="00D36E41">
          <w:rPr>
            <w:rStyle w:val="Hyperlink"/>
            <w:b/>
          </w:rPr>
          <w:t>AGRICULTURE, RURAL DEVELOPMENT AND THE ENVIRONMENT</w:t>
        </w:r>
        <w:r w:rsidR="00DD5204">
          <w:rPr>
            <w:webHidden/>
          </w:rPr>
          <w:tab/>
        </w:r>
        <w:r w:rsidR="00DD5204">
          <w:rPr>
            <w:webHidden/>
          </w:rPr>
          <w:fldChar w:fldCharType="begin"/>
        </w:r>
        <w:r w:rsidR="00DD5204">
          <w:rPr>
            <w:webHidden/>
          </w:rPr>
          <w:instrText xml:space="preserve"> PAGEREF _Toc2173206 \h </w:instrText>
        </w:r>
        <w:r w:rsidR="00DD5204">
          <w:rPr>
            <w:webHidden/>
          </w:rPr>
        </w:r>
        <w:r w:rsidR="00DD5204">
          <w:rPr>
            <w:webHidden/>
          </w:rPr>
          <w:fldChar w:fldCharType="separate"/>
        </w:r>
        <w:r w:rsidR="00DD5204">
          <w:rPr>
            <w:webHidden/>
          </w:rPr>
          <w:t>11</w:t>
        </w:r>
        <w:r w:rsidR="00DD5204">
          <w:rPr>
            <w:webHidden/>
          </w:rPr>
          <w:fldChar w:fldCharType="end"/>
        </w:r>
      </w:hyperlink>
    </w:p>
    <w:p w:rsidR="00DD5204" w:rsidRDefault="005C1B76">
      <w:pPr>
        <w:pStyle w:val="TOC1"/>
        <w:rPr>
          <w:rFonts w:asciiTheme="minorHAnsi" w:eastAsiaTheme="minorEastAsia" w:hAnsiTheme="minorHAnsi" w:cstheme="minorBidi"/>
        </w:rPr>
      </w:pPr>
      <w:hyperlink w:anchor="_Toc2173207" w:history="1">
        <w:r w:rsidR="00DD5204" w:rsidRPr="00D36E41">
          <w:rPr>
            <w:rStyle w:val="Hyperlink"/>
          </w:rPr>
          <w:t>4.</w:t>
        </w:r>
        <w:r w:rsidR="00DD5204">
          <w:rPr>
            <w:rFonts w:asciiTheme="minorHAnsi" w:eastAsiaTheme="minorEastAsia" w:hAnsiTheme="minorHAnsi" w:cstheme="minorBidi"/>
          </w:rPr>
          <w:tab/>
        </w:r>
        <w:r w:rsidR="00DD5204" w:rsidRPr="00D36E41">
          <w:rPr>
            <w:rStyle w:val="Hyperlink"/>
            <w:b/>
          </w:rPr>
          <w:t>EMPLOYMENT, SOCIAL AFFAIRS AND CITIZENSHIP</w:t>
        </w:r>
        <w:r w:rsidR="00DD5204">
          <w:rPr>
            <w:webHidden/>
          </w:rPr>
          <w:tab/>
        </w:r>
        <w:r w:rsidR="00DD5204">
          <w:rPr>
            <w:webHidden/>
          </w:rPr>
          <w:fldChar w:fldCharType="begin"/>
        </w:r>
        <w:r w:rsidR="00DD5204">
          <w:rPr>
            <w:webHidden/>
          </w:rPr>
          <w:instrText xml:space="preserve"> PAGEREF _Toc2173207 \h </w:instrText>
        </w:r>
        <w:r w:rsidR="00DD5204">
          <w:rPr>
            <w:webHidden/>
          </w:rPr>
        </w:r>
        <w:r w:rsidR="00DD5204">
          <w:rPr>
            <w:webHidden/>
          </w:rPr>
          <w:fldChar w:fldCharType="separate"/>
        </w:r>
        <w:r w:rsidR="00DD5204">
          <w:rPr>
            <w:webHidden/>
          </w:rPr>
          <w:t>14</w:t>
        </w:r>
        <w:r w:rsidR="00DD5204">
          <w:rPr>
            <w:webHidden/>
          </w:rPr>
          <w:fldChar w:fldCharType="end"/>
        </w:r>
      </w:hyperlink>
    </w:p>
    <w:p w:rsidR="008405A0" w:rsidRPr="00D85439" w:rsidRDefault="003353E8" w:rsidP="000D6B2F">
      <w:r w:rsidRPr="00D85439">
        <w:fldChar w:fldCharType="end"/>
      </w:r>
      <w:r>
        <w:br w:type="page"/>
      </w:r>
    </w:p>
    <w:p w:rsidR="00421682" w:rsidRPr="00D85439" w:rsidRDefault="00AD7EE7" w:rsidP="000D6B2F">
      <w:r>
        <w:lastRenderedPageBreak/>
        <w:t>Följande yttranden antog</w:t>
      </w:r>
      <w:r w:rsidR="00890945">
        <w:t>s vid plenarsessionen den 20–21 </w:t>
      </w:r>
      <w:r>
        <w:t>februari 2019:</w:t>
      </w:r>
    </w:p>
    <w:p w:rsidR="00A43397" w:rsidRPr="00D85439" w:rsidRDefault="00A43397" w:rsidP="000D6B2F">
      <w:pPr>
        <w:rPr>
          <w:lang w:val="en-GB"/>
        </w:rPr>
      </w:pPr>
    </w:p>
    <w:p w:rsidR="00A43397" w:rsidRDefault="000C491C" w:rsidP="000D6B2F">
      <w:pPr>
        <w:pStyle w:val="Heading1"/>
        <w:ind w:left="567" w:hanging="567"/>
        <w:rPr>
          <w:b/>
          <w:caps/>
        </w:rPr>
      </w:pPr>
      <w:bookmarkStart w:id="1" w:name="_Toc2173204"/>
      <w:r>
        <w:rPr>
          <w:b/>
          <w:caps/>
        </w:rPr>
        <w:t>Ekonomiska och monetära unionen, ekonomisk och social sammanhållning</w:t>
      </w:r>
      <w:bookmarkEnd w:id="1"/>
    </w:p>
    <w:p w:rsidR="009E0DB0" w:rsidRDefault="009E0DB0">
      <w:pPr>
        <w:spacing w:line="240" w:lineRule="auto"/>
        <w:jc w:val="left"/>
        <w:rPr>
          <w:b/>
          <w:caps/>
          <w:kern w:val="28"/>
          <w:lang w:val="en-GB"/>
        </w:rPr>
      </w:pPr>
    </w:p>
    <w:p w:rsidR="00847378" w:rsidRPr="006E2E2A" w:rsidRDefault="00847378" w:rsidP="00847378">
      <w:pPr>
        <w:widowControl w:val="0"/>
        <w:numPr>
          <w:ilvl w:val="0"/>
          <w:numId w:val="13"/>
        </w:numPr>
        <w:overflowPunct w:val="0"/>
        <w:autoSpaceDE w:val="0"/>
        <w:autoSpaceDN w:val="0"/>
        <w:adjustRightInd w:val="0"/>
        <w:ind w:left="567" w:hanging="567"/>
        <w:textAlignment w:val="baseline"/>
        <w:rPr>
          <w:b/>
          <w:i/>
          <w:sz w:val="28"/>
          <w:szCs w:val="28"/>
        </w:rPr>
      </w:pPr>
      <w:r>
        <w:rPr>
          <w:b/>
          <w:i/>
          <w:sz w:val="28"/>
          <w:szCs w:val="28"/>
        </w:rPr>
        <w:t>Årlig tillväxtöversikt 2019</w:t>
      </w:r>
    </w:p>
    <w:p w:rsidR="00847378" w:rsidRPr="006E2E2A" w:rsidRDefault="00847378" w:rsidP="00847378">
      <w:pPr>
        <w:widowControl w:val="0"/>
        <w:overflowPunct w:val="0"/>
        <w:autoSpaceDE w:val="0"/>
        <w:autoSpaceDN w:val="0"/>
        <w:adjustRightInd w:val="0"/>
        <w:textAlignment w:val="baseline"/>
        <w:rPr>
          <w:b/>
          <w:i/>
          <w:sz w:val="28"/>
          <w:szCs w:val="28"/>
          <w:lang w:val="en-GB"/>
        </w:rPr>
      </w:pPr>
    </w:p>
    <w:p w:rsidR="00847378" w:rsidRPr="006E2E2A" w:rsidRDefault="00847378" w:rsidP="00847378">
      <w:pPr>
        <w:tabs>
          <w:tab w:val="center" w:pos="284"/>
          <w:tab w:val="left" w:pos="1701"/>
        </w:tabs>
        <w:ind w:left="266" w:hanging="266"/>
      </w:pPr>
      <w:r>
        <w:rPr>
          <w:b/>
        </w:rPr>
        <w:t>Föredragande:</w:t>
      </w:r>
      <w:r>
        <w:tab/>
        <w:t>Anne Demelenne (Arbetstagargruppen – BE)</w:t>
      </w:r>
    </w:p>
    <w:p w:rsidR="00847378" w:rsidRPr="006E2E2A" w:rsidRDefault="00847378" w:rsidP="00847378">
      <w:pPr>
        <w:tabs>
          <w:tab w:val="center" w:pos="284"/>
        </w:tabs>
        <w:ind w:left="266" w:hanging="266"/>
        <w:rPr>
          <w:lang w:val="en-GB"/>
        </w:rPr>
      </w:pPr>
    </w:p>
    <w:p w:rsidR="00AC6F72" w:rsidRDefault="00847378" w:rsidP="00AC6F72">
      <w:pPr>
        <w:tabs>
          <w:tab w:val="center" w:pos="284"/>
          <w:tab w:val="left" w:pos="1701"/>
        </w:tabs>
        <w:ind w:left="266" w:hanging="266"/>
      </w:pPr>
      <w:r>
        <w:rPr>
          <w:b/>
        </w:rPr>
        <w:t>Referens:</w:t>
      </w:r>
      <w:r>
        <w:rPr>
          <w:b/>
        </w:rPr>
        <w:tab/>
      </w:r>
      <w:r>
        <w:t>COM(2018) 770 final</w:t>
      </w:r>
    </w:p>
    <w:p w:rsidR="00847378" w:rsidRPr="006E2E2A" w:rsidRDefault="00847378" w:rsidP="00E30ADD">
      <w:pPr>
        <w:tabs>
          <w:tab w:val="left" w:pos="1701"/>
        </w:tabs>
        <w:ind w:left="1701"/>
      </w:pPr>
      <w:r>
        <w:t>EESC-2018-05434-00-00-AC-TRA</w:t>
      </w:r>
    </w:p>
    <w:p w:rsidR="00847378" w:rsidRPr="006E2E2A" w:rsidRDefault="00847378" w:rsidP="00847378">
      <w:pPr>
        <w:tabs>
          <w:tab w:val="center" w:pos="284"/>
        </w:tabs>
        <w:ind w:left="266" w:hanging="266"/>
        <w:rPr>
          <w:lang w:val="en-GB"/>
        </w:rPr>
      </w:pPr>
    </w:p>
    <w:p w:rsidR="00847378" w:rsidRPr="006E2E2A" w:rsidRDefault="00AC6F72" w:rsidP="00847378">
      <w:pPr>
        <w:keepNext/>
        <w:keepLines/>
        <w:tabs>
          <w:tab w:val="center" w:pos="284"/>
        </w:tabs>
        <w:ind w:left="266" w:hanging="266"/>
        <w:rPr>
          <w:b/>
        </w:rPr>
      </w:pPr>
      <w:r>
        <w:rPr>
          <w:b/>
        </w:rPr>
        <w:t>Huvudpunkter</w:t>
      </w:r>
    </w:p>
    <w:p w:rsidR="00847378" w:rsidRPr="00BC33D4" w:rsidRDefault="00847378" w:rsidP="00847378">
      <w:pPr>
        <w:pStyle w:val="ListParagraph"/>
        <w:spacing w:line="240" w:lineRule="auto"/>
        <w:rPr>
          <w:lang w:val="en-GB"/>
        </w:rPr>
      </w:pPr>
    </w:p>
    <w:p w:rsidR="00847378" w:rsidRDefault="00847378" w:rsidP="00847378">
      <w:pPr>
        <w:spacing w:line="240" w:lineRule="auto"/>
        <w:jc w:val="left"/>
      </w:pPr>
      <w:r>
        <w:t>EESK:s ståndpunkt:</w:t>
      </w:r>
    </w:p>
    <w:p w:rsidR="00AC6F72" w:rsidRDefault="00AC6F72" w:rsidP="00847378">
      <w:pPr>
        <w:spacing w:line="240" w:lineRule="auto"/>
        <w:jc w:val="left"/>
      </w:pPr>
    </w:p>
    <w:p w:rsidR="00AC6F72" w:rsidRDefault="00AC6F72" w:rsidP="00EA2B80">
      <w:pPr>
        <w:pStyle w:val="ListParagraph"/>
        <w:numPr>
          <w:ilvl w:val="0"/>
          <w:numId w:val="15"/>
        </w:numPr>
        <w:spacing w:line="240" w:lineRule="auto"/>
        <w:ind w:left="567" w:hanging="567"/>
      </w:pPr>
      <w:r>
        <w:t>EESK välkomnar det fortsatta åtagandet att stödja reformer som syftar till att öka investeringar av hög kvalitet samt produktivitetstillväxt, inkludering och institutionernas kvalitet, och att fortsätta säkerställa makroekonomisk stabilitet och sunda offentliga finanser.</w:t>
      </w:r>
    </w:p>
    <w:p w:rsidR="00AC6F72" w:rsidRDefault="00AC6F72" w:rsidP="00EA2B80">
      <w:pPr>
        <w:spacing w:line="240" w:lineRule="auto"/>
        <w:ind w:left="567" w:hanging="567"/>
      </w:pPr>
    </w:p>
    <w:p w:rsidR="00AC6F72" w:rsidRDefault="00AC6F72" w:rsidP="00EA2B80">
      <w:pPr>
        <w:pStyle w:val="ListParagraph"/>
        <w:numPr>
          <w:ilvl w:val="0"/>
          <w:numId w:val="15"/>
        </w:numPr>
        <w:spacing w:line="240" w:lineRule="auto"/>
        <w:ind w:left="567" w:hanging="567"/>
      </w:pPr>
      <w:r>
        <w:t>Kommittén välkomnar erkännandet av behovet av investeringar inriktade på utbildning och den större tonvikten på behovet av att stärka EU:s sociala dimension, i syfte att hantera skillnader inom och mellan regioner och med avseende på tillgången till utbildning samt åstadkomma samordning mellan politiska instrument.</w:t>
      </w:r>
    </w:p>
    <w:p w:rsidR="00AC6F72" w:rsidRDefault="00AC6F72" w:rsidP="00EA2B80">
      <w:pPr>
        <w:spacing w:line="240" w:lineRule="auto"/>
        <w:ind w:left="567" w:hanging="567"/>
      </w:pPr>
    </w:p>
    <w:p w:rsidR="00AC6F72" w:rsidRDefault="00AC6F72" w:rsidP="00EA2B80">
      <w:pPr>
        <w:pStyle w:val="ListParagraph"/>
        <w:numPr>
          <w:ilvl w:val="0"/>
          <w:numId w:val="15"/>
        </w:numPr>
        <w:spacing w:line="240" w:lineRule="auto"/>
        <w:ind w:left="567" w:hanging="567"/>
      </w:pPr>
      <w:r>
        <w:t xml:space="preserve">Det måste dock fortfarande preciseras hur dessa mål ska uppnås, och bedömningen av de ekonomiska resultaten matchar inte de uppgifter som bifogats på alla områden. Den ger fortfarande uttryck för belåtenhet på vissa punkter, överdriver positiva inslag och </w:t>
      </w:r>
      <w:r w:rsidR="00890945">
        <w:t>innehåller i </w:t>
      </w:r>
      <w:r>
        <w:t>vissa fall ogrundade påståenden om de positiva konsekvenserna av tidigare strategier.</w:t>
      </w:r>
    </w:p>
    <w:p w:rsidR="00AC6F72" w:rsidRDefault="00AC6F72" w:rsidP="00AC6F72">
      <w:pPr>
        <w:spacing w:line="240" w:lineRule="auto"/>
      </w:pPr>
    </w:p>
    <w:p w:rsidR="00AC6F72" w:rsidRDefault="00AC6F72" w:rsidP="00EA2B80">
      <w:pPr>
        <w:pStyle w:val="ListParagraph"/>
        <w:numPr>
          <w:ilvl w:val="0"/>
          <w:numId w:val="15"/>
        </w:numPr>
        <w:spacing w:line="240" w:lineRule="auto"/>
        <w:ind w:left="567" w:hanging="567"/>
      </w:pPr>
      <w:r>
        <w:t>Kommittén välkomnar reformer som kan leda till ökad produktivitet.  Ökad produktivitet är avgörande för att bibehålla EU:s konkurrenskraft och öka välfärden. Det föreligger dock ett behov av en grundlig utvärdering av tidigare politik mot bakgrund av de hittills blandade resultaten, inbegripet den långsamma ekonomiska återhämtningen, fortsatt oro rörande produktiviteten i förhållande till konkurrenterna och ökningen av osäkra anställningar.</w:t>
      </w:r>
    </w:p>
    <w:p w:rsidR="00AC6F72" w:rsidRDefault="00AC6F72" w:rsidP="00AC6F72">
      <w:pPr>
        <w:spacing w:line="240" w:lineRule="auto"/>
      </w:pPr>
    </w:p>
    <w:p w:rsidR="00AC6F72" w:rsidRDefault="00AC6F72" w:rsidP="00EA2B80">
      <w:pPr>
        <w:pStyle w:val="ListParagraph"/>
        <w:numPr>
          <w:ilvl w:val="0"/>
          <w:numId w:val="15"/>
        </w:numPr>
        <w:spacing w:line="240" w:lineRule="auto"/>
        <w:ind w:left="567" w:hanging="567"/>
      </w:pPr>
      <w:r>
        <w:t>Kommittén välkomnar att den sociala pelaren ges en framskjuten ställning. Det bör tydliggöras på vilket sätt den kommer att omsättas i praktiken, hur resurser kan göras tillgängliga genom Europeiska socialfonden och andra EU-instrument samt hur detta kommer att finansieras på EU-nivå och medlemsstatsnivå.</w:t>
      </w:r>
    </w:p>
    <w:p w:rsidR="00AC6F72" w:rsidRDefault="00AC6F72" w:rsidP="00EA2B80">
      <w:pPr>
        <w:spacing w:line="240" w:lineRule="auto"/>
        <w:ind w:left="567" w:hanging="567"/>
      </w:pPr>
    </w:p>
    <w:p w:rsidR="00AC6F72" w:rsidRDefault="00AC6F72" w:rsidP="00EA2B80">
      <w:pPr>
        <w:pStyle w:val="ListParagraph"/>
        <w:numPr>
          <w:ilvl w:val="0"/>
          <w:numId w:val="15"/>
        </w:numPr>
        <w:spacing w:line="240" w:lineRule="auto"/>
        <w:ind w:left="567" w:hanging="567"/>
      </w:pPr>
      <w:r>
        <w:t>Kommittén understryker att framstegen sker väldigt långsamt och att förslagen ofta är tämligen anspråkslösa på områden där ny politik har föreslagits, inbegripet rättvis beskattning, bankunionen och euroområdets sätt att fungera. Det skulle vara fördelaktigt om arbetsmarknadens parter och det civila samhället var fullt involverade.</w:t>
      </w:r>
    </w:p>
    <w:p w:rsidR="00AC6F72" w:rsidRDefault="00AC6F72" w:rsidP="00EA2B80">
      <w:pPr>
        <w:spacing w:line="240" w:lineRule="auto"/>
        <w:ind w:left="567" w:hanging="567"/>
      </w:pPr>
    </w:p>
    <w:p w:rsidR="00AC6F72" w:rsidRDefault="00AC6F72" w:rsidP="00EA2B80">
      <w:pPr>
        <w:pStyle w:val="ListParagraph"/>
        <w:numPr>
          <w:ilvl w:val="0"/>
          <w:numId w:val="15"/>
        </w:numPr>
        <w:spacing w:line="240" w:lineRule="auto"/>
        <w:ind w:left="567" w:hanging="567"/>
      </w:pPr>
      <w:r>
        <w:t xml:space="preserve">Kommittén erkänner vikten av att ta itu med klimatförändringarna, men de åtgärder som hittills har vidtagits är fortfarande otillräckliga. Ett viktigt steg vore att döpa om den årliga tillväxtöversikten till den årliga översikten över hållbar tillväxt. Förutom att erkänna vikten av klimatförändringarna skulle man på så sätt också erkänna vikten av ett hållbart utnyttjande av </w:t>
      </w:r>
      <w:r>
        <w:lastRenderedPageBreak/>
        <w:t>ändliga resurser, skyddet av miljön och därmed värnandet av kommande generationers intressen.</w:t>
      </w:r>
    </w:p>
    <w:p w:rsidR="00AC6F72" w:rsidRDefault="00AC6F72" w:rsidP="00EA2B80">
      <w:pPr>
        <w:spacing w:line="240" w:lineRule="auto"/>
        <w:ind w:left="567" w:hanging="567"/>
      </w:pPr>
    </w:p>
    <w:p w:rsidR="00AC6F72" w:rsidRDefault="00AC6F72" w:rsidP="00EA2B80">
      <w:pPr>
        <w:pStyle w:val="Heading2"/>
        <w:numPr>
          <w:ilvl w:val="0"/>
          <w:numId w:val="15"/>
        </w:numPr>
        <w:overflowPunct w:val="0"/>
        <w:autoSpaceDE w:val="0"/>
        <w:autoSpaceDN w:val="0"/>
        <w:adjustRightInd w:val="0"/>
        <w:spacing w:line="240" w:lineRule="auto"/>
        <w:ind w:left="567" w:hanging="567"/>
        <w:textAlignment w:val="baseline"/>
      </w:pPr>
      <w:r>
        <w:t>Kommittén betonar att genomförandet av politiken på många områden är beroende av viss privat och även offentlig finansiering. Detta skulle underlättas både genom reformer för att skapa en gynnsam miljö för privata investeringar och genom en lämplig EU-budget, samt genom ett åtagande om en ”gyllene regel” som tillåter finansiering genom medlemsstaternas budgetar för socialt och ekonomiskt produktiva investeringar som inte hotar den framtida budgetmässiga hållbarheten.</w:t>
      </w:r>
    </w:p>
    <w:p w:rsidR="00686B1B" w:rsidRDefault="00686B1B" w:rsidP="00686B1B"/>
    <w:p w:rsidR="00686B1B" w:rsidRPr="006E2E2A" w:rsidRDefault="00686B1B" w:rsidP="00686B1B">
      <w:pPr>
        <w:tabs>
          <w:tab w:val="left" w:pos="770"/>
        </w:tabs>
        <w:spacing w:line="240" w:lineRule="auto"/>
        <w:ind w:left="1701" w:hanging="1559"/>
        <w:rPr>
          <w:bCs/>
          <w:i/>
          <w:iCs/>
        </w:rPr>
      </w:pPr>
      <w:r>
        <w:rPr>
          <w:b/>
          <w:bCs/>
          <w:i/>
          <w:iCs/>
        </w:rPr>
        <w:t>Kontakt:</w:t>
      </w:r>
      <w:r>
        <w:rPr>
          <w:b/>
          <w:bCs/>
          <w:i/>
          <w:iCs/>
        </w:rPr>
        <w:tab/>
      </w:r>
      <w:r>
        <w:rPr>
          <w:bCs/>
          <w:i/>
          <w:iCs/>
        </w:rPr>
        <w:t>Susanne Johansson</w:t>
      </w:r>
    </w:p>
    <w:p w:rsidR="00686B1B" w:rsidRPr="00686B1B" w:rsidRDefault="00686B1B" w:rsidP="00686B1B">
      <w:pPr>
        <w:tabs>
          <w:tab w:val="left" w:pos="1701"/>
        </w:tabs>
      </w:pPr>
      <w:r>
        <w:rPr>
          <w:bCs/>
          <w:i/>
          <w:iCs/>
        </w:rPr>
        <w:tab/>
        <w:t xml:space="preserve">(Tfn +32 25468477 – e-post: </w:t>
      </w:r>
      <w:hyperlink r:id="rId21" w:history="1">
        <w:r>
          <w:rPr>
            <w:rStyle w:val="Hyperlink"/>
            <w:i/>
            <w:iCs/>
          </w:rPr>
          <w:t>susanne.johansson@eesc.europa.eu</w:t>
        </w:r>
      </w:hyperlink>
      <w:r>
        <w:rPr>
          <w:bCs/>
          <w:i/>
          <w:iCs/>
        </w:rPr>
        <w:t>)</w:t>
      </w:r>
    </w:p>
    <w:p w:rsidR="00AC6F72" w:rsidRDefault="00AC6F72" w:rsidP="00847378">
      <w:pPr>
        <w:spacing w:line="240" w:lineRule="auto"/>
        <w:jc w:val="left"/>
        <w:rPr>
          <w:b/>
          <w:caps/>
          <w:kern w:val="28"/>
          <w:lang w:val="en-GB"/>
        </w:rPr>
      </w:pPr>
    </w:p>
    <w:p w:rsidR="00BC33D4" w:rsidRPr="00BC33D4" w:rsidRDefault="00BC33D4" w:rsidP="00BC33D4">
      <w:pPr>
        <w:pStyle w:val="ListParagraph"/>
        <w:numPr>
          <w:ilvl w:val="0"/>
          <w:numId w:val="16"/>
        </w:numPr>
        <w:spacing w:line="240" w:lineRule="auto"/>
        <w:ind w:left="567" w:hanging="567"/>
        <w:jc w:val="left"/>
        <w:rPr>
          <w:b/>
          <w:caps/>
          <w:kern w:val="28"/>
        </w:rPr>
      </w:pPr>
      <w:r>
        <w:rPr>
          <w:b/>
          <w:i/>
          <w:sz w:val="28"/>
          <w:szCs w:val="28"/>
        </w:rPr>
        <w:t>Peace IV – fortsättning för samarbetsprogrammen</w:t>
      </w:r>
    </w:p>
    <w:p w:rsidR="00BC33D4" w:rsidRDefault="00BC33D4" w:rsidP="00BC33D4">
      <w:pPr>
        <w:spacing w:line="240" w:lineRule="auto"/>
        <w:jc w:val="left"/>
        <w:rPr>
          <w:b/>
          <w:caps/>
          <w:kern w:val="28"/>
          <w:lang w:val="en-GB"/>
        </w:rPr>
      </w:pPr>
    </w:p>
    <w:p w:rsidR="00BC33D4" w:rsidRPr="00BC33D4" w:rsidRDefault="00BC33D4" w:rsidP="00696031">
      <w:pPr>
        <w:jc w:val="left"/>
        <w:rPr>
          <w:b/>
          <w:caps/>
          <w:kern w:val="28"/>
        </w:rPr>
      </w:pPr>
      <w:r>
        <w:rPr>
          <w:b/>
        </w:rPr>
        <w:t>Huvudföredragande:</w:t>
      </w:r>
      <w:r>
        <w:tab/>
        <w:t>Jane Morrice (Mångfald Europa – UK)</w:t>
      </w:r>
    </w:p>
    <w:p w:rsidR="00BC33D4" w:rsidRDefault="00BC33D4" w:rsidP="00696031">
      <w:pPr>
        <w:jc w:val="left"/>
        <w:rPr>
          <w:b/>
          <w:caps/>
          <w:kern w:val="28"/>
          <w:lang w:val="en-GB"/>
        </w:rPr>
      </w:pPr>
    </w:p>
    <w:p w:rsidR="00BC33D4" w:rsidRPr="00BC33D4" w:rsidRDefault="00BC33D4" w:rsidP="00696031">
      <w:pPr>
        <w:tabs>
          <w:tab w:val="left" w:pos="2268"/>
        </w:tabs>
        <w:jc w:val="left"/>
        <w:rPr>
          <w:b/>
          <w:caps/>
          <w:kern w:val="28"/>
        </w:rPr>
      </w:pPr>
      <w:r>
        <w:rPr>
          <w:b/>
        </w:rPr>
        <w:t>Referens:</w:t>
      </w:r>
      <w:r>
        <w:rPr>
          <w:b/>
        </w:rPr>
        <w:tab/>
      </w:r>
      <w:r>
        <w:t>COM(2018) 892 final  – 2018/0432 (COD)</w:t>
      </w:r>
    </w:p>
    <w:p w:rsidR="00847378" w:rsidRDefault="00696031" w:rsidP="00696031">
      <w:pPr>
        <w:tabs>
          <w:tab w:val="left" w:pos="2268"/>
        </w:tabs>
        <w:jc w:val="left"/>
      </w:pPr>
      <w:r>
        <w:rPr>
          <w:b/>
          <w:caps/>
        </w:rPr>
        <w:tab/>
      </w:r>
      <w:r>
        <w:t>EESC-2019-00492-00-00-AC-TRA</w:t>
      </w:r>
    </w:p>
    <w:p w:rsidR="00696031" w:rsidRDefault="00696031" w:rsidP="00696031">
      <w:pPr>
        <w:tabs>
          <w:tab w:val="left" w:pos="2268"/>
        </w:tabs>
        <w:jc w:val="left"/>
      </w:pPr>
    </w:p>
    <w:p w:rsidR="00696031" w:rsidRPr="00696031" w:rsidRDefault="00696031" w:rsidP="00696031">
      <w:pPr>
        <w:tabs>
          <w:tab w:val="left" w:pos="2268"/>
        </w:tabs>
        <w:jc w:val="left"/>
        <w:rPr>
          <w:b/>
          <w:caps/>
          <w:kern w:val="28"/>
        </w:rPr>
      </w:pPr>
      <w:r>
        <w:rPr>
          <w:b/>
        </w:rPr>
        <w:t>Huvudpunkter</w:t>
      </w:r>
    </w:p>
    <w:p w:rsidR="00696031" w:rsidRDefault="00696031" w:rsidP="00696031">
      <w:pPr>
        <w:jc w:val="left"/>
        <w:rPr>
          <w:b/>
          <w:caps/>
          <w:kern w:val="28"/>
          <w:lang w:val="en-GB"/>
        </w:rPr>
      </w:pPr>
    </w:p>
    <w:p w:rsidR="00696031" w:rsidRPr="00696031" w:rsidRDefault="00696031" w:rsidP="00EA2B80">
      <w:pPr>
        <w:pStyle w:val="ListParagraph"/>
        <w:numPr>
          <w:ilvl w:val="0"/>
          <w:numId w:val="16"/>
        </w:numPr>
        <w:ind w:left="567" w:hanging="567"/>
        <w:rPr>
          <w:b/>
          <w:caps/>
          <w:kern w:val="28"/>
        </w:rPr>
      </w:pPr>
      <w:r>
        <w:t>EESK välkomnar helhjärtat förslaget om att fortsätta med EU:s Peace-program i Nordirland och i Irlands gränsdistrikt efter Förenade kungarikets utträde ur EU. EESK uppskattar EU:s prioritering av stödet till fredsprocessen och erkänner Peace-programmets avsevärda bidrag till att bevara freden i denna region. Detta överensstämmer med Europaparlamentets slutsatser från september 2018, i vilka Peace-programmet beskrivs som en modell för resten av världen.</w:t>
      </w:r>
    </w:p>
    <w:p w:rsidR="00696031" w:rsidRPr="00696031" w:rsidRDefault="00696031" w:rsidP="00EA2B80">
      <w:pPr>
        <w:ind w:left="567" w:hanging="567"/>
        <w:rPr>
          <w:b/>
          <w:caps/>
          <w:kern w:val="28"/>
          <w:lang w:val="en-GB"/>
        </w:rPr>
      </w:pPr>
    </w:p>
    <w:p w:rsidR="00696031" w:rsidRPr="008B72B6" w:rsidRDefault="00696031" w:rsidP="00890C94">
      <w:pPr>
        <w:pStyle w:val="Heading2"/>
        <w:numPr>
          <w:ilvl w:val="0"/>
          <w:numId w:val="17"/>
        </w:numPr>
        <w:ind w:left="567" w:hanging="567"/>
      </w:pPr>
      <w:r>
        <w:t>Mot bakgrund av den destabiliserande politiska, ekonomiska och sociala osäkerheten till följd av brexit är det dessutom av avgörande betydelse för aktörerna inom det civila samhället att EU håller fast vid sitt åtagande att göra sitt yttersta för att säkerställa att Nordirland inte bara förblir konfliktfritt utan fortsätter framåt på vägen mot försoning med hjälp av den bottom up-strategi för fredsskapande och konfliktlösning som blivit EU:s varumärke.</w:t>
      </w:r>
    </w:p>
    <w:p w:rsidR="00696031" w:rsidRPr="00890C94" w:rsidRDefault="00696031" w:rsidP="00890C94">
      <w:pPr>
        <w:ind w:left="567" w:hanging="567"/>
        <w:outlineLvl w:val="1"/>
        <w:rPr>
          <w:rFonts w:eastAsiaTheme="minorHAnsi"/>
          <w:sz w:val="16"/>
          <w:szCs w:val="16"/>
          <w:lang w:val="fr-BE"/>
        </w:rPr>
      </w:pPr>
    </w:p>
    <w:p w:rsidR="00696031" w:rsidRPr="00696031" w:rsidRDefault="00696031" w:rsidP="00EA2B80">
      <w:pPr>
        <w:pStyle w:val="ListParagraph"/>
        <w:numPr>
          <w:ilvl w:val="0"/>
          <w:numId w:val="16"/>
        </w:numPr>
        <w:ind w:left="567" w:hanging="567"/>
        <w:rPr>
          <w:b/>
          <w:caps/>
          <w:kern w:val="28"/>
        </w:rPr>
      </w:pPr>
      <w:r>
        <w:t>Det europeiska programmet för fred och försoning (Peace) är det mest värdefulla och framgångsrika fredsbyggande instrument som någonsin tillämpats av Europeiska unionen i en konfliktsituation. Peace-programmet inrättades som ett svar på vapenvilan i Nordirland 1995 och har investerat över 2 miljarder euro i projekt för försoning mellan befolkningsgrupperna och över gränserna och andra försoningsprojekt under de 24 år som gått sedan starten.</w:t>
      </w:r>
    </w:p>
    <w:p w:rsidR="00696031" w:rsidRDefault="00696031" w:rsidP="00EA2B80">
      <w:pPr>
        <w:ind w:left="567" w:hanging="567"/>
        <w:rPr>
          <w:b/>
          <w:caps/>
          <w:kern w:val="28"/>
          <w:lang w:val="en-GB"/>
        </w:rPr>
      </w:pPr>
    </w:p>
    <w:p w:rsidR="00696031" w:rsidRPr="008B72B6" w:rsidRDefault="00696031" w:rsidP="00890C94">
      <w:pPr>
        <w:pStyle w:val="Heading2"/>
        <w:numPr>
          <w:ilvl w:val="0"/>
          <w:numId w:val="19"/>
        </w:numPr>
        <w:ind w:left="567" w:hanging="567"/>
      </w:pPr>
      <w:r>
        <w:t>Peace-programmet är enligt alla parter i långfredagsavtalet/Belfastavtalet ett betydande bidrag till fredsprocessen och unikt genom att det sträcker sig utöver och bortom alla andra EU-insatser inom det egna territoriet. Det sammanför brittiska och irländska aktörer under ett EU-paraply med det enda syftet att skydda fredsprocessen.</w:t>
      </w:r>
    </w:p>
    <w:p w:rsidR="00696031" w:rsidRPr="00890C94" w:rsidRDefault="00696031" w:rsidP="00890C94">
      <w:pPr>
        <w:ind w:left="567" w:hanging="567"/>
        <w:outlineLvl w:val="1"/>
        <w:rPr>
          <w:rFonts w:eastAsiaTheme="minorHAnsi"/>
          <w:sz w:val="16"/>
          <w:szCs w:val="16"/>
          <w:lang w:val="fr-BE"/>
        </w:rPr>
      </w:pPr>
    </w:p>
    <w:p w:rsidR="00696031" w:rsidRPr="008B72B6" w:rsidRDefault="00696031" w:rsidP="00890C94">
      <w:pPr>
        <w:pStyle w:val="Heading2"/>
        <w:numPr>
          <w:ilvl w:val="0"/>
          <w:numId w:val="20"/>
        </w:numPr>
        <w:ind w:left="567" w:hanging="567"/>
      </w:pPr>
      <w:r>
        <w:t xml:space="preserve">Den akuta situation som uppstått till följd av brexitprocessen och Förenade kungarikets slutliga utträde innebär att det krävs ett svar från EU för att säkra fredsprocessen, ett svar som motsvarar de nya behoven i regionen efter brexit. Genom att konsolidera stödet för en fortsättning på </w:t>
      </w:r>
      <w:r>
        <w:lastRenderedPageBreak/>
        <w:t>Peace-programmet och de gränsöverskridande Interreg-programmen tar EU viktiga steg i rätt riktning. Detta är visserligen ett åtagande som av uppenbara skäl ligger till grund för en viktig del av EU:s stöd till regionen, men det finns mer som kan och bör göras.</w:t>
      </w:r>
    </w:p>
    <w:p w:rsidR="00696031" w:rsidRPr="00890C94" w:rsidRDefault="00696031" w:rsidP="00890C94">
      <w:pPr>
        <w:ind w:left="567" w:hanging="567"/>
        <w:outlineLvl w:val="1"/>
        <w:rPr>
          <w:rFonts w:eastAsiaTheme="minorHAnsi"/>
          <w:sz w:val="16"/>
          <w:szCs w:val="16"/>
          <w:lang w:val="fr-BE"/>
        </w:rPr>
      </w:pPr>
    </w:p>
    <w:p w:rsidR="00696031" w:rsidRDefault="00696031" w:rsidP="00890C94">
      <w:pPr>
        <w:pStyle w:val="Heading2"/>
        <w:numPr>
          <w:ilvl w:val="0"/>
          <w:numId w:val="18"/>
        </w:numPr>
        <w:ind w:left="567" w:hanging="567"/>
        <w:rPr>
          <w:rFonts w:eastAsia="PMingLiU"/>
        </w:rPr>
      </w:pPr>
      <w:r>
        <w:t xml:space="preserve">De mer omedelbara behoven, både under och efter brexitförhandlingarna, kommer att bli uppenbara om spänningarna i samhället ökar och skillnaderna i brittisk/irländsk lojalitet ökar ännu mer både på gatunivå och vid gränsen. Ett tecken på ”god vilja” från EU:s sida skulle kunna omfatta ett åtagande om att öka EU:s finansiering av Peace i nästa omgång och placeringen av ett europeiskt centrum för fred och försoning i Belfast, i enlighet med vad som föreslagits i tidigare rapporter från EESK, Europaparlamentet och kommissionen. </w:t>
      </w:r>
    </w:p>
    <w:p w:rsidR="00696031" w:rsidRPr="00890C94" w:rsidRDefault="00696031" w:rsidP="00890C94">
      <w:pPr>
        <w:spacing w:line="22" w:lineRule="atLeast"/>
        <w:outlineLvl w:val="1"/>
        <w:rPr>
          <w:sz w:val="16"/>
          <w:szCs w:val="16"/>
          <w:lang w:val="fr-BE"/>
        </w:rPr>
      </w:pPr>
    </w:p>
    <w:p w:rsidR="00696031" w:rsidRPr="009C4C26" w:rsidRDefault="00696031" w:rsidP="00686B1B">
      <w:pPr>
        <w:tabs>
          <w:tab w:val="left" w:pos="1701"/>
        </w:tabs>
        <w:rPr>
          <w:i/>
        </w:rPr>
      </w:pPr>
      <w:r>
        <w:rPr>
          <w:b/>
          <w:i/>
        </w:rPr>
        <w:t>Kontakt:</w:t>
      </w:r>
      <w:r>
        <w:rPr>
          <w:i/>
        </w:rPr>
        <w:t xml:space="preserve"> </w:t>
      </w:r>
      <w:r>
        <w:rPr>
          <w:i/>
        </w:rPr>
        <w:tab/>
        <w:t>Georgios Meleas</w:t>
      </w:r>
    </w:p>
    <w:p w:rsidR="00696031" w:rsidRDefault="00686B1B" w:rsidP="00686B1B">
      <w:pPr>
        <w:tabs>
          <w:tab w:val="left" w:pos="1701"/>
        </w:tabs>
        <w:spacing w:line="240" w:lineRule="auto"/>
        <w:jc w:val="left"/>
        <w:rPr>
          <w:b/>
          <w:caps/>
          <w:kern w:val="28"/>
        </w:rPr>
      </w:pPr>
      <w:r>
        <w:rPr>
          <w:i/>
        </w:rPr>
        <w:tab/>
        <w:t xml:space="preserve">(Tfn +32 25469795 – e-post: </w:t>
      </w:r>
      <w:hyperlink r:id="rId22" w:history="1">
        <w:r>
          <w:rPr>
            <w:rStyle w:val="Hyperlink"/>
            <w:i/>
          </w:rPr>
          <w:t>georgios.meleas@eesc.europa.eu</w:t>
        </w:r>
      </w:hyperlink>
      <w:r>
        <w:rPr>
          <w:i/>
        </w:rPr>
        <w:t>)</w:t>
      </w:r>
    </w:p>
    <w:p w:rsidR="00696031" w:rsidRDefault="00696031">
      <w:pPr>
        <w:spacing w:line="240" w:lineRule="auto"/>
        <w:jc w:val="left"/>
        <w:rPr>
          <w:b/>
          <w:caps/>
          <w:kern w:val="28"/>
        </w:rPr>
      </w:pPr>
      <w:r>
        <w:br w:type="page"/>
      </w:r>
    </w:p>
    <w:p w:rsidR="00F2269F" w:rsidRDefault="00F2269F" w:rsidP="000D6B2F">
      <w:pPr>
        <w:pStyle w:val="Heading1"/>
        <w:ind w:left="567" w:hanging="567"/>
        <w:rPr>
          <w:b/>
          <w:caps/>
        </w:rPr>
      </w:pPr>
      <w:bookmarkStart w:id="2" w:name="_Toc2173205"/>
      <w:r>
        <w:rPr>
          <w:b/>
          <w:caps/>
        </w:rPr>
        <w:lastRenderedPageBreak/>
        <w:t>Transporter, energi, infrastruktur och informationssamhället</w:t>
      </w:r>
      <w:bookmarkEnd w:id="2"/>
      <w:r>
        <w:rPr>
          <w:b/>
          <w:caps/>
        </w:rPr>
        <w:br/>
      </w:r>
    </w:p>
    <w:p w:rsidR="005121FB" w:rsidRPr="005121FB" w:rsidRDefault="005121FB" w:rsidP="005121FB">
      <w:pPr>
        <w:pStyle w:val="ListParagraph"/>
        <w:numPr>
          <w:ilvl w:val="0"/>
          <w:numId w:val="11"/>
        </w:numPr>
        <w:ind w:left="567" w:hanging="567"/>
        <w:rPr>
          <w:i/>
        </w:rPr>
      </w:pPr>
      <w:r>
        <w:rPr>
          <w:b/>
          <w:i/>
          <w:sz w:val="28"/>
          <w:szCs w:val="28"/>
        </w:rPr>
        <w:t>Den digitala revolutionen utifrån medborgarnas behov och rättigheter</w:t>
      </w:r>
    </w:p>
    <w:p w:rsidR="005121FB" w:rsidRDefault="005121FB" w:rsidP="005121FB">
      <w:pPr>
        <w:rPr>
          <w:i/>
          <w:lang w:val="en-GB"/>
        </w:rPr>
      </w:pPr>
    </w:p>
    <w:p w:rsidR="005121FB" w:rsidRPr="005C58CA" w:rsidRDefault="005121FB" w:rsidP="005121FB">
      <w:r>
        <w:rPr>
          <w:b/>
        </w:rPr>
        <w:t xml:space="preserve">Föredragande: </w:t>
      </w:r>
      <w:r>
        <w:rPr>
          <w:b/>
        </w:rPr>
        <w:tab/>
      </w:r>
      <w:r>
        <w:t>Ulrich Samm (Arbetsgivargruppen – DE)</w:t>
      </w:r>
    </w:p>
    <w:p w:rsidR="005121FB" w:rsidRDefault="005121FB" w:rsidP="005121FB">
      <w:pPr>
        <w:rPr>
          <w:b/>
          <w:lang w:val="en-GB"/>
        </w:rPr>
      </w:pPr>
    </w:p>
    <w:p w:rsidR="005121FB" w:rsidRDefault="005121FB" w:rsidP="005121FB">
      <w:pPr>
        <w:ind w:left="1701" w:hanging="1701"/>
        <w:jc w:val="left"/>
      </w:pPr>
      <w:r>
        <w:rPr>
          <w:b/>
        </w:rPr>
        <w:t>Referens:</w:t>
      </w:r>
      <w:r>
        <w:t xml:space="preserve"> </w:t>
      </w:r>
      <w:r>
        <w:tab/>
        <w:t>Yttrande på eget initiativ</w:t>
      </w:r>
      <w:r>
        <w:br/>
        <w:t>EESC-2018-04168-00-00-AC-TRA</w:t>
      </w:r>
    </w:p>
    <w:p w:rsidR="005121FB" w:rsidRDefault="005121FB" w:rsidP="005121FB">
      <w:pPr>
        <w:ind w:left="1701" w:hanging="1701"/>
        <w:jc w:val="left"/>
        <w:rPr>
          <w:lang w:val="en-GB"/>
        </w:rPr>
      </w:pPr>
    </w:p>
    <w:p w:rsidR="005121FB" w:rsidRDefault="00D36EFC" w:rsidP="005121FB">
      <w:pPr>
        <w:ind w:left="1701" w:hanging="1701"/>
        <w:jc w:val="left"/>
        <w:rPr>
          <w:b/>
        </w:rPr>
      </w:pPr>
      <w:r>
        <w:rPr>
          <w:b/>
        </w:rPr>
        <w:t>Huvudpunkter</w:t>
      </w:r>
    </w:p>
    <w:p w:rsidR="005121FB" w:rsidRDefault="005121FB" w:rsidP="005121FB">
      <w:pPr>
        <w:ind w:left="1701" w:hanging="1701"/>
        <w:jc w:val="left"/>
        <w:rPr>
          <w:b/>
          <w:lang w:val="en-GB"/>
        </w:rPr>
      </w:pPr>
    </w:p>
    <w:p w:rsidR="005121FB" w:rsidRDefault="005121FB" w:rsidP="005121FB">
      <w:r>
        <w:t>Digitaliseringen erbjuder en uppsjö nya möjligheter som på ett aldrig tidigare skådat sätt ger människor möjlighet att göra val som skapar ett bättre liv. Å andra sidan är det så att ju mer digitaliseringen dominerar våra liv, desto mer kan vi också bli manipulerade.  EESK anser att transparenta regler bör utvecklas, anpassas och tillämpas för denna snabbt framväxande nya teknik. Bra övertygande teknik bör omfatta utbildning, inte manipulation, och vara förenlig med principen om människans fria val för att garantera människors oberoende.</w:t>
      </w:r>
    </w:p>
    <w:p w:rsidR="005121FB" w:rsidRDefault="005121FB" w:rsidP="005121FB">
      <w:pPr>
        <w:rPr>
          <w:lang w:val="en-GB"/>
        </w:rPr>
      </w:pPr>
    </w:p>
    <w:p w:rsidR="005121FB" w:rsidRDefault="005121FB" w:rsidP="005121FB">
      <w:r>
        <w:t xml:space="preserve">EESK uppmanar EU att se över befintliga </w:t>
      </w:r>
      <w:r>
        <w:rPr>
          <w:b/>
        </w:rPr>
        <w:t>säkerhetsbestämmelser</w:t>
      </w:r>
      <w:r>
        <w:t xml:space="preserve"> och att utveckla och anpassa strikta säkerhetsregler för ny framväxande teknik i syfte att skydda medborgarna i deras hem. EESK välkomnar strategin för att förbättra </w:t>
      </w:r>
      <w:r>
        <w:rPr>
          <w:b/>
        </w:rPr>
        <w:t>trafiksäkerheten</w:t>
      </w:r>
      <w:r>
        <w:t xml:space="preserve"> genom att införa mer digital teknik i bilar, men uttrycker även oro över att förbättringarna sker så långsamt. EESK efterlyser utvecklingen av EU-incitament för att ta itu med de höga kostnaderna (behovet av att köpa nya bilar) och den otillräckliga acceptansen av assistanssystem (komplexitet, brist på utbildning). En europeisk strategi måste utvecklas för att anpassa och ändra vårt vägnät så att helt självkörande fordon som är hundra procent säkra kan bli en framgång.</w:t>
      </w:r>
    </w:p>
    <w:p w:rsidR="005121FB" w:rsidRDefault="005121FB" w:rsidP="005121FB">
      <w:pPr>
        <w:rPr>
          <w:lang w:val="en-GB"/>
        </w:rPr>
      </w:pPr>
    </w:p>
    <w:p w:rsidR="005121FB" w:rsidRDefault="005121FB" w:rsidP="005121FB">
      <w:r>
        <w:t xml:space="preserve">Den enskilda </w:t>
      </w:r>
      <w:r>
        <w:rPr>
          <w:b/>
        </w:rPr>
        <w:t>konsumenten</w:t>
      </w:r>
      <w:r>
        <w:t>, som inte har någon yrkesmässig digital kompetens, behöver stort stöd när det gäller att använda komplexa digitala system. Öppenhet räcker inte. Det behövs därför förenklingar och standardförfaranden i hela EU för att hjälpa konsumenterna.</w:t>
      </w:r>
    </w:p>
    <w:p w:rsidR="005121FB" w:rsidRDefault="005121FB" w:rsidP="005121FB">
      <w:pPr>
        <w:rPr>
          <w:lang w:val="en-GB"/>
        </w:rPr>
      </w:pPr>
    </w:p>
    <w:p w:rsidR="005121FB" w:rsidRDefault="005121FB" w:rsidP="005121FB">
      <w:r>
        <w:t xml:space="preserve">När nya automatiseringssystem planeras inom industrin, handeln och tjänstesektorn rekommenderar EESK att objektiva vetenskapliga metoder används för att optimera och utvärdera samspelet mellan människa och maskin. Vetenskapliga metoder inom </w:t>
      </w:r>
      <w:r>
        <w:rPr>
          <w:b/>
        </w:rPr>
        <w:t>kognitiv ergonomi</w:t>
      </w:r>
      <w:r>
        <w:t xml:space="preserve"> gör det möjligt att objektivt bedöma de psykiska krav som ställs i samband med hanteringen av nya tekniska assistanssystem. Kommittén är övertygad om att digitaliseringen endast kommer att bli framgångsrik på lång sikt om människan står i centrum för utformningen.</w:t>
      </w:r>
    </w:p>
    <w:p w:rsidR="005121FB" w:rsidRDefault="005121FB" w:rsidP="005121FB">
      <w:pPr>
        <w:rPr>
          <w:lang w:val="en-GB"/>
        </w:rPr>
      </w:pPr>
    </w:p>
    <w:p w:rsidR="005121FB" w:rsidRPr="005C58CA" w:rsidRDefault="005121FB" w:rsidP="005121FB">
      <w:pPr>
        <w:tabs>
          <w:tab w:val="left" w:pos="1701"/>
        </w:tabs>
        <w:rPr>
          <w:i/>
        </w:rPr>
      </w:pPr>
      <w:r>
        <w:rPr>
          <w:b/>
          <w:i/>
        </w:rPr>
        <w:t>Kontakt:</w:t>
      </w:r>
      <w:r>
        <w:rPr>
          <w:i/>
        </w:rPr>
        <w:tab/>
        <w:t>Maja Radman</w:t>
      </w:r>
    </w:p>
    <w:p w:rsidR="005121FB" w:rsidRDefault="005121FB" w:rsidP="005121FB">
      <w:pPr>
        <w:tabs>
          <w:tab w:val="left" w:pos="1701"/>
        </w:tabs>
        <w:rPr>
          <w:i/>
        </w:rPr>
      </w:pPr>
      <w:r>
        <w:rPr>
          <w:i/>
        </w:rPr>
        <w:tab/>
        <w:t xml:space="preserve">(Tfn +32 25469051 – e-post: </w:t>
      </w:r>
      <w:hyperlink r:id="rId23" w:history="1">
        <w:r>
          <w:rPr>
            <w:rStyle w:val="Hyperlink"/>
            <w:i/>
          </w:rPr>
          <w:t>Maja.Radman@eesc.europa.eu</w:t>
        </w:r>
      </w:hyperlink>
      <w:r>
        <w:rPr>
          <w:i/>
        </w:rPr>
        <w:t>)</w:t>
      </w:r>
    </w:p>
    <w:p w:rsidR="002D537A" w:rsidRDefault="002D537A" w:rsidP="005121FB">
      <w:pPr>
        <w:tabs>
          <w:tab w:val="left" w:pos="1701"/>
        </w:tabs>
        <w:rPr>
          <w:lang w:val="en-GB"/>
        </w:rPr>
      </w:pPr>
    </w:p>
    <w:p w:rsidR="002D537A" w:rsidRPr="002D537A" w:rsidRDefault="002D537A" w:rsidP="002D537A">
      <w:pPr>
        <w:widowControl w:val="0"/>
        <w:numPr>
          <w:ilvl w:val="0"/>
          <w:numId w:val="12"/>
        </w:numPr>
        <w:overflowPunct w:val="0"/>
        <w:autoSpaceDE w:val="0"/>
        <w:autoSpaceDN w:val="0"/>
        <w:adjustRightInd w:val="0"/>
        <w:spacing w:line="240" w:lineRule="auto"/>
        <w:ind w:left="567" w:hanging="567"/>
        <w:textAlignment w:val="baseline"/>
        <w:rPr>
          <w:bCs/>
          <w:i/>
        </w:rPr>
      </w:pPr>
      <w:r>
        <w:rPr>
          <w:b/>
          <w:i/>
          <w:sz w:val="28"/>
          <w:szCs w:val="28"/>
        </w:rPr>
        <w:t>Luftfartssäkerhet efter brexit</w:t>
      </w:r>
    </w:p>
    <w:p w:rsidR="002D537A" w:rsidRDefault="002D537A" w:rsidP="002D537A">
      <w:pPr>
        <w:widowControl w:val="0"/>
        <w:spacing w:line="240" w:lineRule="auto"/>
        <w:rPr>
          <w:bCs/>
          <w:highlight w:val="green"/>
          <w:lang w:val="en-GB"/>
        </w:rPr>
      </w:pPr>
    </w:p>
    <w:p w:rsidR="002D537A" w:rsidRDefault="002D537A" w:rsidP="002D537A">
      <w:pPr>
        <w:tabs>
          <w:tab w:val="left" w:pos="2268"/>
        </w:tabs>
      </w:pPr>
      <w:r>
        <w:rPr>
          <w:b/>
        </w:rPr>
        <w:t xml:space="preserve">Huvudföredragande: </w:t>
      </w:r>
      <w:r>
        <w:rPr>
          <w:b/>
        </w:rPr>
        <w:tab/>
      </w:r>
      <w:r>
        <w:t xml:space="preserve">Thomas McDonogh (Arbetsgivargruppen – IE) </w:t>
      </w:r>
    </w:p>
    <w:p w:rsidR="002D537A" w:rsidRDefault="002D537A" w:rsidP="002D537A">
      <w:pPr>
        <w:tabs>
          <w:tab w:val="left" w:pos="1701"/>
        </w:tabs>
        <w:rPr>
          <w:b/>
          <w:lang w:val="en-GB"/>
        </w:rPr>
      </w:pPr>
    </w:p>
    <w:p w:rsidR="002D537A" w:rsidRDefault="002D537A" w:rsidP="002D537A">
      <w:pPr>
        <w:tabs>
          <w:tab w:val="left" w:pos="2268"/>
        </w:tabs>
      </w:pPr>
      <w:r>
        <w:rPr>
          <w:b/>
        </w:rPr>
        <w:t>Referens:</w:t>
      </w:r>
      <w:r>
        <w:tab/>
        <w:t>COM(2018) 894 final – 2018/0434 (COD)</w:t>
      </w:r>
    </w:p>
    <w:p w:rsidR="002D537A" w:rsidRDefault="002D537A" w:rsidP="002D537A">
      <w:pPr>
        <w:tabs>
          <w:tab w:val="left" w:pos="2268"/>
        </w:tabs>
      </w:pPr>
      <w:r>
        <w:lastRenderedPageBreak/>
        <w:tab/>
      </w:r>
      <w:r>
        <w:tab/>
        <w:t>EESC-2019-00443-00-00-AC-TRA</w:t>
      </w:r>
    </w:p>
    <w:p w:rsidR="002D537A" w:rsidRDefault="002D537A" w:rsidP="002D537A">
      <w:pPr>
        <w:tabs>
          <w:tab w:val="left" w:pos="2268"/>
        </w:tabs>
        <w:rPr>
          <w:lang w:val="en-GB"/>
        </w:rPr>
      </w:pPr>
    </w:p>
    <w:p w:rsidR="002D537A" w:rsidRDefault="002D537A" w:rsidP="002D537A">
      <w:pPr>
        <w:tabs>
          <w:tab w:val="left" w:pos="2268"/>
        </w:tabs>
      </w:pPr>
      <w:r>
        <w:rPr>
          <w:b/>
        </w:rPr>
        <w:t>Huvudpunkter:</w:t>
      </w:r>
    </w:p>
    <w:p w:rsidR="002D537A" w:rsidRDefault="002D537A" w:rsidP="002D537A">
      <w:pPr>
        <w:tabs>
          <w:tab w:val="left" w:pos="2268"/>
        </w:tabs>
        <w:rPr>
          <w:lang w:val="en-GB"/>
        </w:rPr>
      </w:pPr>
    </w:p>
    <w:p w:rsidR="005121FB" w:rsidRDefault="002D537A" w:rsidP="005121FB">
      <w:r>
        <w:t>EESK har upprepade gånger betonat att den internationella luftfarten endast kan axla sitt ansvar att bidra till hållbar ekonomisk tillväxt om högsta nivåer av säkerhet upprätthålls. En förutsättning för säkerhet är enhetliga standarder som tillämpas av alla berörda parter och övervakas av behöriga organ. Brexit kan äventyra sådana standarder och en enhetlig tillämpning i Europa vad gäller flygsäkerhet, eftersom de relevanta EU-bestämmelserna inte längre skulle kunna gälla för Förenade kungarikets luftfartsaktörer från mars 2019.</w:t>
      </w:r>
    </w:p>
    <w:p w:rsidR="002D537A" w:rsidRDefault="002D537A" w:rsidP="005121FB">
      <w:pPr>
        <w:rPr>
          <w:lang w:val="en-GB"/>
        </w:rPr>
      </w:pPr>
    </w:p>
    <w:p w:rsidR="002D537A" w:rsidRDefault="002D537A" w:rsidP="005121FB">
      <w:r>
        <w:t>Om det inte finns någon annan rättslig grund är det oklart huruvida de certifikat som utfärdats av Förenade kungariket enligt EU-lagstiftningen fortfarande kommer att vara giltiga, hur flygbolag registrerade i Förenade kungariket skulle kunna få den certifiering som krävs från och med 30 mars 2019 och hur reparations- och underhållsföretag i Förenade kungariket skulle kunna fortsätta att leverera reservdelar och tjänster med den licens som krävs enligt EU-lagstiftningen. För att lösa dessa problem och skapa en rättslig grund för att säkerställa en smidig övergång till tillämpningen av brittisk lagstiftning krävs omgående en beredskapsförordning om utträdesavtalet inte antas.</w:t>
      </w:r>
    </w:p>
    <w:p w:rsidR="002D537A" w:rsidRDefault="002D537A" w:rsidP="005121FB">
      <w:pPr>
        <w:rPr>
          <w:lang w:val="en-GB"/>
        </w:rPr>
      </w:pPr>
    </w:p>
    <w:p w:rsidR="002D537A" w:rsidRDefault="002D537A" w:rsidP="005121FB">
      <w:r>
        <w:t>Även om berörda parter i många fall kan lösa problem kopplade till certifikatens fortsatta giltighet genom att vända sig till en civil luftfartsmyndighet i EU-27 eller ansöka om ett tredjelandscertifikat utfärdat av Europeiska byrån för luftfartssäkerhet (Easa) finns det fall där det sådana åtgärder för att mildra effekterna inte kan vidtas. Dessa situationer kan bara lösas om en rättslig grund införs.</w:t>
      </w:r>
    </w:p>
    <w:p w:rsidR="002D537A" w:rsidRDefault="002D537A" w:rsidP="005121FB">
      <w:pPr>
        <w:rPr>
          <w:lang w:val="en-GB"/>
        </w:rPr>
      </w:pPr>
    </w:p>
    <w:p w:rsidR="002D537A" w:rsidRDefault="002D537A" w:rsidP="005121FB">
      <w:r>
        <w:t>EESK lovordar kommissionen för detta lagstiftningsinitiativ där man framhåller de specifika problem som skulle kunna uppstå i händelse av ett scenario utan utträde på området för luftfartssäkerhet. Förordningen kommer att förse sektorn med de nödvändiga garantierna att certifieringsprocessen inte kommer att äventyras under Förenade kungarikets övergång från en medlemsstat till status av ett tredjeland. Även resenärer garanteras att det kommer att finnas säker verksamhet även efter den 29 mars 2019.</w:t>
      </w:r>
    </w:p>
    <w:p w:rsidR="002D537A" w:rsidRDefault="002D537A" w:rsidP="005121FB">
      <w:pPr>
        <w:rPr>
          <w:lang w:val="en-GB"/>
        </w:rPr>
      </w:pPr>
    </w:p>
    <w:p w:rsidR="002D537A" w:rsidRDefault="002D537A" w:rsidP="005121FB">
      <w:r>
        <w:t>EESK uppmanar Förenade kungariket att så snart som möjligt ingå bilaterala säkerhetsavtal med EU och andra tredjeländer för att uppnå det samförstånd som krävs för ömsesidigt erkännande av certifikat som utfärdats av Förenade kungariket och dessa andra parter.</w:t>
      </w:r>
    </w:p>
    <w:p w:rsidR="002D537A" w:rsidRDefault="002D537A" w:rsidP="005121FB"/>
    <w:p w:rsidR="002D537A" w:rsidRPr="00554D34" w:rsidRDefault="002D537A" w:rsidP="002D537A">
      <w:pPr>
        <w:tabs>
          <w:tab w:val="left" w:pos="1701"/>
        </w:tabs>
        <w:rPr>
          <w:i/>
        </w:rPr>
      </w:pPr>
      <w:r>
        <w:rPr>
          <w:b/>
          <w:i/>
        </w:rPr>
        <w:t>Kontakt:</w:t>
      </w:r>
      <w:r>
        <w:rPr>
          <w:i/>
        </w:rPr>
        <w:tab/>
        <w:t>Antonio Ribeiro Pereira</w:t>
      </w:r>
    </w:p>
    <w:p w:rsidR="002D537A" w:rsidRDefault="002D537A" w:rsidP="002D537A">
      <w:pPr>
        <w:tabs>
          <w:tab w:val="left" w:pos="1701"/>
        </w:tabs>
      </w:pPr>
      <w:r>
        <w:rPr>
          <w:i/>
        </w:rPr>
        <w:tab/>
        <w:t xml:space="preserve">(Tfn +32 25469363 – e-post: </w:t>
      </w:r>
      <w:hyperlink r:id="rId24" w:history="1">
        <w:r>
          <w:rPr>
            <w:rStyle w:val="Hyperlink"/>
            <w:i/>
          </w:rPr>
          <w:t>Antonio.RibeiroPereira@eesc.europa.eu</w:t>
        </w:r>
      </w:hyperlink>
      <w:r>
        <w:rPr>
          <w:i/>
        </w:rPr>
        <w:t>)</w:t>
      </w:r>
    </w:p>
    <w:p w:rsidR="002D537A" w:rsidRDefault="002D537A" w:rsidP="005121FB">
      <w:pPr>
        <w:rPr>
          <w:lang w:val="en-GB"/>
        </w:rPr>
      </w:pPr>
    </w:p>
    <w:p w:rsidR="00A7232D" w:rsidRPr="00A7232D" w:rsidRDefault="00A7232D" w:rsidP="00A7232D">
      <w:pPr>
        <w:pStyle w:val="ListParagraph"/>
        <w:numPr>
          <w:ilvl w:val="0"/>
          <w:numId w:val="11"/>
        </w:numPr>
        <w:ind w:left="567" w:hanging="567"/>
        <w:rPr>
          <w:i/>
        </w:rPr>
      </w:pPr>
      <w:r>
        <w:rPr>
          <w:b/>
          <w:i/>
          <w:sz w:val="28"/>
          <w:szCs w:val="28"/>
        </w:rPr>
        <w:t>Säkerställa grundläggande flygförbindelser efter brexit</w:t>
      </w:r>
    </w:p>
    <w:p w:rsidR="00A7232D" w:rsidRDefault="00A7232D" w:rsidP="00A7232D">
      <w:pPr>
        <w:rPr>
          <w:i/>
          <w:lang w:val="en-GB"/>
        </w:rPr>
      </w:pPr>
    </w:p>
    <w:p w:rsidR="00A7232D" w:rsidRDefault="00A7232D" w:rsidP="00A7232D">
      <w:pPr>
        <w:tabs>
          <w:tab w:val="left" w:pos="2268"/>
        </w:tabs>
      </w:pPr>
      <w:r>
        <w:rPr>
          <w:b/>
        </w:rPr>
        <w:t xml:space="preserve">Huvudföredragande: </w:t>
      </w:r>
      <w:r>
        <w:rPr>
          <w:b/>
        </w:rPr>
        <w:tab/>
      </w:r>
      <w:r>
        <w:t>Jacek Krawczyk (Arbetsgivargruppen – PL)</w:t>
      </w:r>
    </w:p>
    <w:p w:rsidR="00584ECF" w:rsidRDefault="00584ECF" w:rsidP="00A7232D">
      <w:pPr>
        <w:rPr>
          <w:b/>
          <w:lang w:val="en-GB"/>
        </w:rPr>
      </w:pPr>
    </w:p>
    <w:p w:rsidR="00584ECF" w:rsidRDefault="00A7232D" w:rsidP="00584ECF">
      <w:pPr>
        <w:tabs>
          <w:tab w:val="left" w:pos="2268"/>
        </w:tabs>
      </w:pPr>
      <w:r>
        <w:rPr>
          <w:b/>
        </w:rPr>
        <w:t>Referens:</w:t>
      </w:r>
      <w:r>
        <w:t xml:space="preserve"> </w:t>
      </w:r>
      <w:r>
        <w:tab/>
        <w:t>COM(2018) 893 final – 2018/0433 (COD)</w:t>
      </w:r>
    </w:p>
    <w:p w:rsidR="00A7232D" w:rsidRDefault="00584ECF" w:rsidP="00584ECF">
      <w:pPr>
        <w:tabs>
          <w:tab w:val="left" w:pos="2268"/>
        </w:tabs>
      </w:pPr>
      <w:r>
        <w:tab/>
        <w:t>EESC-2019-00444-00-00-AC-TRA</w:t>
      </w:r>
    </w:p>
    <w:p w:rsidR="00584ECF" w:rsidRDefault="00584ECF" w:rsidP="00584ECF">
      <w:pPr>
        <w:tabs>
          <w:tab w:val="left" w:pos="2268"/>
        </w:tabs>
        <w:rPr>
          <w:lang w:val="en-GB"/>
        </w:rPr>
      </w:pPr>
    </w:p>
    <w:p w:rsidR="00584ECF" w:rsidRDefault="00584ECF" w:rsidP="00584ECF">
      <w:pPr>
        <w:tabs>
          <w:tab w:val="left" w:pos="2268"/>
        </w:tabs>
        <w:rPr>
          <w:b/>
        </w:rPr>
      </w:pPr>
      <w:r>
        <w:rPr>
          <w:b/>
        </w:rPr>
        <w:t>Huvudpunkter</w:t>
      </w:r>
    </w:p>
    <w:p w:rsidR="00584ECF" w:rsidRDefault="00584ECF" w:rsidP="00584ECF">
      <w:pPr>
        <w:tabs>
          <w:tab w:val="left" w:pos="2268"/>
        </w:tabs>
        <w:rPr>
          <w:lang w:val="en-GB"/>
        </w:rPr>
      </w:pPr>
    </w:p>
    <w:p w:rsidR="00584ECF" w:rsidRDefault="00584ECF" w:rsidP="00584ECF">
      <w:pPr>
        <w:tabs>
          <w:tab w:val="left" w:pos="2268"/>
        </w:tabs>
      </w:pPr>
      <w:r>
        <w:t>EESK har genomgående betonat vikten och omfattningen av det gemensamma europeiska luftfartsområdet som en katalysator för ekonomisk tillväxt och ekonomiskt välstånd och för att upprätthålla Europas konkurrenskraft internationellt. När Förenade kungarikets beslut att inte längre vara medlem i Europeiska unionen (brexit) träder i kraft kommer alla sektorer inom Förenade kungarikets ekonomi att upphöra att vara en del av den europeiska inre marknaden, och dess luftfartssektor kommer inte längre att kunna dra nytta av och bidra till det gemensamma europeiska luftfartsområdet. Om – vilket är alltmer sannolikt – ett scenario utan utträdesavtal uppstår, skulle EU:s lagstiftning, och särskilt förordning (EG) 1008/2008, upphöra att gälla för lufttrafik mellan Förenade kungariket och EU. Detta skapar rättslig osäkerhet, äventyrar stabiliteten i planeringen och utgör en fara för fortsatta förbindelser mellan Förenade kungariket och EU när det gäller tjänster.</w:t>
      </w:r>
    </w:p>
    <w:p w:rsidR="00584ECF" w:rsidRDefault="00584ECF" w:rsidP="00584ECF">
      <w:pPr>
        <w:tabs>
          <w:tab w:val="left" w:pos="2268"/>
        </w:tabs>
        <w:rPr>
          <w:lang w:val="en-GB"/>
        </w:rPr>
      </w:pPr>
    </w:p>
    <w:p w:rsidR="00584ECF" w:rsidRDefault="00584ECF" w:rsidP="00584ECF">
      <w:pPr>
        <w:tabs>
          <w:tab w:val="left" w:pos="2268"/>
        </w:tabs>
      </w:pPr>
      <w:r>
        <w:t>EESK stöder den föreslagna förordningens syfte att fungera som en beredskapsåtgärd för att säkra grundläggande flygförbindelser, med tanke på att förordningen inte kan ses som en utvidgning av förordning 1008/2008 eller ett ensidigt utträdesavtal. Rättigheterna i den föreslagna förordningen är med rätta begränsade vad gäller tid och syfte. Det är logiskt och konsekvent att begränsa de kommersiella möjligheterna till tredje och fjärde frihetstjänster mellan EU och Förenade kungariket. Ytterligare möjligheter för EU:s och Förenade kungarikets flygbolag måste bli föremål för förhandlingar om ett framtida luftfartsavtal mellan EU och Förenade kungariket.</w:t>
      </w:r>
    </w:p>
    <w:p w:rsidR="00584ECF" w:rsidRDefault="00584ECF" w:rsidP="00584ECF">
      <w:pPr>
        <w:tabs>
          <w:tab w:val="left" w:pos="2268"/>
        </w:tabs>
        <w:rPr>
          <w:lang w:val="en-GB"/>
        </w:rPr>
      </w:pPr>
    </w:p>
    <w:p w:rsidR="00584ECF" w:rsidRDefault="00584ECF" w:rsidP="00584ECF">
      <w:pPr>
        <w:tabs>
          <w:tab w:val="left" w:pos="2268"/>
        </w:tabs>
      </w:pPr>
      <w:r>
        <w:t>Mot bakgrund av de ekonomiska och sociala konsekvenser detta värstafallscenario skulle få är det mycket viktigt att kommissionen utvecklar en transparent och noggrann övervakningsmekanism. En sådan mekanism bör också föreskriva ett nära samarbete mellan kommissionen, arbetsmarknadens parter och det civila samhällets organisationer före och under övergångsperioden och medan man förhandlar om ett nytt luftfartsavtal.</w:t>
      </w:r>
    </w:p>
    <w:p w:rsidR="00584ECF" w:rsidRPr="00584ECF" w:rsidRDefault="00584ECF" w:rsidP="00584ECF">
      <w:pPr>
        <w:tabs>
          <w:tab w:val="left" w:pos="2268"/>
        </w:tabs>
        <w:rPr>
          <w:lang w:val="en-GB"/>
        </w:rPr>
      </w:pPr>
    </w:p>
    <w:p w:rsidR="00584ECF" w:rsidRPr="00554D34" w:rsidRDefault="00584ECF" w:rsidP="00584ECF">
      <w:pPr>
        <w:tabs>
          <w:tab w:val="left" w:pos="1701"/>
        </w:tabs>
        <w:rPr>
          <w:i/>
        </w:rPr>
      </w:pPr>
      <w:r>
        <w:rPr>
          <w:b/>
          <w:i/>
        </w:rPr>
        <w:t>Kontakt:</w:t>
      </w:r>
      <w:r>
        <w:rPr>
          <w:i/>
        </w:rPr>
        <w:tab/>
        <w:t>Kristian Krieger</w:t>
      </w:r>
    </w:p>
    <w:p w:rsidR="00A7232D" w:rsidRDefault="00584ECF" w:rsidP="00584ECF">
      <w:pPr>
        <w:tabs>
          <w:tab w:val="left" w:pos="1701"/>
        </w:tabs>
        <w:rPr>
          <w:i/>
        </w:rPr>
      </w:pPr>
      <w:r>
        <w:rPr>
          <w:i/>
        </w:rPr>
        <w:tab/>
        <w:t xml:space="preserve">(Tfn +32 25468921 – e-post: </w:t>
      </w:r>
      <w:hyperlink r:id="rId25" w:history="1">
        <w:r>
          <w:rPr>
            <w:rStyle w:val="Hyperlink"/>
            <w:i/>
          </w:rPr>
          <w:t>Kristian.Krieger@eesc.europa.eu</w:t>
        </w:r>
      </w:hyperlink>
      <w:r>
        <w:rPr>
          <w:i/>
        </w:rPr>
        <w:t>)</w:t>
      </w:r>
    </w:p>
    <w:p w:rsidR="00584ECF" w:rsidRDefault="00584ECF" w:rsidP="00584ECF">
      <w:pPr>
        <w:tabs>
          <w:tab w:val="left" w:pos="1701"/>
        </w:tabs>
        <w:rPr>
          <w:i/>
          <w:lang w:val="en-GB"/>
        </w:rPr>
      </w:pPr>
    </w:p>
    <w:p w:rsidR="00584ECF" w:rsidRPr="00584ECF" w:rsidRDefault="00584ECF" w:rsidP="00584ECF">
      <w:pPr>
        <w:numPr>
          <w:ilvl w:val="0"/>
          <w:numId w:val="21"/>
        </w:numPr>
        <w:ind w:left="567" w:hanging="567"/>
        <w:contextualSpacing/>
        <w:rPr>
          <w:b/>
          <w:bCs/>
          <w:i/>
          <w:iCs/>
          <w:sz w:val="28"/>
          <w:szCs w:val="28"/>
        </w:rPr>
      </w:pPr>
      <w:r>
        <w:rPr>
          <w:b/>
          <w:bCs/>
          <w:i/>
          <w:iCs/>
          <w:sz w:val="28"/>
          <w:szCs w:val="28"/>
        </w:rPr>
        <w:t>Säkerställa grundläggande förbindelser vad gäller godstransporter på väg efter brexit</w:t>
      </w:r>
    </w:p>
    <w:p w:rsidR="00584ECF" w:rsidRPr="00603489" w:rsidRDefault="00584ECF" w:rsidP="00584ECF">
      <w:pPr>
        <w:rPr>
          <w:lang w:val="en-GB"/>
        </w:rPr>
      </w:pPr>
    </w:p>
    <w:p w:rsidR="00584ECF" w:rsidRDefault="00584ECF" w:rsidP="00584ECF">
      <w:pPr>
        <w:tabs>
          <w:tab w:val="left" w:pos="2268"/>
        </w:tabs>
      </w:pPr>
      <w:r>
        <w:rPr>
          <w:b/>
        </w:rPr>
        <w:t xml:space="preserve">Huvudföredragande: </w:t>
      </w:r>
      <w:r>
        <w:rPr>
          <w:b/>
        </w:rPr>
        <w:tab/>
      </w:r>
      <w:r>
        <w:t>Raymond Hencks (Arbetstagargruppen – LU)</w:t>
      </w:r>
    </w:p>
    <w:p w:rsidR="00584ECF" w:rsidRDefault="00584ECF" w:rsidP="00584ECF">
      <w:pPr>
        <w:rPr>
          <w:b/>
          <w:bCs/>
          <w:kern w:val="28"/>
          <w:lang w:val="en-GB"/>
        </w:rPr>
      </w:pPr>
    </w:p>
    <w:p w:rsidR="00584ECF" w:rsidRDefault="00584ECF" w:rsidP="00584ECF">
      <w:pPr>
        <w:tabs>
          <w:tab w:val="left" w:pos="2268"/>
        </w:tabs>
      </w:pPr>
      <w:r>
        <w:rPr>
          <w:b/>
          <w:bCs/>
        </w:rPr>
        <w:t>Referens:  </w:t>
      </w:r>
      <w:r>
        <w:rPr>
          <w:b/>
          <w:bCs/>
        </w:rPr>
        <w:tab/>
      </w:r>
      <w:r>
        <w:t xml:space="preserve">COM(2018) 895 final – 2018/0436 (COD) </w:t>
      </w:r>
    </w:p>
    <w:p w:rsidR="00584ECF" w:rsidRPr="00603489" w:rsidRDefault="00584ECF" w:rsidP="00584ECF">
      <w:pPr>
        <w:tabs>
          <w:tab w:val="left" w:pos="2268"/>
        </w:tabs>
        <w:rPr>
          <w:kern w:val="28"/>
        </w:rPr>
      </w:pPr>
      <w:r>
        <w:tab/>
        <w:t>EESC-2019-00450-00-00-AC-TRA</w:t>
      </w:r>
    </w:p>
    <w:p w:rsidR="00584ECF" w:rsidRPr="00603489" w:rsidRDefault="00584ECF" w:rsidP="00584ECF">
      <w:pPr>
        <w:rPr>
          <w:rFonts w:eastAsia="Calibri"/>
          <w:lang w:val="en-GB"/>
        </w:rPr>
      </w:pPr>
    </w:p>
    <w:p w:rsidR="00584ECF" w:rsidRDefault="00584ECF" w:rsidP="00584ECF">
      <w:pPr>
        <w:tabs>
          <w:tab w:val="left" w:pos="1701"/>
        </w:tabs>
        <w:rPr>
          <w:b/>
          <w:bCs/>
        </w:rPr>
      </w:pPr>
      <w:r>
        <w:rPr>
          <w:b/>
          <w:bCs/>
        </w:rPr>
        <w:t>Huvudpunkter</w:t>
      </w:r>
    </w:p>
    <w:p w:rsidR="00584ECF" w:rsidRDefault="00584ECF" w:rsidP="00584ECF">
      <w:pPr>
        <w:tabs>
          <w:tab w:val="left" w:pos="1701"/>
        </w:tabs>
        <w:rPr>
          <w:b/>
          <w:bCs/>
          <w:lang w:val="en-GB"/>
        </w:rPr>
      </w:pPr>
    </w:p>
    <w:p w:rsidR="00584ECF" w:rsidRDefault="00584ECF" w:rsidP="00584ECF">
      <w:pPr>
        <w:tabs>
          <w:tab w:val="left" w:pos="1701"/>
        </w:tabs>
      </w:pPr>
      <w:r>
        <w:t>EESK stöder kommissionens insatser som syftar till att tillfälligt säkerställa grundläggande förbindelser för internationell transport av tunga fordon på väg mellan EU och Förenade kungariket och vice versa.</w:t>
      </w:r>
    </w:p>
    <w:p w:rsidR="00584ECF" w:rsidRDefault="00584ECF" w:rsidP="00584ECF">
      <w:pPr>
        <w:tabs>
          <w:tab w:val="left" w:pos="1701"/>
        </w:tabs>
        <w:rPr>
          <w:lang w:val="en-GB"/>
        </w:rPr>
      </w:pPr>
    </w:p>
    <w:p w:rsidR="00584ECF" w:rsidRDefault="00584ECF" w:rsidP="00584ECF">
      <w:pPr>
        <w:tabs>
          <w:tab w:val="left" w:pos="1701"/>
        </w:tabs>
      </w:pPr>
      <w:r>
        <w:t xml:space="preserve">EESK välkomnar att det aktuella förslaget till förordning ger brittiska vägtransportörer rätt att, till och med den 31 december 2019, utföra bilateral transport mellan avrese- och bestämmelseorter i Förenade </w:t>
      </w:r>
      <w:r>
        <w:lastRenderedPageBreak/>
        <w:t>kungariket respektive Europeiska unionen på de villkor som anges i förslaget och i synnerhet under förutsättning att unionens transportörer får röra sig på Förenade kungarikets territorium på lika villkor, däribland rättvisa och lika konkurrensvillkor och utan att diskrimineras.</w:t>
      </w:r>
    </w:p>
    <w:p w:rsidR="00BE197A" w:rsidRDefault="00BE197A" w:rsidP="00584ECF">
      <w:pPr>
        <w:tabs>
          <w:tab w:val="left" w:pos="1701"/>
        </w:tabs>
        <w:rPr>
          <w:lang w:val="en-GB"/>
        </w:rPr>
      </w:pPr>
    </w:p>
    <w:p w:rsidR="00BE197A" w:rsidRDefault="00BE197A" w:rsidP="00584ECF">
      <w:pPr>
        <w:tabs>
          <w:tab w:val="left" w:pos="1701"/>
        </w:tabs>
      </w:pPr>
      <w:r>
        <w:t>I händelse av att Förenade kungariket skulle lämna EU utan avtal uppmanar EESK Förenade kungariket och EU att förhandla och, innan ovannämnda övergångsperiod passerat, genom en gemensam överenskommelse inrätta grundläggande förbindelser inom ramen för Europeiska transportministerkonferensens (CEMT) system och framtida föreskrifter om förbindelserna mellan Förenade kungariket och Europeiska unionen.</w:t>
      </w:r>
    </w:p>
    <w:p w:rsidR="00BE197A" w:rsidRDefault="00BE197A" w:rsidP="00584ECF">
      <w:pPr>
        <w:tabs>
          <w:tab w:val="left" w:pos="1701"/>
        </w:tabs>
        <w:rPr>
          <w:lang w:val="en-GB"/>
        </w:rPr>
      </w:pPr>
    </w:p>
    <w:p w:rsidR="00BE197A" w:rsidRPr="00554D34" w:rsidRDefault="00BE197A" w:rsidP="00BE197A">
      <w:pPr>
        <w:tabs>
          <w:tab w:val="left" w:pos="1701"/>
        </w:tabs>
        <w:rPr>
          <w:i/>
        </w:rPr>
      </w:pPr>
      <w:r>
        <w:rPr>
          <w:b/>
          <w:i/>
        </w:rPr>
        <w:t>Kontakt:</w:t>
      </w:r>
      <w:r>
        <w:rPr>
          <w:i/>
        </w:rPr>
        <w:tab/>
        <w:t>Antonio Ribeiro Pereira</w:t>
      </w:r>
    </w:p>
    <w:p w:rsidR="00BE197A" w:rsidRDefault="00BE197A" w:rsidP="00BE197A">
      <w:pPr>
        <w:tabs>
          <w:tab w:val="left" w:pos="1701"/>
        </w:tabs>
        <w:rPr>
          <w:b/>
          <w:bCs/>
        </w:rPr>
      </w:pPr>
      <w:r>
        <w:rPr>
          <w:i/>
        </w:rPr>
        <w:tab/>
        <w:t xml:space="preserve">(Tfn +32 25469363 – e-post: </w:t>
      </w:r>
      <w:hyperlink r:id="rId26" w:history="1">
        <w:r>
          <w:rPr>
            <w:rStyle w:val="Hyperlink"/>
            <w:i/>
          </w:rPr>
          <w:t>Antonio.RibeiroPereira@eesc.europa.eu</w:t>
        </w:r>
      </w:hyperlink>
      <w:r>
        <w:rPr>
          <w:i/>
        </w:rPr>
        <w:t>)</w:t>
      </w:r>
    </w:p>
    <w:p w:rsidR="00D72EB4" w:rsidRDefault="00D72EB4">
      <w:pPr>
        <w:spacing w:line="240" w:lineRule="auto"/>
        <w:jc w:val="left"/>
      </w:pPr>
      <w:r>
        <w:br w:type="page"/>
      </w:r>
    </w:p>
    <w:p w:rsidR="00314C5F" w:rsidRPr="00F17107" w:rsidRDefault="00E46EC4" w:rsidP="00E46EC4">
      <w:pPr>
        <w:pStyle w:val="Heading1"/>
        <w:rPr>
          <w:b/>
        </w:rPr>
      </w:pPr>
      <w:r>
        <w:lastRenderedPageBreak/>
        <w:tab/>
      </w:r>
      <w:bookmarkStart w:id="3" w:name="_Toc2173206"/>
      <w:r>
        <w:rPr>
          <w:b/>
        </w:rPr>
        <w:t>Jordbruk, landsbygdsutveckling och miljö</w:t>
      </w:r>
      <w:bookmarkEnd w:id="3"/>
    </w:p>
    <w:p w:rsidR="00954C6C" w:rsidRDefault="00954C6C">
      <w:pPr>
        <w:spacing w:line="240" w:lineRule="auto"/>
        <w:jc w:val="left"/>
        <w:rPr>
          <w:iCs/>
          <w:lang w:val="en-GB"/>
        </w:rPr>
      </w:pPr>
    </w:p>
    <w:p w:rsidR="00D23E3E" w:rsidRPr="00D23E3E" w:rsidRDefault="00D23E3E" w:rsidP="00D23E3E">
      <w:pPr>
        <w:pStyle w:val="ListParagraph"/>
        <w:numPr>
          <w:ilvl w:val="0"/>
          <w:numId w:val="22"/>
        </w:numPr>
        <w:spacing w:line="240" w:lineRule="auto"/>
        <w:ind w:left="567" w:hanging="567"/>
        <w:jc w:val="left"/>
        <w:rPr>
          <w:iCs/>
        </w:rPr>
      </w:pPr>
      <w:r>
        <w:rPr>
          <w:b/>
          <w:bCs/>
          <w:i/>
          <w:iCs/>
          <w:sz w:val="28"/>
          <w:szCs w:val="28"/>
        </w:rPr>
        <w:t>Att främja hälsosamma och hållbara kostvanor i EU</w:t>
      </w:r>
    </w:p>
    <w:p w:rsidR="00D23E3E" w:rsidRDefault="00D23E3E" w:rsidP="00D23E3E">
      <w:pPr>
        <w:spacing w:line="240" w:lineRule="auto"/>
        <w:jc w:val="left"/>
        <w:rPr>
          <w:iCs/>
          <w:lang w:val="en-GB"/>
        </w:rPr>
      </w:pPr>
    </w:p>
    <w:p w:rsidR="00D23E3E" w:rsidRPr="001625AD" w:rsidRDefault="00D23E3E" w:rsidP="00D23E3E">
      <w:r>
        <w:rPr>
          <w:b/>
        </w:rPr>
        <w:t>Föredragande:</w:t>
      </w:r>
      <w:r>
        <w:tab/>
        <w:t>Peter Schmidt (Arbetstagargruppen – DE)</w:t>
      </w:r>
    </w:p>
    <w:p w:rsidR="00D23E3E" w:rsidRPr="001625AD" w:rsidRDefault="00D23E3E" w:rsidP="00D23E3E">
      <w:pPr>
        <w:rPr>
          <w:lang w:val="en-GB"/>
        </w:rPr>
      </w:pPr>
    </w:p>
    <w:p w:rsidR="00D23E3E" w:rsidRDefault="00D23E3E" w:rsidP="00D23E3E">
      <w:pPr>
        <w:ind w:left="-5"/>
        <w:rPr>
          <w:b/>
          <w:bCs/>
        </w:rPr>
      </w:pPr>
      <w:r>
        <w:rPr>
          <w:b/>
          <w:bCs/>
        </w:rPr>
        <w:t>Referens:</w:t>
      </w:r>
      <w:r>
        <w:rPr>
          <w:b/>
          <w:bCs/>
        </w:rPr>
        <w:tab/>
      </w:r>
      <w:r>
        <w:rPr>
          <w:b/>
          <w:bCs/>
        </w:rPr>
        <w:tab/>
      </w:r>
      <w:r>
        <w:t>Yttrande på eget initiativ</w:t>
      </w:r>
    </w:p>
    <w:p w:rsidR="00D23E3E" w:rsidRPr="0062769C" w:rsidRDefault="00D23E3E" w:rsidP="00D23E3E">
      <w:pPr>
        <w:tabs>
          <w:tab w:val="left" w:pos="1701"/>
        </w:tabs>
        <w:ind w:left="-5"/>
        <w:rPr>
          <w:bCs/>
        </w:rPr>
      </w:pPr>
      <w:r>
        <w:tab/>
        <w:t>EESC-2018-04568-00-00-AC-TRA</w:t>
      </w:r>
    </w:p>
    <w:p w:rsidR="00D23E3E" w:rsidRPr="00FC3741" w:rsidRDefault="00D23E3E" w:rsidP="00D23E3E">
      <w:pPr>
        <w:ind w:left="-5"/>
        <w:rPr>
          <w:lang w:val="en-GB"/>
        </w:rPr>
      </w:pPr>
    </w:p>
    <w:p w:rsidR="00D23E3E" w:rsidRDefault="00D23E3E" w:rsidP="00D23E3E">
      <w:pPr>
        <w:spacing w:line="240" w:lineRule="auto"/>
        <w:jc w:val="left"/>
        <w:rPr>
          <w:iCs/>
        </w:rPr>
      </w:pPr>
      <w:r>
        <w:rPr>
          <w:b/>
        </w:rPr>
        <w:t>Huvudpunkter</w:t>
      </w:r>
    </w:p>
    <w:p w:rsidR="00D23E3E" w:rsidRDefault="00D23E3E">
      <w:pPr>
        <w:spacing w:line="240" w:lineRule="auto"/>
        <w:jc w:val="left"/>
        <w:rPr>
          <w:iCs/>
          <w:lang w:val="en-GB"/>
        </w:rPr>
      </w:pPr>
    </w:p>
    <w:p w:rsidR="00D40C42" w:rsidRPr="009A77CB" w:rsidRDefault="00D40C42" w:rsidP="00D40C42">
      <w:r>
        <w:t>I EESK:s yttrande om ”En heltäckande livsmedelspolitik i EU”, som antogs i december 2017, förordades en mer integrerad strategi för livsmedel i EU. Hälsosamma och hållbara kostvanor utgör en central ”pelare” i en sådan livsmedelspolitik, eftersom vi har ett brådskande behov av att ge våra kostvanor en inriktning som gör att de inte skadar, utan i stället förbättrar såväl våra ekosystems välmående som allmänhetens hälsa och livskraften i landsbygdsområdena.</w:t>
      </w:r>
    </w:p>
    <w:p w:rsidR="00D40C42" w:rsidRPr="009A77CB" w:rsidRDefault="00D40C42" w:rsidP="00D40C42">
      <w:pPr>
        <w:rPr>
          <w:lang w:val="en-GB"/>
        </w:rPr>
      </w:pPr>
    </w:p>
    <w:p w:rsidR="00D40C42" w:rsidRPr="009A77CB" w:rsidRDefault="00D40C42" w:rsidP="00D40C42">
      <w:r>
        <w:t>Tiden är mogen för att påskynda ett paradigmskifte, och det finns tydliga och allt fler belägg för detta. EESK understryker att det nu finns en politisk drivkraft för detta, som exempelvis FN:s årtionde för åtgärder på nutritionsområdet, genomförandet av FN:s mål för hållbar utveckling, Parisavtalet om klimatförändringar och de nya förslagen om den gemensamma jordbrukspolitikens framtid. Det finns även allt fler vetenskapliga belägg för det brådskande behovet av att förändra Europas och världens livsmedelssystem, exempelvis i rapporter från FN:s klimatpanel och EAT-Lancet-kommissionen.</w:t>
      </w:r>
    </w:p>
    <w:p w:rsidR="00D40C42" w:rsidRPr="009A77CB" w:rsidRDefault="00D40C42" w:rsidP="00D40C42">
      <w:pPr>
        <w:rPr>
          <w:lang w:val="en-GB"/>
        </w:rPr>
      </w:pPr>
    </w:p>
    <w:p w:rsidR="00D40C42" w:rsidRPr="009A77CB" w:rsidRDefault="00D40C42" w:rsidP="00D40C42">
      <w:r>
        <w:t>EESK erkänner och stöder kommissionens befintliga initiativ för att främja hälsosamma och hållbara kostvanor, t.ex. införandet av bestämmelser i det senaste förslaget till reformen av den gemensamma jordbrukspolitiken om att ”se till att EU:s jordbruk svarar bättre på samhällets krav på livsmedel och hälsa, inbegripet säkra, näringsrika och hållbara livsmedel, matsvinn samt djurskydd”. Dock saknas en samordnad strategi för dessa initiativ.</w:t>
      </w:r>
    </w:p>
    <w:p w:rsidR="00D40C42" w:rsidRPr="009A77CB" w:rsidRDefault="00D40C42" w:rsidP="00D40C42">
      <w:pPr>
        <w:rPr>
          <w:lang w:val="en-GB"/>
        </w:rPr>
      </w:pPr>
    </w:p>
    <w:p w:rsidR="00D40C42" w:rsidRPr="009A77CB" w:rsidRDefault="00D40C42" w:rsidP="00D40C42">
      <w:r>
        <w:t xml:space="preserve">Komplexiteten i kopplingen mellan livsmedel, hälsa, miljö och samhälle kräver en mer omfattande strategi för kostvanor som inte enbart har anknytning till konsumenternas beteende. För att uppnå samstämmighet och ett gemensamt ändamål anser EESK att det bör utarbetas nya riktlinjer för en hållbar kost som tar hänsyn till kulturella och geografiska skillnader mellan och inom medlemsstaterna. </w:t>
      </w:r>
    </w:p>
    <w:p w:rsidR="00D40C42" w:rsidRPr="009A77CB" w:rsidRDefault="00D40C42" w:rsidP="00D40C42">
      <w:pPr>
        <w:rPr>
          <w:lang w:val="en-GB"/>
        </w:rPr>
      </w:pPr>
    </w:p>
    <w:p w:rsidR="00D40C42" w:rsidRPr="009A77CB" w:rsidRDefault="00D40C42" w:rsidP="00D40C42">
      <w:r>
        <w:t>Nya riktlinjer för en hållbar kost skulle bidra till en tydligare inriktning för jordbrukare, bearbetningsföretag, återförsäljare och livsmedelstjänster. Jordbruks- och livsmedelssystemet skulle dra fördel av en ny ”ram” för att producera, bearbeta, distribuera och sälja hälsosammare och hållbarare livsmedel till ett mer rättvist pris.</w:t>
      </w:r>
    </w:p>
    <w:p w:rsidR="00D40C42" w:rsidRPr="009A77CB" w:rsidRDefault="00D40C42" w:rsidP="00D40C42">
      <w:pPr>
        <w:rPr>
          <w:lang w:val="en-GB"/>
        </w:rPr>
      </w:pPr>
    </w:p>
    <w:p w:rsidR="00D40C42" w:rsidRPr="009A77CB" w:rsidRDefault="00D40C42" w:rsidP="00D40C42">
      <w:r>
        <w:t>EESK anser att det bör inrättas en expertgrupp som kan utarbeta EU-omfattande riktlinjer för en hållbar kost inom två år. Denna bör omfatta relevanta bransch- och forskningsorgan från områden som nutrition, folkhälsa, livsmedel, miljö och samhällsvetenskap. EESK är redo att bidra till arbetet i en sådan expertgrupp genom att förmedla input från det civila samhällets organisationer, i synnerhet via den tillfälliga studiegruppen om hållbara livsmedelssystem.</w:t>
      </w:r>
    </w:p>
    <w:p w:rsidR="00D40C42" w:rsidRPr="009A77CB" w:rsidRDefault="00D40C42" w:rsidP="00D40C42">
      <w:pPr>
        <w:rPr>
          <w:lang w:val="en-GB"/>
        </w:rPr>
      </w:pPr>
    </w:p>
    <w:p w:rsidR="00D40C42" w:rsidRPr="009A77CB" w:rsidRDefault="00D40C42" w:rsidP="00D40C42">
      <w:r>
        <w:t>EESK upprepar att det är viktigt att investera i utbildning om hållbara kostvanor från tidig ålder för att hjälpa unga att uppskatta ”värdet av mat”. Särskild uppmärksamhet måste riktas mot utsatta grupper, särskilt låginkomsttagare.</w:t>
      </w:r>
    </w:p>
    <w:p w:rsidR="00D40C42" w:rsidRPr="009A77CB" w:rsidRDefault="00D40C42" w:rsidP="00D40C42">
      <w:pPr>
        <w:rPr>
          <w:lang w:val="en-GB"/>
        </w:rPr>
      </w:pPr>
    </w:p>
    <w:p w:rsidR="00D40C42" w:rsidRDefault="00D40C42" w:rsidP="00D40C42">
      <w:r>
        <w:t>Förutom att hjälpa handelssektorn skulle riktlinjerna för en hållbar kost även tillhandahålla gemensamma och tydliga kriterier för användning vid offentlig up</w:t>
      </w:r>
      <w:r w:rsidR="00890945">
        <w:t>phandling. Livsmedlen bör stå i </w:t>
      </w:r>
      <w:r>
        <w:t>centrum för en miljöanpassad offentlig upphandling (MOU) i Europa. I detta sammanhang anser EESK att översynen av EU:s MOU-kriterier för livsmedels- och cateringtjänster skyndsamt bör antas. Konkurrensrätten bör inte utgöra ett hinder för utvecklingen av riktlinjer för en hållbar kost. Reglerna bör anpassas för att hjälpa den lokala ekonomin och inte lägga hinder i vägen för hållbarheten.</w:t>
      </w:r>
    </w:p>
    <w:p w:rsidR="00D40C42" w:rsidRDefault="00D40C42" w:rsidP="00D40C42">
      <w:pPr>
        <w:rPr>
          <w:b/>
          <w:bCs/>
          <w:i/>
          <w:iCs/>
          <w:lang w:val="en-GB"/>
        </w:rPr>
      </w:pPr>
    </w:p>
    <w:p w:rsidR="00D40C42" w:rsidRPr="00EC3E9A" w:rsidRDefault="00D40C42" w:rsidP="00D40C42">
      <w:pPr>
        <w:tabs>
          <w:tab w:val="left" w:pos="1701"/>
        </w:tabs>
        <w:rPr>
          <w:i/>
          <w:iCs/>
        </w:rPr>
      </w:pPr>
      <w:r>
        <w:rPr>
          <w:b/>
          <w:bCs/>
          <w:i/>
          <w:iCs/>
        </w:rPr>
        <w:t>Kontakt:</w:t>
      </w:r>
      <w:r>
        <w:rPr>
          <w:b/>
          <w:bCs/>
          <w:i/>
          <w:iCs/>
        </w:rPr>
        <w:tab/>
      </w:r>
      <w:r>
        <w:rPr>
          <w:i/>
        </w:rPr>
        <w:t xml:space="preserve">Monica Guarinoni </w:t>
      </w:r>
    </w:p>
    <w:p w:rsidR="00D40C42" w:rsidRDefault="00D40C42" w:rsidP="00D40C42">
      <w:pPr>
        <w:tabs>
          <w:tab w:val="left" w:pos="1701"/>
        </w:tabs>
        <w:rPr>
          <w:i/>
          <w:iCs/>
        </w:rPr>
      </w:pPr>
      <w:r>
        <w:rPr>
          <w:i/>
          <w:iCs/>
        </w:rPr>
        <w:tab/>
        <w:t>(Tfn +32 25468127 – e-post:</w:t>
      </w:r>
      <w:r>
        <w:t xml:space="preserve"> </w:t>
      </w:r>
      <w:hyperlink r:id="rId27" w:history="1">
        <w:r>
          <w:rPr>
            <w:rStyle w:val="Hyperlink"/>
            <w:i/>
            <w:iCs/>
          </w:rPr>
          <w:t>Monica.Guarinoni@eesc.europa.eu</w:t>
        </w:r>
      </w:hyperlink>
      <w:r>
        <w:t>)</w:t>
      </w:r>
    </w:p>
    <w:p w:rsidR="00D23E3E" w:rsidRDefault="00D23E3E">
      <w:pPr>
        <w:spacing w:line="240" w:lineRule="auto"/>
        <w:jc w:val="left"/>
        <w:rPr>
          <w:iCs/>
          <w:lang w:val="en-GB"/>
        </w:rPr>
      </w:pPr>
    </w:p>
    <w:p w:rsidR="006B1734" w:rsidRPr="006B1734" w:rsidRDefault="006B1734" w:rsidP="006B1734">
      <w:pPr>
        <w:pStyle w:val="ListParagraph"/>
        <w:numPr>
          <w:ilvl w:val="0"/>
          <w:numId w:val="21"/>
        </w:numPr>
        <w:spacing w:line="240" w:lineRule="auto"/>
        <w:ind w:left="567" w:hanging="567"/>
        <w:jc w:val="left"/>
        <w:rPr>
          <w:iCs/>
        </w:rPr>
      </w:pPr>
      <w:r>
        <w:rPr>
          <w:b/>
          <w:bCs/>
          <w:i/>
          <w:iCs/>
          <w:sz w:val="28"/>
          <w:szCs w:val="28"/>
        </w:rPr>
        <w:t>Regler som rör EHFF efter brexit</w:t>
      </w:r>
    </w:p>
    <w:p w:rsidR="006B1734" w:rsidRDefault="006B1734" w:rsidP="006B1734">
      <w:pPr>
        <w:spacing w:line="240" w:lineRule="auto"/>
        <w:jc w:val="left"/>
        <w:rPr>
          <w:iCs/>
          <w:lang w:val="en-GB"/>
        </w:rPr>
      </w:pPr>
    </w:p>
    <w:p w:rsidR="006B1734" w:rsidRPr="006B1734" w:rsidRDefault="006B1734" w:rsidP="006B1734">
      <w:pPr>
        <w:spacing w:line="240" w:lineRule="auto"/>
        <w:jc w:val="left"/>
        <w:rPr>
          <w:b/>
          <w:iCs/>
        </w:rPr>
      </w:pPr>
      <w:r>
        <w:rPr>
          <w:b/>
          <w:iCs/>
        </w:rPr>
        <w:t>Kategori C-yttrande</w:t>
      </w:r>
    </w:p>
    <w:p w:rsidR="006B1734" w:rsidRDefault="006B1734">
      <w:pPr>
        <w:spacing w:line="240" w:lineRule="auto"/>
        <w:jc w:val="left"/>
        <w:rPr>
          <w:iCs/>
          <w:lang w:val="en-GB"/>
        </w:rPr>
      </w:pPr>
    </w:p>
    <w:p w:rsidR="0017333F" w:rsidRDefault="0017333F" w:rsidP="0017333F">
      <w:pPr>
        <w:ind w:left="-5"/>
        <w:rPr>
          <w:b/>
          <w:bCs/>
        </w:rPr>
      </w:pPr>
      <w:r>
        <w:rPr>
          <w:b/>
          <w:bCs/>
        </w:rPr>
        <w:t>Referens:</w:t>
      </w:r>
      <w:r>
        <w:rPr>
          <w:b/>
          <w:bCs/>
        </w:rPr>
        <w:tab/>
      </w:r>
      <w:r>
        <w:rPr>
          <w:b/>
          <w:bCs/>
        </w:rPr>
        <w:tab/>
      </w:r>
      <w:r>
        <w:t>COM(2019) 48 final – 2019/0009 (COD)</w:t>
      </w:r>
    </w:p>
    <w:p w:rsidR="0017333F" w:rsidRPr="00FC3741" w:rsidRDefault="0017333F" w:rsidP="00E30ADD">
      <w:pPr>
        <w:ind w:left="1701"/>
      </w:pPr>
      <w:r>
        <w:t>EESC-2019-00680-00-00-AC-TRA</w:t>
      </w:r>
    </w:p>
    <w:p w:rsidR="0017333F" w:rsidRDefault="0017333F" w:rsidP="0017333F">
      <w:pPr>
        <w:rPr>
          <w:b/>
        </w:rPr>
      </w:pPr>
      <w:r>
        <w:rPr>
          <w:b/>
        </w:rPr>
        <w:t>Huvudpunkter</w:t>
      </w:r>
    </w:p>
    <w:p w:rsidR="0017333F" w:rsidRDefault="0017333F" w:rsidP="0017333F">
      <w:pPr>
        <w:rPr>
          <w:b/>
          <w:iCs/>
          <w:highlight w:val="yellow"/>
          <w:u w:val="single"/>
          <w:lang w:val="en-GB"/>
        </w:rPr>
      </w:pPr>
    </w:p>
    <w:p w:rsidR="0017333F" w:rsidRDefault="0017333F" w:rsidP="0017333F">
      <w:pPr>
        <w:pStyle w:val="Heading2"/>
        <w:numPr>
          <w:ilvl w:val="0"/>
          <w:numId w:val="0"/>
        </w:numPr>
      </w:pPr>
      <w:r>
        <w:t>Eftersom kommittén till fullo stöder förslaget, som inte föranleder några särskilda kommentarer, beslutade EESK att avge ett positivt yttrande om förslaget.</w:t>
      </w:r>
    </w:p>
    <w:p w:rsidR="0017333F" w:rsidRDefault="0017333F" w:rsidP="0017333F">
      <w:pPr>
        <w:ind w:left="-567"/>
        <w:rPr>
          <w:b/>
          <w:iCs/>
          <w:highlight w:val="yellow"/>
          <w:u w:val="single"/>
          <w:lang w:val="en-GB"/>
        </w:rPr>
      </w:pPr>
    </w:p>
    <w:p w:rsidR="0017333F" w:rsidRPr="00EC3E9A" w:rsidRDefault="0017333F" w:rsidP="0017333F">
      <w:pPr>
        <w:tabs>
          <w:tab w:val="left" w:pos="1701"/>
        </w:tabs>
        <w:rPr>
          <w:i/>
          <w:iCs/>
        </w:rPr>
      </w:pPr>
      <w:r>
        <w:rPr>
          <w:b/>
          <w:bCs/>
          <w:i/>
          <w:iCs/>
        </w:rPr>
        <w:t>Kontakt:</w:t>
      </w:r>
      <w:r>
        <w:rPr>
          <w:b/>
          <w:bCs/>
          <w:i/>
          <w:iCs/>
        </w:rPr>
        <w:tab/>
      </w:r>
      <w:r>
        <w:rPr>
          <w:i/>
        </w:rPr>
        <w:t xml:space="preserve">Arturo Iniguez </w:t>
      </w:r>
    </w:p>
    <w:p w:rsidR="0017333F" w:rsidRDefault="0017333F" w:rsidP="0017333F">
      <w:pPr>
        <w:tabs>
          <w:tab w:val="left" w:pos="1701"/>
        </w:tabs>
        <w:spacing w:line="240" w:lineRule="auto"/>
        <w:jc w:val="left"/>
        <w:rPr>
          <w:i/>
          <w:iCs/>
        </w:rPr>
      </w:pPr>
      <w:r>
        <w:rPr>
          <w:i/>
          <w:iCs/>
        </w:rPr>
        <w:tab/>
        <w:t>(Tfn +32 25468768 – e-post</w:t>
      </w:r>
      <w:r>
        <w:rPr>
          <w:i/>
          <w:iCs/>
          <w:color w:val="0000FF"/>
          <w:u w:val="single"/>
        </w:rPr>
        <w:t xml:space="preserve"> </w:t>
      </w:r>
      <w:hyperlink r:id="rId28" w:history="1">
        <w:r>
          <w:rPr>
            <w:rStyle w:val="Hyperlink"/>
            <w:i/>
            <w:iCs/>
          </w:rPr>
          <w:t>Arturo.Iniguez@eesc.europa.eu</w:t>
        </w:r>
      </w:hyperlink>
      <w:r>
        <w:rPr>
          <w:i/>
          <w:iCs/>
        </w:rPr>
        <w:t>)</w:t>
      </w:r>
    </w:p>
    <w:p w:rsidR="0017333F" w:rsidRDefault="0017333F" w:rsidP="0017333F">
      <w:pPr>
        <w:tabs>
          <w:tab w:val="left" w:pos="1701"/>
        </w:tabs>
        <w:spacing w:line="240" w:lineRule="auto"/>
        <w:jc w:val="left"/>
        <w:rPr>
          <w:i/>
          <w:iCs/>
          <w:lang w:val="fr-FR"/>
        </w:rPr>
      </w:pPr>
    </w:p>
    <w:p w:rsidR="0017333F" w:rsidRPr="002A5422" w:rsidRDefault="0017333F" w:rsidP="0017333F">
      <w:pPr>
        <w:pStyle w:val="ListParagraph"/>
        <w:numPr>
          <w:ilvl w:val="0"/>
          <w:numId w:val="22"/>
        </w:numPr>
        <w:ind w:left="567" w:hanging="567"/>
        <w:rPr>
          <w:b/>
          <w:bCs/>
          <w:i/>
          <w:iCs/>
          <w:sz w:val="28"/>
          <w:szCs w:val="28"/>
        </w:rPr>
      </w:pPr>
      <w:r>
        <w:rPr>
          <w:b/>
          <w:bCs/>
          <w:i/>
          <w:iCs/>
          <w:sz w:val="28"/>
          <w:szCs w:val="28"/>
        </w:rPr>
        <w:t>Tillstånd för fiskefartyg efter brexit</w:t>
      </w:r>
    </w:p>
    <w:p w:rsidR="0017333F" w:rsidRPr="002A5422" w:rsidRDefault="0017333F" w:rsidP="0017333F">
      <w:pPr>
        <w:pStyle w:val="ListParagraph"/>
        <w:ind w:left="567"/>
        <w:rPr>
          <w:b/>
          <w:bCs/>
          <w:i/>
          <w:iCs/>
          <w:sz w:val="28"/>
          <w:szCs w:val="28"/>
          <w:lang w:val="en-GB"/>
        </w:rPr>
      </w:pPr>
    </w:p>
    <w:p w:rsidR="0017333F" w:rsidRPr="001625AD" w:rsidRDefault="0017333F" w:rsidP="0017333F">
      <w:r>
        <w:rPr>
          <w:b/>
          <w:bCs/>
        </w:rPr>
        <w:t>Kategori C-yttrande</w:t>
      </w:r>
    </w:p>
    <w:p w:rsidR="0017333F" w:rsidRPr="001625AD" w:rsidRDefault="0017333F" w:rsidP="0017333F">
      <w:pPr>
        <w:rPr>
          <w:lang w:val="en-GB"/>
        </w:rPr>
      </w:pPr>
    </w:p>
    <w:p w:rsidR="0017333F" w:rsidRDefault="0017333F" w:rsidP="0017333F">
      <w:pPr>
        <w:ind w:left="-5"/>
        <w:rPr>
          <w:b/>
          <w:bCs/>
        </w:rPr>
      </w:pPr>
      <w:r>
        <w:rPr>
          <w:b/>
          <w:bCs/>
        </w:rPr>
        <w:t>Referens:</w:t>
      </w:r>
      <w:r>
        <w:rPr>
          <w:b/>
          <w:bCs/>
        </w:rPr>
        <w:tab/>
      </w:r>
      <w:r>
        <w:rPr>
          <w:b/>
          <w:bCs/>
        </w:rPr>
        <w:tab/>
      </w:r>
      <w:r>
        <w:t>COM(2019) 49 final – 2019/0010 (COD)</w:t>
      </w:r>
    </w:p>
    <w:p w:rsidR="0017333F" w:rsidRPr="00FC3741" w:rsidRDefault="0017333F" w:rsidP="00E30ADD">
      <w:pPr>
        <w:ind w:left="1701"/>
      </w:pPr>
      <w:r>
        <w:t>EESC-2019-00683-00-00-AC-TRA</w:t>
      </w:r>
    </w:p>
    <w:p w:rsidR="0017333F" w:rsidRDefault="0017333F" w:rsidP="0017333F">
      <w:pPr>
        <w:rPr>
          <w:b/>
        </w:rPr>
      </w:pPr>
      <w:r>
        <w:rPr>
          <w:b/>
        </w:rPr>
        <w:t>Huvudpunkter</w:t>
      </w:r>
    </w:p>
    <w:p w:rsidR="0017333F" w:rsidRDefault="0017333F" w:rsidP="0017333F">
      <w:pPr>
        <w:rPr>
          <w:b/>
          <w:iCs/>
          <w:highlight w:val="yellow"/>
          <w:u w:val="single"/>
          <w:lang w:val="en-GB"/>
        </w:rPr>
      </w:pPr>
    </w:p>
    <w:p w:rsidR="0017333F" w:rsidRDefault="0017333F" w:rsidP="0017333F">
      <w:pPr>
        <w:pStyle w:val="Heading2"/>
        <w:numPr>
          <w:ilvl w:val="0"/>
          <w:numId w:val="0"/>
        </w:numPr>
      </w:pPr>
      <w:r>
        <w:t>Eftersom kommittén till fullo stöder förslaget, som inte föranleder några särskilda kommentarer, beslutade EESK att avge ett positivt yttrande om förslaget.</w:t>
      </w:r>
    </w:p>
    <w:p w:rsidR="0017333F" w:rsidRDefault="0017333F" w:rsidP="0017333F">
      <w:pPr>
        <w:ind w:left="-567"/>
        <w:rPr>
          <w:b/>
          <w:iCs/>
          <w:highlight w:val="yellow"/>
          <w:u w:val="single"/>
          <w:lang w:val="en-GB"/>
        </w:rPr>
      </w:pPr>
    </w:p>
    <w:p w:rsidR="0017333F" w:rsidRPr="00EC3E9A" w:rsidRDefault="0017333F" w:rsidP="0017333F">
      <w:pPr>
        <w:tabs>
          <w:tab w:val="left" w:pos="1701"/>
        </w:tabs>
        <w:rPr>
          <w:i/>
          <w:iCs/>
        </w:rPr>
      </w:pPr>
      <w:r>
        <w:rPr>
          <w:b/>
          <w:bCs/>
          <w:i/>
          <w:iCs/>
        </w:rPr>
        <w:t>Kontakt:</w:t>
      </w:r>
      <w:r>
        <w:rPr>
          <w:b/>
          <w:bCs/>
          <w:i/>
          <w:iCs/>
        </w:rPr>
        <w:tab/>
      </w:r>
      <w:r>
        <w:rPr>
          <w:i/>
        </w:rPr>
        <w:t xml:space="preserve">Arturo Iniguez </w:t>
      </w:r>
    </w:p>
    <w:p w:rsidR="0017333F" w:rsidRPr="0017333F" w:rsidRDefault="0017333F" w:rsidP="0017333F">
      <w:pPr>
        <w:tabs>
          <w:tab w:val="left" w:pos="1701"/>
        </w:tabs>
        <w:spacing w:line="240" w:lineRule="auto"/>
        <w:jc w:val="left"/>
        <w:rPr>
          <w:iCs/>
        </w:rPr>
      </w:pPr>
      <w:r>
        <w:rPr>
          <w:i/>
          <w:iCs/>
        </w:rPr>
        <w:tab/>
        <w:t>(Tfn +32 25468768 – e-post</w:t>
      </w:r>
      <w:r>
        <w:rPr>
          <w:i/>
          <w:iCs/>
          <w:color w:val="0000FF"/>
          <w:u w:val="single"/>
        </w:rPr>
        <w:t xml:space="preserve"> </w:t>
      </w:r>
      <w:hyperlink r:id="rId29" w:history="1">
        <w:r>
          <w:rPr>
            <w:rStyle w:val="Hyperlink"/>
            <w:i/>
            <w:iCs/>
          </w:rPr>
          <w:t>Arturo.Iniguez@eesc.europa.eu</w:t>
        </w:r>
      </w:hyperlink>
      <w:r>
        <w:rPr>
          <w:i/>
          <w:iCs/>
        </w:rPr>
        <w:t>)</w:t>
      </w:r>
    </w:p>
    <w:p w:rsidR="00D23E3E" w:rsidRPr="00D23E3E" w:rsidRDefault="00D23E3E" w:rsidP="00D23E3E">
      <w:pPr>
        <w:spacing w:line="240" w:lineRule="auto"/>
        <w:jc w:val="left"/>
        <w:rPr>
          <w:iCs/>
          <w:lang w:val="en-GB"/>
        </w:rPr>
      </w:pPr>
    </w:p>
    <w:p w:rsidR="00D23E3E" w:rsidRDefault="00D23E3E">
      <w:pPr>
        <w:spacing w:line="240" w:lineRule="auto"/>
        <w:jc w:val="left"/>
        <w:rPr>
          <w:iCs/>
          <w:lang w:val="en-GB"/>
        </w:rPr>
      </w:pPr>
    </w:p>
    <w:p w:rsidR="00D72EB4" w:rsidRDefault="00D72EB4">
      <w:pPr>
        <w:spacing w:line="240" w:lineRule="auto"/>
        <w:jc w:val="left"/>
        <w:rPr>
          <w:iCs/>
        </w:rPr>
      </w:pPr>
      <w:r>
        <w:br w:type="page"/>
      </w:r>
    </w:p>
    <w:p w:rsidR="00387229" w:rsidRDefault="00E46EC4" w:rsidP="00E46EC4">
      <w:pPr>
        <w:pStyle w:val="Heading1"/>
        <w:rPr>
          <w:b/>
        </w:rPr>
      </w:pPr>
      <w:bookmarkStart w:id="4" w:name="_Toc514234507"/>
      <w:bookmarkStart w:id="5" w:name="_Toc514234754"/>
      <w:bookmarkStart w:id="6" w:name="_Toc514235001"/>
      <w:bookmarkStart w:id="7" w:name="_Toc514235125"/>
      <w:bookmarkStart w:id="8" w:name="_Toc514235248"/>
      <w:bookmarkStart w:id="9" w:name="_Toc514235368"/>
      <w:bookmarkStart w:id="10" w:name="_Toc514235486"/>
      <w:bookmarkStart w:id="11" w:name="_Toc514235604"/>
      <w:bookmarkStart w:id="12" w:name="_Toc514235720"/>
      <w:bookmarkStart w:id="13" w:name="_Toc514234508"/>
      <w:bookmarkStart w:id="14" w:name="_Toc514234755"/>
      <w:bookmarkStart w:id="15" w:name="_Toc514235002"/>
      <w:bookmarkStart w:id="16" w:name="_Toc514235126"/>
      <w:bookmarkStart w:id="17" w:name="_Toc514235249"/>
      <w:bookmarkStart w:id="18" w:name="_Toc514235369"/>
      <w:bookmarkStart w:id="19" w:name="_Toc514235487"/>
      <w:bookmarkStart w:id="20" w:name="_Toc514235605"/>
      <w:bookmarkStart w:id="21" w:name="_Toc514235721"/>
      <w:bookmarkStart w:id="22" w:name="_Toc514234509"/>
      <w:bookmarkStart w:id="23" w:name="_Toc514234756"/>
      <w:bookmarkStart w:id="24" w:name="_Toc514235003"/>
      <w:bookmarkStart w:id="25" w:name="_Toc514235127"/>
      <w:bookmarkStart w:id="26" w:name="_Toc514235250"/>
      <w:bookmarkStart w:id="27" w:name="_Toc514235370"/>
      <w:bookmarkStart w:id="28" w:name="_Toc514235488"/>
      <w:bookmarkStart w:id="29" w:name="_Toc514235606"/>
      <w:bookmarkStart w:id="30" w:name="_Toc514235722"/>
      <w:bookmarkStart w:id="31" w:name="_Toc514234510"/>
      <w:bookmarkStart w:id="32" w:name="_Toc514234757"/>
      <w:bookmarkStart w:id="33" w:name="_Toc514235004"/>
      <w:bookmarkStart w:id="34" w:name="_Toc514235128"/>
      <w:bookmarkStart w:id="35" w:name="_Toc514235251"/>
      <w:bookmarkStart w:id="36" w:name="_Toc514235371"/>
      <w:bookmarkStart w:id="37" w:name="_Toc514235489"/>
      <w:bookmarkStart w:id="38" w:name="_Toc514235607"/>
      <w:bookmarkStart w:id="39" w:name="_Toc514235723"/>
      <w:bookmarkStart w:id="40" w:name="_Toc514234511"/>
      <w:bookmarkStart w:id="41" w:name="_Toc514234758"/>
      <w:bookmarkStart w:id="42" w:name="_Toc514235005"/>
      <w:bookmarkStart w:id="43" w:name="_Toc514235129"/>
      <w:bookmarkStart w:id="44" w:name="_Toc514235252"/>
      <w:bookmarkStart w:id="45" w:name="_Toc514235372"/>
      <w:bookmarkStart w:id="46" w:name="_Toc514235490"/>
      <w:bookmarkStart w:id="47" w:name="_Toc514235608"/>
      <w:bookmarkStart w:id="48" w:name="_Toc514235724"/>
      <w:bookmarkStart w:id="49" w:name="_Toc514234512"/>
      <w:bookmarkStart w:id="50" w:name="_Toc514234759"/>
      <w:bookmarkStart w:id="51" w:name="_Toc514235006"/>
      <w:bookmarkStart w:id="52" w:name="_Toc514235130"/>
      <w:bookmarkStart w:id="53" w:name="_Toc514235253"/>
      <w:bookmarkStart w:id="54" w:name="_Toc514235373"/>
      <w:bookmarkStart w:id="55" w:name="_Toc514235491"/>
      <w:bookmarkStart w:id="56" w:name="_Toc514235609"/>
      <w:bookmarkStart w:id="57" w:name="_Toc514235725"/>
      <w:bookmarkStart w:id="58" w:name="_Toc514234513"/>
      <w:bookmarkStart w:id="59" w:name="_Toc514234760"/>
      <w:bookmarkStart w:id="60" w:name="_Toc514235007"/>
      <w:bookmarkStart w:id="61" w:name="_Toc514235131"/>
      <w:bookmarkStart w:id="62" w:name="_Toc514235254"/>
      <w:bookmarkStart w:id="63" w:name="_Toc514235374"/>
      <w:bookmarkStart w:id="64" w:name="_Toc514235492"/>
      <w:bookmarkStart w:id="65" w:name="_Toc514235610"/>
      <w:bookmarkStart w:id="66" w:name="_Toc514235726"/>
      <w:bookmarkStart w:id="67" w:name="_Toc514234514"/>
      <w:bookmarkStart w:id="68" w:name="_Toc514234761"/>
      <w:bookmarkStart w:id="69" w:name="_Toc514235008"/>
      <w:bookmarkStart w:id="70" w:name="_Toc514235132"/>
      <w:bookmarkStart w:id="71" w:name="_Toc514235255"/>
      <w:bookmarkStart w:id="72" w:name="_Toc514235375"/>
      <w:bookmarkStart w:id="73" w:name="_Toc514235493"/>
      <w:bookmarkStart w:id="74" w:name="_Toc514235611"/>
      <w:bookmarkStart w:id="75" w:name="_Toc514235727"/>
      <w:bookmarkStart w:id="76" w:name="_Toc514234515"/>
      <w:bookmarkStart w:id="77" w:name="_Toc514234762"/>
      <w:bookmarkStart w:id="78" w:name="_Toc514235009"/>
      <w:bookmarkStart w:id="79" w:name="_Toc514235133"/>
      <w:bookmarkStart w:id="80" w:name="_Toc514235256"/>
      <w:bookmarkStart w:id="81" w:name="_Toc514235376"/>
      <w:bookmarkStart w:id="82" w:name="_Toc514235494"/>
      <w:bookmarkStart w:id="83" w:name="_Toc514235612"/>
      <w:bookmarkStart w:id="84" w:name="_Toc514235728"/>
      <w:bookmarkStart w:id="85" w:name="_Toc514234516"/>
      <w:bookmarkStart w:id="86" w:name="_Toc514234763"/>
      <w:bookmarkStart w:id="87" w:name="_Toc514235010"/>
      <w:bookmarkStart w:id="88" w:name="_Toc514235134"/>
      <w:bookmarkStart w:id="89" w:name="_Toc514235257"/>
      <w:bookmarkStart w:id="90" w:name="_Toc514235377"/>
      <w:bookmarkStart w:id="91" w:name="_Toc514235495"/>
      <w:bookmarkStart w:id="92" w:name="_Toc514235613"/>
      <w:bookmarkStart w:id="93" w:name="_Toc514235729"/>
      <w:bookmarkStart w:id="94" w:name="_Toc514234517"/>
      <w:bookmarkStart w:id="95" w:name="_Toc514234764"/>
      <w:bookmarkStart w:id="96" w:name="_Toc514235011"/>
      <w:bookmarkStart w:id="97" w:name="_Toc514235135"/>
      <w:bookmarkStart w:id="98" w:name="_Toc514235258"/>
      <w:bookmarkStart w:id="99" w:name="_Toc514235378"/>
      <w:bookmarkStart w:id="100" w:name="_Toc514235496"/>
      <w:bookmarkStart w:id="101" w:name="_Toc514235614"/>
      <w:bookmarkStart w:id="102" w:name="_Toc514235730"/>
      <w:bookmarkStart w:id="103" w:name="_Toc514234518"/>
      <w:bookmarkStart w:id="104" w:name="_Toc514234765"/>
      <w:bookmarkStart w:id="105" w:name="_Toc514235012"/>
      <w:bookmarkStart w:id="106" w:name="_Toc514235136"/>
      <w:bookmarkStart w:id="107" w:name="_Toc514235259"/>
      <w:bookmarkStart w:id="108" w:name="_Toc514235379"/>
      <w:bookmarkStart w:id="109" w:name="_Toc514235497"/>
      <w:bookmarkStart w:id="110" w:name="_Toc514235615"/>
      <w:bookmarkStart w:id="111" w:name="_Toc514235731"/>
      <w:bookmarkStart w:id="112" w:name="_Toc514234519"/>
      <w:bookmarkStart w:id="113" w:name="_Toc514234766"/>
      <w:bookmarkStart w:id="114" w:name="_Toc514235013"/>
      <w:bookmarkStart w:id="115" w:name="_Toc514235137"/>
      <w:bookmarkStart w:id="116" w:name="_Toc514235260"/>
      <w:bookmarkStart w:id="117" w:name="_Toc514235380"/>
      <w:bookmarkStart w:id="118" w:name="_Toc514235498"/>
      <w:bookmarkStart w:id="119" w:name="_Toc514235616"/>
      <w:bookmarkStart w:id="120" w:name="_Toc514235732"/>
      <w:bookmarkStart w:id="121" w:name="_Toc514234520"/>
      <w:bookmarkStart w:id="122" w:name="_Toc514234767"/>
      <w:bookmarkStart w:id="123" w:name="_Toc514235014"/>
      <w:bookmarkStart w:id="124" w:name="_Toc514235138"/>
      <w:bookmarkStart w:id="125" w:name="_Toc514235261"/>
      <w:bookmarkStart w:id="126" w:name="_Toc514235381"/>
      <w:bookmarkStart w:id="127" w:name="_Toc514235499"/>
      <w:bookmarkStart w:id="128" w:name="_Toc514235617"/>
      <w:bookmarkStart w:id="129" w:name="_Toc514235733"/>
      <w:bookmarkStart w:id="130" w:name="_Toc514234521"/>
      <w:bookmarkStart w:id="131" w:name="_Toc514234768"/>
      <w:bookmarkStart w:id="132" w:name="_Toc514235015"/>
      <w:bookmarkStart w:id="133" w:name="_Toc514235139"/>
      <w:bookmarkStart w:id="134" w:name="_Toc514235262"/>
      <w:bookmarkStart w:id="135" w:name="_Toc514235382"/>
      <w:bookmarkStart w:id="136" w:name="_Toc514235500"/>
      <w:bookmarkStart w:id="137" w:name="_Toc514235618"/>
      <w:bookmarkStart w:id="138" w:name="_Toc514235734"/>
      <w:bookmarkStart w:id="139" w:name="_Toc514234522"/>
      <w:bookmarkStart w:id="140" w:name="_Toc514234769"/>
      <w:bookmarkStart w:id="141" w:name="_Toc514235016"/>
      <w:bookmarkStart w:id="142" w:name="_Toc514235140"/>
      <w:bookmarkStart w:id="143" w:name="_Toc514235263"/>
      <w:bookmarkStart w:id="144" w:name="_Toc514235383"/>
      <w:bookmarkStart w:id="145" w:name="_Toc514235501"/>
      <w:bookmarkStart w:id="146" w:name="_Toc514235619"/>
      <w:bookmarkStart w:id="147" w:name="_Toc514235735"/>
      <w:bookmarkStart w:id="148" w:name="_Toc514234523"/>
      <w:bookmarkStart w:id="149" w:name="_Toc514234770"/>
      <w:bookmarkStart w:id="150" w:name="_Toc514235017"/>
      <w:bookmarkStart w:id="151" w:name="_Toc514235141"/>
      <w:bookmarkStart w:id="152" w:name="_Toc514235264"/>
      <w:bookmarkStart w:id="153" w:name="_Toc514235384"/>
      <w:bookmarkStart w:id="154" w:name="_Toc514235502"/>
      <w:bookmarkStart w:id="155" w:name="_Toc514235620"/>
      <w:bookmarkStart w:id="156" w:name="_Toc514235736"/>
      <w:bookmarkStart w:id="157" w:name="_Toc514234524"/>
      <w:bookmarkStart w:id="158" w:name="_Toc514234771"/>
      <w:bookmarkStart w:id="159" w:name="_Toc514235018"/>
      <w:bookmarkStart w:id="160" w:name="_Toc514235142"/>
      <w:bookmarkStart w:id="161" w:name="_Toc514235265"/>
      <w:bookmarkStart w:id="162" w:name="_Toc514235385"/>
      <w:bookmarkStart w:id="163" w:name="_Toc514235503"/>
      <w:bookmarkStart w:id="164" w:name="_Toc514235621"/>
      <w:bookmarkStart w:id="165" w:name="_Toc51423573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lastRenderedPageBreak/>
        <w:tab/>
      </w:r>
      <w:bookmarkStart w:id="166" w:name="_Toc2173207"/>
      <w:r>
        <w:rPr>
          <w:b/>
        </w:rPr>
        <w:t>Sysselsättning, sociala frågor och medborgarna</w:t>
      </w:r>
      <w:bookmarkEnd w:id="166"/>
    </w:p>
    <w:p w:rsidR="00395392" w:rsidRDefault="00395392" w:rsidP="00395392">
      <w:pPr>
        <w:tabs>
          <w:tab w:val="left" w:pos="1701"/>
        </w:tabs>
        <w:spacing w:line="24" w:lineRule="atLeast"/>
        <w:rPr>
          <w:i/>
          <w:szCs w:val="20"/>
        </w:rPr>
      </w:pPr>
    </w:p>
    <w:p w:rsidR="00890C94" w:rsidRPr="009F76F3" w:rsidRDefault="00890C94" w:rsidP="009F76F3">
      <w:pPr>
        <w:pStyle w:val="ListParagraph"/>
        <w:numPr>
          <w:ilvl w:val="0"/>
          <w:numId w:val="22"/>
        </w:numPr>
        <w:tabs>
          <w:tab w:val="left" w:pos="1701"/>
        </w:tabs>
        <w:spacing w:line="24" w:lineRule="atLeast"/>
        <w:ind w:left="567" w:hanging="567"/>
        <w:rPr>
          <w:i/>
          <w:szCs w:val="20"/>
        </w:rPr>
      </w:pPr>
      <w:r>
        <w:rPr>
          <w:b/>
          <w:i/>
          <w:sz w:val="28"/>
          <w:szCs w:val="28"/>
        </w:rPr>
        <w:t>För ett europeiskt ramdirektiv om en minimiinkomst</w:t>
      </w:r>
    </w:p>
    <w:p w:rsidR="00890C94" w:rsidRDefault="00890C94">
      <w:pPr>
        <w:tabs>
          <w:tab w:val="left" w:pos="1701"/>
        </w:tabs>
        <w:spacing w:line="24" w:lineRule="atLeast"/>
        <w:rPr>
          <w:i/>
          <w:szCs w:val="20"/>
        </w:rPr>
      </w:pPr>
    </w:p>
    <w:p w:rsidR="00890C94" w:rsidRDefault="00890C94" w:rsidP="00890C94">
      <w:pPr>
        <w:overflowPunct w:val="0"/>
        <w:autoSpaceDE w:val="0"/>
        <w:autoSpaceDN w:val="0"/>
        <w:adjustRightInd w:val="0"/>
        <w:textAlignment w:val="baseline"/>
        <w:rPr>
          <w:b/>
          <w:szCs w:val="20"/>
        </w:rPr>
      </w:pPr>
      <w:r>
        <w:rPr>
          <w:b/>
          <w:szCs w:val="20"/>
        </w:rPr>
        <w:t>Föredragande:</w:t>
      </w:r>
      <w:r>
        <w:rPr>
          <w:b/>
          <w:szCs w:val="20"/>
        </w:rPr>
        <w:tab/>
      </w:r>
      <w:r>
        <w:t>Georges Dassis (Arbetstagargruppen – EL)</w:t>
      </w:r>
    </w:p>
    <w:p w:rsidR="00890C94" w:rsidRDefault="00890C94">
      <w:pPr>
        <w:tabs>
          <w:tab w:val="left" w:pos="1701"/>
        </w:tabs>
        <w:spacing w:line="24" w:lineRule="atLeast"/>
        <w:rPr>
          <w:b/>
          <w:szCs w:val="20"/>
          <w:lang w:val="en-GB"/>
        </w:rPr>
      </w:pPr>
    </w:p>
    <w:p w:rsidR="00890C94" w:rsidRDefault="00890C94">
      <w:pPr>
        <w:tabs>
          <w:tab w:val="left" w:pos="1701"/>
        </w:tabs>
        <w:spacing w:line="24" w:lineRule="atLeast"/>
        <w:rPr>
          <w:b/>
          <w:szCs w:val="20"/>
        </w:rPr>
      </w:pPr>
      <w:r>
        <w:rPr>
          <w:b/>
          <w:szCs w:val="20"/>
        </w:rPr>
        <w:t>Referens:</w:t>
      </w:r>
      <w:r>
        <w:tab/>
        <w:t>Yttrande på eget initiativ</w:t>
      </w:r>
    </w:p>
    <w:p w:rsidR="00890C94" w:rsidRDefault="00890C94" w:rsidP="00527880">
      <w:pPr>
        <w:tabs>
          <w:tab w:val="left" w:pos="1701"/>
        </w:tabs>
        <w:spacing w:line="24" w:lineRule="atLeast"/>
        <w:ind w:left="1701"/>
      </w:pPr>
      <w:r>
        <w:t>EESC-2018-02210-00-00-AC-TRA</w:t>
      </w:r>
    </w:p>
    <w:p w:rsidR="00890C94" w:rsidRDefault="00890C94">
      <w:pPr>
        <w:tabs>
          <w:tab w:val="left" w:pos="1701"/>
        </w:tabs>
        <w:spacing w:line="24" w:lineRule="atLeast"/>
      </w:pPr>
    </w:p>
    <w:p w:rsidR="00890C94" w:rsidRPr="009F76F3" w:rsidRDefault="00890C94">
      <w:pPr>
        <w:tabs>
          <w:tab w:val="left" w:pos="1701"/>
        </w:tabs>
        <w:spacing w:line="24" w:lineRule="atLeast"/>
        <w:rPr>
          <w:b/>
        </w:rPr>
      </w:pPr>
      <w:r>
        <w:rPr>
          <w:b/>
        </w:rPr>
        <w:t>Huvudpunkter</w:t>
      </w:r>
    </w:p>
    <w:p w:rsidR="00527880" w:rsidRDefault="00527880" w:rsidP="00527880">
      <w:pPr>
        <w:pStyle w:val="Heading2"/>
        <w:numPr>
          <w:ilvl w:val="0"/>
          <w:numId w:val="0"/>
        </w:numPr>
      </w:pPr>
    </w:p>
    <w:p w:rsidR="00890C94" w:rsidRPr="00692B41" w:rsidRDefault="00890C94" w:rsidP="009F76F3">
      <w:pPr>
        <w:pStyle w:val="Heading2"/>
        <w:numPr>
          <w:ilvl w:val="0"/>
          <w:numId w:val="0"/>
        </w:numPr>
      </w:pPr>
      <w:r>
        <w:t xml:space="preserve">Sedan den ekonomiska kris som följde på finanskrisen 2008 bröt ut och trots att en ekonomisk återhämtning har konstaterats de senaste åren, har fattigdomen fortsatt att öka bland långtidsarbetslösa och arbetande fattiga, </w:t>
      </w:r>
    </w:p>
    <w:p w:rsidR="00890C94" w:rsidRPr="00692B41" w:rsidRDefault="00890C94" w:rsidP="009F76F3">
      <w:pPr>
        <w:pStyle w:val="Heading3"/>
        <w:numPr>
          <w:ilvl w:val="0"/>
          <w:numId w:val="0"/>
        </w:numPr>
        <w:rPr>
          <w:lang w:eastAsia="el-GR"/>
        </w:rPr>
      </w:pPr>
    </w:p>
    <w:p w:rsidR="00890C94" w:rsidRPr="00692B41" w:rsidRDefault="00890C94" w:rsidP="009F76F3">
      <w:pPr>
        <w:pStyle w:val="Heading2"/>
        <w:numPr>
          <w:ilvl w:val="0"/>
          <w:numId w:val="0"/>
        </w:numPr>
        <w:overflowPunct w:val="0"/>
        <w:autoSpaceDE w:val="0"/>
        <w:autoSpaceDN w:val="0"/>
        <w:adjustRightInd w:val="0"/>
        <w:textAlignment w:val="baseline"/>
      </w:pPr>
      <w:r>
        <w:t>Hittills har EU:s lagstiftning och åtaganden, såsom Europa 2020-strategin, som syftade till att minska antalet personer som hotas av fattigdom med 20 miljoner, inte lett till de förväntade resultaten. Att tillämpa subsidiaritetsprincipen, med den öppna samordningsmetoden som enda instrument, är således inte tillräckligt för att målen ska kunna uppnås.</w:t>
      </w:r>
    </w:p>
    <w:p w:rsidR="00890C94" w:rsidRPr="00692B41" w:rsidRDefault="00890C94" w:rsidP="009F76F3">
      <w:pPr>
        <w:rPr>
          <w:lang w:eastAsia="el-GR"/>
        </w:rPr>
      </w:pPr>
    </w:p>
    <w:p w:rsidR="00890C94" w:rsidRPr="00692B41" w:rsidRDefault="00890C94" w:rsidP="009F76F3">
      <w:pPr>
        <w:pStyle w:val="Heading2"/>
        <w:numPr>
          <w:ilvl w:val="0"/>
          <w:numId w:val="0"/>
        </w:numPr>
        <w:overflowPunct w:val="0"/>
        <w:autoSpaceDE w:val="0"/>
        <w:autoSpaceDN w:val="0"/>
        <w:adjustRightInd w:val="0"/>
        <w:textAlignment w:val="baseline"/>
      </w:pPr>
      <w:r>
        <w:t xml:space="preserve">Att införa en bindande EU-ram för en anständig minimiinkomst i EU som gör det möjligt att sprida och stödja systemen för minimiinkomst i medlemsstaterna och göra dem ”anständiga” (tillräckliga) skulle således utgöra ett första betydelsefullt svar på EU-nivå på det allvarliga och ihållande problemet med fattigdom i EU. </w:t>
      </w:r>
    </w:p>
    <w:p w:rsidR="00890C94" w:rsidRPr="00692B41" w:rsidRDefault="00890C94" w:rsidP="009F76F3">
      <w:pPr>
        <w:rPr>
          <w:lang w:eastAsia="el-GR"/>
        </w:rPr>
      </w:pPr>
    </w:p>
    <w:p w:rsidR="00890C94" w:rsidRPr="00692B41" w:rsidRDefault="00890C94" w:rsidP="009F76F3">
      <w:pPr>
        <w:pStyle w:val="Heading2"/>
        <w:numPr>
          <w:ilvl w:val="0"/>
          <w:numId w:val="0"/>
        </w:numPr>
        <w:overflowPunct w:val="0"/>
        <w:autoSpaceDE w:val="0"/>
        <w:autoSpaceDN w:val="0"/>
        <w:adjustRightInd w:val="0"/>
        <w:textAlignment w:val="baseline"/>
      </w:pPr>
      <w:r>
        <w:t>Den skulle kunna ta formen av ett direktiv som fastställer en referensram för inrättandet av en tillräcklig minimiinkomst som är anpassad till varje lands levnadsstandard och livsstil och som beaktar faktorer för social omfördelning, beskattning och levnadsstandard i förhållande till en referensbudget, vars metod skulle fastställas på EU-nivå.</w:t>
      </w:r>
    </w:p>
    <w:p w:rsidR="00890C94" w:rsidRPr="00692B41" w:rsidRDefault="00890C94" w:rsidP="009F76F3"/>
    <w:p w:rsidR="00890C94" w:rsidRDefault="00890C94" w:rsidP="009F76F3">
      <w:pPr>
        <w:pStyle w:val="Heading2"/>
        <w:numPr>
          <w:ilvl w:val="0"/>
          <w:numId w:val="0"/>
        </w:numPr>
        <w:overflowPunct w:val="0"/>
        <w:autoSpaceDE w:val="0"/>
        <w:autoSpaceDN w:val="0"/>
        <w:adjustRightInd w:val="0"/>
        <w:textAlignment w:val="baseline"/>
      </w:pPr>
      <w:r>
        <w:t>Frågan om inrättande av en anständig minimiinkomst som garanteras av EU är ytterst politisk. De som förespråkar EU-lagstiftning finner denna rättsliga grund i artikel 153.1 c och h i EUF-fördraget.</w:t>
      </w:r>
    </w:p>
    <w:p w:rsidR="00890C94" w:rsidRPr="001E2B2B" w:rsidRDefault="00890C94"/>
    <w:p w:rsidR="00890C94" w:rsidRPr="000648C3" w:rsidRDefault="00890C94" w:rsidP="009F76F3">
      <w:pPr>
        <w:pStyle w:val="Heading2"/>
        <w:numPr>
          <w:ilvl w:val="0"/>
          <w:numId w:val="0"/>
        </w:numPr>
        <w:overflowPunct w:val="0"/>
        <w:autoSpaceDE w:val="0"/>
        <w:autoSpaceDN w:val="0"/>
        <w:adjustRightInd w:val="0"/>
        <w:textAlignment w:val="baseline"/>
      </w:pPr>
      <w:r>
        <w:t>I sitt första yttrande i ämnet (</w:t>
      </w:r>
      <w:hyperlink r:id="rId30" w:history="1">
        <w:r>
          <w:t>EUT C 170, 5.6.2014, s. 23–31</w:t>
        </w:r>
      </w:hyperlink>
      <w:r>
        <w:t>) uppmanade EESK kommissionen att undersöka möjligheterna att finansiera en europeisk minimiinkomst, och att särskilt rikta in sig på möjligheten att inrätta en lämplig EU-fond. Eftersom kommissionen inte har hörsammat den uppmaningen anser kommittén att den behöver upprepas.</w:t>
      </w:r>
    </w:p>
    <w:p w:rsidR="00890C94" w:rsidRDefault="00890C94" w:rsidP="00890C94">
      <w:pPr>
        <w:ind w:left="-567"/>
        <w:rPr>
          <w:rFonts w:eastAsiaTheme="minorHAnsi"/>
          <w:bCs/>
          <w:color w:val="000000"/>
        </w:rPr>
      </w:pPr>
    </w:p>
    <w:p w:rsidR="00890C94" w:rsidRPr="00856D9E" w:rsidRDefault="00890C94" w:rsidP="009F76F3">
      <w:pPr>
        <w:tabs>
          <w:tab w:val="left" w:pos="1701"/>
        </w:tabs>
        <w:overflowPunct w:val="0"/>
        <w:autoSpaceDE w:val="0"/>
        <w:autoSpaceDN w:val="0"/>
        <w:adjustRightInd w:val="0"/>
        <w:spacing w:line="240" w:lineRule="exact"/>
        <w:textAlignment w:val="baseline"/>
        <w:rPr>
          <w:i/>
          <w:szCs w:val="20"/>
        </w:rPr>
      </w:pPr>
      <w:r>
        <w:rPr>
          <w:b/>
          <w:i/>
          <w:szCs w:val="20"/>
        </w:rPr>
        <w:t>Kontakt:</w:t>
      </w:r>
      <w:r>
        <w:rPr>
          <w:i/>
          <w:szCs w:val="20"/>
        </w:rPr>
        <w:t xml:space="preserve"> </w:t>
      </w:r>
      <w:r>
        <w:rPr>
          <w:i/>
          <w:szCs w:val="20"/>
        </w:rPr>
        <w:tab/>
        <w:t>Judite Berkemeier</w:t>
      </w:r>
    </w:p>
    <w:p w:rsidR="00890C94" w:rsidRPr="009F76F3" w:rsidRDefault="00890C94" w:rsidP="00527880">
      <w:pPr>
        <w:tabs>
          <w:tab w:val="left" w:pos="1701"/>
        </w:tabs>
        <w:spacing w:line="24" w:lineRule="atLeast"/>
        <w:ind w:left="1701"/>
        <w:rPr>
          <w:i/>
          <w:szCs w:val="20"/>
        </w:rPr>
      </w:pPr>
      <w:r>
        <w:rPr>
          <w:i/>
          <w:szCs w:val="20"/>
        </w:rPr>
        <w:t xml:space="preserve">(Tfn +32 25469897 – e-post: </w:t>
      </w:r>
      <w:hyperlink r:id="rId31" w:history="1">
        <w:r>
          <w:rPr>
            <w:rStyle w:val="Hyperlink"/>
            <w:i/>
            <w:szCs w:val="20"/>
          </w:rPr>
          <w:t>mariajudite.berkemeier@eesc.europa.eu</w:t>
        </w:r>
      </w:hyperlink>
      <w:r>
        <w:rPr>
          <w:i/>
          <w:szCs w:val="20"/>
        </w:rPr>
        <w:t>)</w:t>
      </w:r>
    </w:p>
    <w:p w:rsidR="00890C94" w:rsidRDefault="00890C94" w:rsidP="00395392">
      <w:pPr>
        <w:tabs>
          <w:tab w:val="left" w:pos="1701"/>
        </w:tabs>
        <w:spacing w:line="24" w:lineRule="atLeast"/>
        <w:rPr>
          <w:i/>
          <w:szCs w:val="20"/>
        </w:rPr>
      </w:pPr>
    </w:p>
    <w:p w:rsidR="00395392" w:rsidRPr="00395392" w:rsidRDefault="00395392" w:rsidP="00395392">
      <w:pPr>
        <w:pStyle w:val="ListParagraph"/>
        <w:numPr>
          <w:ilvl w:val="0"/>
          <w:numId w:val="25"/>
        </w:numPr>
        <w:tabs>
          <w:tab w:val="left" w:pos="1701"/>
        </w:tabs>
        <w:spacing w:line="24" w:lineRule="atLeast"/>
        <w:ind w:left="567" w:hanging="567"/>
        <w:rPr>
          <w:i/>
          <w:szCs w:val="20"/>
        </w:rPr>
      </w:pPr>
      <w:r>
        <w:rPr>
          <w:b/>
          <w:i/>
          <w:sz w:val="28"/>
          <w:szCs w:val="28"/>
        </w:rPr>
        <w:t>En fortsättning av pågående rörlighet i utbildningssyfte inom programmet Erasmus+ i samband med brexit</w:t>
      </w:r>
    </w:p>
    <w:p w:rsidR="00395392" w:rsidRDefault="00395392" w:rsidP="00395392">
      <w:pPr>
        <w:tabs>
          <w:tab w:val="left" w:pos="1701"/>
        </w:tabs>
        <w:spacing w:line="24" w:lineRule="atLeast"/>
        <w:rPr>
          <w:i/>
          <w:szCs w:val="20"/>
        </w:rPr>
      </w:pPr>
    </w:p>
    <w:p w:rsidR="00395392" w:rsidRPr="006B1734" w:rsidRDefault="00395392" w:rsidP="00395392">
      <w:pPr>
        <w:spacing w:line="240" w:lineRule="auto"/>
        <w:jc w:val="left"/>
        <w:rPr>
          <w:b/>
          <w:iCs/>
        </w:rPr>
      </w:pPr>
      <w:r>
        <w:rPr>
          <w:b/>
          <w:iCs/>
        </w:rPr>
        <w:t>Kategori C-yttrande</w:t>
      </w:r>
    </w:p>
    <w:p w:rsidR="00395392" w:rsidRDefault="00395392" w:rsidP="00395392">
      <w:pPr>
        <w:spacing w:line="240" w:lineRule="auto"/>
        <w:jc w:val="left"/>
        <w:rPr>
          <w:iCs/>
          <w:lang w:val="en-GB"/>
        </w:rPr>
      </w:pPr>
    </w:p>
    <w:p w:rsidR="00395392" w:rsidRDefault="00527880" w:rsidP="00527880">
      <w:pPr>
        <w:ind w:left="1701" w:hanging="1706"/>
        <w:rPr>
          <w:b/>
          <w:bCs/>
        </w:rPr>
      </w:pPr>
      <w:r>
        <w:rPr>
          <w:b/>
          <w:bCs/>
        </w:rPr>
        <w:t>Referens:</w:t>
      </w:r>
      <w:r>
        <w:rPr>
          <w:b/>
          <w:bCs/>
        </w:rPr>
        <w:tab/>
      </w:r>
      <w:r>
        <w:t>COM(2019) 65 final – 2019/0030 (COD)</w:t>
      </w:r>
    </w:p>
    <w:p w:rsidR="00395392" w:rsidRPr="00FC3741" w:rsidRDefault="00395392" w:rsidP="00E30ADD">
      <w:pPr>
        <w:ind w:left="1701"/>
      </w:pPr>
      <w:r>
        <w:t>EESC-2019-00768-00-00-AC-TRA</w:t>
      </w:r>
    </w:p>
    <w:p w:rsidR="00395392" w:rsidRDefault="00395392" w:rsidP="00395392">
      <w:pPr>
        <w:rPr>
          <w:b/>
          <w:lang w:val="en-GB"/>
        </w:rPr>
      </w:pPr>
    </w:p>
    <w:p w:rsidR="00395392" w:rsidRDefault="00395392" w:rsidP="00395392">
      <w:pPr>
        <w:rPr>
          <w:b/>
        </w:rPr>
      </w:pPr>
      <w:r>
        <w:rPr>
          <w:b/>
        </w:rPr>
        <w:t>Huvudpunkter</w:t>
      </w:r>
    </w:p>
    <w:p w:rsidR="00395392" w:rsidRDefault="00395392" w:rsidP="00395392">
      <w:pPr>
        <w:pStyle w:val="Heading2"/>
        <w:numPr>
          <w:ilvl w:val="0"/>
          <w:numId w:val="0"/>
        </w:numPr>
        <w:rPr>
          <w:lang w:val="en-GB"/>
        </w:rPr>
      </w:pPr>
    </w:p>
    <w:p w:rsidR="00395392" w:rsidRDefault="00395392" w:rsidP="00395392">
      <w:pPr>
        <w:pStyle w:val="Heading2"/>
        <w:numPr>
          <w:ilvl w:val="0"/>
          <w:numId w:val="0"/>
        </w:numPr>
      </w:pPr>
      <w:r>
        <w:t>Eftersom kommittén till fullo stöder förslaget, som inte föranleder några särskilda kommentarer, beslutade EESK att avge ett positivt yttrande om förslaget.</w:t>
      </w:r>
    </w:p>
    <w:p w:rsidR="00395392" w:rsidRDefault="00395392" w:rsidP="00395392">
      <w:pPr>
        <w:ind w:left="-567"/>
        <w:rPr>
          <w:b/>
          <w:iCs/>
          <w:highlight w:val="yellow"/>
          <w:u w:val="single"/>
          <w:lang w:val="en-GB"/>
        </w:rPr>
      </w:pPr>
    </w:p>
    <w:p w:rsidR="00C71FF0" w:rsidRPr="00856D9E" w:rsidRDefault="00395392" w:rsidP="00C71FF0">
      <w:pPr>
        <w:tabs>
          <w:tab w:val="left" w:pos="1701"/>
        </w:tabs>
        <w:overflowPunct w:val="0"/>
        <w:autoSpaceDE w:val="0"/>
        <w:autoSpaceDN w:val="0"/>
        <w:adjustRightInd w:val="0"/>
        <w:spacing w:line="240" w:lineRule="exact"/>
        <w:textAlignment w:val="baseline"/>
        <w:rPr>
          <w:i/>
          <w:szCs w:val="20"/>
        </w:rPr>
      </w:pPr>
      <w:r>
        <w:rPr>
          <w:b/>
          <w:bCs/>
          <w:i/>
          <w:iCs/>
        </w:rPr>
        <w:t>Kontakt:</w:t>
      </w:r>
      <w:r>
        <w:rPr>
          <w:i/>
          <w:szCs w:val="20"/>
        </w:rPr>
        <w:t xml:space="preserve"> </w:t>
      </w:r>
      <w:r>
        <w:rPr>
          <w:i/>
          <w:szCs w:val="20"/>
        </w:rPr>
        <w:tab/>
        <w:t>Sabrina Borg</w:t>
      </w:r>
    </w:p>
    <w:p w:rsidR="00395392" w:rsidRPr="00EC3E9A" w:rsidRDefault="00C71FF0" w:rsidP="00527880">
      <w:pPr>
        <w:tabs>
          <w:tab w:val="left" w:pos="1701"/>
        </w:tabs>
        <w:ind w:left="1701"/>
        <w:rPr>
          <w:i/>
          <w:iCs/>
        </w:rPr>
      </w:pPr>
      <w:r>
        <w:rPr>
          <w:i/>
          <w:szCs w:val="20"/>
        </w:rPr>
        <w:t xml:space="preserve">(Tfn +32 25469727 – e-post: </w:t>
      </w:r>
      <w:hyperlink r:id="rId32" w:history="1">
        <w:r>
          <w:rPr>
            <w:rStyle w:val="Hyperlink"/>
            <w:i/>
            <w:szCs w:val="20"/>
          </w:rPr>
          <w:t>sabrina.borg@eesc.europa.eu</w:t>
        </w:r>
      </w:hyperlink>
      <w:r>
        <w:rPr>
          <w:i/>
          <w:szCs w:val="20"/>
        </w:rPr>
        <w:t>)</w:t>
      </w:r>
    </w:p>
    <w:p w:rsidR="00395392" w:rsidRDefault="00395392" w:rsidP="00395392">
      <w:pPr>
        <w:tabs>
          <w:tab w:val="left" w:pos="1701"/>
        </w:tabs>
        <w:spacing w:line="24" w:lineRule="atLeast"/>
        <w:rPr>
          <w:i/>
          <w:iCs/>
          <w:lang w:val="fr-FR"/>
        </w:rPr>
      </w:pPr>
    </w:p>
    <w:p w:rsidR="00C71FF0" w:rsidRPr="00395392" w:rsidRDefault="00C71FF0" w:rsidP="00C71FF0">
      <w:pPr>
        <w:tabs>
          <w:tab w:val="left" w:pos="1701"/>
        </w:tabs>
        <w:spacing w:line="24" w:lineRule="atLeast"/>
        <w:jc w:val="center"/>
        <w:rPr>
          <w:i/>
          <w:szCs w:val="20"/>
        </w:rPr>
      </w:pPr>
      <w:r>
        <w:rPr>
          <w:i/>
          <w:szCs w:val="20"/>
        </w:rPr>
        <w:t>____________</w:t>
      </w:r>
    </w:p>
    <w:sectPr w:rsidR="00C71FF0" w:rsidRPr="00395392" w:rsidSect="00527880">
      <w:headerReference w:type="even" r:id="rId33"/>
      <w:headerReference w:type="default" r:id="rId34"/>
      <w:footerReference w:type="even" r:id="rId35"/>
      <w:footerReference w:type="default" r:id="rId36"/>
      <w:headerReference w:type="first" r:id="rId37"/>
      <w:footerReference w:type="first" r:id="rId3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B66" w:rsidRDefault="00FE6B66" w:rsidP="003B283B">
      <w:pPr>
        <w:spacing w:line="240" w:lineRule="auto"/>
      </w:pPr>
      <w:r>
        <w:separator/>
      </w:r>
    </w:p>
  </w:endnote>
  <w:endnote w:type="continuationSeparator" w:id="0">
    <w:p w:rsidR="00FE6B66" w:rsidRDefault="00FE6B66" w:rsidP="003B283B">
      <w:pPr>
        <w:spacing w:line="240" w:lineRule="auto"/>
      </w:pPr>
      <w:r>
        <w:continuationSeparator/>
      </w:r>
    </w:p>
  </w:endnote>
  <w:endnote w:type="continuationNotice" w:id="1">
    <w:p w:rsidR="00FE6B66" w:rsidRDefault="00FE6B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1"/>
    <w:family w:val="roman"/>
    <w:pitch w:val="variable"/>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D" w:rsidRPr="00527880" w:rsidRDefault="00E30ADD" w:rsidP="00527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527880" w:rsidRDefault="00527880" w:rsidP="00527880">
    <w:pPr>
      <w:pStyle w:val="Footer"/>
    </w:pPr>
    <w:r>
      <w:t xml:space="preserve">EESC-2019-00479-00-01-TCD-TRA (EN) </w:t>
    </w:r>
    <w:r>
      <w:fldChar w:fldCharType="begin"/>
    </w:r>
    <w:r>
      <w:instrText xml:space="preserve"> PAGE  \* Arabic  \* MERGEFORMAT </w:instrText>
    </w:r>
    <w:r>
      <w:fldChar w:fldCharType="separate"/>
    </w:r>
    <w:r w:rsidR="005C1B76">
      <w:rPr>
        <w:noProof/>
      </w:rPr>
      <w:t>1</w:t>
    </w:r>
    <w:r>
      <w:fldChar w:fldCharType="end"/>
    </w:r>
    <w:r>
      <w:t>/</w:t>
    </w:r>
    <w:fldSimple w:instr=" NUMPAGES ">
      <w:r w:rsidR="005C1B76">
        <w:rPr>
          <w:noProof/>
        </w:rPr>
        <w:t>13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D" w:rsidRPr="00527880" w:rsidRDefault="00E30ADD" w:rsidP="005278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527880" w:rsidRDefault="00FE6B66" w:rsidP="005278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527880" w:rsidRDefault="00527880" w:rsidP="00527880">
    <w:pPr>
      <w:pStyle w:val="Footer"/>
    </w:pPr>
    <w:r>
      <w:t xml:space="preserve">EESC-2019-00479-00-01-TCD-TRA (EN) </w:t>
    </w:r>
    <w:r>
      <w:fldChar w:fldCharType="begin"/>
    </w:r>
    <w:r>
      <w:instrText xml:space="preserve"> PAGE  \* Arabic  \* MERGEFORMAT </w:instrText>
    </w:r>
    <w:r>
      <w:fldChar w:fldCharType="separate"/>
    </w:r>
    <w:r w:rsidR="005C1B76">
      <w:rPr>
        <w:noProof/>
      </w:rPr>
      <w:t>2</w:t>
    </w:r>
    <w:r>
      <w:fldChar w:fldCharType="end"/>
    </w:r>
    <w:r>
      <w:t>/</w:t>
    </w:r>
    <w:fldSimple w:instr=" NUMPAGES ">
      <w:r w:rsidR="005C1B76">
        <w:rPr>
          <w:noProof/>
        </w:rPr>
        <w:t>13</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527880" w:rsidRDefault="00FE6B66" w:rsidP="0052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B66" w:rsidRDefault="00FE6B66" w:rsidP="003B283B">
      <w:pPr>
        <w:spacing w:line="240" w:lineRule="auto"/>
      </w:pPr>
      <w:r>
        <w:separator/>
      </w:r>
    </w:p>
  </w:footnote>
  <w:footnote w:type="continuationSeparator" w:id="0">
    <w:p w:rsidR="00FE6B66" w:rsidRDefault="00FE6B66" w:rsidP="003B283B">
      <w:pPr>
        <w:spacing w:line="240" w:lineRule="auto"/>
      </w:pPr>
      <w:r>
        <w:continuationSeparator/>
      </w:r>
    </w:p>
  </w:footnote>
  <w:footnote w:type="continuationNotice" w:id="1">
    <w:p w:rsidR="00FE6B66" w:rsidRPr="00377A77" w:rsidRDefault="00FE6B66">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D" w:rsidRPr="00527880" w:rsidRDefault="00E30ADD" w:rsidP="00527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D" w:rsidRPr="00527880" w:rsidRDefault="00E30ADD" w:rsidP="00527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D" w:rsidRPr="00527880" w:rsidRDefault="00E30ADD" w:rsidP="005278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527880" w:rsidRDefault="00FE6B66" w:rsidP="005278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527880" w:rsidRDefault="00FE6B66" w:rsidP="005278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66" w:rsidRPr="00527880" w:rsidRDefault="00FE6B66" w:rsidP="00527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6A641A"/>
    <w:multiLevelType w:val="hybridMultilevel"/>
    <w:tmpl w:val="FBAA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A3AA5"/>
    <w:multiLevelType w:val="hybridMultilevel"/>
    <w:tmpl w:val="B22252D0"/>
    <w:lvl w:ilvl="0" w:tplc="7BE6920E">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C82D17"/>
    <w:multiLevelType w:val="hybridMultilevel"/>
    <w:tmpl w:val="A48A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14F41"/>
    <w:multiLevelType w:val="hybridMultilevel"/>
    <w:tmpl w:val="A20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B5B87"/>
    <w:multiLevelType w:val="hybridMultilevel"/>
    <w:tmpl w:val="F87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759E7"/>
    <w:multiLevelType w:val="hybridMultilevel"/>
    <w:tmpl w:val="76B0A4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F52127E"/>
    <w:multiLevelType w:val="hybridMultilevel"/>
    <w:tmpl w:val="2200C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C2636AA"/>
    <w:multiLevelType w:val="hybridMultilevel"/>
    <w:tmpl w:val="097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900C70"/>
    <w:multiLevelType w:val="hybridMultilevel"/>
    <w:tmpl w:val="D14E41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CC90B6E"/>
    <w:multiLevelType w:val="hybridMultilevel"/>
    <w:tmpl w:val="82D476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DD53CBB"/>
    <w:multiLevelType w:val="hybridMultilevel"/>
    <w:tmpl w:val="5BA0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72D8A"/>
    <w:multiLevelType w:val="hybridMultilevel"/>
    <w:tmpl w:val="8660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26C97"/>
    <w:multiLevelType w:val="hybridMultilevel"/>
    <w:tmpl w:val="5E205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6" w15:restartNumberingAfterBreak="0">
    <w:nsid w:val="54B312FA"/>
    <w:multiLevelType w:val="hybridMultilevel"/>
    <w:tmpl w:val="BE2ADDC4"/>
    <w:lvl w:ilvl="0" w:tplc="080C0001">
      <w:start w:val="1"/>
      <w:numFmt w:val="bullet"/>
      <w:lvlText w:val=""/>
      <w:lvlJc w:val="left"/>
      <w:pPr>
        <w:ind w:left="1480" w:hanging="360"/>
      </w:pPr>
      <w:rPr>
        <w:rFonts w:ascii="Symbol" w:hAnsi="Symbol" w:hint="default"/>
      </w:rPr>
    </w:lvl>
    <w:lvl w:ilvl="1" w:tplc="080C0003" w:tentative="1">
      <w:start w:val="1"/>
      <w:numFmt w:val="bullet"/>
      <w:lvlText w:val="o"/>
      <w:lvlJc w:val="left"/>
      <w:pPr>
        <w:ind w:left="2200" w:hanging="360"/>
      </w:pPr>
      <w:rPr>
        <w:rFonts w:ascii="Courier New" w:hAnsi="Courier New" w:cs="Courier New" w:hint="default"/>
      </w:rPr>
    </w:lvl>
    <w:lvl w:ilvl="2" w:tplc="080C0005" w:tentative="1">
      <w:start w:val="1"/>
      <w:numFmt w:val="bullet"/>
      <w:lvlText w:val=""/>
      <w:lvlJc w:val="left"/>
      <w:pPr>
        <w:ind w:left="2920" w:hanging="360"/>
      </w:pPr>
      <w:rPr>
        <w:rFonts w:ascii="Wingdings" w:hAnsi="Wingdings" w:hint="default"/>
      </w:rPr>
    </w:lvl>
    <w:lvl w:ilvl="3" w:tplc="080C0001" w:tentative="1">
      <w:start w:val="1"/>
      <w:numFmt w:val="bullet"/>
      <w:lvlText w:val=""/>
      <w:lvlJc w:val="left"/>
      <w:pPr>
        <w:ind w:left="3640" w:hanging="360"/>
      </w:pPr>
      <w:rPr>
        <w:rFonts w:ascii="Symbol" w:hAnsi="Symbol" w:hint="default"/>
      </w:rPr>
    </w:lvl>
    <w:lvl w:ilvl="4" w:tplc="080C0003" w:tentative="1">
      <w:start w:val="1"/>
      <w:numFmt w:val="bullet"/>
      <w:lvlText w:val="o"/>
      <w:lvlJc w:val="left"/>
      <w:pPr>
        <w:ind w:left="4360" w:hanging="360"/>
      </w:pPr>
      <w:rPr>
        <w:rFonts w:ascii="Courier New" w:hAnsi="Courier New" w:cs="Courier New" w:hint="default"/>
      </w:rPr>
    </w:lvl>
    <w:lvl w:ilvl="5" w:tplc="080C0005" w:tentative="1">
      <w:start w:val="1"/>
      <w:numFmt w:val="bullet"/>
      <w:lvlText w:val=""/>
      <w:lvlJc w:val="left"/>
      <w:pPr>
        <w:ind w:left="5080" w:hanging="360"/>
      </w:pPr>
      <w:rPr>
        <w:rFonts w:ascii="Wingdings" w:hAnsi="Wingdings" w:hint="default"/>
      </w:rPr>
    </w:lvl>
    <w:lvl w:ilvl="6" w:tplc="080C0001" w:tentative="1">
      <w:start w:val="1"/>
      <w:numFmt w:val="bullet"/>
      <w:lvlText w:val=""/>
      <w:lvlJc w:val="left"/>
      <w:pPr>
        <w:ind w:left="5800" w:hanging="360"/>
      </w:pPr>
      <w:rPr>
        <w:rFonts w:ascii="Symbol" w:hAnsi="Symbol" w:hint="default"/>
      </w:rPr>
    </w:lvl>
    <w:lvl w:ilvl="7" w:tplc="080C0003" w:tentative="1">
      <w:start w:val="1"/>
      <w:numFmt w:val="bullet"/>
      <w:lvlText w:val="o"/>
      <w:lvlJc w:val="left"/>
      <w:pPr>
        <w:ind w:left="6520" w:hanging="360"/>
      </w:pPr>
      <w:rPr>
        <w:rFonts w:ascii="Courier New" w:hAnsi="Courier New" w:cs="Courier New" w:hint="default"/>
      </w:rPr>
    </w:lvl>
    <w:lvl w:ilvl="8" w:tplc="080C0005" w:tentative="1">
      <w:start w:val="1"/>
      <w:numFmt w:val="bullet"/>
      <w:lvlText w:val=""/>
      <w:lvlJc w:val="left"/>
      <w:pPr>
        <w:ind w:left="7240" w:hanging="360"/>
      </w:pPr>
      <w:rPr>
        <w:rFonts w:ascii="Wingdings" w:hAnsi="Wingdings" w:hint="default"/>
      </w:rPr>
    </w:lvl>
  </w:abstractNum>
  <w:abstractNum w:abstractNumId="17" w15:restartNumberingAfterBreak="0">
    <w:nsid w:val="58667743"/>
    <w:multiLevelType w:val="hybridMultilevel"/>
    <w:tmpl w:val="2BF2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2280E"/>
    <w:multiLevelType w:val="hybridMultilevel"/>
    <w:tmpl w:val="8954FEE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9"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20" w15:restartNumberingAfterBreak="0">
    <w:nsid w:val="656E07C8"/>
    <w:multiLevelType w:val="hybridMultilevel"/>
    <w:tmpl w:val="7A2A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B1407"/>
    <w:multiLevelType w:val="multilevel"/>
    <w:tmpl w:val="85462CFA"/>
    <w:lvl w:ilvl="0">
      <w:start w:val="1"/>
      <w:numFmt w:val="decimal"/>
      <w:lvlText w:val="%1."/>
      <w:legacy w:legacy="1" w:legacySpace="0" w:legacyIndent="0"/>
      <w:lvlJc w:val="left"/>
    </w:lvl>
    <w:lvl w:ilvl="1">
      <w:start w:val="1"/>
      <w:numFmt w:val="bullet"/>
      <w:lvlText w:val=""/>
      <w:lvlJc w:val="left"/>
      <w:rPr>
        <w:rFonts w:ascii="Symbol" w:hAnsi="Symbol" w:hint="default"/>
        <w:b w:val="0"/>
        <w:i w:val="0"/>
        <w:sz w:val="22"/>
      </w:rPr>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B9697B"/>
    <w:multiLevelType w:val="hybridMultilevel"/>
    <w:tmpl w:val="757EBC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8C6083E"/>
    <w:multiLevelType w:val="hybridMultilevel"/>
    <w:tmpl w:val="A3A2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B4A57"/>
    <w:multiLevelType w:val="hybridMultilevel"/>
    <w:tmpl w:val="67A813EE"/>
    <w:lvl w:ilvl="0" w:tplc="080C0001">
      <w:start w:val="1"/>
      <w:numFmt w:val="bullet"/>
      <w:lvlText w:val=""/>
      <w:lvlJc w:val="left"/>
      <w:pPr>
        <w:ind w:left="1080" w:hanging="72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1"/>
  </w:num>
  <w:num w:numId="4">
    <w:abstractNumId w:val="20"/>
  </w:num>
  <w:num w:numId="5">
    <w:abstractNumId w:val="3"/>
  </w:num>
  <w:num w:numId="6">
    <w:abstractNumId w:val="9"/>
  </w:num>
  <w:num w:numId="7">
    <w:abstractNumId w:val="5"/>
  </w:num>
  <w:num w:numId="8">
    <w:abstractNumId w:val="10"/>
  </w:num>
  <w:num w:numId="9">
    <w:abstractNumId w:val="25"/>
  </w:num>
  <w:num w:numId="10">
    <w:abstractNumId w:val="16"/>
  </w:num>
  <w:num w:numId="11">
    <w:abstractNumId w:val="13"/>
  </w:num>
  <w:num w:numId="12">
    <w:abstractNumId w:val="19"/>
  </w:num>
  <w:num w:numId="13">
    <w:abstractNumId w:val="1"/>
    <w:lvlOverride w:ilvl="0">
      <w:lvl w:ilvl="0">
        <w:start w:val="1"/>
        <w:numFmt w:val="bullet"/>
        <w:lvlText w:val=""/>
        <w:lvlJc w:val="left"/>
        <w:pPr>
          <w:ind w:left="720" w:hanging="360"/>
        </w:pPr>
        <w:rPr>
          <w:rFonts w:ascii="Symbol" w:hAnsi="Symbol" w:hint="default"/>
        </w:rPr>
      </w:lvl>
    </w:lvlOverride>
  </w:num>
  <w:num w:numId="14">
    <w:abstractNumId w:val="2"/>
  </w:num>
  <w:num w:numId="15">
    <w:abstractNumId w:val="17"/>
  </w:num>
  <w:num w:numId="16">
    <w:abstractNumId w:val="6"/>
  </w:num>
  <w:num w:numId="17">
    <w:abstractNumId w:val="11"/>
  </w:num>
  <w:num w:numId="18">
    <w:abstractNumId w:val="18"/>
  </w:num>
  <w:num w:numId="19">
    <w:abstractNumId w:val="23"/>
  </w:num>
  <w:num w:numId="20">
    <w:abstractNumId w:val="7"/>
  </w:num>
  <w:num w:numId="21">
    <w:abstractNumId w:val="8"/>
  </w:num>
  <w:num w:numId="22">
    <w:abstractNumId w:val="14"/>
  </w:num>
  <w:num w:numId="23">
    <w:abstractNumId w:val="22"/>
  </w:num>
  <w:num w:numId="24">
    <w:abstractNumId w:val="12"/>
  </w:num>
  <w:num w:numId="2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44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4D0F"/>
    <w:rsid w:val="00005800"/>
    <w:rsid w:val="00005B0A"/>
    <w:rsid w:val="00007617"/>
    <w:rsid w:val="00007B94"/>
    <w:rsid w:val="000104CB"/>
    <w:rsid w:val="000115A9"/>
    <w:rsid w:val="00012B39"/>
    <w:rsid w:val="00013610"/>
    <w:rsid w:val="000138A1"/>
    <w:rsid w:val="0001686B"/>
    <w:rsid w:val="00017703"/>
    <w:rsid w:val="000201DF"/>
    <w:rsid w:val="00020A28"/>
    <w:rsid w:val="00020D86"/>
    <w:rsid w:val="000215A9"/>
    <w:rsid w:val="00022AA4"/>
    <w:rsid w:val="00022B6C"/>
    <w:rsid w:val="000240FE"/>
    <w:rsid w:val="000244F9"/>
    <w:rsid w:val="0002476C"/>
    <w:rsid w:val="00024FEF"/>
    <w:rsid w:val="0002595E"/>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EF4"/>
    <w:rsid w:val="00036931"/>
    <w:rsid w:val="00036976"/>
    <w:rsid w:val="00036ED6"/>
    <w:rsid w:val="000378CC"/>
    <w:rsid w:val="00037B11"/>
    <w:rsid w:val="0004006B"/>
    <w:rsid w:val="0004042B"/>
    <w:rsid w:val="00041496"/>
    <w:rsid w:val="000419D4"/>
    <w:rsid w:val="00041C6C"/>
    <w:rsid w:val="00041EB7"/>
    <w:rsid w:val="00042751"/>
    <w:rsid w:val="000432D1"/>
    <w:rsid w:val="000444BB"/>
    <w:rsid w:val="00044DCB"/>
    <w:rsid w:val="00045054"/>
    <w:rsid w:val="000451B3"/>
    <w:rsid w:val="00045B31"/>
    <w:rsid w:val="0005077B"/>
    <w:rsid w:val="00051C81"/>
    <w:rsid w:val="0005250A"/>
    <w:rsid w:val="000529F2"/>
    <w:rsid w:val="00054BA6"/>
    <w:rsid w:val="00054E26"/>
    <w:rsid w:val="00055735"/>
    <w:rsid w:val="000557CE"/>
    <w:rsid w:val="000559BE"/>
    <w:rsid w:val="000562AF"/>
    <w:rsid w:val="000571C2"/>
    <w:rsid w:val="00060853"/>
    <w:rsid w:val="00060E5C"/>
    <w:rsid w:val="00061952"/>
    <w:rsid w:val="00062214"/>
    <w:rsid w:val="00065751"/>
    <w:rsid w:val="00066490"/>
    <w:rsid w:val="00067189"/>
    <w:rsid w:val="00067BC4"/>
    <w:rsid w:val="0007026C"/>
    <w:rsid w:val="000702DC"/>
    <w:rsid w:val="00070C28"/>
    <w:rsid w:val="00070DC9"/>
    <w:rsid w:val="000714D6"/>
    <w:rsid w:val="00071E53"/>
    <w:rsid w:val="00072772"/>
    <w:rsid w:val="0007365D"/>
    <w:rsid w:val="00073A46"/>
    <w:rsid w:val="000742C2"/>
    <w:rsid w:val="000747E4"/>
    <w:rsid w:val="00074A88"/>
    <w:rsid w:val="00074CD8"/>
    <w:rsid w:val="00076077"/>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2CB2"/>
    <w:rsid w:val="00092FC0"/>
    <w:rsid w:val="00093786"/>
    <w:rsid w:val="00094645"/>
    <w:rsid w:val="00095A1C"/>
    <w:rsid w:val="000967CA"/>
    <w:rsid w:val="00096999"/>
    <w:rsid w:val="000974BF"/>
    <w:rsid w:val="00097F0D"/>
    <w:rsid w:val="000A2809"/>
    <w:rsid w:val="000A4202"/>
    <w:rsid w:val="000A62E2"/>
    <w:rsid w:val="000A63F9"/>
    <w:rsid w:val="000A7A22"/>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65BE"/>
    <w:rsid w:val="000C6808"/>
    <w:rsid w:val="000C6F0E"/>
    <w:rsid w:val="000C7D79"/>
    <w:rsid w:val="000C7E7C"/>
    <w:rsid w:val="000D007F"/>
    <w:rsid w:val="000D28F0"/>
    <w:rsid w:val="000D3F88"/>
    <w:rsid w:val="000D50A8"/>
    <w:rsid w:val="000D59D3"/>
    <w:rsid w:val="000D602F"/>
    <w:rsid w:val="000D6031"/>
    <w:rsid w:val="000D6B2F"/>
    <w:rsid w:val="000D77C2"/>
    <w:rsid w:val="000D7E59"/>
    <w:rsid w:val="000D7F5A"/>
    <w:rsid w:val="000E053F"/>
    <w:rsid w:val="000E26A2"/>
    <w:rsid w:val="000E4005"/>
    <w:rsid w:val="000E4C16"/>
    <w:rsid w:val="000E6466"/>
    <w:rsid w:val="000E6F41"/>
    <w:rsid w:val="000E7D79"/>
    <w:rsid w:val="000F0112"/>
    <w:rsid w:val="000F035E"/>
    <w:rsid w:val="000F0AFF"/>
    <w:rsid w:val="000F16CE"/>
    <w:rsid w:val="000F181E"/>
    <w:rsid w:val="000F3021"/>
    <w:rsid w:val="000F3050"/>
    <w:rsid w:val="000F42C4"/>
    <w:rsid w:val="000F4A9A"/>
    <w:rsid w:val="000F5381"/>
    <w:rsid w:val="000F558D"/>
    <w:rsid w:val="000F55B5"/>
    <w:rsid w:val="000F5ED9"/>
    <w:rsid w:val="000F77C3"/>
    <w:rsid w:val="000F7B4B"/>
    <w:rsid w:val="00101551"/>
    <w:rsid w:val="0010339F"/>
    <w:rsid w:val="001036E0"/>
    <w:rsid w:val="0010391E"/>
    <w:rsid w:val="00103CC0"/>
    <w:rsid w:val="00104975"/>
    <w:rsid w:val="001052AF"/>
    <w:rsid w:val="001053BA"/>
    <w:rsid w:val="001055E6"/>
    <w:rsid w:val="001063E3"/>
    <w:rsid w:val="0010786D"/>
    <w:rsid w:val="00110344"/>
    <w:rsid w:val="00111024"/>
    <w:rsid w:val="001126F6"/>
    <w:rsid w:val="001127C6"/>
    <w:rsid w:val="00113882"/>
    <w:rsid w:val="001138AF"/>
    <w:rsid w:val="001138B0"/>
    <w:rsid w:val="00114E69"/>
    <w:rsid w:val="001158DF"/>
    <w:rsid w:val="00115E8C"/>
    <w:rsid w:val="00116CFB"/>
    <w:rsid w:val="00120CC5"/>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1052"/>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0DD6"/>
    <w:rsid w:val="001636EC"/>
    <w:rsid w:val="001657F4"/>
    <w:rsid w:val="00166FCB"/>
    <w:rsid w:val="0017001D"/>
    <w:rsid w:val="0017241F"/>
    <w:rsid w:val="0017333F"/>
    <w:rsid w:val="001737B7"/>
    <w:rsid w:val="00174675"/>
    <w:rsid w:val="0017469D"/>
    <w:rsid w:val="00175D41"/>
    <w:rsid w:val="001762F4"/>
    <w:rsid w:val="001764F7"/>
    <w:rsid w:val="001768E2"/>
    <w:rsid w:val="0018061D"/>
    <w:rsid w:val="00180A82"/>
    <w:rsid w:val="001811FF"/>
    <w:rsid w:val="00182B42"/>
    <w:rsid w:val="00182D03"/>
    <w:rsid w:val="00183FC7"/>
    <w:rsid w:val="00184AE4"/>
    <w:rsid w:val="00184C46"/>
    <w:rsid w:val="00186D96"/>
    <w:rsid w:val="00191C0B"/>
    <w:rsid w:val="00192F9E"/>
    <w:rsid w:val="001940FA"/>
    <w:rsid w:val="00194447"/>
    <w:rsid w:val="0019516A"/>
    <w:rsid w:val="00195479"/>
    <w:rsid w:val="001970B2"/>
    <w:rsid w:val="001979F8"/>
    <w:rsid w:val="001A1064"/>
    <w:rsid w:val="001A141E"/>
    <w:rsid w:val="001A35F9"/>
    <w:rsid w:val="001A3828"/>
    <w:rsid w:val="001A3AEF"/>
    <w:rsid w:val="001A3D0C"/>
    <w:rsid w:val="001A3E55"/>
    <w:rsid w:val="001A461B"/>
    <w:rsid w:val="001A56E8"/>
    <w:rsid w:val="001B01AC"/>
    <w:rsid w:val="001B0D26"/>
    <w:rsid w:val="001B10E9"/>
    <w:rsid w:val="001B1504"/>
    <w:rsid w:val="001B15BB"/>
    <w:rsid w:val="001B18C2"/>
    <w:rsid w:val="001B232C"/>
    <w:rsid w:val="001B28BC"/>
    <w:rsid w:val="001B3D6A"/>
    <w:rsid w:val="001B424E"/>
    <w:rsid w:val="001B4CC9"/>
    <w:rsid w:val="001B5DF7"/>
    <w:rsid w:val="001B65A1"/>
    <w:rsid w:val="001B6A12"/>
    <w:rsid w:val="001C0535"/>
    <w:rsid w:val="001C05B2"/>
    <w:rsid w:val="001C07DD"/>
    <w:rsid w:val="001C0B67"/>
    <w:rsid w:val="001C12BE"/>
    <w:rsid w:val="001C17BE"/>
    <w:rsid w:val="001C1C9C"/>
    <w:rsid w:val="001C365D"/>
    <w:rsid w:val="001C39EC"/>
    <w:rsid w:val="001C3A18"/>
    <w:rsid w:val="001C4264"/>
    <w:rsid w:val="001C52C8"/>
    <w:rsid w:val="001C6C93"/>
    <w:rsid w:val="001C76BE"/>
    <w:rsid w:val="001C782A"/>
    <w:rsid w:val="001D00DF"/>
    <w:rsid w:val="001D013F"/>
    <w:rsid w:val="001D078A"/>
    <w:rsid w:val="001D1A28"/>
    <w:rsid w:val="001D326E"/>
    <w:rsid w:val="001D4E3C"/>
    <w:rsid w:val="001D52CB"/>
    <w:rsid w:val="001D69DD"/>
    <w:rsid w:val="001D6C48"/>
    <w:rsid w:val="001D74DC"/>
    <w:rsid w:val="001E0C2F"/>
    <w:rsid w:val="001E0E97"/>
    <w:rsid w:val="001E17D8"/>
    <w:rsid w:val="001E2338"/>
    <w:rsid w:val="001E558F"/>
    <w:rsid w:val="001E5961"/>
    <w:rsid w:val="001E717B"/>
    <w:rsid w:val="001E74A2"/>
    <w:rsid w:val="001E76FC"/>
    <w:rsid w:val="001F0BC4"/>
    <w:rsid w:val="001F1D17"/>
    <w:rsid w:val="001F1F3D"/>
    <w:rsid w:val="001F4D66"/>
    <w:rsid w:val="001F4DA7"/>
    <w:rsid w:val="001F59A5"/>
    <w:rsid w:val="001F689E"/>
    <w:rsid w:val="0020089C"/>
    <w:rsid w:val="00200F03"/>
    <w:rsid w:val="002013C3"/>
    <w:rsid w:val="002022AD"/>
    <w:rsid w:val="00202634"/>
    <w:rsid w:val="00203A8F"/>
    <w:rsid w:val="00203D01"/>
    <w:rsid w:val="00204864"/>
    <w:rsid w:val="0020498A"/>
    <w:rsid w:val="002052D8"/>
    <w:rsid w:val="00205EFC"/>
    <w:rsid w:val="00210810"/>
    <w:rsid w:val="00211393"/>
    <w:rsid w:val="00211FAE"/>
    <w:rsid w:val="00211FF4"/>
    <w:rsid w:val="00212787"/>
    <w:rsid w:val="00212C0D"/>
    <w:rsid w:val="002138A9"/>
    <w:rsid w:val="00214451"/>
    <w:rsid w:val="002156FD"/>
    <w:rsid w:val="00215DFB"/>
    <w:rsid w:val="0021639E"/>
    <w:rsid w:val="00217A33"/>
    <w:rsid w:val="00221123"/>
    <w:rsid w:val="00223339"/>
    <w:rsid w:val="002236A6"/>
    <w:rsid w:val="00224DE6"/>
    <w:rsid w:val="00224E75"/>
    <w:rsid w:val="002259C0"/>
    <w:rsid w:val="00226823"/>
    <w:rsid w:val="002276DD"/>
    <w:rsid w:val="0023002B"/>
    <w:rsid w:val="00230EC2"/>
    <w:rsid w:val="002327D5"/>
    <w:rsid w:val="002327E9"/>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B03"/>
    <w:rsid w:val="00243514"/>
    <w:rsid w:val="00244ABF"/>
    <w:rsid w:val="002469F7"/>
    <w:rsid w:val="00247F50"/>
    <w:rsid w:val="00250267"/>
    <w:rsid w:val="00252542"/>
    <w:rsid w:val="002532B5"/>
    <w:rsid w:val="002539A1"/>
    <w:rsid w:val="00253B72"/>
    <w:rsid w:val="002542CC"/>
    <w:rsid w:val="002559A2"/>
    <w:rsid w:val="002563ED"/>
    <w:rsid w:val="00256406"/>
    <w:rsid w:val="0026049D"/>
    <w:rsid w:val="00260E92"/>
    <w:rsid w:val="00263B55"/>
    <w:rsid w:val="002653BB"/>
    <w:rsid w:val="0026557C"/>
    <w:rsid w:val="002659B2"/>
    <w:rsid w:val="00266729"/>
    <w:rsid w:val="00266BC6"/>
    <w:rsid w:val="00266F4F"/>
    <w:rsid w:val="00267947"/>
    <w:rsid w:val="00267AB2"/>
    <w:rsid w:val="00270FF0"/>
    <w:rsid w:val="0027137C"/>
    <w:rsid w:val="0027413E"/>
    <w:rsid w:val="0027451C"/>
    <w:rsid w:val="00274585"/>
    <w:rsid w:val="00274E55"/>
    <w:rsid w:val="002751DD"/>
    <w:rsid w:val="00276777"/>
    <w:rsid w:val="00276ED9"/>
    <w:rsid w:val="0028043D"/>
    <w:rsid w:val="00281365"/>
    <w:rsid w:val="0028188E"/>
    <w:rsid w:val="00282C78"/>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7AF8"/>
    <w:rsid w:val="002A0707"/>
    <w:rsid w:val="002A17C4"/>
    <w:rsid w:val="002A2B5D"/>
    <w:rsid w:val="002A349B"/>
    <w:rsid w:val="002A3665"/>
    <w:rsid w:val="002A3BAB"/>
    <w:rsid w:val="002A48AF"/>
    <w:rsid w:val="002A4A76"/>
    <w:rsid w:val="002A5E72"/>
    <w:rsid w:val="002A5F58"/>
    <w:rsid w:val="002B10EE"/>
    <w:rsid w:val="002B2798"/>
    <w:rsid w:val="002B4372"/>
    <w:rsid w:val="002B445D"/>
    <w:rsid w:val="002B4C96"/>
    <w:rsid w:val="002B5973"/>
    <w:rsid w:val="002C0F1F"/>
    <w:rsid w:val="002C1811"/>
    <w:rsid w:val="002C1999"/>
    <w:rsid w:val="002C289C"/>
    <w:rsid w:val="002C3DCC"/>
    <w:rsid w:val="002C41FF"/>
    <w:rsid w:val="002C43DB"/>
    <w:rsid w:val="002C4E24"/>
    <w:rsid w:val="002C5D72"/>
    <w:rsid w:val="002C6439"/>
    <w:rsid w:val="002C78B6"/>
    <w:rsid w:val="002C7ECD"/>
    <w:rsid w:val="002D09CC"/>
    <w:rsid w:val="002D0F32"/>
    <w:rsid w:val="002D0F3B"/>
    <w:rsid w:val="002D1B76"/>
    <w:rsid w:val="002D2A79"/>
    <w:rsid w:val="002D41B7"/>
    <w:rsid w:val="002D537A"/>
    <w:rsid w:val="002D6E86"/>
    <w:rsid w:val="002D73EF"/>
    <w:rsid w:val="002D750B"/>
    <w:rsid w:val="002E11B9"/>
    <w:rsid w:val="002E1245"/>
    <w:rsid w:val="002E5300"/>
    <w:rsid w:val="002E5965"/>
    <w:rsid w:val="002E5A78"/>
    <w:rsid w:val="002E64CB"/>
    <w:rsid w:val="002E7DDB"/>
    <w:rsid w:val="002F0044"/>
    <w:rsid w:val="002F0199"/>
    <w:rsid w:val="002F0388"/>
    <w:rsid w:val="002F1623"/>
    <w:rsid w:val="002F2C18"/>
    <w:rsid w:val="002F352C"/>
    <w:rsid w:val="002F3776"/>
    <w:rsid w:val="002F3FAF"/>
    <w:rsid w:val="002F7D23"/>
    <w:rsid w:val="003002D3"/>
    <w:rsid w:val="00300C7E"/>
    <w:rsid w:val="003029D8"/>
    <w:rsid w:val="00302FF6"/>
    <w:rsid w:val="003033EF"/>
    <w:rsid w:val="00303C59"/>
    <w:rsid w:val="00304E98"/>
    <w:rsid w:val="003058FB"/>
    <w:rsid w:val="00305FBE"/>
    <w:rsid w:val="00306501"/>
    <w:rsid w:val="003075E1"/>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FB2"/>
    <w:rsid w:val="00336DB2"/>
    <w:rsid w:val="00337799"/>
    <w:rsid w:val="0034052F"/>
    <w:rsid w:val="003415D2"/>
    <w:rsid w:val="00342579"/>
    <w:rsid w:val="00342715"/>
    <w:rsid w:val="003439F8"/>
    <w:rsid w:val="003440A3"/>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D02"/>
    <w:rsid w:val="00361007"/>
    <w:rsid w:val="00361CF3"/>
    <w:rsid w:val="003627DD"/>
    <w:rsid w:val="00362B7F"/>
    <w:rsid w:val="00363067"/>
    <w:rsid w:val="00363EFA"/>
    <w:rsid w:val="00364BAB"/>
    <w:rsid w:val="00364C54"/>
    <w:rsid w:val="00364D74"/>
    <w:rsid w:val="00364D95"/>
    <w:rsid w:val="00365049"/>
    <w:rsid w:val="0036522E"/>
    <w:rsid w:val="00367133"/>
    <w:rsid w:val="00367A90"/>
    <w:rsid w:val="00371609"/>
    <w:rsid w:val="00371671"/>
    <w:rsid w:val="0037202C"/>
    <w:rsid w:val="00372D96"/>
    <w:rsid w:val="00374124"/>
    <w:rsid w:val="003759AE"/>
    <w:rsid w:val="00377A77"/>
    <w:rsid w:val="003803A1"/>
    <w:rsid w:val="00380A9A"/>
    <w:rsid w:val="0038274D"/>
    <w:rsid w:val="00382847"/>
    <w:rsid w:val="003833E4"/>
    <w:rsid w:val="00383700"/>
    <w:rsid w:val="00383AB0"/>
    <w:rsid w:val="0038496B"/>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EC"/>
    <w:rsid w:val="00397A66"/>
    <w:rsid w:val="00397C0A"/>
    <w:rsid w:val="003A2297"/>
    <w:rsid w:val="003A29B6"/>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2DB1"/>
    <w:rsid w:val="003C4AF5"/>
    <w:rsid w:val="003C4E8F"/>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2423"/>
    <w:rsid w:val="00402CA2"/>
    <w:rsid w:val="0040578C"/>
    <w:rsid w:val="004079A9"/>
    <w:rsid w:val="00407AA7"/>
    <w:rsid w:val="004107E8"/>
    <w:rsid w:val="004114DB"/>
    <w:rsid w:val="00411755"/>
    <w:rsid w:val="0041385B"/>
    <w:rsid w:val="00413CA9"/>
    <w:rsid w:val="00413EED"/>
    <w:rsid w:val="00414A4C"/>
    <w:rsid w:val="00414CA3"/>
    <w:rsid w:val="00415AAD"/>
    <w:rsid w:val="0041623F"/>
    <w:rsid w:val="0041728F"/>
    <w:rsid w:val="004178C1"/>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229E"/>
    <w:rsid w:val="004331FF"/>
    <w:rsid w:val="00433EDC"/>
    <w:rsid w:val="00434AB9"/>
    <w:rsid w:val="00434C77"/>
    <w:rsid w:val="00440808"/>
    <w:rsid w:val="00441BAD"/>
    <w:rsid w:val="00443153"/>
    <w:rsid w:val="00443771"/>
    <w:rsid w:val="0044401F"/>
    <w:rsid w:val="004444F8"/>
    <w:rsid w:val="00444C4C"/>
    <w:rsid w:val="00444D44"/>
    <w:rsid w:val="004452E3"/>
    <w:rsid w:val="004460B4"/>
    <w:rsid w:val="00446146"/>
    <w:rsid w:val="00450993"/>
    <w:rsid w:val="004513D7"/>
    <w:rsid w:val="004520DF"/>
    <w:rsid w:val="0045436B"/>
    <w:rsid w:val="00455A5C"/>
    <w:rsid w:val="00456257"/>
    <w:rsid w:val="00456D45"/>
    <w:rsid w:val="00460A6B"/>
    <w:rsid w:val="00460CCB"/>
    <w:rsid w:val="00460D3F"/>
    <w:rsid w:val="00461E3E"/>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9F8"/>
    <w:rsid w:val="00471A72"/>
    <w:rsid w:val="0047306F"/>
    <w:rsid w:val="004733C2"/>
    <w:rsid w:val="0047355F"/>
    <w:rsid w:val="0047417A"/>
    <w:rsid w:val="004764CC"/>
    <w:rsid w:val="00477B4B"/>
    <w:rsid w:val="00477C1C"/>
    <w:rsid w:val="0048090F"/>
    <w:rsid w:val="00480C50"/>
    <w:rsid w:val="00481E81"/>
    <w:rsid w:val="0048396C"/>
    <w:rsid w:val="00484993"/>
    <w:rsid w:val="00486144"/>
    <w:rsid w:val="00486C20"/>
    <w:rsid w:val="00486F07"/>
    <w:rsid w:val="00491D54"/>
    <w:rsid w:val="004929C8"/>
    <w:rsid w:val="00492EDB"/>
    <w:rsid w:val="00494E1A"/>
    <w:rsid w:val="00495606"/>
    <w:rsid w:val="00496EBA"/>
    <w:rsid w:val="00497493"/>
    <w:rsid w:val="00497BC6"/>
    <w:rsid w:val="004A1166"/>
    <w:rsid w:val="004A58D1"/>
    <w:rsid w:val="004A58E6"/>
    <w:rsid w:val="004A7356"/>
    <w:rsid w:val="004A737C"/>
    <w:rsid w:val="004A7AEE"/>
    <w:rsid w:val="004A7C3A"/>
    <w:rsid w:val="004A7E85"/>
    <w:rsid w:val="004B03FA"/>
    <w:rsid w:val="004B0633"/>
    <w:rsid w:val="004B13AA"/>
    <w:rsid w:val="004B14C0"/>
    <w:rsid w:val="004B2B81"/>
    <w:rsid w:val="004B41EE"/>
    <w:rsid w:val="004B4C64"/>
    <w:rsid w:val="004B5BBE"/>
    <w:rsid w:val="004B6415"/>
    <w:rsid w:val="004B6441"/>
    <w:rsid w:val="004B73E7"/>
    <w:rsid w:val="004B7790"/>
    <w:rsid w:val="004B7884"/>
    <w:rsid w:val="004C05A5"/>
    <w:rsid w:val="004C0FE5"/>
    <w:rsid w:val="004C2DBC"/>
    <w:rsid w:val="004C339E"/>
    <w:rsid w:val="004C340A"/>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21A8"/>
    <w:rsid w:val="004E2B3E"/>
    <w:rsid w:val="004E3528"/>
    <w:rsid w:val="004E3A5B"/>
    <w:rsid w:val="004E46A8"/>
    <w:rsid w:val="004E4A42"/>
    <w:rsid w:val="004E7253"/>
    <w:rsid w:val="004E7950"/>
    <w:rsid w:val="004E7D6B"/>
    <w:rsid w:val="004F0B26"/>
    <w:rsid w:val="004F196E"/>
    <w:rsid w:val="004F1A47"/>
    <w:rsid w:val="004F1B3E"/>
    <w:rsid w:val="004F2115"/>
    <w:rsid w:val="004F2819"/>
    <w:rsid w:val="004F3783"/>
    <w:rsid w:val="004F4E76"/>
    <w:rsid w:val="004F61B4"/>
    <w:rsid w:val="004F694B"/>
    <w:rsid w:val="004F70F9"/>
    <w:rsid w:val="004F7A13"/>
    <w:rsid w:val="005003A6"/>
    <w:rsid w:val="00501FA4"/>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710"/>
    <w:rsid w:val="005127A0"/>
    <w:rsid w:val="00514A9A"/>
    <w:rsid w:val="00514E2E"/>
    <w:rsid w:val="00515A67"/>
    <w:rsid w:val="00515BC0"/>
    <w:rsid w:val="00516F22"/>
    <w:rsid w:val="005207E3"/>
    <w:rsid w:val="00520A8A"/>
    <w:rsid w:val="00522152"/>
    <w:rsid w:val="00523686"/>
    <w:rsid w:val="00523996"/>
    <w:rsid w:val="00525911"/>
    <w:rsid w:val="00527880"/>
    <w:rsid w:val="00531900"/>
    <w:rsid w:val="005329D4"/>
    <w:rsid w:val="00532E20"/>
    <w:rsid w:val="00534CC2"/>
    <w:rsid w:val="005359C0"/>
    <w:rsid w:val="00535FFB"/>
    <w:rsid w:val="00537288"/>
    <w:rsid w:val="0054017F"/>
    <w:rsid w:val="0054168C"/>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5200"/>
    <w:rsid w:val="005654FB"/>
    <w:rsid w:val="00565EF7"/>
    <w:rsid w:val="005661DF"/>
    <w:rsid w:val="00566858"/>
    <w:rsid w:val="005676DC"/>
    <w:rsid w:val="00567739"/>
    <w:rsid w:val="00567A1B"/>
    <w:rsid w:val="0057117C"/>
    <w:rsid w:val="0057239E"/>
    <w:rsid w:val="005724ED"/>
    <w:rsid w:val="00575896"/>
    <w:rsid w:val="00575EED"/>
    <w:rsid w:val="00575FD4"/>
    <w:rsid w:val="0057764D"/>
    <w:rsid w:val="00577829"/>
    <w:rsid w:val="005805C8"/>
    <w:rsid w:val="0058068C"/>
    <w:rsid w:val="00581104"/>
    <w:rsid w:val="005828CD"/>
    <w:rsid w:val="00583D31"/>
    <w:rsid w:val="00584150"/>
    <w:rsid w:val="00584D4C"/>
    <w:rsid w:val="00584ECF"/>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6CB1"/>
    <w:rsid w:val="005A71E9"/>
    <w:rsid w:val="005A7585"/>
    <w:rsid w:val="005B04CB"/>
    <w:rsid w:val="005B0683"/>
    <w:rsid w:val="005B0D29"/>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1B76"/>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3D56"/>
    <w:rsid w:val="006043AA"/>
    <w:rsid w:val="00606054"/>
    <w:rsid w:val="00607C32"/>
    <w:rsid w:val="00607F1C"/>
    <w:rsid w:val="00610CDE"/>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940"/>
    <w:rsid w:val="00626B1D"/>
    <w:rsid w:val="00630BE1"/>
    <w:rsid w:val="00630FCB"/>
    <w:rsid w:val="00632738"/>
    <w:rsid w:val="00633E90"/>
    <w:rsid w:val="0063400F"/>
    <w:rsid w:val="00635200"/>
    <w:rsid w:val="00635D71"/>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22A0"/>
    <w:rsid w:val="00653919"/>
    <w:rsid w:val="00654258"/>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86B1B"/>
    <w:rsid w:val="00690AFD"/>
    <w:rsid w:val="0069185E"/>
    <w:rsid w:val="006927FA"/>
    <w:rsid w:val="00692AC9"/>
    <w:rsid w:val="00693333"/>
    <w:rsid w:val="00693C6A"/>
    <w:rsid w:val="00694CCC"/>
    <w:rsid w:val="00694CE4"/>
    <w:rsid w:val="0069600A"/>
    <w:rsid w:val="00696031"/>
    <w:rsid w:val="00696261"/>
    <w:rsid w:val="0069688F"/>
    <w:rsid w:val="00697392"/>
    <w:rsid w:val="00697507"/>
    <w:rsid w:val="0069782A"/>
    <w:rsid w:val="006A083E"/>
    <w:rsid w:val="006A08D5"/>
    <w:rsid w:val="006A091D"/>
    <w:rsid w:val="006A2764"/>
    <w:rsid w:val="006A31EB"/>
    <w:rsid w:val="006A416D"/>
    <w:rsid w:val="006A41F5"/>
    <w:rsid w:val="006A4EAA"/>
    <w:rsid w:val="006A5519"/>
    <w:rsid w:val="006A5BE8"/>
    <w:rsid w:val="006A6090"/>
    <w:rsid w:val="006A645E"/>
    <w:rsid w:val="006A65F0"/>
    <w:rsid w:val="006A6F27"/>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B1B"/>
    <w:rsid w:val="006C15CE"/>
    <w:rsid w:val="006C1861"/>
    <w:rsid w:val="006C29F2"/>
    <w:rsid w:val="006C4809"/>
    <w:rsid w:val="006C7E77"/>
    <w:rsid w:val="006D03D8"/>
    <w:rsid w:val="006D0DD1"/>
    <w:rsid w:val="006D1BB9"/>
    <w:rsid w:val="006D1FFF"/>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489D"/>
    <w:rsid w:val="0074514B"/>
    <w:rsid w:val="007456DC"/>
    <w:rsid w:val="00745F83"/>
    <w:rsid w:val="007460DB"/>
    <w:rsid w:val="00746722"/>
    <w:rsid w:val="00746810"/>
    <w:rsid w:val="00746BC1"/>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7B7"/>
    <w:rsid w:val="00772D4D"/>
    <w:rsid w:val="007738AC"/>
    <w:rsid w:val="00773CCB"/>
    <w:rsid w:val="0077423A"/>
    <w:rsid w:val="00774A10"/>
    <w:rsid w:val="00774ED8"/>
    <w:rsid w:val="00776E35"/>
    <w:rsid w:val="00780E20"/>
    <w:rsid w:val="0078178B"/>
    <w:rsid w:val="0078187B"/>
    <w:rsid w:val="007818AB"/>
    <w:rsid w:val="00781CA3"/>
    <w:rsid w:val="00782FDA"/>
    <w:rsid w:val="00785399"/>
    <w:rsid w:val="00785B79"/>
    <w:rsid w:val="00786406"/>
    <w:rsid w:val="00787B80"/>
    <w:rsid w:val="00790145"/>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B31B6"/>
    <w:rsid w:val="007B3529"/>
    <w:rsid w:val="007B5211"/>
    <w:rsid w:val="007C0787"/>
    <w:rsid w:val="007C07C5"/>
    <w:rsid w:val="007C2D6B"/>
    <w:rsid w:val="007C3321"/>
    <w:rsid w:val="007C3593"/>
    <w:rsid w:val="007C4447"/>
    <w:rsid w:val="007C7E90"/>
    <w:rsid w:val="007D03DC"/>
    <w:rsid w:val="007D0DD1"/>
    <w:rsid w:val="007D114B"/>
    <w:rsid w:val="007D135C"/>
    <w:rsid w:val="007D2670"/>
    <w:rsid w:val="007D291E"/>
    <w:rsid w:val="007D2AA2"/>
    <w:rsid w:val="007D31F4"/>
    <w:rsid w:val="007D4275"/>
    <w:rsid w:val="007D4396"/>
    <w:rsid w:val="007D459C"/>
    <w:rsid w:val="007D4B5F"/>
    <w:rsid w:val="007D5306"/>
    <w:rsid w:val="007D5D0A"/>
    <w:rsid w:val="007D64BB"/>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87E"/>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B34"/>
    <w:rsid w:val="00811B49"/>
    <w:rsid w:val="00811CDA"/>
    <w:rsid w:val="008140C2"/>
    <w:rsid w:val="00814D3F"/>
    <w:rsid w:val="008157C9"/>
    <w:rsid w:val="008169EC"/>
    <w:rsid w:val="0082010F"/>
    <w:rsid w:val="008212B0"/>
    <w:rsid w:val="00821A37"/>
    <w:rsid w:val="00821C94"/>
    <w:rsid w:val="00822E71"/>
    <w:rsid w:val="00822F86"/>
    <w:rsid w:val="00824BEE"/>
    <w:rsid w:val="00825193"/>
    <w:rsid w:val="00825C09"/>
    <w:rsid w:val="00826076"/>
    <w:rsid w:val="00826273"/>
    <w:rsid w:val="00826FD1"/>
    <w:rsid w:val="008275E5"/>
    <w:rsid w:val="00827D46"/>
    <w:rsid w:val="0083038A"/>
    <w:rsid w:val="0083066E"/>
    <w:rsid w:val="00830E2A"/>
    <w:rsid w:val="008314D7"/>
    <w:rsid w:val="00831C5E"/>
    <w:rsid w:val="00832654"/>
    <w:rsid w:val="00832685"/>
    <w:rsid w:val="008331AD"/>
    <w:rsid w:val="008338B9"/>
    <w:rsid w:val="008350EE"/>
    <w:rsid w:val="0083618B"/>
    <w:rsid w:val="008367AC"/>
    <w:rsid w:val="00837647"/>
    <w:rsid w:val="008405A0"/>
    <w:rsid w:val="00840A6E"/>
    <w:rsid w:val="00841454"/>
    <w:rsid w:val="008429E8"/>
    <w:rsid w:val="00843690"/>
    <w:rsid w:val="00843DF6"/>
    <w:rsid w:val="00845BBE"/>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31E1"/>
    <w:rsid w:val="008736DF"/>
    <w:rsid w:val="008741DB"/>
    <w:rsid w:val="00874B7D"/>
    <w:rsid w:val="00874D0D"/>
    <w:rsid w:val="00875CD1"/>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50B"/>
    <w:rsid w:val="008860BD"/>
    <w:rsid w:val="00886AB3"/>
    <w:rsid w:val="00886F6C"/>
    <w:rsid w:val="008874F5"/>
    <w:rsid w:val="0088790E"/>
    <w:rsid w:val="00887B21"/>
    <w:rsid w:val="00890945"/>
    <w:rsid w:val="00890C94"/>
    <w:rsid w:val="00891B74"/>
    <w:rsid w:val="00892DE9"/>
    <w:rsid w:val="00893E28"/>
    <w:rsid w:val="00894DA5"/>
    <w:rsid w:val="0089503E"/>
    <w:rsid w:val="00895093"/>
    <w:rsid w:val="008959B9"/>
    <w:rsid w:val="00895F6F"/>
    <w:rsid w:val="00896BB6"/>
    <w:rsid w:val="008A0BF5"/>
    <w:rsid w:val="008A198C"/>
    <w:rsid w:val="008A2046"/>
    <w:rsid w:val="008A2455"/>
    <w:rsid w:val="008A2A2F"/>
    <w:rsid w:val="008A3652"/>
    <w:rsid w:val="008A6D95"/>
    <w:rsid w:val="008A6EC0"/>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6470"/>
    <w:rsid w:val="008C670E"/>
    <w:rsid w:val="008C7465"/>
    <w:rsid w:val="008D00A6"/>
    <w:rsid w:val="008D10DE"/>
    <w:rsid w:val="008D2C9C"/>
    <w:rsid w:val="008D3DE9"/>
    <w:rsid w:val="008D444C"/>
    <w:rsid w:val="008D54FE"/>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18"/>
    <w:rsid w:val="009031A2"/>
    <w:rsid w:val="0090367E"/>
    <w:rsid w:val="00903E49"/>
    <w:rsid w:val="00903EBB"/>
    <w:rsid w:val="009046F9"/>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9E5"/>
    <w:rsid w:val="00924DDF"/>
    <w:rsid w:val="00925D18"/>
    <w:rsid w:val="00927AA9"/>
    <w:rsid w:val="00927B5B"/>
    <w:rsid w:val="00930D55"/>
    <w:rsid w:val="00932F5A"/>
    <w:rsid w:val="00933610"/>
    <w:rsid w:val="00933B07"/>
    <w:rsid w:val="00934561"/>
    <w:rsid w:val="009358CE"/>
    <w:rsid w:val="00941C63"/>
    <w:rsid w:val="0094406C"/>
    <w:rsid w:val="00944F28"/>
    <w:rsid w:val="009459A6"/>
    <w:rsid w:val="00945FB7"/>
    <w:rsid w:val="00946CC3"/>
    <w:rsid w:val="00947A7A"/>
    <w:rsid w:val="009523E9"/>
    <w:rsid w:val="009539C8"/>
    <w:rsid w:val="00953BD4"/>
    <w:rsid w:val="00953DE1"/>
    <w:rsid w:val="00954C4D"/>
    <w:rsid w:val="00954C6C"/>
    <w:rsid w:val="00955259"/>
    <w:rsid w:val="00955D18"/>
    <w:rsid w:val="00956AC9"/>
    <w:rsid w:val="00960E94"/>
    <w:rsid w:val="009619CC"/>
    <w:rsid w:val="009628CB"/>
    <w:rsid w:val="00962AB9"/>
    <w:rsid w:val="00963089"/>
    <w:rsid w:val="0096362C"/>
    <w:rsid w:val="00963FE9"/>
    <w:rsid w:val="009650BD"/>
    <w:rsid w:val="00965DFD"/>
    <w:rsid w:val="00966084"/>
    <w:rsid w:val="009661A6"/>
    <w:rsid w:val="00966E9D"/>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A83"/>
    <w:rsid w:val="0099413E"/>
    <w:rsid w:val="009941C8"/>
    <w:rsid w:val="0099424C"/>
    <w:rsid w:val="00994BA0"/>
    <w:rsid w:val="009952BF"/>
    <w:rsid w:val="0099587F"/>
    <w:rsid w:val="00995B30"/>
    <w:rsid w:val="009967CB"/>
    <w:rsid w:val="009A0B29"/>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94D"/>
    <w:rsid w:val="009E0B58"/>
    <w:rsid w:val="009E0DB0"/>
    <w:rsid w:val="009E15A0"/>
    <w:rsid w:val="009E1A1C"/>
    <w:rsid w:val="009E1DC8"/>
    <w:rsid w:val="009E3B87"/>
    <w:rsid w:val="009E3FEB"/>
    <w:rsid w:val="009E46E9"/>
    <w:rsid w:val="009E5563"/>
    <w:rsid w:val="009E5586"/>
    <w:rsid w:val="009E5C1F"/>
    <w:rsid w:val="009E6BE9"/>
    <w:rsid w:val="009E7175"/>
    <w:rsid w:val="009F01E3"/>
    <w:rsid w:val="009F02EC"/>
    <w:rsid w:val="009F036B"/>
    <w:rsid w:val="009F05CF"/>
    <w:rsid w:val="009F09F1"/>
    <w:rsid w:val="009F1077"/>
    <w:rsid w:val="009F40CA"/>
    <w:rsid w:val="009F40D9"/>
    <w:rsid w:val="009F4267"/>
    <w:rsid w:val="009F475D"/>
    <w:rsid w:val="009F4BE9"/>
    <w:rsid w:val="009F58A3"/>
    <w:rsid w:val="009F76F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092B"/>
    <w:rsid w:val="00A11345"/>
    <w:rsid w:val="00A11D42"/>
    <w:rsid w:val="00A12A28"/>
    <w:rsid w:val="00A134D8"/>
    <w:rsid w:val="00A14950"/>
    <w:rsid w:val="00A16EE4"/>
    <w:rsid w:val="00A1766C"/>
    <w:rsid w:val="00A17F1A"/>
    <w:rsid w:val="00A2140A"/>
    <w:rsid w:val="00A219E7"/>
    <w:rsid w:val="00A21D98"/>
    <w:rsid w:val="00A22001"/>
    <w:rsid w:val="00A221D0"/>
    <w:rsid w:val="00A222A7"/>
    <w:rsid w:val="00A244AE"/>
    <w:rsid w:val="00A244B5"/>
    <w:rsid w:val="00A24AFA"/>
    <w:rsid w:val="00A25130"/>
    <w:rsid w:val="00A25446"/>
    <w:rsid w:val="00A25D87"/>
    <w:rsid w:val="00A26386"/>
    <w:rsid w:val="00A31462"/>
    <w:rsid w:val="00A31921"/>
    <w:rsid w:val="00A32152"/>
    <w:rsid w:val="00A34ED8"/>
    <w:rsid w:val="00A35017"/>
    <w:rsid w:val="00A35333"/>
    <w:rsid w:val="00A353BC"/>
    <w:rsid w:val="00A355C7"/>
    <w:rsid w:val="00A35A58"/>
    <w:rsid w:val="00A36171"/>
    <w:rsid w:val="00A36716"/>
    <w:rsid w:val="00A36A65"/>
    <w:rsid w:val="00A36BDD"/>
    <w:rsid w:val="00A372EE"/>
    <w:rsid w:val="00A4018D"/>
    <w:rsid w:val="00A429DA"/>
    <w:rsid w:val="00A43163"/>
    <w:rsid w:val="00A43397"/>
    <w:rsid w:val="00A434D5"/>
    <w:rsid w:val="00A4405B"/>
    <w:rsid w:val="00A44AE9"/>
    <w:rsid w:val="00A45CD8"/>
    <w:rsid w:val="00A45EE9"/>
    <w:rsid w:val="00A46815"/>
    <w:rsid w:val="00A51CAA"/>
    <w:rsid w:val="00A53343"/>
    <w:rsid w:val="00A54ACB"/>
    <w:rsid w:val="00A55ABB"/>
    <w:rsid w:val="00A56055"/>
    <w:rsid w:val="00A56B6D"/>
    <w:rsid w:val="00A57F27"/>
    <w:rsid w:val="00A60027"/>
    <w:rsid w:val="00A61E8F"/>
    <w:rsid w:val="00A62004"/>
    <w:rsid w:val="00A6266F"/>
    <w:rsid w:val="00A63F16"/>
    <w:rsid w:val="00A64A3B"/>
    <w:rsid w:val="00A65DD2"/>
    <w:rsid w:val="00A66866"/>
    <w:rsid w:val="00A679BC"/>
    <w:rsid w:val="00A70063"/>
    <w:rsid w:val="00A7009D"/>
    <w:rsid w:val="00A7080D"/>
    <w:rsid w:val="00A71703"/>
    <w:rsid w:val="00A71A8D"/>
    <w:rsid w:val="00A71EF4"/>
    <w:rsid w:val="00A7232D"/>
    <w:rsid w:val="00A72D7A"/>
    <w:rsid w:val="00A72E3F"/>
    <w:rsid w:val="00A74327"/>
    <w:rsid w:val="00A7436E"/>
    <w:rsid w:val="00A76812"/>
    <w:rsid w:val="00A76B23"/>
    <w:rsid w:val="00A80AAC"/>
    <w:rsid w:val="00A81584"/>
    <w:rsid w:val="00A81894"/>
    <w:rsid w:val="00A86A1B"/>
    <w:rsid w:val="00A86D47"/>
    <w:rsid w:val="00A91E1F"/>
    <w:rsid w:val="00A92296"/>
    <w:rsid w:val="00A9340A"/>
    <w:rsid w:val="00A944F3"/>
    <w:rsid w:val="00A96E05"/>
    <w:rsid w:val="00A97896"/>
    <w:rsid w:val="00A97E15"/>
    <w:rsid w:val="00AA0BA5"/>
    <w:rsid w:val="00AA164C"/>
    <w:rsid w:val="00AA179C"/>
    <w:rsid w:val="00AA18AE"/>
    <w:rsid w:val="00AA19B0"/>
    <w:rsid w:val="00AA2776"/>
    <w:rsid w:val="00AA3306"/>
    <w:rsid w:val="00AA4125"/>
    <w:rsid w:val="00AA4AA6"/>
    <w:rsid w:val="00AA57F0"/>
    <w:rsid w:val="00AA5DB4"/>
    <w:rsid w:val="00AB16BF"/>
    <w:rsid w:val="00AB1FBE"/>
    <w:rsid w:val="00AB24C8"/>
    <w:rsid w:val="00AB4252"/>
    <w:rsid w:val="00AB508B"/>
    <w:rsid w:val="00AB6734"/>
    <w:rsid w:val="00AB6BE1"/>
    <w:rsid w:val="00AC00CE"/>
    <w:rsid w:val="00AC16E1"/>
    <w:rsid w:val="00AC18F5"/>
    <w:rsid w:val="00AC2599"/>
    <w:rsid w:val="00AC26C3"/>
    <w:rsid w:val="00AC27AB"/>
    <w:rsid w:val="00AC3FF9"/>
    <w:rsid w:val="00AC5086"/>
    <w:rsid w:val="00AC5496"/>
    <w:rsid w:val="00AC6019"/>
    <w:rsid w:val="00AC6F72"/>
    <w:rsid w:val="00AD12EE"/>
    <w:rsid w:val="00AD173D"/>
    <w:rsid w:val="00AD2465"/>
    <w:rsid w:val="00AD442D"/>
    <w:rsid w:val="00AD6554"/>
    <w:rsid w:val="00AD7EE7"/>
    <w:rsid w:val="00AE0A04"/>
    <w:rsid w:val="00AE14F3"/>
    <w:rsid w:val="00AE20D3"/>
    <w:rsid w:val="00AE22F2"/>
    <w:rsid w:val="00AE2392"/>
    <w:rsid w:val="00AE24DF"/>
    <w:rsid w:val="00AE3428"/>
    <w:rsid w:val="00AE46CA"/>
    <w:rsid w:val="00AE52EA"/>
    <w:rsid w:val="00AE5B1E"/>
    <w:rsid w:val="00AE79CA"/>
    <w:rsid w:val="00AF1968"/>
    <w:rsid w:val="00AF310D"/>
    <w:rsid w:val="00AF328F"/>
    <w:rsid w:val="00AF4582"/>
    <w:rsid w:val="00AF4F04"/>
    <w:rsid w:val="00AF6B3D"/>
    <w:rsid w:val="00AF6F3E"/>
    <w:rsid w:val="00AF7639"/>
    <w:rsid w:val="00AF7B73"/>
    <w:rsid w:val="00AF7DE5"/>
    <w:rsid w:val="00B01399"/>
    <w:rsid w:val="00B01C44"/>
    <w:rsid w:val="00B03922"/>
    <w:rsid w:val="00B04ACF"/>
    <w:rsid w:val="00B053C6"/>
    <w:rsid w:val="00B05746"/>
    <w:rsid w:val="00B062B6"/>
    <w:rsid w:val="00B07386"/>
    <w:rsid w:val="00B10030"/>
    <w:rsid w:val="00B104E7"/>
    <w:rsid w:val="00B108E3"/>
    <w:rsid w:val="00B10DE9"/>
    <w:rsid w:val="00B14DAA"/>
    <w:rsid w:val="00B163C8"/>
    <w:rsid w:val="00B16E28"/>
    <w:rsid w:val="00B16E80"/>
    <w:rsid w:val="00B17D6B"/>
    <w:rsid w:val="00B209D1"/>
    <w:rsid w:val="00B227CB"/>
    <w:rsid w:val="00B234E3"/>
    <w:rsid w:val="00B23945"/>
    <w:rsid w:val="00B24A09"/>
    <w:rsid w:val="00B256F0"/>
    <w:rsid w:val="00B26A6C"/>
    <w:rsid w:val="00B274CC"/>
    <w:rsid w:val="00B31E79"/>
    <w:rsid w:val="00B32641"/>
    <w:rsid w:val="00B33A06"/>
    <w:rsid w:val="00B34AF2"/>
    <w:rsid w:val="00B35253"/>
    <w:rsid w:val="00B36427"/>
    <w:rsid w:val="00B40107"/>
    <w:rsid w:val="00B4093A"/>
    <w:rsid w:val="00B40D05"/>
    <w:rsid w:val="00B40DAA"/>
    <w:rsid w:val="00B419F8"/>
    <w:rsid w:val="00B4246E"/>
    <w:rsid w:val="00B43B74"/>
    <w:rsid w:val="00B43C8B"/>
    <w:rsid w:val="00B44286"/>
    <w:rsid w:val="00B44DE2"/>
    <w:rsid w:val="00B461DE"/>
    <w:rsid w:val="00B4742A"/>
    <w:rsid w:val="00B47B47"/>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A56"/>
    <w:rsid w:val="00B75A7B"/>
    <w:rsid w:val="00B77130"/>
    <w:rsid w:val="00B77B0A"/>
    <w:rsid w:val="00B77E9D"/>
    <w:rsid w:val="00B77EB1"/>
    <w:rsid w:val="00B811E0"/>
    <w:rsid w:val="00B811EC"/>
    <w:rsid w:val="00B81ED2"/>
    <w:rsid w:val="00B822F3"/>
    <w:rsid w:val="00B82F3D"/>
    <w:rsid w:val="00B83530"/>
    <w:rsid w:val="00B84123"/>
    <w:rsid w:val="00B85972"/>
    <w:rsid w:val="00B87120"/>
    <w:rsid w:val="00B901EB"/>
    <w:rsid w:val="00B920F7"/>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33D4"/>
    <w:rsid w:val="00BC4431"/>
    <w:rsid w:val="00BC4B7F"/>
    <w:rsid w:val="00BC5473"/>
    <w:rsid w:val="00BC6E2E"/>
    <w:rsid w:val="00BC7DE7"/>
    <w:rsid w:val="00BD097C"/>
    <w:rsid w:val="00BD2639"/>
    <w:rsid w:val="00BD37E2"/>
    <w:rsid w:val="00BD4CC9"/>
    <w:rsid w:val="00BD4EB5"/>
    <w:rsid w:val="00BD5B6F"/>
    <w:rsid w:val="00BD620F"/>
    <w:rsid w:val="00BE197A"/>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0D0"/>
    <w:rsid w:val="00C16E14"/>
    <w:rsid w:val="00C201CA"/>
    <w:rsid w:val="00C203E7"/>
    <w:rsid w:val="00C21EFF"/>
    <w:rsid w:val="00C22360"/>
    <w:rsid w:val="00C227AD"/>
    <w:rsid w:val="00C22825"/>
    <w:rsid w:val="00C23BA1"/>
    <w:rsid w:val="00C23DF7"/>
    <w:rsid w:val="00C253D7"/>
    <w:rsid w:val="00C25B4D"/>
    <w:rsid w:val="00C26DEE"/>
    <w:rsid w:val="00C274F6"/>
    <w:rsid w:val="00C27BFD"/>
    <w:rsid w:val="00C303D0"/>
    <w:rsid w:val="00C30474"/>
    <w:rsid w:val="00C3053E"/>
    <w:rsid w:val="00C31597"/>
    <w:rsid w:val="00C363DF"/>
    <w:rsid w:val="00C373A2"/>
    <w:rsid w:val="00C37F29"/>
    <w:rsid w:val="00C4067A"/>
    <w:rsid w:val="00C41BC5"/>
    <w:rsid w:val="00C44FB9"/>
    <w:rsid w:val="00C454C8"/>
    <w:rsid w:val="00C45A67"/>
    <w:rsid w:val="00C46454"/>
    <w:rsid w:val="00C47D9F"/>
    <w:rsid w:val="00C5077D"/>
    <w:rsid w:val="00C5106A"/>
    <w:rsid w:val="00C515E0"/>
    <w:rsid w:val="00C5183B"/>
    <w:rsid w:val="00C51A35"/>
    <w:rsid w:val="00C522C9"/>
    <w:rsid w:val="00C540BC"/>
    <w:rsid w:val="00C546D9"/>
    <w:rsid w:val="00C57333"/>
    <w:rsid w:val="00C57A19"/>
    <w:rsid w:val="00C61790"/>
    <w:rsid w:val="00C624F8"/>
    <w:rsid w:val="00C62955"/>
    <w:rsid w:val="00C64256"/>
    <w:rsid w:val="00C64815"/>
    <w:rsid w:val="00C64A18"/>
    <w:rsid w:val="00C64C12"/>
    <w:rsid w:val="00C64DB4"/>
    <w:rsid w:val="00C66947"/>
    <w:rsid w:val="00C67814"/>
    <w:rsid w:val="00C67DF9"/>
    <w:rsid w:val="00C703D4"/>
    <w:rsid w:val="00C7096C"/>
    <w:rsid w:val="00C70A83"/>
    <w:rsid w:val="00C71FF0"/>
    <w:rsid w:val="00C725E7"/>
    <w:rsid w:val="00C726AA"/>
    <w:rsid w:val="00C72F05"/>
    <w:rsid w:val="00C732DD"/>
    <w:rsid w:val="00C73A82"/>
    <w:rsid w:val="00C73BEF"/>
    <w:rsid w:val="00C74BBA"/>
    <w:rsid w:val="00C74EB7"/>
    <w:rsid w:val="00C7512A"/>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7E3"/>
    <w:rsid w:val="00C938A2"/>
    <w:rsid w:val="00C94BED"/>
    <w:rsid w:val="00C9647E"/>
    <w:rsid w:val="00C9666D"/>
    <w:rsid w:val="00C97992"/>
    <w:rsid w:val="00C97B34"/>
    <w:rsid w:val="00CA1241"/>
    <w:rsid w:val="00CA18F8"/>
    <w:rsid w:val="00CA1941"/>
    <w:rsid w:val="00CA3753"/>
    <w:rsid w:val="00CA3D9A"/>
    <w:rsid w:val="00CB10E5"/>
    <w:rsid w:val="00CB1363"/>
    <w:rsid w:val="00CB1D32"/>
    <w:rsid w:val="00CB40EE"/>
    <w:rsid w:val="00CB4EF9"/>
    <w:rsid w:val="00CB4F00"/>
    <w:rsid w:val="00CB5CC4"/>
    <w:rsid w:val="00CB6A8A"/>
    <w:rsid w:val="00CB7A79"/>
    <w:rsid w:val="00CC0E6A"/>
    <w:rsid w:val="00CC3544"/>
    <w:rsid w:val="00CC3E39"/>
    <w:rsid w:val="00CC4171"/>
    <w:rsid w:val="00CC4385"/>
    <w:rsid w:val="00CC49A2"/>
    <w:rsid w:val="00CC57DC"/>
    <w:rsid w:val="00CC6783"/>
    <w:rsid w:val="00CC6A15"/>
    <w:rsid w:val="00CC6AD3"/>
    <w:rsid w:val="00CC734B"/>
    <w:rsid w:val="00CD1811"/>
    <w:rsid w:val="00CD2E7B"/>
    <w:rsid w:val="00CD4639"/>
    <w:rsid w:val="00CD5F76"/>
    <w:rsid w:val="00CD6411"/>
    <w:rsid w:val="00CE24C9"/>
    <w:rsid w:val="00CE27BF"/>
    <w:rsid w:val="00CE2C06"/>
    <w:rsid w:val="00CE3E7C"/>
    <w:rsid w:val="00CE4BFB"/>
    <w:rsid w:val="00CE5779"/>
    <w:rsid w:val="00CE5991"/>
    <w:rsid w:val="00CE63B6"/>
    <w:rsid w:val="00CE653A"/>
    <w:rsid w:val="00CF2663"/>
    <w:rsid w:val="00CF35FC"/>
    <w:rsid w:val="00CF3BBF"/>
    <w:rsid w:val="00CF53C8"/>
    <w:rsid w:val="00CF5E85"/>
    <w:rsid w:val="00CF5F66"/>
    <w:rsid w:val="00CF635C"/>
    <w:rsid w:val="00CF63CB"/>
    <w:rsid w:val="00CF7A15"/>
    <w:rsid w:val="00D00275"/>
    <w:rsid w:val="00D00B99"/>
    <w:rsid w:val="00D0129A"/>
    <w:rsid w:val="00D02C24"/>
    <w:rsid w:val="00D033AB"/>
    <w:rsid w:val="00D0410B"/>
    <w:rsid w:val="00D0422F"/>
    <w:rsid w:val="00D046A8"/>
    <w:rsid w:val="00D057E1"/>
    <w:rsid w:val="00D05BB8"/>
    <w:rsid w:val="00D05EB9"/>
    <w:rsid w:val="00D06776"/>
    <w:rsid w:val="00D06A85"/>
    <w:rsid w:val="00D07A8B"/>
    <w:rsid w:val="00D13369"/>
    <w:rsid w:val="00D13F17"/>
    <w:rsid w:val="00D14053"/>
    <w:rsid w:val="00D14D46"/>
    <w:rsid w:val="00D15180"/>
    <w:rsid w:val="00D1518A"/>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3E3E"/>
    <w:rsid w:val="00D27CCC"/>
    <w:rsid w:val="00D30967"/>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404D"/>
    <w:rsid w:val="00D468AB"/>
    <w:rsid w:val="00D478CF"/>
    <w:rsid w:val="00D502B8"/>
    <w:rsid w:val="00D504C3"/>
    <w:rsid w:val="00D508CE"/>
    <w:rsid w:val="00D51474"/>
    <w:rsid w:val="00D51A1E"/>
    <w:rsid w:val="00D538D3"/>
    <w:rsid w:val="00D56136"/>
    <w:rsid w:val="00D56D1A"/>
    <w:rsid w:val="00D57B64"/>
    <w:rsid w:val="00D601FC"/>
    <w:rsid w:val="00D606E2"/>
    <w:rsid w:val="00D61533"/>
    <w:rsid w:val="00D621E6"/>
    <w:rsid w:val="00D62387"/>
    <w:rsid w:val="00D62A5F"/>
    <w:rsid w:val="00D64CA3"/>
    <w:rsid w:val="00D64FE0"/>
    <w:rsid w:val="00D668D4"/>
    <w:rsid w:val="00D67573"/>
    <w:rsid w:val="00D67A5D"/>
    <w:rsid w:val="00D67BBB"/>
    <w:rsid w:val="00D67C7B"/>
    <w:rsid w:val="00D71342"/>
    <w:rsid w:val="00D71803"/>
    <w:rsid w:val="00D71CD2"/>
    <w:rsid w:val="00D72920"/>
    <w:rsid w:val="00D72EB4"/>
    <w:rsid w:val="00D73420"/>
    <w:rsid w:val="00D73B1E"/>
    <w:rsid w:val="00D7472A"/>
    <w:rsid w:val="00D74A5E"/>
    <w:rsid w:val="00D751B0"/>
    <w:rsid w:val="00D805CE"/>
    <w:rsid w:val="00D80E32"/>
    <w:rsid w:val="00D81307"/>
    <w:rsid w:val="00D81C22"/>
    <w:rsid w:val="00D81C7A"/>
    <w:rsid w:val="00D81CB1"/>
    <w:rsid w:val="00D82C94"/>
    <w:rsid w:val="00D82F00"/>
    <w:rsid w:val="00D830A4"/>
    <w:rsid w:val="00D83969"/>
    <w:rsid w:val="00D84D1C"/>
    <w:rsid w:val="00D85439"/>
    <w:rsid w:val="00D86311"/>
    <w:rsid w:val="00D87BF1"/>
    <w:rsid w:val="00D90188"/>
    <w:rsid w:val="00D90700"/>
    <w:rsid w:val="00D90FB6"/>
    <w:rsid w:val="00D916E0"/>
    <w:rsid w:val="00D92D5B"/>
    <w:rsid w:val="00D93206"/>
    <w:rsid w:val="00D94EB7"/>
    <w:rsid w:val="00D95007"/>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F"/>
    <w:rsid w:val="00DB69D2"/>
    <w:rsid w:val="00DB6DF3"/>
    <w:rsid w:val="00DB6F6A"/>
    <w:rsid w:val="00DB73A9"/>
    <w:rsid w:val="00DC21B2"/>
    <w:rsid w:val="00DC27C5"/>
    <w:rsid w:val="00DC3B90"/>
    <w:rsid w:val="00DC543D"/>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866"/>
    <w:rsid w:val="00DF2441"/>
    <w:rsid w:val="00DF29AB"/>
    <w:rsid w:val="00DF2ED9"/>
    <w:rsid w:val="00DF3D79"/>
    <w:rsid w:val="00DF4971"/>
    <w:rsid w:val="00DF6481"/>
    <w:rsid w:val="00DF76D7"/>
    <w:rsid w:val="00DF776E"/>
    <w:rsid w:val="00DF7C95"/>
    <w:rsid w:val="00E013C8"/>
    <w:rsid w:val="00E01B2D"/>
    <w:rsid w:val="00E03063"/>
    <w:rsid w:val="00E03C2F"/>
    <w:rsid w:val="00E04459"/>
    <w:rsid w:val="00E0490E"/>
    <w:rsid w:val="00E06D7D"/>
    <w:rsid w:val="00E07AE2"/>
    <w:rsid w:val="00E1002C"/>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30A3C"/>
    <w:rsid w:val="00E30ADD"/>
    <w:rsid w:val="00E30C86"/>
    <w:rsid w:val="00E32722"/>
    <w:rsid w:val="00E33B33"/>
    <w:rsid w:val="00E34658"/>
    <w:rsid w:val="00E3526B"/>
    <w:rsid w:val="00E35AA3"/>
    <w:rsid w:val="00E37047"/>
    <w:rsid w:val="00E37661"/>
    <w:rsid w:val="00E407DD"/>
    <w:rsid w:val="00E41308"/>
    <w:rsid w:val="00E41633"/>
    <w:rsid w:val="00E417E3"/>
    <w:rsid w:val="00E4346B"/>
    <w:rsid w:val="00E4347A"/>
    <w:rsid w:val="00E435F2"/>
    <w:rsid w:val="00E44AB4"/>
    <w:rsid w:val="00E44B09"/>
    <w:rsid w:val="00E44C79"/>
    <w:rsid w:val="00E45BEF"/>
    <w:rsid w:val="00E46012"/>
    <w:rsid w:val="00E4661C"/>
    <w:rsid w:val="00E46EC4"/>
    <w:rsid w:val="00E50405"/>
    <w:rsid w:val="00E516C1"/>
    <w:rsid w:val="00E51A34"/>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A005D"/>
    <w:rsid w:val="00EA0C94"/>
    <w:rsid w:val="00EA0FAF"/>
    <w:rsid w:val="00EA2B80"/>
    <w:rsid w:val="00EA33A4"/>
    <w:rsid w:val="00EA3B47"/>
    <w:rsid w:val="00EA45D8"/>
    <w:rsid w:val="00EA5358"/>
    <w:rsid w:val="00EA5C24"/>
    <w:rsid w:val="00EA5F81"/>
    <w:rsid w:val="00EA6E1D"/>
    <w:rsid w:val="00EA7311"/>
    <w:rsid w:val="00EA7B88"/>
    <w:rsid w:val="00EB44EE"/>
    <w:rsid w:val="00EB509D"/>
    <w:rsid w:val="00EB6E7A"/>
    <w:rsid w:val="00EC13B7"/>
    <w:rsid w:val="00EC1BD8"/>
    <w:rsid w:val="00EC2AB1"/>
    <w:rsid w:val="00EC423F"/>
    <w:rsid w:val="00EC4C43"/>
    <w:rsid w:val="00EC5F04"/>
    <w:rsid w:val="00EC63E2"/>
    <w:rsid w:val="00EC69E1"/>
    <w:rsid w:val="00EC6D2D"/>
    <w:rsid w:val="00EC713A"/>
    <w:rsid w:val="00EC7796"/>
    <w:rsid w:val="00EC7FB1"/>
    <w:rsid w:val="00ED0F60"/>
    <w:rsid w:val="00ED143E"/>
    <w:rsid w:val="00ED2941"/>
    <w:rsid w:val="00ED65ED"/>
    <w:rsid w:val="00ED6A60"/>
    <w:rsid w:val="00ED6FD4"/>
    <w:rsid w:val="00ED70E2"/>
    <w:rsid w:val="00ED7F77"/>
    <w:rsid w:val="00EE140B"/>
    <w:rsid w:val="00EE25F5"/>
    <w:rsid w:val="00EE278E"/>
    <w:rsid w:val="00EE3AEB"/>
    <w:rsid w:val="00EE4363"/>
    <w:rsid w:val="00EE4976"/>
    <w:rsid w:val="00EE5CC0"/>
    <w:rsid w:val="00EE5E88"/>
    <w:rsid w:val="00EE74E4"/>
    <w:rsid w:val="00EF0733"/>
    <w:rsid w:val="00EF0FE0"/>
    <w:rsid w:val="00EF1FF3"/>
    <w:rsid w:val="00EF2BED"/>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215A9"/>
    <w:rsid w:val="00F21A6E"/>
    <w:rsid w:val="00F2226F"/>
    <w:rsid w:val="00F2269F"/>
    <w:rsid w:val="00F226CE"/>
    <w:rsid w:val="00F23BB1"/>
    <w:rsid w:val="00F24CCC"/>
    <w:rsid w:val="00F25C93"/>
    <w:rsid w:val="00F27DB8"/>
    <w:rsid w:val="00F3080D"/>
    <w:rsid w:val="00F31ACB"/>
    <w:rsid w:val="00F327D7"/>
    <w:rsid w:val="00F327DB"/>
    <w:rsid w:val="00F32D1A"/>
    <w:rsid w:val="00F32EE8"/>
    <w:rsid w:val="00F33BFD"/>
    <w:rsid w:val="00F340D8"/>
    <w:rsid w:val="00F36F50"/>
    <w:rsid w:val="00F37CCC"/>
    <w:rsid w:val="00F400A9"/>
    <w:rsid w:val="00F410EA"/>
    <w:rsid w:val="00F413C3"/>
    <w:rsid w:val="00F42FBF"/>
    <w:rsid w:val="00F433FF"/>
    <w:rsid w:val="00F43CDE"/>
    <w:rsid w:val="00F4434D"/>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945"/>
    <w:rsid w:val="00F91D6A"/>
    <w:rsid w:val="00F91FCF"/>
    <w:rsid w:val="00F928CB"/>
    <w:rsid w:val="00F92923"/>
    <w:rsid w:val="00F93161"/>
    <w:rsid w:val="00F93A92"/>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1153"/>
    <w:rsid w:val="00FB19F4"/>
    <w:rsid w:val="00FB1DF5"/>
    <w:rsid w:val="00FB1F36"/>
    <w:rsid w:val="00FB2462"/>
    <w:rsid w:val="00FB29D6"/>
    <w:rsid w:val="00FB3229"/>
    <w:rsid w:val="00FB40C4"/>
    <w:rsid w:val="00FB4732"/>
    <w:rsid w:val="00FB5355"/>
    <w:rsid w:val="00FB5CC0"/>
    <w:rsid w:val="00FB5F92"/>
    <w:rsid w:val="00FB6FED"/>
    <w:rsid w:val="00FB72FC"/>
    <w:rsid w:val="00FB7E0C"/>
    <w:rsid w:val="00FB7F26"/>
    <w:rsid w:val="00FC0B2C"/>
    <w:rsid w:val="00FC1390"/>
    <w:rsid w:val="00FC3325"/>
    <w:rsid w:val="00FC4239"/>
    <w:rsid w:val="00FC45F0"/>
    <w:rsid w:val="00FC4F4E"/>
    <w:rsid w:val="00FC5610"/>
    <w:rsid w:val="00FD067E"/>
    <w:rsid w:val="00FD126B"/>
    <w:rsid w:val="00FD183E"/>
    <w:rsid w:val="00FD1A59"/>
    <w:rsid w:val="00FD1EF9"/>
    <w:rsid w:val="00FD2974"/>
    <w:rsid w:val="00FD3802"/>
    <w:rsid w:val="00FD5998"/>
    <w:rsid w:val="00FD5BD5"/>
    <w:rsid w:val="00FD6793"/>
    <w:rsid w:val="00FD7243"/>
    <w:rsid w:val="00FD75DA"/>
    <w:rsid w:val="00FD7DA4"/>
    <w:rsid w:val="00FD7E01"/>
    <w:rsid w:val="00FE0210"/>
    <w:rsid w:val="00FE140C"/>
    <w:rsid w:val="00FE15E3"/>
    <w:rsid w:val="00FE16FC"/>
    <w:rsid w:val="00FE21A5"/>
    <w:rsid w:val="00FE2954"/>
    <w:rsid w:val="00FE2B7E"/>
    <w:rsid w:val="00FE33DE"/>
    <w:rsid w:val="00FE3C85"/>
    <w:rsid w:val="00FE5651"/>
    <w:rsid w:val="00FE57C9"/>
    <w:rsid w:val="00FE629F"/>
    <w:rsid w:val="00FE64BB"/>
    <w:rsid w:val="00FE6B66"/>
    <w:rsid w:val="00FE714C"/>
    <w:rsid w:val="00FE7485"/>
    <w:rsid w:val="00FF0753"/>
    <w:rsid w:val="00FF15DA"/>
    <w:rsid w:val="00FF1B46"/>
    <w:rsid w:val="00FF2067"/>
    <w:rsid w:val="00FF27A9"/>
    <w:rsid w:val="00FF3A9F"/>
    <w:rsid w:val="00FF3F13"/>
    <w:rsid w:val="00FF5603"/>
    <w:rsid w:val="00FF573B"/>
    <w:rsid w:val="00FF5A93"/>
    <w:rsid w:val="00FF724D"/>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7"/>
    <o:shapelayout v:ext="edit">
      <o:idmap v:ext="edit" data="1"/>
    </o:shapelayout>
  </w:shapeDefaults>
  <w:decimalSymbol w:val=","/>
  <w:listSeparator w:val=";"/>
  <w14:docId w14:val="3FCF1799"/>
  <w14:defaultImageDpi w14:val="96"/>
  <w15:docId w15:val="{B03AC911-A690-4B23-B46D-1FA2F9C6691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v-SE"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outlineLvl w:val="1"/>
    </w:pPr>
  </w:style>
  <w:style w:type="paragraph" w:styleId="Heading3">
    <w:name w:val="heading 3"/>
    <w:basedOn w:val="Normal"/>
    <w:next w:val="Normal"/>
    <w:link w:val="Heading3Char"/>
    <w:qFormat/>
    <w:rsid w:val="00976928"/>
    <w:pPr>
      <w:numPr>
        <w:ilvl w:val="2"/>
        <w:numId w:val="1"/>
      </w:numPr>
      <w:outlineLvl w:val="2"/>
    </w:pPr>
  </w:style>
  <w:style w:type="paragraph" w:styleId="Heading4">
    <w:name w:val="heading 4"/>
    <w:basedOn w:val="Normal"/>
    <w:next w:val="Normal"/>
    <w:link w:val="Heading4Char"/>
    <w:qFormat/>
    <w:rsid w:val="00976928"/>
    <w:pPr>
      <w:numPr>
        <w:ilvl w:val="3"/>
        <w:numId w:val="1"/>
      </w:numPr>
      <w:outlineLvl w:val="3"/>
    </w:pPr>
  </w:style>
  <w:style w:type="paragraph" w:styleId="Heading5">
    <w:name w:val="heading 5"/>
    <w:basedOn w:val="Normal"/>
    <w:next w:val="Normal"/>
    <w:link w:val="Heading5Char"/>
    <w:qFormat/>
    <w:rsid w:val="00976928"/>
    <w:pPr>
      <w:numPr>
        <w:ilvl w:val="4"/>
        <w:numId w:val="1"/>
      </w:numPr>
      <w:outlineLvl w:val="4"/>
    </w:pPr>
  </w:style>
  <w:style w:type="paragraph" w:styleId="Heading6">
    <w:name w:val="heading 6"/>
    <w:basedOn w:val="Normal"/>
    <w:next w:val="Normal"/>
    <w:link w:val="Heading6Char"/>
    <w:qFormat/>
    <w:rsid w:val="00976928"/>
    <w:pPr>
      <w:numPr>
        <w:ilvl w:val="5"/>
        <w:numId w:val="1"/>
      </w:numPr>
      <w:outlineLvl w:val="5"/>
    </w:pPr>
  </w:style>
  <w:style w:type="paragraph" w:styleId="Heading7">
    <w:name w:val="heading 7"/>
    <w:basedOn w:val="Normal"/>
    <w:next w:val="Normal"/>
    <w:link w:val="Heading7Char"/>
    <w:qFormat/>
    <w:rsid w:val="00976928"/>
    <w:pPr>
      <w:numPr>
        <w:ilvl w:val="6"/>
        <w:numId w:val="1"/>
      </w:numPr>
      <w:outlineLvl w:val="6"/>
    </w:pPr>
  </w:style>
  <w:style w:type="paragraph" w:styleId="Heading8">
    <w:name w:val="heading 8"/>
    <w:basedOn w:val="Normal"/>
    <w:next w:val="Normal"/>
    <w:link w:val="Heading8Char"/>
    <w:qFormat/>
    <w:rsid w:val="00976928"/>
    <w:pPr>
      <w:numPr>
        <w:ilvl w:val="7"/>
        <w:numId w:val="1"/>
      </w:numPr>
      <w:outlineLvl w:val="7"/>
    </w:pPr>
  </w:style>
  <w:style w:type="paragraph" w:styleId="Heading9">
    <w:name w:val="heading 9"/>
    <w:basedOn w:val="Normal"/>
    <w:next w:val="Normal"/>
    <w:link w:val="Heading9Char"/>
    <w:qFormat/>
    <w:rsid w:val="0097692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sv-SE"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sv-SE"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sv-SE"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sv-SE"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sv-SE"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sv-SE"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sv-SE"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sv-SE"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sv-SE"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sv-SE"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sv-SE"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sv-SE"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sv-SE"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sv-SE"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rsid w:val="00335FB2"/>
    <w:rPr>
      <w:sz w:val="16"/>
      <w:szCs w:val="16"/>
    </w:rPr>
  </w:style>
  <w:style w:type="paragraph" w:styleId="CommentText">
    <w:name w:val="annotation text"/>
    <w:basedOn w:val="Normal"/>
    <w:link w:val="CommentTextChar"/>
    <w:rsid w:val="00335FB2"/>
    <w:pPr>
      <w:spacing w:line="240" w:lineRule="auto"/>
    </w:pPr>
    <w:rPr>
      <w:sz w:val="20"/>
      <w:szCs w:val="20"/>
    </w:rPr>
  </w:style>
  <w:style w:type="character" w:customStyle="1" w:styleId="CommentTextChar">
    <w:name w:val="Comment Text Char"/>
    <w:basedOn w:val="DefaultParagraphFont"/>
    <w:link w:val="CommentText"/>
    <w:rsid w:val="00335FB2"/>
    <w:rPr>
      <w:rFonts w:ascii="Times New Roman" w:hAnsi="Times New Roman"/>
      <w:lang w:val="sv-SE"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sv-SE"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esc.europa.eu/sv/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Antonio.RibeiroPereira@eesc.europa.e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usanne.johansson@eesc.europa.eu"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Kristian.Krieger@eesc.europa.eu"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Arturo.Iniguez@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tonio.RibeiroPereira@eesc.europa.eu" TargetMode="External"/><Relationship Id="rId32" Type="http://schemas.openxmlformats.org/officeDocument/2006/relationships/hyperlink" Target="mailto:sabrina.borg@eesc.europa.eu"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Maja.Radman@eesc.europa.eu" TargetMode="External"/><Relationship Id="rId28" Type="http://schemas.openxmlformats.org/officeDocument/2006/relationships/hyperlink" Target="mailto:Arturo.Iniguez@eesc.europa.eu"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mariajudite.berkemeier@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georgios.meleas@eesc.europa.eu" TargetMode="External"/><Relationship Id="rId27" Type="http://schemas.openxmlformats.org/officeDocument/2006/relationships/hyperlink" Target="mailto:Monica.Guarinoni@eesc.europa.eu" TargetMode="External"/><Relationship Id="rId30" Type="http://schemas.openxmlformats.org/officeDocument/2006/relationships/hyperlink" Target="http://eur-lex.europa.eu/legal-content/SV/TXT/?uri=uriserv:OJ.C_.2014.170.01.0023.01.SWE" TargetMode="External"/><Relationship Id="rId35" Type="http://schemas.openxmlformats.org/officeDocument/2006/relationships/footer" Target="footer4.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CTJJHAUHWN5E-3-7255</_dlc_DocId>
    <_dlc_DocIdUrl xmlns="bfc960a6-20da-4c94-8684-71380fca093b">
      <Url>http://dm2016/eesc/2019/_layouts/15/DocIdRedir.aspx?ID=CTJJHAUHWN5E-3-7255</Url>
      <Description>CTJJHAUHWN5E-3-7255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2019-03-14T12:00:00+00:00</ProductionDate>
    <DocumentNumber xmlns="1a880128-5ecc-41cf-b0c3-c2c47c4bf0f0">479</DocumentNumber>
    <FicheYear xmlns="bfc960a6-20da-4c94-8684-71380fca093b">2019</FicheYear>
    <DocumentVersion xmlns="bfc960a6-20da-4c94-8684-71380fca093b">1</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2019-03-20T12:00:00+00:00</MeetingDate>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TaxCatchAll xmlns="bfc960a6-20da-4c94-8684-71380fca093b">
      <Value>65</Value>
      <Value>64</Value>
      <Value>63</Value>
      <Value>62</Value>
      <Value>60</Value>
      <Value>59</Value>
      <Value>58</Value>
      <Value>57</Value>
      <Value>56</Value>
      <Value>55</Value>
      <Value>52</Value>
      <Value>49</Value>
      <Value>48</Value>
      <Value>46</Value>
      <Value>45</Value>
      <Value>38</Value>
      <Value>31</Value>
      <Value>25</Value>
      <Value>21</Value>
      <Value>17</Value>
      <Value>16</Value>
      <Value>14</Value>
      <Value>10</Value>
      <Value>8</Value>
      <Value>7</Value>
      <Value>5</Value>
      <Value>4</Value>
      <Value>2</Value>
      <Value>1</Value>
    </TaxCatchAll>
    <Rapporteur xmlns="bfc960a6-20da-4c94-8684-71380fca093b"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bfc960a6-20da-4c94-8684-71380fca093b">2019</DocumentYear>
    <FicheNumber xmlns="bfc960a6-20da-4c94-8684-71380fca093b">2884</FicheNumber>
    <AdoptionDate xmlns="bfc960a6-20da-4c94-8684-71380fca093b" xsi:nil="true"/>
    <DocumentPart xmlns="bfc960a6-20da-4c94-8684-71380fca093b">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bfc960a6-20da-4c94-8684-71380fca093b">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MeetingNumber xmlns="1a880128-5ecc-41cf-b0c3-c2c47c4bf0f0">542</MeetingNumber>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96ACDE40F503D428B912E19D7E3B18C" ma:contentTypeVersion="4" ma:contentTypeDescription="Defines the documents for Document Manager V2" ma:contentTypeScope="" ma:versionID="5ff9cf38c9207e6e8fff85a7a6b45f2e">
  <xsd:schema xmlns:xsd="http://www.w3.org/2001/XMLSchema" xmlns:xs="http://www.w3.org/2001/XMLSchema" xmlns:p="http://schemas.microsoft.com/office/2006/metadata/properties" xmlns:ns2="bfc960a6-20da-4c94-8684-71380fca093b" xmlns:ns3="http://schemas.microsoft.com/sharepoint/v3/fields" xmlns:ns4="1a880128-5ecc-41cf-b0c3-c2c47c4bf0f0" targetNamespace="http://schemas.microsoft.com/office/2006/metadata/properties" ma:root="true" ma:fieldsID="7dc887b1a9520bb49ac5dea0581373bc" ns2:_="" ns3:_="" ns4:_="">
    <xsd:import namespace="bfc960a6-20da-4c94-8684-71380fca093b"/>
    <xsd:import namespace="http://schemas.microsoft.com/sharepoint/v3/fields"/>
    <xsd:import namespace="1a880128-5ecc-41cf-b0c3-c2c47c4bf0f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880128-5ecc-41cf-b0c3-c2c47c4bf0f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2C6D-F210-4BCC-96B9-D59A42C1E6F5}"/>
</file>

<file path=customXml/itemProps2.xml><?xml version="1.0" encoding="utf-8"?>
<ds:datastoreItem xmlns:ds="http://schemas.openxmlformats.org/officeDocument/2006/customXml" ds:itemID="{2272B315-18A8-418C-AEDB-0DE6F18C5CA7}"/>
</file>

<file path=customXml/itemProps3.xml><?xml version="1.0" encoding="utf-8"?>
<ds:datastoreItem xmlns:ds="http://schemas.openxmlformats.org/officeDocument/2006/customXml" ds:itemID="{21F0B8EE-E1B1-4913-930C-91439F9800BF}"/>
</file>

<file path=customXml/itemProps4.xml><?xml version="1.0" encoding="utf-8"?>
<ds:datastoreItem xmlns:ds="http://schemas.openxmlformats.org/officeDocument/2006/customXml" ds:itemID="{1E718EAB-5FDD-4093-9B3A-485EBF95E4AD}"/>
</file>

<file path=customXml/itemProps5.xml><?xml version="1.0" encoding="utf-8"?>
<ds:datastoreItem xmlns:ds="http://schemas.openxmlformats.org/officeDocument/2006/customXml" ds:itemID="{C5DA7F0A-EE17-44A1-B53E-CD02455A98BB}"/>
</file>

<file path=docProps/app.xml><?xml version="1.0" encoding="utf-8"?>
<Properties xmlns="http://schemas.openxmlformats.org/officeDocument/2006/extended-properties" xmlns:vt="http://schemas.openxmlformats.org/officeDocument/2006/docPropsVTypes">
  <Template>Styles.dotm</Template>
  <TotalTime>1</TotalTime>
  <Pages>13</Pages>
  <Words>3658</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februari 2019</dc:title>
  <dc:subject>Övriga dokument</dc:subject>
  <dc:creator>Marcos Jaime Tornin</dc:creator>
  <cp:keywords>EESC-2019-00479-00-01-TCD-TRA-EN</cp:keywords>
  <dc:description>Rapporteur:  - Original language: EN - Date of document: 14/03/2019 - Date of meeting: 20/03/2019 - External documents:  - Administrator: Mme De Paepe Elke</dc:description>
  <cp:lastModifiedBy>knako</cp:lastModifiedBy>
  <cp:revision>7</cp:revision>
  <cp:lastPrinted>2018-10-15T11:52:00Z</cp:lastPrinted>
  <dcterms:created xsi:type="dcterms:W3CDTF">2019-03-12T13:11:00Z</dcterms:created>
  <dcterms:modified xsi:type="dcterms:W3CDTF">2019-03-14T11:14:00Z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12/03/2019, 27/02/2019, 13/12/2018, 09/11/2018, 12/07/2018, 23/05/2018, 13/03/2018, 26/02/2018, 14/02/2018, 24/01/2018, 16/01/2018, 19/12/2017, 01/12/2017, 16/11/2017, 15/11/2017, 17/10/2017, 13/09/2017, 03/07/2017, 12/06/2017, 02/06/2017, 24/04/2017, 23/</vt:lpwstr>
  </property>
  <property fmtid="{D5CDD505-2E9C-101B-9397-08002B2CF9AE}" pid="4" name="Pref_Time">
    <vt:lpwstr>14:04:34, 15:42:09, 11:27:48, 09:10:15, 14:45:38, 09:50:08, 13:54:15, 10:33:11, 11:57:02, 15:31:00, 09:45:52, 11:53:01, 15:00:14, 15:49:39, 15:47:16, 10:48:52, 11:23:50, 09:51:12, 14:43:57, 12:54:34, 12:22:33, 12:08:44, 12:23:59, 18:12:41, 09:48:43, 08:36</vt:lpwstr>
  </property>
  <property fmtid="{D5CDD505-2E9C-101B-9397-08002B2CF9AE}" pid="5" name="Pref_User">
    <vt:lpwstr>mkop, enied, enied, amett, enied, hnic, mreg, jhvi, mkop, hnic, mkop, amett, jhvi, amett, tvoc, tvoc, tvoc, amett, hnic, mreg, mreg, enied, mreg, jhvi, tvoc, htoo, mreg, tvoc, hnic, mreg, hnic, amett, nmcg, amett, enied, nmcg, amett, enied, ymur, tvoc, nm</vt:lpwstr>
  </property>
  <property fmtid="{D5CDD505-2E9C-101B-9397-08002B2CF9AE}" pid="6" name="Pref_FileName">
    <vt:lpwstr>EESC-2019-00479-00-01-TCD-ORI.docx, EESC-2019-00479-00-00-TCD-ORI.docx, EESC-2018-05296-00-00-TCD-ORI.docx, EESC-2018-04640-00-01-TCD-ORI.docx, EESC-2018-02821-00-00-TCD-ORI.docx, EESC-2018-02039-00-00-TCD-ORI.docx, EESC-2018-00950-00-00-TCD-ORI.docx, EES</vt:lpwstr>
  </property>
  <property fmtid="{D5CDD505-2E9C-101B-9397-08002B2CF9AE}" pid="7" name="ContentTypeId">
    <vt:lpwstr>0x010100EA97B91038054C99906057A708A1480A00F96ACDE40F503D428B912E19D7E3B18C</vt:lpwstr>
  </property>
  <property fmtid="{D5CDD505-2E9C-101B-9397-08002B2CF9AE}" pid="8" name="_dlc_DocIdItemGuid">
    <vt:lpwstr>081e013f-e1ba-4f70-a21a-29945995194b</vt:lpwstr>
  </property>
  <property fmtid="{D5CDD505-2E9C-101B-9397-08002B2CF9AE}" pid="9" name="AvailableTranslations">
    <vt:lpwstr>25;#SK|46d9fce0-ef79-4f71-b89b-cd6aa82426b8;#16;#PL|1e03da61-4678-4e07-b136-b5024ca9197b;#46;#CS|72f9705b-0217-4fd3-bea2-cbc7ed80e26e;#63;#MT|7df99101-6854-4a26-b53a-b88c0da02c26;#38;#SV|c2ed69e7-a339-43d7-8f22-d93680a92aa0;#45;#NL|55c6556c-b4f4-441d-9acf-c498d4f838bd;#57;#RO|feb747a2-64cd-4299-af12-4833ddc30497;#65;#ET|ff6c3f4c-b02c-4c3c-ab07-2c37995a7a0a;#58;#LV|46f7e311-5d9f-4663-b433-18aeccb7ace7;#55;#BG|1a1b3951-7821-4e6a-85f5-5673fc08bd2c;#64;#PT|50ccc04a-eadd-42ae-a0cb-acaf45f812ba;#49;#EL|6d4f4d51-af9b-4650-94b4-4276bee85c91;#59;#HR|2f555653-ed1a-4fe6-8362-9082d95989e5;#56;#SL|98a412ae-eb01-49e9-ae3d-585a81724cfc;#48;#LT|a7ff5ce7-6123-4f68-865a-a57c31810414;#17;#ES|e7a6b05b-ae16-40c8-add9-68b64b03aeba;#4;#EN|f2175f21-25d7-44a3-96da-d6a61b075e1b;#14;#DE|f6b31e5a-26fa-4935-b661-318e46daf27e;#52;#DA|5d49c027-8956-412b-aa16-e85a0f96ad0e;#10;#FR|d2afafd3-4c81-4f60-8f52-ee33f2f54ff3;#62;#FI|87606a43-d45f-42d6-b8c9-e1a3457db5b7;#21;#IT|0774613c-01ed-4e5d-a25d-11d2388de825;#60;#HU|6b229040-c589-4408-b4c1-4285663d20a8</vt:lpwstr>
  </property>
  <property fmtid="{D5CDD505-2E9C-101B-9397-08002B2CF9AE}" pid="10" name="DossierName">
    <vt:lpwstr/>
  </property>
  <property fmtid="{D5CDD505-2E9C-101B-9397-08002B2CF9AE}" pid="11" name="DocumentStatus">
    <vt:lpwstr>2;#TRA|150d2a88-1431-44e6-a8ca-0bb753ab8672</vt:lpwstr>
  </property>
  <property fmtid="{D5CDD505-2E9C-101B-9397-08002B2CF9AE}" pid="12" name="Confidentiality">
    <vt:lpwstr>5;#Unrestricted|826e22d7-d029-4ec0-a450-0c28ff673572</vt:lpwstr>
  </property>
  <property fmtid="{D5CDD505-2E9C-101B-9397-08002B2CF9AE}" pid="13" name="OriginalLanguage">
    <vt:lpwstr>4;#EN|f2175f21-25d7-44a3-96da-d6a61b075e1b</vt:lpwstr>
  </property>
  <property fmtid="{D5CDD505-2E9C-101B-9397-08002B2CF9AE}" pid="14" name="MeetingName">
    <vt:lpwstr>31;#SPL-CES|32d8cb1f-c9ec-4365-95c7-8385a18618ac</vt:lpwstr>
  </property>
  <property fmtid="{D5CDD505-2E9C-101B-9397-08002B2CF9AE}" pid="15" name="VersionStatus">
    <vt:lpwstr>7;#Final|ea5e6674-7b27-4bac-b091-73adbb394efe</vt:lpwstr>
  </property>
  <property fmtid="{D5CDD505-2E9C-101B-9397-08002B2CF9AE}" pid="16" name="DocumentSource">
    <vt:lpwstr>1;#EESC|422833ec-8d7e-4e65-8e4e-8bed07ffb729</vt:lpwstr>
  </property>
  <property fmtid="{D5CDD505-2E9C-101B-9397-08002B2CF9AE}" pid="17" name="DocumentType">
    <vt:lpwstr>8;#TCD|cd9d6eb6-3f4f-424a-b2d1-57c9d450eaaf</vt:lpwstr>
  </property>
  <property fmtid="{D5CDD505-2E9C-101B-9397-08002B2CF9AE}" pid="18" name="DocumentLanguage">
    <vt:lpwstr>38;#SV|c2ed69e7-a339-43d7-8f22-d93680a92aa0</vt:lpwstr>
  </property>
</Properties>
</file>