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405A0" w:rsidRPr="00F93161" w:rsidRDefault="006A08D5" w:rsidP="000D6B2F">
      <w:pPr>
        <w:snapToGrid w:val="0"/>
        <w:jc w:val="center"/>
      </w:pPr>
      <w:r w:rsidRPr="00F93161">
        <w:fldChar w:fldCharType="begin"/>
      </w:r>
      <w:r w:rsidRPr="00F93161">
        <w:instrText xml:space="preserve">  </w:instrText>
      </w:r>
      <w:r w:rsidRPr="00F93161">
        <w:fldChar w:fldCharType="end"/>
      </w:r>
      <w:r>
        <w:rPr>
          <w:noProof/>
          <w:lang w:val="en-GB" w:eastAsia="en-GB"/>
        </w:rPr>
        <w:drawing>
          <wp:inline distT="0" distB="0" distL="0" distR="0" wp14:anchorId="67B74F51" wp14:editId="7E6AD520">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r>
        <w:rPr>
          <w:noProof/>
          <w:sz w:val="20"/>
          <w:lang w:val="en-GB" w:eastAsia="en-GB"/>
        </w:rPr>
        <mc:AlternateContent>
          <mc:Choice Requires="wps">
            <w:drawing>
              <wp:anchor distT="0" distB="0" distL="114300" distR="114300" simplePos="0" relativeHeight="251659264" behindDoc="1" locked="0" layoutInCell="0" allowOverlap="1" wp14:anchorId="637F32BF" wp14:editId="21CAA879">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B66" w:rsidRPr="00260E65" w:rsidRDefault="00FE6B66">
                            <w:pPr>
                              <w:jc w:val="center"/>
                              <w:rPr>
                                <w:rFonts w:ascii="Arial" w:hAnsi="Arial" w:cs="Arial"/>
                                <w:b/>
                                <w:bCs/>
                                <w:sz w:val="48"/>
                              </w:rPr>
                            </w:pPr>
                            <w:r>
                              <w:rPr>
                                <w:rFonts w:ascii="Arial" w:hAnsi="Arial"/>
                                <w:b/>
                                <w:bCs/>
                                <w:sz w:val="48"/>
                              </w:rPr>
                              <w:t>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7F32BF"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FE6B66" w:rsidRPr="00260E65" w:rsidRDefault="00FE6B66">
                      <w:pPr>
                        <w:jc w:val="center"/>
                        <w:rPr>
                          <w:rFonts w:ascii="Arial" w:hAnsi="Arial" w:cs="Arial"/>
                          <w:b/>
                          <w:bCs/>
                          <w:sz w:val="48"/>
                        </w:rPr>
                      </w:pPr>
                      <w:r>
                        <w:rPr>
                          <w:rFonts w:ascii="Arial" w:hAnsi="Arial"/>
                          <w:b/>
                          <w:bCs/>
                          <w:sz w:val="48"/>
                        </w:rPr>
                        <w:t>RO</w:t>
                      </w:r>
                    </w:p>
                  </w:txbxContent>
                </v:textbox>
                <w10:wrap anchorx="page" anchory="page"/>
              </v:shape>
            </w:pict>
          </mc:Fallback>
        </mc:AlternateContent>
      </w:r>
    </w:p>
    <w:p w:rsidR="008405A0" w:rsidRPr="00F93161" w:rsidRDefault="00876D7B" w:rsidP="000D6B2F">
      <w:pPr>
        <w:snapToGrid w:val="0"/>
        <w:jc w:val="center"/>
        <w:rPr>
          <w:rFonts w:ascii="Arial" w:eastAsia="MS Mincho" w:hAnsi="Arial" w:cs="Arial"/>
          <w:b/>
          <w:i/>
          <w:sz w:val="20"/>
        </w:rPr>
      </w:pPr>
      <w:r>
        <w:rPr>
          <w:rFonts w:ascii="Arial" w:hAnsi="Arial"/>
          <w:b/>
          <w:i/>
          <w:sz w:val="20"/>
        </w:rPr>
        <w:t>Comitetul Economic și Social European</w:t>
      </w:r>
    </w:p>
    <w:p w:rsidR="008405A0" w:rsidRPr="00D85439" w:rsidRDefault="008405A0" w:rsidP="000D6B2F">
      <w:pPr>
        <w:snapToGrid w:val="0"/>
        <w:rPr>
          <w:lang w:val="en-GB"/>
        </w:rPr>
      </w:pPr>
    </w:p>
    <w:p w:rsidR="008405A0" w:rsidRPr="00D85439" w:rsidRDefault="008405A0" w:rsidP="000D6B2F">
      <w:pPr>
        <w:snapToGrid w:val="0"/>
        <w:rPr>
          <w:lang w:val="en-GB"/>
        </w:rPr>
      </w:pPr>
    </w:p>
    <w:p w:rsidR="008405A0" w:rsidRPr="00D85439" w:rsidRDefault="00FC0B2C" w:rsidP="000D6B2F">
      <w:pPr>
        <w:snapToGrid w:val="0"/>
        <w:jc w:val="right"/>
        <w:rPr>
          <w:rFonts w:eastAsia="MS Mincho"/>
        </w:rPr>
      </w:pPr>
      <w:r>
        <w:t>Bruxelles, 14 martie 2019</w:t>
      </w:r>
    </w:p>
    <w:p w:rsidR="008405A0" w:rsidRPr="00D85439" w:rsidRDefault="008405A0" w:rsidP="000D6B2F">
      <w:pPr>
        <w:snapToGrid w:val="0"/>
        <w:rPr>
          <w:lang w:val="en-GB"/>
        </w:rPr>
      </w:pPr>
    </w:p>
    <w:p w:rsidR="008405A0" w:rsidRPr="00D85439" w:rsidRDefault="008405A0" w:rsidP="000D6B2F">
      <w:pPr>
        <w:snapToGrid w:val="0"/>
        <w:rPr>
          <w:lang w:val="en-GB"/>
        </w:rPr>
      </w:pPr>
    </w:p>
    <w:p w:rsidR="00AF6F3E" w:rsidRPr="00D85439" w:rsidRDefault="00AF6F3E" w:rsidP="000D6B2F">
      <w:pPr>
        <w:snapToGrid w:val="0"/>
        <w:rPr>
          <w:lang w:val="en-GB"/>
        </w:rPr>
      </w:pPr>
    </w:p>
    <w:p w:rsidR="006819C8" w:rsidRPr="00D85439" w:rsidRDefault="006819C8" w:rsidP="000D6B2F">
      <w:pPr>
        <w:snapToGrid w:val="0"/>
        <w:rPr>
          <w:lang w:val="en-GB"/>
        </w:rPr>
      </w:pPr>
    </w:p>
    <w:tbl>
      <w:tblPr>
        <w:tblW w:w="0" w:type="auto"/>
        <w:tblLayout w:type="fixed"/>
        <w:tblLook w:val="0000" w:firstRow="0" w:lastRow="0" w:firstColumn="0" w:lastColumn="0" w:noHBand="0" w:noVBand="0"/>
      </w:tblPr>
      <w:tblGrid>
        <w:gridCol w:w="9289"/>
      </w:tblGrid>
      <w:tr w:rsidR="008405A0" w:rsidRPr="00D85439" w:rsidTr="00A72D7A">
        <w:tc>
          <w:tcPr>
            <w:tcW w:w="9289" w:type="dxa"/>
            <w:tcBorders>
              <w:top w:val="nil"/>
              <w:left w:val="nil"/>
              <w:bottom w:val="double" w:sz="4" w:space="0" w:color="auto"/>
              <w:right w:val="nil"/>
            </w:tcBorders>
          </w:tcPr>
          <w:p w:rsidR="008405A0" w:rsidRPr="00D85439" w:rsidRDefault="00FC0B2C" w:rsidP="000D6B2F">
            <w:pPr>
              <w:snapToGrid w:val="0"/>
              <w:jc w:val="center"/>
              <w:rPr>
                <w:rFonts w:eastAsia="MS Mincho"/>
                <w:b/>
                <w:sz w:val="32"/>
              </w:rPr>
            </w:pPr>
            <w:r>
              <w:rPr>
                <w:b/>
                <w:sz w:val="32"/>
              </w:rPr>
              <w:t>SESIUNEA PLENARĂ</w:t>
            </w:r>
            <w:r w:rsidR="00717F5B">
              <w:rPr>
                <w:b/>
                <w:sz w:val="32"/>
              </w:rPr>
              <w:t xml:space="preserve"> </w:t>
            </w:r>
            <w:r>
              <w:rPr>
                <w:b/>
                <w:sz w:val="32"/>
              </w:rPr>
              <w:br/>
            </w:r>
            <w:r>
              <w:rPr>
                <w:b/>
                <w:sz w:val="32"/>
              </w:rPr>
              <w:br/>
              <w:t>DIN 20 ȘI 21 FEBRUARIE 2019</w:t>
            </w:r>
            <w:r w:rsidR="00717F5B">
              <w:rPr>
                <w:b/>
                <w:sz w:val="32"/>
              </w:rPr>
              <w:t xml:space="preserve"> </w:t>
            </w:r>
            <w:r>
              <w:rPr>
                <w:b/>
                <w:sz w:val="32"/>
              </w:rPr>
              <w:br/>
            </w:r>
            <w:r>
              <w:rPr>
                <w:b/>
                <w:sz w:val="32"/>
              </w:rPr>
              <w:br/>
              <w:t>SINTEZA AVIZELOR ADOPTATE</w:t>
            </w:r>
          </w:p>
          <w:p w:rsidR="008405A0" w:rsidRPr="00D85439" w:rsidRDefault="008405A0" w:rsidP="000D6B2F">
            <w:pPr>
              <w:rPr>
                <w:lang w:val="en-GB"/>
              </w:rPr>
            </w:pPr>
          </w:p>
          <w:p w:rsidR="008405A0" w:rsidRPr="00D85439" w:rsidRDefault="008405A0" w:rsidP="000D6B2F">
            <w:pPr>
              <w:rPr>
                <w:lang w:val="en-GB"/>
              </w:rPr>
            </w:pPr>
          </w:p>
        </w:tc>
      </w:tr>
      <w:tr w:rsidR="008405A0" w:rsidRPr="00D85439" w:rsidTr="00A72D7A">
        <w:tc>
          <w:tcPr>
            <w:tcW w:w="9289" w:type="dxa"/>
            <w:tcBorders>
              <w:top w:val="double" w:sz="4" w:space="0" w:color="auto"/>
              <w:left w:val="double" w:sz="4" w:space="0" w:color="auto"/>
              <w:bottom w:val="double" w:sz="4" w:space="0" w:color="auto"/>
              <w:right w:val="double" w:sz="4" w:space="0" w:color="auto"/>
            </w:tcBorders>
          </w:tcPr>
          <w:p w:rsidR="00FF15DA" w:rsidRPr="00D85439" w:rsidRDefault="00FF15DA" w:rsidP="000D6B2F">
            <w:pPr>
              <w:snapToGrid w:val="0"/>
              <w:jc w:val="center"/>
              <w:rPr>
                <w:b/>
                <w:lang w:val="en-GB"/>
              </w:rPr>
            </w:pPr>
          </w:p>
          <w:p w:rsidR="00FC0B2C" w:rsidRPr="00D85439" w:rsidRDefault="00FC0B2C" w:rsidP="000D6B2F">
            <w:pPr>
              <w:snapToGrid w:val="0"/>
              <w:jc w:val="center"/>
              <w:rPr>
                <w:rFonts w:eastAsia="MS Mincho"/>
                <w:b/>
              </w:rPr>
            </w:pPr>
            <w:r>
              <w:rPr>
                <w:b/>
              </w:rPr>
              <w:t>Prezentul document este disponibil în limbile oficiale ale UE pe site-ul internet al Comitetului, la</w:t>
            </w:r>
            <w:r w:rsidR="00717F5B">
              <w:rPr>
                <w:b/>
              </w:rPr>
              <w:t> </w:t>
            </w:r>
            <w:r>
              <w:rPr>
                <w:b/>
              </w:rPr>
              <w:t>adresa:</w:t>
            </w:r>
          </w:p>
          <w:p w:rsidR="00FC0B2C" w:rsidRPr="00D85439" w:rsidRDefault="00FC0B2C" w:rsidP="000D6B2F">
            <w:pPr>
              <w:snapToGrid w:val="0"/>
              <w:jc w:val="center"/>
              <w:rPr>
                <w:b/>
                <w:lang w:val="en-GB"/>
              </w:rPr>
            </w:pPr>
          </w:p>
          <w:p w:rsidR="00FC0B2C" w:rsidRPr="00D85439" w:rsidRDefault="002655CD" w:rsidP="000D6B2F">
            <w:pPr>
              <w:jc w:val="center"/>
              <w:rPr>
                <w:rStyle w:val="Hyperlink"/>
                <w:b/>
              </w:rPr>
            </w:pPr>
            <w:hyperlink r:id="rId13">
              <w:r>
                <w:rPr>
                  <w:rStyle w:val="Hyperlink"/>
                </w:rPr>
                <w:t>http://www.eesc.europa.eu/ro/our-w</w:t>
              </w:r>
              <w:r>
                <w:rPr>
                  <w:rStyle w:val="Hyperlink"/>
                </w:rPr>
                <w:t>ork/opinions-information-reports/plenary-session-summaries</w:t>
              </w:r>
            </w:hyperlink>
          </w:p>
          <w:p w:rsidR="00FC0B2C" w:rsidRPr="00D85439" w:rsidRDefault="00FC0B2C" w:rsidP="000D6B2F">
            <w:pPr>
              <w:snapToGrid w:val="0"/>
              <w:jc w:val="center"/>
              <w:rPr>
                <w:b/>
                <w:lang w:val="en-GB"/>
              </w:rPr>
            </w:pPr>
          </w:p>
          <w:p w:rsidR="00FC0B2C" w:rsidRPr="00D85439" w:rsidRDefault="00FC0B2C" w:rsidP="000D6B2F">
            <w:pPr>
              <w:snapToGrid w:val="0"/>
              <w:jc w:val="center"/>
              <w:rPr>
                <w:rFonts w:eastAsia="SimSun"/>
                <w:b/>
                <w:lang w:val="en-GB"/>
              </w:rPr>
            </w:pPr>
          </w:p>
          <w:p w:rsidR="00FC0B2C" w:rsidRPr="00D85439" w:rsidRDefault="00FC0B2C" w:rsidP="000D6B2F">
            <w:pPr>
              <w:snapToGrid w:val="0"/>
              <w:jc w:val="center"/>
              <w:rPr>
                <w:rFonts w:eastAsia="MS Mincho"/>
                <w:b/>
              </w:rPr>
            </w:pPr>
            <w:r>
              <w:rPr>
                <w:b/>
              </w:rPr>
              <w:t>Avizele menționate pot fi consultate online prin intermediul motorului de căutare al</w:t>
            </w:r>
            <w:r w:rsidR="00717F5B">
              <w:rPr>
                <w:b/>
              </w:rPr>
              <w:t> </w:t>
            </w:r>
            <w:r>
              <w:rPr>
                <w:b/>
              </w:rPr>
              <w:t>Comitetului:</w:t>
            </w:r>
          </w:p>
          <w:p w:rsidR="00FC0B2C" w:rsidRPr="00D85439" w:rsidRDefault="00FC0B2C" w:rsidP="000D6B2F">
            <w:pPr>
              <w:snapToGrid w:val="0"/>
              <w:jc w:val="center"/>
              <w:rPr>
                <w:b/>
                <w:lang w:val="en-GB"/>
              </w:rPr>
            </w:pPr>
          </w:p>
          <w:p w:rsidR="00FC0B2C" w:rsidRPr="00D85439" w:rsidRDefault="002655CD" w:rsidP="000D6B2F">
            <w:pPr>
              <w:jc w:val="center"/>
              <w:rPr>
                <w:rStyle w:val="Hyperlink"/>
                <w:b/>
              </w:rPr>
            </w:pPr>
            <w:hyperlink r:id="rId14">
              <w:r>
                <w:rPr>
                  <w:rStyle w:val="Hyperlink"/>
                </w:rPr>
                <w:t>http://</w:t>
              </w:r>
              <w:r>
                <w:rPr>
                  <w:rStyle w:val="Hyperlink"/>
                </w:rPr>
                <w:t>dm.eesc.europa.eu/EESCDocumentSearch/Pages/opinionssearch.aspx</w:t>
              </w:r>
            </w:hyperlink>
          </w:p>
          <w:p w:rsidR="008405A0" w:rsidRPr="00D85439" w:rsidRDefault="008405A0" w:rsidP="000D6B2F">
            <w:pPr>
              <w:snapToGrid w:val="0"/>
              <w:jc w:val="center"/>
              <w:rPr>
                <w:b/>
                <w:bCs/>
                <w:lang w:val="en-GB"/>
              </w:rPr>
            </w:pPr>
          </w:p>
        </w:tc>
      </w:tr>
    </w:tbl>
    <w:p w:rsidR="008F7791" w:rsidRPr="00D85439" w:rsidRDefault="008F7791" w:rsidP="000D6B2F">
      <w:pPr>
        <w:rPr>
          <w:rFonts w:eastAsia="SimSun"/>
          <w:lang w:val="en-GB"/>
        </w:rPr>
      </w:pPr>
    </w:p>
    <w:p w:rsidR="00A9340A" w:rsidRPr="00D85439" w:rsidRDefault="00A9340A" w:rsidP="000D6B2F">
      <w:pPr>
        <w:rPr>
          <w:rFonts w:eastAsia="SimSun"/>
          <w:lang w:val="en-GB"/>
        </w:rPr>
        <w:sectPr w:rsidR="00A9340A" w:rsidRPr="00D85439" w:rsidSect="00527880">
          <w:footerReference w:type="default" r:id="rId15"/>
          <w:type w:val="continuous"/>
          <w:pgSz w:w="11907" w:h="16839"/>
          <w:pgMar w:top="1417" w:right="1417" w:bottom="1417" w:left="1417" w:header="709" w:footer="709" w:gutter="0"/>
          <w:pgNumType w:start="1"/>
          <w:cols w:space="708"/>
          <w:docGrid w:linePitch="299"/>
        </w:sectPr>
      </w:pPr>
    </w:p>
    <w:p w:rsidR="008405A0" w:rsidRPr="00D85439" w:rsidRDefault="00876D7B" w:rsidP="000D6B2F">
      <w:pPr>
        <w:snapToGrid w:val="0"/>
        <w:rPr>
          <w:b/>
        </w:rPr>
      </w:pPr>
      <w:r>
        <w:rPr>
          <w:b/>
        </w:rPr>
        <w:lastRenderedPageBreak/>
        <w:t>Cuprins:</w:t>
      </w:r>
    </w:p>
    <w:p w:rsidR="00D16D76" w:rsidRPr="00D85439" w:rsidRDefault="00D16D76" w:rsidP="000D6B2F">
      <w:pPr>
        <w:rPr>
          <w:lang w:val="en-GB"/>
        </w:rPr>
      </w:pPr>
    </w:p>
    <w:p w:rsidR="00C460C7" w:rsidRDefault="003353E8">
      <w:pPr>
        <w:pStyle w:val="TOC1"/>
        <w:rPr>
          <w:rFonts w:asciiTheme="minorHAnsi" w:eastAsiaTheme="minorEastAsia" w:hAnsiTheme="minorHAnsi" w:cstheme="minorBidi"/>
          <w:noProof/>
          <w:lang w:val="en-GB" w:eastAsia="en-GB"/>
        </w:rPr>
      </w:pPr>
      <w:r w:rsidRPr="00D85439">
        <w:fldChar w:fldCharType="begin"/>
      </w:r>
      <w:r w:rsidRPr="00D85439">
        <w:instrText xml:space="preserve"> TOC \o "1-1" \h \z \u </w:instrText>
      </w:r>
      <w:r w:rsidRPr="00D85439">
        <w:fldChar w:fldCharType="separate"/>
      </w:r>
      <w:hyperlink w:anchor="_Toc3457702" w:history="1">
        <w:r w:rsidR="00C460C7" w:rsidRPr="00D94101">
          <w:rPr>
            <w:rStyle w:val="Hyperlink"/>
            <w:caps/>
            <w:noProof/>
          </w:rPr>
          <w:t>1.</w:t>
        </w:r>
        <w:r w:rsidR="00C460C7">
          <w:rPr>
            <w:rFonts w:asciiTheme="minorHAnsi" w:eastAsiaTheme="minorEastAsia" w:hAnsiTheme="minorHAnsi" w:cstheme="minorBidi"/>
            <w:noProof/>
            <w:lang w:val="en-GB" w:eastAsia="en-GB"/>
          </w:rPr>
          <w:tab/>
        </w:r>
        <w:r w:rsidR="00C460C7" w:rsidRPr="00D94101">
          <w:rPr>
            <w:rStyle w:val="Hyperlink"/>
            <w:b/>
            <w:caps/>
            <w:noProof/>
          </w:rPr>
          <w:t>Uniunea economică și monetară și coeziunea economică și socială</w:t>
        </w:r>
        <w:r w:rsidR="00C460C7">
          <w:rPr>
            <w:noProof/>
            <w:webHidden/>
          </w:rPr>
          <w:tab/>
        </w:r>
        <w:r w:rsidR="00C460C7">
          <w:rPr>
            <w:noProof/>
            <w:webHidden/>
          </w:rPr>
          <w:fldChar w:fldCharType="begin"/>
        </w:r>
        <w:r w:rsidR="00C460C7">
          <w:rPr>
            <w:noProof/>
            <w:webHidden/>
          </w:rPr>
          <w:instrText xml:space="preserve"> PAGEREF _Toc3457702 \h </w:instrText>
        </w:r>
        <w:r w:rsidR="00C460C7">
          <w:rPr>
            <w:noProof/>
            <w:webHidden/>
          </w:rPr>
        </w:r>
        <w:r w:rsidR="00C460C7">
          <w:rPr>
            <w:noProof/>
            <w:webHidden/>
          </w:rPr>
          <w:fldChar w:fldCharType="separate"/>
        </w:r>
        <w:r w:rsidR="00C460C7">
          <w:rPr>
            <w:noProof/>
            <w:webHidden/>
          </w:rPr>
          <w:t>3</w:t>
        </w:r>
        <w:r w:rsidR="00C460C7">
          <w:rPr>
            <w:noProof/>
            <w:webHidden/>
          </w:rPr>
          <w:fldChar w:fldCharType="end"/>
        </w:r>
      </w:hyperlink>
    </w:p>
    <w:p w:rsidR="00C460C7" w:rsidRDefault="00C460C7">
      <w:pPr>
        <w:pStyle w:val="TOC1"/>
        <w:rPr>
          <w:rFonts w:asciiTheme="minorHAnsi" w:eastAsiaTheme="minorEastAsia" w:hAnsiTheme="minorHAnsi" w:cstheme="minorBidi"/>
          <w:noProof/>
          <w:lang w:val="en-GB" w:eastAsia="en-GB"/>
        </w:rPr>
      </w:pPr>
      <w:hyperlink w:anchor="_Toc3457703" w:history="1">
        <w:r w:rsidRPr="00D94101">
          <w:rPr>
            <w:rStyle w:val="Hyperlink"/>
            <w:caps/>
            <w:noProof/>
          </w:rPr>
          <w:t>2.</w:t>
        </w:r>
        <w:r>
          <w:rPr>
            <w:rFonts w:asciiTheme="minorHAnsi" w:eastAsiaTheme="minorEastAsia" w:hAnsiTheme="minorHAnsi" w:cstheme="minorBidi"/>
            <w:noProof/>
            <w:lang w:val="en-GB" w:eastAsia="en-GB"/>
          </w:rPr>
          <w:tab/>
        </w:r>
        <w:r w:rsidRPr="00D94101">
          <w:rPr>
            <w:rStyle w:val="Hyperlink"/>
            <w:b/>
            <w:caps/>
            <w:noProof/>
          </w:rPr>
          <w:t>Transporturi, energie, infrastructură și societatea informațională</w:t>
        </w:r>
        <w:r>
          <w:rPr>
            <w:noProof/>
            <w:webHidden/>
          </w:rPr>
          <w:tab/>
        </w:r>
        <w:r>
          <w:rPr>
            <w:noProof/>
            <w:webHidden/>
          </w:rPr>
          <w:fldChar w:fldCharType="begin"/>
        </w:r>
        <w:r>
          <w:rPr>
            <w:noProof/>
            <w:webHidden/>
          </w:rPr>
          <w:instrText xml:space="preserve"> PAGEREF _Toc3457703 \h </w:instrText>
        </w:r>
        <w:r>
          <w:rPr>
            <w:noProof/>
            <w:webHidden/>
          </w:rPr>
        </w:r>
        <w:r>
          <w:rPr>
            <w:noProof/>
            <w:webHidden/>
          </w:rPr>
          <w:fldChar w:fldCharType="separate"/>
        </w:r>
        <w:r>
          <w:rPr>
            <w:noProof/>
            <w:webHidden/>
          </w:rPr>
          <w:t>6</w:t>
        </w:r>
        <w:r>
          <w:rPr>
            <w:noProof/>
            <w:webHidden/>
          </w:rPr>
          <w:fldChar w:fldCharType="end"/>
        </w:r>
      </w:hyperlink>
    </w:p>
    <w:p w:rsidR="00C460C7" w:rsidRDefault="00C460C7">
      <w:pPr>
        <w:pStyle w:val="TOC1"/>
        <w:rPr>
          <w:rFonts w:asciiTheme="minorHAnsi" w:eastAsiaTheme="minorEastAsia" w:hAnsiTheme="minorHAnsi" w:cstheme="minorBidi"/>
          <w:noProof/>
          <w:lang w:val="en-GB" w:eastAsia="en-GB"/>
        </w:rPr>
      </w:pPr>
      <w:hyperlink w:anchor="_Toc3457704" w:history="1">
        <w:r w:rsidRPr="00D94101">
          <w:rPr>
            <w:rStyle w:val="Hyperlink"/>
            <w:noProof/>
          </w:rPr>
          <w:t>3.</w:t>
        </w:r>
        <w:r>
          <w:rPr>
            <w:rFonts w:asciiTheme="minorHAnsi" w:eastAsiaTheme="minorEastAsia" w:hAnsiTheme="minorHAnsi" w:cstheme="minorBidi"/>
            <w:noProof/>
            <w:lang w:val="en-GB" w:eastAsia="en-GB"/>
          </w:rPr>
          <w:tab/>
        </w:r>
        <w:r w:rsidRPr="00D94101">
          <w:rPr>
            <w:rStyle w:val="Hyperlink"/>
            <w:b/>
            <w:noProof/>
          </w:rPr>
          <w:t>AGRICULTURĂ, DEZVOLTARE RURALĂ ȘI PROTECȚIA MEDIULUI</w:t>
        </w:r>
        <w:r>
          <w:rPr>
            <w:noProof/>
            <w:webHidden/>
          </w:rPr>
          <w:tab/>
        </w:r>
        <w:r>
          <w:rPr>
            <w:noProof/>
            <w:webHidden/>
          </w:rPr>
          <w:fldChar w:fldCharType="begin"/>
        </w:r>
        <w:r>
          <w:rPr>
            <w:noProof/>
            <w:webHidden/>
          </w:rPr>
          <w:instrText xml:space="preserve"> PAGEREF _Toc3457704 \h </w:instrText>
        </w:r>
        <w:r>
          <w:rPr>
            <w:noProof/>
            <w:webHidden/>
          </w:rPr>
        </w:r>
        <w:r>
          <w:rPr>
            <w:noProof/>
            <w:webHidden/>
          </w:rPr>
          <w:fldChar w:fldCharType="separate"/>
        </w:r>
        <w:r>
          <w:rPr>
            <w:noProof/>
            <w:webHidden/>
          </w:rPr>
          <w:t>10</w:t>
        </w:r>
        <w:r>
          <w:rPr>
            <w:noProof/>
            <w:webHidden/>
          </w:rPr>
          <w:fldChar w:fldCharType="end"/>
        </w:r>
      </w:hyperlink>
    </w:p>
    <w:p w:rsidR="00C460C7" w:rsidRDefault="00C460C7">
      <w:pPr>
        <w:pStyle w:val="TOC1"/>
        <w:rPr>
          <w:rFonts w:asciiTheme="minorHAnsi" w:eastAsiaTheme="minorEastAsia" w:hAnsiTheme="minorHAnsi" w:cstheme="minorBidi"/>
          <w:noProof/>
          <w:lang w:val="en-GB" w:eastAsia="en-GB"/>
        </w:rPr>
      </w:pPr>
      <w:hyperlink w:anchor="_Toc3457705" w:history="1">
        <w:r w:rsidRPr="00D94101">
          <w:rPr>
            <w:rStyle w:val="Hyperlink"/>
            <w:noProof/>
          </w:rPr>
          <w:t>4.</w:t>
        </w:r>
        <w:r>
          <w:rPr>
            <w:rFonts w:asciiTheme="minorHAnsi" w:eastAsiaTheme="minorEastAsia" w:hAnsiTheme="minorHAnsi" w:cstheme="minorBidi"/>
            <w:noProof/>
            <w:lang w:val="en-GB" w:eastAsia="en-GB"/>
          </w:rPr>
          <w:tab/>
        </w:r>
        <w:r w:rsidRPr="00D94101">
          <w:rPr>
            <w:rStyle w:val="Hyperlink"/>
            <w:b/>
            <w:noProof/>
          </w:rPr>
          <w:t>OCUPAREA FORȚEI DE MUNCĂ, AFACERI SOCIALE ȘI CETĂȚENIE</w:t>
        </w:r>
        <w:r>
          <w:rPr>
            <w:noProof/>
            <w:webHidden/>
          </w:rPr>
          <w:tab/>
        </w:r>
        <w:r>
          <w:rPr>
            <w:noProof/>
            <w:webHidden/>
          </w:rPr>
          <w:fldChar w:fldCharType="begin"/>
        </w:r>
        <w:r>
          <w:rPr>
            <w:noProof/>
            <w:webHidden/>
          </w:rPr>
          <w:instrText xml:space="preserve"> PAGEREF _Toc3457705 \h </w:instrText>
        </w:r>
        <w:r>
          <w:rPr>
            <w:noProof/>
            <w:webHidden/>
          </w:rPr>
        </w:r>
        <w:r>
          <w:rPr>
            <w:noProof/>
            <w:webHidden/>
          </w:rPr>
          <w:fldChar w:fldCharType="separate"/>
        </w:r>
        <w:r>
          <w:rPr>
            <w:noProof/>
            <w:webHidden/>
          </w:rPr>
          <w:t>12</w:t>
        </w:r>
        <w:r>
          <w:rPr>
            <w:noProof/>
            <w:webHidden/>
          </w:rPr>
          <w:fldChar w:fldCharType="end"/>
        </w:r>
      </w:hyperlink>
    </w:p>
    <w:p w:rsidR="008405A0" w:rsidRPr="00D85439" w:rsidRDefault="003353E8" w:rsidP="000D6B2F">
      <w:r w:rsidRPr="00D85439">
        <w:fldChar w:fldCharType="end"/>
      </w:r>
      <w:r>
        <w:br w:type="page"/>
      </w:r>
    </w:p>
    <w:p w:rsidR="00421682" w:rsidRPr="00D85439" w:rsidRDefault="00AD7EE7" w:rsidP="000D6B2F">
      <w:r>
        <w:lastRenderedPageBreak/>
        <w:t>Următoarele avize au fost adoptate în sesiunea plenară din 20 și 21 februarie 2019:</w:t>
      </w:r>
    </w:p>
    <w:p w:rsidR="00A43397" w:rsidRPr="00D85439" w:rsidRDefault="00A43397" w:rsidP="000D6B2F">
      <w:pPr>
        <w:rPr>
          <w:lang w:val="en-GB"/>
        </w:rPr>
      </w:pPr>
    </w:p>
    <w:p w:rsidR="00A43397" w:rsidRDefault="000C491C" w:rsidP="000D6B2F">
      <w:pPr>
        <w:pStyle w:val="Heading1"/>
        <w:ind w:left="567" w:hanging="567"/>
        <w:rPr>
          <w:b/>
          <w:caps/>
        </w:rPr>
      </w:pPr>
      <w:bookmarkStart w:id="1" w:name="_Toc3457702"/>
      <w:r>
        <w:rPr>
          <w:b/>
          <w:caps/>
        </w:rPr>
        <w:t>Uniunea economică și monetară și coeziunea economică și socială</w:t>
      </w:r>
      <w:bookmarkEnd w:id="1"/>
    </w:p>
    <w:p w:rsidR="009E0DB0" w:rsidRDefault="009E0DB0">
      <w:pPr>
        <w:spacing w:line="240" w:lineRule="auto"/>
        <w:jc w:val="left"/>
        <w:rPr>
          <w:b/>
          <w:caps/>
          <w:kern w:val="28"/>
          <w:lang w:val="en-GB"/>
        </w:rPr>
      </w:pPr>
    </w:p>
    <w:p w:rsidR="00847378" w:rsidRPr="006E2E2A" w:rsidRDefault="00847378" w:rsidP="00847378">
      <w:pPr>
        <w:widowControl w:val="0"/>
        <w:numPr>
          <w:ilvl w:val="0"/>
          <w:numId w:val="13"/>
        </w:numPr>
        <w:overflowPunct w:val="0"/>
        <w:autoSpaceDE w:val="0"/>
        <w:autoSpaceDN w:val="0"/>
        <w:adjustRightInd w:val="0"/>
        <w:ind w:left="567" w:hanging="567"/>
        <w:textAlignment w:val="baseline"/>
        <w:rPr>
          <w:b/>
          <w:i/>
          <w:sz w:val="28"/>
          <w:szCs w:val="28"/>
        </w:rPr>
      </w:pPr>
      <w:r>
        <w:rPr>
          <w:b/>
          <w:i/>
          <w:sz w:val="28"/>
          <w:szCs w:val="28"/>
        </w:rPr>
        <w:t>Analiza anuală a creșterii pentru 2019</w:t>
      </w:r>
    </w:p>
    <w:p w:rsidR="00847378" w:rsidRPr="006E2E2A" w:rsidRDefault="00847378" w:rsidP="00847378">
      <w:pPr>
        <w:widowControl w:val="0"/>
        <w:overflowPunct w:val="0"/>
        <w:autoSpaceDE w:val="0"/>
        <w:autoSpaceDN w:val="0"/>
        <w:adjustRightInd w:val="0"/>
        <w:textAlignment w:val="baseline"/>
        <w:rPr>
          <w:b/>
          <w:i/>
          <w:sz w:val="28"/>
          <w:szCs w:val="28"/>
          <w:lang w:val="en-GB"/>
        </w:rPr>
      </w:pPr>
    </w:p>
    <w:p w:rsidR="00847378" w:rsidRPr="006E2E2A" w:rsidRDefault="00847378" w:rsidP="00847378">
      <w:pPr>
        <w:tabs>
          <w:tab w:val="center" w:pos="284"/>
          <w:tab w:val="left" w:pos="1701"/>
        </w:tabs>
        <w:ind w:left="266" w:hanging="266"/>
      </w:pPr>
      <w:r>
        <w:rPr>
          <w:b/>
        </w:rPr>
        <w:t>Raportoare:</w:t>
      </w:r>
      <w:r>
        <w:tab/>
        <w:t xml:space="preserve">Anne DEMELENNE (Grupul „Lucrători” </w:t>
      </w:r>
      <w:r w:rsidR="00717F5B">
        <w:t>–</w:t>
      </w:r>
      <w:r>
        <w:t xml:space="preserve"> BE)</w:t>
      </w:r>
    </w:p>
    <w:p w:rsidR="00847378" w:rsidRPr="006E2E2A" w:rsidRDefault="00847378" w:rsidP="00847378">
      <w:pPr>
        <w:tabs>
          <w:tab w:val="center" w:pos="284"/>
        </w:tabs>
        <w:ind w:left="266" w:hanging="266"/>
        <w:rPr>
          <w:lang w:val="en-GB"/>
        </w:rPr>
      </w:pPr>
    </w:p>
    <w:p w:rsidR="00AC6F72" w:rsidRDefault="00847378" w:rsidP="00AC6F72">
      <w:pPr>
        <w:tabs>
          <w:tab w:val="center" w:pos="284"/>
          <w:tab w:val="left" w:pos="1701"/>
        </w:tabs>
        <w:ind w:left="266" w:hanging="266"/>
      </w:pPr>
      <w:r>
        <w:rPr>
          <w:b/>
        </w:rPr>
        <w:t>Referință:</w:t>
      </w:r>
      <w:r>
        <w:rPr>
          <w:b/>
        </w:rPr>
        <w:tab/>
      </w:r>
      <w:r>
        <w:t>COM(2018) 770 final</w:t>
      </w:r>
    </w:p>
    <w:p w:rsidR="00847378" w:rsidRPr="006E2E2A" w:rsidRDefault="00847378" w:rsidP="00E30ADD">
      <w:pPr>
        <w:tabs>
          <w:tab w:val="left" w:pos="1701"/>
        </w:tabs>
        <w:ind w:left="1701"/>
      </w:pPr>
      <w:r>
        <w:t>EESC-2018-05434-00-00-AC-TRA</w:t>
      </w:r>
    </w:p>
    <w:p w:rsidR="00847378" w:rsidRPr="006E2E2A" w:rsidRDefault="00847378" w:rsidP="00847378">
      <w:pPr>
        <w:tabs>
          <w:tab w:val="center" w:pos="284"/>
        </w:tabs>
        <w:ind w:left="266" w:hanging="266"/>
        <w:rPr>
          <w:lang w:val="en-GB"/>
        </w:rPr>
      </w:pPr>
    </w:p>
    <w:p w:rsidR="00847378" w:rsidRPr="006E2E2A" w:rsidRDefault="00AC6F72" w:rsidP="00847378">
      <w:pPr>
        <w:keepNext/>
        <w:keepLines/>
        <w:tabs>
          <w:tab w:val="center" w:pos="284"/>
        </w:tabs>
        <w:ind w:left="266" w:hanging="266"/>
        <w:rPr>
          <w:b/>
        </w:rPr>
      </w:pPr>
      <w:r>
        <w:rPr>
          <w:b/>
        </w:rPr>
        <w:t>Punctele principale:</w:t>
      </w:r>
    </w:p>
    <w:p w:rsidR="00847378" w:rsidRPr="00BC33D4" w:rsidRDefault="00847378" w:rsidP="00847378">
      <w:pPr>
        <w:pStyle w:val="ListParagraph"/>
        <w:spacing w:line="240" w:lineRule="auto"/>
        <w:rPr>
          <w:lang w:val="en-GB"/>
        </w:rPr>
      </w:pPr>
    </w:p>
    <w:p w:rsidR="00847378" w:rsidRDefault="00847378" w:rsidP="00847378">
      <w:pPr>
        <w:spacing w:line="240" w:lineRule="auto"/>
        <w:jc w:val="left"/>
      </w:pPr>
      <w:r>
        <w:t>CESE</w:t>
      </w:r>
    </w:p>
    <w:p w:rsidR="00AC6F72" w:rsidRPr="00717F5B" w:rsidRDefault="00AC6F72" w:rsidP="00847378">
      <w:pPr>
        <w:spacing w:line="240" w:lineRule="auto"/>
        <w:jc w:val="left"/>
        <w:rPr>
          <w:sz w:val="16"/>
          <w:szCs w:val="16"/>
        </w:rPr>
      </w:pPr>
    </w:p>
    <w:p w:rsidR="00AC6F72" w:rsidRDefault="00AC6F72" w:rsidP="00717F5B">
      <w:pPr>
        <w:pStyle w:val="ListParagraph"/>
        <w:numPr>
          <w:ilvl w:val="0"/>
          <w:numId w:val="15"/>
        </w:numPr>
        <w:ind w:left="567" w:hanging="567"/>
      </w:pPr>
      <w:r>
        <w:t>salută angajamentul continuu de a sprijini reformele care vizează creșterea investițiilor de înaltă calitate și creșterea productivității, incluziunea și calitatea instituțională, precum și asigurarea în continuare a stabilității macrofinanciare și a unor finanțe publice solide.</w:t>
      </w:r>
    </w:p>
    <w:p w:rsidR="00AC6F72" w:rsidRPr="00717F5B" w:rsidRDefault="00AC6F72" w:rsidP="00EA2B80">
      <w:pPr>
        <w:spacing w:line="240" w:lineRule="auto"/>
        <w:ind w:left="567" w:hanging="567"/>
        <w:rPr>
          <w:sz w:val="16"/>
          <w:szCs w:val="16"/>
        </w:rPr>
      </w:pPr>
    </w:p>
    <w:p w:rsidR="00AC6F72" w:rsidRDefault="00AC6F72" w:rsidP="00717F5B">
      <w:pPr>
        <w:pStyle w:val="ListParagraph"/>
        <w:numPr>
          <w:ilvl w:val="0"/>
          <w:numId w:val="15"/>
        </w:numPr>
        <w:ind w:left="567" w:hanging="567"/>
      </w:pPr>
      <w:r>
        <w:t>Comitetul salută recunoașterea nevoii de investiții axate pe educație și formare și recunoașterea sporită a necesității de a consolida dimensiunea socială a UE, de a răspunde inegalităților în interiorul regiunilor și între regiuni și în ceea ce privește accesul la educație și de a realiza coordonarea instrumentelor politice;</w:t>
      </w:r>
    </w:p>
    <w:p w:rsidR="00AC6F72" w:rsidRPr="00717F5B" w:rsidRDefault="00AC6F72" w:rsidP="00EA2B80">
      <w:pPr>
        <w:spacing w:line="240" w:lineRule="auto"/>
        <w:ind w:left="567" w:hanging="567"/>
        <w:rPr>
          <w:sz w:val="16"/>
          <w:szCs w:val="16"/>
        </w:rPr>
      </w:pPr>
    </w:p>
    <w:p w:rsidR="00AC6F72" w:rsidRDefault="00AC6F72" w:rsidP="00717F5B">
      <w:pPr>
        <w:pStyle w:val="ListParagraph"/>
        <w:numPr>
          <w:ilvl w:val="0"/>
          <w:numId w:val="15"/>
        </w:numPr>
        <w:ind w:left="567" w:hanging="567"/>
      </w:pPr>
      <w:r>
        <w:t>cu toate acestea, rămâne să se precizeze modul în care vor fi atinse aceste obiective; evaluarea performanței economice nu corespunde datelor furnizate în toate domeniile, exprimând automulțumire în legătură cu unele aspecte, exagerând caracteristicile pozitive și, în unele cazuri, făcând mențiuni nefondate referitoare la efectele pozitive ale politicilor anterioare.</w:t>
      </w:r>
    </w:p>
    <w:p w:rsidR="00AC6F72" w:rsidRPr="00717F5B" w:rsidRDefault="00AC6F72" w:rsidP="00AC6F72">
      <w:pPr>
        <w:spacing w:line="240" w:lineRule="auto"/>
        <w:rPr>
          <w:sz w:val="16"/>
          <w:szCs w:val="16"/>
        </w:rPr>
      </w:pPr>
    </w:p>
    <w:p w:rsidR="00AC6F72" w:rsidRDefault="00AC6F72" w:rsidP="00717F5B">
      <w:pPr>
        <w:pStyle w:val="ListParagraph"/>
        <w:numPr>
          <w:ilvl w:val="0"/>
          <w:numId w:val="15"/>
        </w:numPr>
        <w:ind w:left="567" w:hanging="567"/>
      </w:pPr>
      <w:r>
        <w:t>salută reformele care pot conduce la creșterea productivității.</w:t>
      </w:r>
      <w:r w:rsidR="00C460C7">
        <w:t xml:space="preserve"> </w:t>
      </w:r>
      <w:r>
        <w:t>O productivitate îmbunătățită este esențială pentru menținerea poziției competitive a UE și pentru creșterea bunăstării. Cu toate acestea, este nevoie de o evaluare amănunțită a politicilor anterioare, având în vedere rezultatele inegale obținute până în prezent, inclusiv ritmul lent al redresării economice, preocupările continue privind productivitatea în raport cu concurenții și creșterea numărului de locuri de muncă precare.</w:t>
      </w:r>
    </w:p>
    <w:p w:rsidR="00AC6F72" w:rsidRPr="00717F5B" w:rsidRDefault="00AC6F72" w:rsidP="00AC6F72">
      <w:pPr>
        <w:spacing w:line="240" w:lineRule="auto"/>
        <w:rPr>
          <w:sz w:val="16"/>
          <w:szCs w:val="16"/>
        </w:rPr>
      </w:pPr>
    </w:p>
    <w:p w:rsidR="00AC6F72" w:rsidRDefault="00AC6F72" w:rsidP="00717F5B">
      <w:pPr>
        <w:pStyle w:val="ListParagraph"/>
        <w:numPr>
          <w:ilvl w:val="0"/>
          <w:numId w:val="15"/>
        </w:numPr>
        <w:ind w:left="567" w:hanging="567"/>
      </w:pPr>
      <w:r>
        <w:t>salută importanța deosebită acordată pilonului social. Ar trebui să se clarifice cum va fi pus acesta în aplicare, cum pot fi puse la dispoziție resurse prin intermediul fondurilor sociale europene și al altor instrumente europene și cum se va realiza finanțarea la nivelul UE și al statelor membre.</w:t>
      </w:r>
    </w:p>
    <w:p w:rsidR="00AC6F72" w:rsidRPr="00717F5B" w:rsidRDefault="00AC6F72" w:rsidP="00EA2B80">
      <w:pPr>
        <w:spacing w:line="240" w:lineRule="auto"/>
        <w:ind w:left="567" w:hanging="567"/>
        <w:rPr>
          <w:sz w:val="16"/>
          <w:szCs w:val="16"/>
        </w:rPr>
      </w:pPr>
    </w:p>
    <w:p w:rsidR="00AC6F72" w:rsidRDefault="00AC6F72" w:rsidP="00717F5B">
      <w:pPr>
        <w:pStyle w:val="ListParagraph"/>
        <w:numPr>
          <w:ilvl w:val="0"/>
          <w:numId w:val="15"/>
        </w:numPr>
        <w:ind w:left="567" w:hanging="567"/>
      </w:pPr>
      <w:r>
        <w:t>subliniază că progresele sunt foarte lente și propunerile sunt adesea destul de modeste în domenii în care au fost propuse politici noi, inclusiv impozitarea echitabilă, uniunea bancară și funcționarea zonei euro. O implicare deplină a partenerilor sociali și a societății civile ar aduce beneficii.</w:t>
      </w:r>
    </w:p>
    <w:p w:rsidR="00AC6F72" w:rsidRPr="00717F5B" w:rsidRDefault="00AC6F72" w:rsidP="00EA2B80">
      <w:pPr>
        <w:spacing w:line="240" w:lineRule="auto"/>
        <w:ind w:left="567" w:hanging="567"/>
        <w:rPr>
          <w:sz w:val="16"/>
          <w:szCs w:val="16"/>
        </w:rPr>
      </w:pPr>
    </w:p>
    <w:p w:rsidR="00AC6F72" w:rsidRDefault="00AC6F72" w:rsidP="00717F5B">
      <w:pPr>
        <w:pStyle w:val="ListParagraph"/>
        <w:numPr>
          <w:ilvl w:val="0"/>
          <w:numId w:val="15"/>
        </w:numPr>
        <w:ind w:left="567" w:hanging="567"/>
      </w:pPr>
      <w:r>
        <w:t xml:space="preserve">recunoaște importanța combaterii schimbărilor climatice, însă măsurile adoptate până în prezent rămân insuficiente. Un pas important ar fi schimbarea denumirii „Analiza anuală a creșterii” în „Analiza anuală a creșterii durabile”. Pe lângă recunoașterea importanței schimbărilor climatice, </w:t>
      </w:r>
      <w:r>
        <w:lastRenderedPageBreak/>
        <w:t>s-ar recunoaște, astfel, și importanța durabilității resurselor epuizabile, a protecției mediului și, prin urmare, a protejării intereselor generațiilor viitoare;</w:t>
      </w:r>
    </w:p>
    <w:p w:rsidR="00AC6F72" w:rsidRPr="00717F5B" w:rsidRDefault="00AC6F72" w:rsidP="00EA2B80">
      <w:pPr>
        <w:spacing w:line="240" w:lineRule="auto"/>
        <w:ind w:left="567" w:hanging="567"/>
        <w:rPr>
          <w:sz w:val="16"/>
          <w:szCs w:val="16"/>
        </w:rPr>
      </w:pPr>
    </w:p>
    <w:p w:rsidR="00AC6F72" w:rsidRDefault="00AC6F72" w:rsidP="00717F5B">
      <w:pPr>
        <w:pStyle w:val="Heading2"/>
        <w:numPr>
          <w:ilvl w:val="0"/>
          <w:numId w:val="15"/>
        </w:numPr>
        <w:overflowPunct w:val="0"/>
        <w:autoSpaceDE w:val="0"/>
        <w:autoSpaceDN w:val="0"/>
        <w:adjustRightInd w:val="0"/>
        <w:ind w:left="567" w:hanging="567"/>
        <w:textAlignment w:val="baseline"/>
      </w:pPr>
      <w:r>
        <w:t>semnalează că, în multe domenii, punerea în aplicare a politicilor depinde de unele finanțări din sectorul privat, dar și din cel public. Acest lucru ar trebui facilitat, atât prin reforme care să creeze un mediu favorabil investițiilor în sectorul privat și cu un buget UE adecvat, cât și printr-un angajament față de o „regulă de aur” care să permită alocarea de fonduri din bugetele statelor membre pentru investiții productive din punct de vedere social și economic care să nu amenințe sustenabilitatea bugetară viitoare.</w:t>
      </w:r>
    </w:p>
    <w:p w:rsidR="00686B1B" w:rsidRDefault="00686B1B" w:rsidP="00686B1B"/>
    <w:p w:rsidR="00686B1B" w:rsidRPr="006E2E2A" w:rsidRDefault="00686B1B" w:rsidP="00686B1B">
      <w:pPr>
        <w:tabs>
          <w:tab w:val="left" w:pos="770"/>
        </w:tabs>
        <w:spacing w:line="240" w:lineRule="auto"/>
        <w:ind w:left="1701" w:hanging="1559"/>
        <w:rPr>
          <w:bCs/>
          <w:i/>
          <w:iCs/>
        </w:rPr>
      </w:pPr>
      <w:r>
        <w:rPr>
          <w:b/>
          <w:bCs/>
          <w:i/>
          <w:iCs/>
        </w:rPr>
        <w:t>Contact:</w:t>
      </w:r>
      <w:r>
        <w:rPr>
          <w:b/>
          <w:bCs/>
          <w:i/>
          <w:iCs/>
        </w:rPr>
        <w:tab/>
      </w:r>
      <w:r>
        <w:rPr>
          <w:bCs/>
          <w:i/>
          <w:iCs/>
        </w:rPr>
        <w:t>Susanne Johansson</w:t>
      </w:r>
    </w:p>
    <w:p w:rsidR="00686B1B" w:rsidRPr="00686B1B" w:rsidRDefault="00686B1B" w:rsidP="00686B1B">
      <w:pPr>
        <w:tabs>
          <w:tab w:val="left" w:pos="1701"/>
        </w:tabs>
      </w:pPr>
      <w:r>
        <w:rPr>
          <w:bCs/>
          <w:i/>
          <w:iCs/>
        </w:rPr>
        <w:tab/>
        <w:t xml:space="preserve">(Tel.: 00 32 2 546 84 77 – email: </w:t>
      </w:r>
      <w:hyperlink r:id="rId16" w:history="1">
        <w:r>
          <w:rPr>
            <w:rStyle w:val="Hyperlink"/>
            <w:i/>
            <w:iCs/>
          </w:rPr>
          <w:t>susanne.johansson@eesc.europa.eu</w:t>
        </w:r>
      </w:hyperlink>
      <w:r>
        <w:rPr>
          <w:bCs/>
          <w:i/>
          <w:iCs/>
        </w:rPr>
        <w:t>)</w:t>
      </w:r>
    </w:p>
    <w:p w:rsidR="00AC6F72" w:rsidRDefault="00AC6F72" w:rsidP="00847378">
      <w:pPr>
        <w:spacing w:line="240" w:lineRule="auto"/>
        <w:jc w:val="left"/>
        <w:rPr>
          <w:b/>
          <w:caps/>
          <w:kern w:val="28"/>
          <w:lang w:val="en-GB"/>
        </w:rPr>
      </w:pPr>
    </w:p>
    <w:p w:rsidR="00BC33D4" w:rsidRPr="00BC33D4" w:rsidRDefault="00BC33D4" w:rsidP="00BC33D4">
      <w:pPr>
        <w:pStyle w:val="ListParagraph"/>
        <w:numPr>
          <w:ilvl w:val="0"/>
          <w:numId w:val="16"/>
        </w:numPr>
        <w:spacing w:line="240" w:lineRule="auto"/>
        <w:ind w:left="567" w:hanging="567"/>
        <w:jc w:val="left"/>
        <w:rPr>
          <w:b/>
          <w:caps/>
          <w:kern w:val="28"/>
        </w:rPr>
      </w:pPr>
      <w:r>
        <w:rPr>
          <w:b/>
          <w:i/>
          <w:sz w:val="28"/>
          <w:szCs w:val="28"/>
        </w:rPr>
        <w:t>PEACE IV – Continuarea programelor de cooperare</w:t>
      </w:r>
    </w:p>
    <w:p w:rsidR="00BC33D4" w:rsidRDefault="00BC33D4" w:rsidP="00BC33D4">
      <w:pPr>
        <w:spacing w:line="240" w:lineRule="auto"/>
        <w:jc w:val="left"/>
        <w:rPr>
          <w:b/>
          <w:caps/>
          <w:kern w:val="28"/>
          <w:lang w:val="en-GB"/>
        </w:rPr>
      </w:pPr>
    </w:p>
    <w:p w:rsidR="00BC33D4" w:rsidRPr="00BC33D4" w:rsidRDefault="00BC33D4" w:rsidP="00696031">
      <w:pPr>
        <w:jc w:val="left"/>
        <w:rPr>
          <w:b/>
          <w:caps/>
          <w:kern w:val="28"/>
        </w:rPr>
      </w:pPr>
      <w:r>
        <w:rPr>
          <w:b/>
        </w:rPr>
        <w:t>Raportor general:</w:t>
      </w:r>
      <w:r>
        <w:tab/>
        <w:t>Jane MORRICE (Diversitate Europa – UK)</w:t>
      </w:r>
    </w:p>
    <w:p w:rsidR="00BC33D4" w:rsidRDefault="00BC33D4" w:rsidP="00696031">
      <w:pPr>
        <w:jc w:val="left"/>
        <w:rPr>
          <w:b/>
          <w:caps/>
          <w:kern w:val="28"/>
          <w:lang w:val="en-GB"/>
        </w:rPr>
      </w:pPr>
    </w:p>
    <w:p w:rsidR="00BC33D4" w:rsidRPr="00BC33D4" w:rsidRDefault="00BC33D4" w:rsidP="00696031">
      <w:pPr>
        <w:tabs>
          <w:tab w:val="left" w:pos="2268"/>
        </w:tabs>
        <w:jc w:val="left"/>
        <w:rPr>
          <w:b/>
          <w:caps/>
          <w:kern w:val="28"/>
        </w:rPr>
      </w:pPr>
      <w:r>
        <w:rPr>
          <w:b/>
        </w:rPr>
        <w:t>Referință:</w:t>
      </w:r>
      <w:r>
        <w:rPr>
          <w:b/>
        </w:rPr>
        <w:tab/>
      </w:r>
      <w:r>
        <w:t>COM(2018) 892 final</w:t>
      </w:r>
      <w:r w:rsidR="00C460C7">
        <w:t xml:space="preserve"> </w:t>
      </w:r>
      <w:r>
        <w:t>– 2018/0432 (COD)</w:t>
      </w:r>
    </w:p>
    <w:p w:rsidR="00847378" w:rsidRDefault="00696031" w:rsidP="00696031">
      <w:pPr>
        <w:tabs>
          <w:tab w:val="left" w:pos="2268"/>
        </w:tabs>
        <w:jc w:val="left"/>
      </w:pPr>
      <w:r>
        <w:rPr>
          <w:b/>
          <w:caps/>
        </w:rPr>
        <w:tab/>
      </w:r>
      <w:r>
        <w:t>EESC-2019-00492-00-00-AC-TRA</w:t>
      </w:r>
    </w:p>
    <w:p w:rsidR="00696031" w:rsidRDefault="00696031" w:rsidP="00696031">
      <w:pPr>
        <w:tabs>
          <w:tab w:val="left" w:pos="2268"/>
        </w:tabs>
        <w:jc w:val="left"/>
      </w:pPr>
    </w:p>
    <w:p w:rsidR="00696031" w:rsidRPr="00696031" w:rsidRDefault="00696031" w:rsidP="00696031">
      <w:pPr>
        <w:tabs>
          <w:tab w:val="left" w:pos="2268"/>
        </w:tabs>
        <w:jc w:val="left"/>
        <w:rPr>
          <w:b/>
          <w:caps/>
          <w:kern w:val="28"/>
        </w:rPr>
      </w:pPr>
      <w:r>
        <w:rPr>
          <w:b/>
        </w:rPr>
        <w:t>Punctele principale:</w:t>
      </w:r>
    </w:p>
    <w:p w:rsidR="00696031" w:rsidRPr="00717F5B" w:rsidRDefault="00696031" w:rsidP="00696031">
      <w:pPr>
        <w:jc w:val="left"/>
        <w:rPr>
          <w:b/>
          <w:caps/>
          <w:kern w:val="28"/>
          <w:sz w:val="16"/>
          <w:szCs w:val="16"/>
          <w:lang w:val="en-GB"/>
        </w:rPr>
      </w:pPr>
    </w:p>
    <w:p w:rsidR="00696031" w:rsidRPr="00696031" w:rsidRDefault="00696031" w:rsidP="00EA2B80">
      <w:pPr>
        <w:pStyle w:val="ListParagraph"/>
        <w:numPr>
          <w:ilvl w:val="0"/>
          <w:numId w:val="16"/>
        </w:numPr>
        <w:ind w:left="567" w:hanging="567"/>
        <w:rPr>
          <w:b/>
          <w:caps/>
          <w:kern w:val="28"/>
        </w:rPr>
      </w:pPr>
      <w:r>
        <w:t>CESE salută călduros propunerea de continuare a programului PEACE al UE în Irlanda de Nord și în comitatele de graniță ale Irlandei după retragerea Regatului Unit din UE. Apreciind prioritatea acordată de UE sprijinirii procesului de pace, CESE recunoaște contribuția semnificativă adusă de programul PEACE la menținerea păcii în regiune. Această afirmație este în concordanță cu concluziile Parlamentului European din septembrie 2018, în care programul PEACE este descris ca un model pentru restul lumii.</w:t>
      </w:r>
    </w:p>
    <w:p w:rsidR="00696031" w:rsidRPr="00717F5B" w:rsidRDefault="00696031" w:rsidP="00EA2B80">
      <w:pPr>
        <w:ind w:left="567" w:hanging="567"/>
        <w:rPr>
          <w:b/>
          <w:caps/>
          <w:kern w:val="28"/>
          <w:sz w:val="16"/>
          <w:szCs w:val="16"/>
          <w:lang w:val="en-GB"/>
        </w:rPr>
      </w:pPr>
    </w:p>
    <w:p w:rsidR="00696031" w:rsidRPr="008B72B6" w:rsidRDefault="00696031" w:rsidP="00890C94">
      <w:pPr>
        <w:pStyle w:val="Heading2"/>
        <w:numPr>
          <w:ilvl w:val="0"/>
          <w:numId w:val="17"/>
        </w:numPr>
        <w:ind w:left="567" w:hanging="567"/>
      </w:pPr>
      <w:r>
        <w:t xml:space="preserve">Mai mult, în lumina caracterului destabilizator al incertitudinii politice, economice și sociale cauzate de </w:t>
      </w:r>
      <w:proofErr w:type="spellStart"/>
      <w:r>
        <w:t>Brexit</w:t>
      </w:r>
      <w:proofErr w:type="spellEnd"/>
      <w:r>
        <w:t>, pentru actorii societății civile este vital ca UE să își mențină angajamentul de a face tot ceea ce-i stă în putință pentru a garanta evitarea apariției oricărui conflict în Irlanda de Nord și ca această regiune să-și continue parcursul de reconciliere, utilizând abordarea ascendentă specifică UE în materie de construire a păcii și soluționare a conflictelor.</w:t>
      </w:r>
    </w:p>
    <w:p w:rsidR="00696031" w:rsidRPr="00890C94" w:rsidRDefault="00696031" w:rsidP="00890C94">
      <w:pPr>
        <w:ind w:left="567" w:hanging="567"/>
        <w:outlineLvl w:val="1"/>
        <w:rPr>
          <w:rFonts w:eastAsiaTheme="minorHAnsi"/>
          <w:sz w:val="16"/>
          <w:szCs w:val="16"/>
          <w:lang w:val="fr-BE"/>
        </w:rPr>
      </w:pPr>
    </w:p>
    <w:p w:rsidR="00696031" w:rsidRPr="00696031" w:rsidRDefault="00696031" w:rsidP="00EA2B80">
      <w:pPr>
        <w:pStyle w:val="ListParagraph"/>
        <w:numPr>
          <w:ilvl w:val="0"/>
          <w:numId w:val="16"/>
        </w:numPr>
        <w:ind w:left="567" w:hanging="567"/>
        <w:rPr>
          <w:b/>
          <w:caps/>
          <w:kern w:val="28"/>
        </w:rPr>
      </w:pPr>
      <w:r>
        <w:t>Programul european pentru pace și reconciliere (PEACE) este cel mai valoros și de succes instrument de consolidare a păcii utilizat vreodată de Uniunea Europeană într-o situație de conflict. Înființat în 1995 ca răspuns la acordurile de încetare a focului din Irlanda de Nord, programul PEACE a investit peste 2 miliarde EUR în proiecte intercomunitare, transfrontaliere și în alte proiecte din domeniul reconcilierii în cei 24 de ani de la crearea sa.</w:t>
      </w:r>
    </w:p>
    <w:p w:rsidR="00696031" w:rsidRPr="00717F5B" w:rsidRDefault="00696031" w:rsidP="00EA2B80">
      <w:pPr>
        <w:ind w:left="567" w:hanging="567"/>
        <w:rPr>
          <w:b/>
          <w:caps/>
          <w:kern w:val="28"/>
          <w:sz w:val="16"/>
          <w:szCs w:val="16"/>
          <w:lang w:val="en-GB"/>
        </w:rPr>
      </w:pPr>
    </w:p>
    <w:p w:rsidR="00696031" w:rsidRPr="008B72B6" w:rsidRDefault="00696031" w:rsidP="00890C94">
      <w:pPr>
        <w:pStyle w:val="Heading2"/>
        <w:numPr>
          <w:ilvl w:val="0"/>
          <w:numId w:val="19"/>
        </w:numPr>
        <w:ind w:left="567" w:hanging="567"/>
      </w:pPr>
      <w:r>
        <w:t>Salutat de toate părțile semnatare ale Acordului din Vinerea Mare/de la Belfast întrucât aduce o contribuție semnificativă la procesul de pace, programul PEACE este unic, în măsura în care merge mai departe decât orice intervenție realizată de UE pe propriul său teritoriu. El reunește părțile interesate din Regatul Unit și din Irlanda sub egida UE, cu unicul scop de a proteja procesul de pace.</w:t>
      </w:r>
    </w:p>
    <w:p w:rsidR="00696031" w:rsidRPr="00717F5B" w:rsidRDefault="00696031" w:rsidP="00717F5B">
      <w:pPr>
        <w:ind w:left="567" w:hanging="567"/>
        <w:rPr>
          <w:b/>
          <w:caps/>
          <w:kern w:val="28"/>
          <w:sz w:val="16"/>
          <w:szCs w:val="16"/>
          <w:lang w:val="en-GB"/>
        </w:rPr>
      </w:pPr>
    </w:p>
    <w:p w:rsidR="00696031" w:rsidRPr="008B72B6" w:rsidRDefault="00696031" w:rsidP="00890C94">
      <w:pPr>
        <w:pStyle w:val="Heading2"/>
        <w:numPr>
          <w:ilvl w:val="0"/>
          <w:numId w:val="20"/>
        </w:numPr>
        <w:ind w:left="567" w:hanging="567"/>
      </w:pPr>
      <w:r>
        <w:lastRenderedPageBreak/>
        <w:t xml:space="preserve">Caracterul urgent al situației create de </w:t>
      </w:r>
      <w:proofErr w:type="spellStart"/>
      <w:r>
        <w:t>Brexit</w:t>
      </w:r>
      <w:proofErr w:type="spellEnd"/>
      <w:r>
        <w:t xml:space="preserve"> și de eventuala retragere a Regatului Unit necesită un răspuns din partea UE pentru a proteja procesul de pace, și anume o reacție care să corespundă noilor nevoi ale regiunii în contextul post-</w:t>
      </w:r>
      <w:proofErr w:type="spellStart"/>
      <w:r>
        <w:t>Brexit</w:t>
      </w:r>
      <w:proofErr w:type="spellEnd"/>
      <w:r>
        <w:t xml:space="preserve">. Prin consolidarea sprijinului pentru continuarea programelor transfrontaliere PEACE și </w:t>
      </w:r>
      <w:proofErr w:type="spellStart"/>
      <w:r>
        <w:t>Interreg</w:t>
      </w:r>
      <w:proofErr w:type="spellEnd"/>
      <w:r>
        <w:t>, UE face pași importanți în direcția cea bună. Deși este un angajament care, din motive evidente, stă la baza unei părți vitale a sprijinului pe care UE îl aduce acestei regiuni, se poate face și ar trebui să se facă mai mult.</w:t>
      </w:r>
    </w:p>
    <w:p w:rsidR="00696031" w:rsidRPr="00890C94" w:rsidRDefault="00696031" w:rsidP="00890C94">
      <w:pPr>
        <w:ind w:left="567" w:hanging="567"/>
        <w:outlineLvl w:val="1"/>
        <w:rPr>
          <w:rFonts w:eastAsiaTheme="minorHAnsi"/>
          <w:sz w:val="16"/>
          <w:szCs w:val="16"/>
          <w:lang w:val="fr-BE"/>
        </w:rPr>
      </w:pPr>
    </w:p>
    <w:p w:rsidR="00696031" w:rsidRDefault="00696031" w:rsidP="00890C94">
      <w:pPr>
        <w:pStyle w:val="Heading2"/>
        <w:numPr>
          <w:ilvl w:val="0"/>
          <w:numId w:val="18"/>
        </w:numPr>
        <w:ind w:left="567" w:hanging="567"/>
        <w:rPr>
          <w:rFonts w:eastAsia="PMingLiU"/>
        </w:rPr>
      </w:pPr>
      <w:r>
        <w:t xml:space="preserve">Atât în timpul negocierilor privind </w:t>
      </w:r>
      <w:proofErr w:type="spellStart"/>
      <w:r>
        <w:t>Brexitul</w:t>
      </w:r>
      <w:proofErr w:type="spellEnd"/>
      <w:r>
        <w:t xml:space="preserve">, cât și după încheierea lor, nevoile mai urgente vor deveni evidente dacă tensiunile la nivelul comunității vor continua să crească și dacă clivajele dintre „loialitățile” britanice/irlandeze se vor accentua, nu numai în rândul populației, ci și la frontiere. Un semn de „bunăvoință” din partea UE ar putea include angajamentul de a spori fondurile acordate programului PEACE de către UE în cadrul următorului ciclu de finanțare și de a amplasa un Centru european pentru pace și reconciliere la Belfast, astfel cum s-a sugerat în rapoartele anterioare ale CESE/PE/CE. </w:t>
      </w:r>
    </w:p>
    <w:p w:rsidR="00696031" w:rsidRPr="00890C94" w:rsidRDefault="00696031" w:rsidP="00890C94">
      <w:pPr>
        <w:spacing w:line="22" w:lineRule="atLeast"/>
        <w:outlineLvl w:val="1"/>
        <w:rPr>
          <w:sz w:val="16"/>
          <w:szCs w:val="16"/>
          <w:lang w:val="fr-BE"/>
        </w:rPr>
      </w:pPr>
    </w:p>
    <w:p w:rsidR="00696031" w:rsidRPr="009C4C26" w:rsidRDefault="00696031" w:rsidP="00686B1B">
      <w:pPr>
        <w:tabs>
          <w:tab w:val="left" w:pos="1701"/>
        </w:tabs>
        <w:rPr>
          <w:i/>
        </w:rPr>
      </w:pPr>
      <w:r>
        <w:rPr>
          <w:b/>
          <w:i/>
        </w:rPr>
        <w:t>Persoană de contact</w:t>
      </w:r>
      <w:r>
        <w:t>:</w:t>
      </w:r>
      <w:r>
        <w:rPr>
          <w:i/>
        </w:rPr>
        <w:t xml:space="preserve"> </w:t>
      </w:r>
      <w:r>
        <w:rPr>
          <w:i/>
        </w:rPr>
        <w:tab/>
        <w:t xml:space="preserve">Georgios </w:t>
      </w:r>
      <w:proofErr w:type="spellStart"/>
      <w:r>
        <w:rPr>
          <w:i/>
        </w:rPr>
        <w:t>Meleas</w:t>
      </w:r>
      <w:proofErr w:type="spellEnd"/>
    </w:p>
    <w:p w:rsidR="00696031" w:rsidRDefault="00686B1B" w:rsidP="00686B1B">
      <w:pPr>
        <w:tabs>
          <w:tab w:val="left" w:pos="1701"/>
        </w:tabs>
        <w:spacing w:line="240" w:lineRule="auto"/>
        <w:jc w:val="left"/>
        <w:rPr>
          <w:b/>
          <w:caps/>
          <w:kern w:val="28"/>
        </w:rPr>
      </w:pPr>
      <w:r>
        <w:rPr>
          <w:i/>
        </w:rPr>
        <w:tab/>
        <w:t xml:space="preserve">(Tel: 00 32 2 546 9795 – e-mail: </w:t>
      </w:r>
      <w:hyperlink r:id="rId17" w:history="1">
        <w:r>
          <w:rPr>
            <w:rStyle w:val="Hyperlink"/>
            <w:i/>
          </w:rPr>
          <w:t>georgios.meleas@eesc.europa.eu</w:t>
        </w:r>
      </w:hyperlink>
      <w:r>
        <w:rPr>
          <w:i/>
        </w:rPr>
        <w:t>)</w:t>
      </w:r>
    </w:p>
    <w:p w:rsidR="00696031" w:rsidRDefault="00696031">
      <w:pPr>
        <w:spacing w:line="240" w:lineRule="auto"/>
        <w:jc w:val="left"/>
        <w:rPr>
          <w:b/>
          <w:caps/>
          <w:kern w:val="28"/>
        </w:rPr>
      </w:pPr>
      <w:r>
        <w:br w:type="page"/>
      </w:r>
    </w:p>
    <w:p w:rsidR="00F2269F" w:rsidRPr="00C460C7" w:rsidRDefault="00F2269F" w:rsidP="000D6B2F">
      <w:pPr>
        <w:pStyle w:val="Heading1"/>
        <w:ind w:left="567" w:hanging="567"/>
        <w:rPr>
          <w:b/>
          <w:caps/>
          <w:sz w:val="16"/>
          <w:szCs w:val="16"/>
        </w:rPr>
      </w:pPr>
      <w:bookmarkStart w:id="2" w:name="_Toc3457703"/>
      <w:r>
        <w:rPr>
          <w:b/>
          <w:caps/>
        </w:rPr>
        <w:lastRenderedPageBreak/>
        <w:t>Transporturi, energie, infrastructură și societatea informațională</w:t>
      </w:r>
      <w:bookmarkEnd w:id="2"/>
      <w:r>
        <w:rPr>
          <w:b/>
          <w:caps/>
        </w:rPr>
        <w:br/>
      </w:r>
    </w:p>
    <w:p w:rsidR="005121FB" w:rsidRPr="005121FB" w:rsidRDefault="005121FB" w:rsidP="005121FB">
      <w:pPr>
        <w:pStyle w:val="ListParagraph"/>
        <w:numPr>
          <w:ilvl w:val="0"/>
          <w:numId w:val="11"/>
        </w:numPr>
        <w:ind w:left="567" w:hanging="567"/>
        <w:rPr>
          <w:i/>
        </w:rPr>
      </w:pPr>
      <w:r>
        <w:rPr>
          <w:b/>
          <w:i/>
          <w:sz w:val="28"/>
          <w:szCs w:val="28"/>
        </w:rPr>
        <w:t>Revoluția digitală din perspectiva necesităților și drepturilor cetățenilor</w:t>
      </w:r>
    </w:p>
    <w:p w:rsidR="005121FB" w:rsidRPr="00C460C7" w:rsidRDefault="005121FB" w:rsidP="005121FB">
      <w:pPr>
        <w:rPr>
          <w:i/>
          <w:sz w:val="16"/>
          <w:szCs w:val="16"/>
          <w:lang w:val="en-GB"/>
        </w:rPr>
      </w:pPr>
    </w:p>
    <w:p w:rsidR="005121FB" w:rsidRPr="005C58CA" w:rsidRDefault="005121FB" w:rsidP="005121FB">
      <w:r>
        <w:rPr>
          <w:b/>
        </w:rPr>
        <w:t xml:space="preserve">Raportor: </w:t>
      </w:r>
      <w:r>
        <w:rPr>
          <w:b/>
        </w:rPr>
        <w:tab/>
      </w:r>
      <w:r>
        <w:t xml:space="preserve">Ulrich SAMM (Grupul „Angajatori” </w:t>
      </w:r>
      <w:r w:rsidR="00717F5B">
        <w:t>–</w:t>
      </w:r>
      <w:r>
        <w:t xml:space="preserve"> DE)</w:t>
      </w:r>
    </w:p>
    <w:p w:rsidR="005121FB" w:rsidRPr="00717F5B" w:rsidRDefault="005121FB" w:rsidP="005121FB">
      <w:pPr>
        <w:rPr>
          <w:b/>
          <w:sz w:val="16"/>
          <w:szCs w:val="16"/>
          <w:lang w:val="en-GB"/>
        </w:rPr>
      </w:pPr>
    </w:p>
    <w:p w:rsidR="005121FB" w:rsidRDefault="005121FB" w:rsidP="00717F5B">
      <w:r>
        <w:rPr>
          <w:b/>
        </w:rPr>
        <w:t>Referință:</w:t>
      </w:r>
      <w:r>
        <w:t xml:space="preserve"> </w:t>
      </w:r>
      <w:r>
        <w:tab/>
        <w:t>Aviz din proprie inițiativă – EESC-2018-04168-00-00-AC-TRA</w:t>
      </w:r>
    </w:p>
    <w:p w:rsidR="005121FB" w:rsidRPr="00717F5B" w:rsidRDefault="005121FB" w:rsidP="005121FB">
      <w:pPr>
        <w:ind w:left="1701" w:hanging="1701"/>
        <w:jc w:val="left"/>
        <w:rPr>
          <w:sz w:val="16"/>
          <w:szCs w:val="16"/>
          <w:lang w:val="en-GB"/>
        </w:rPr>
      </w:pPr>
    </w:p>
    <w:p w:rsidR="005121FB" w:rsidRDefault="00D36EFC" w:rsidP="005121FB">
      <w:pPr>
        <w:ind w:left="1701" w:hanging="1701"/>
        <w:jc w:val="left"/>
        <w:rPr>
          <w:b/>
        </w:rPr>
      </w:pPr>
      <w:r>
        <w:rPr>
          <w:b/>
        </w:rPr>
        <w:t>Punctele principale:</w:t>
      </w:r>
    </w:p>
    <w:p w:rsidR="005121FB" w:rsidRDefault="005121FB" w:rsidP="005121FB">
      <w:pPr>
        <w:ind w:left="1701" w:hanging="1701"/>
        <w:jc w:val="left"/>
        <w:rPr>
          <w:b/>
          <w:lang w:val="en-GB"/>
        </w:rPr>
      </w:pPr>
    </w:p>
    <w:p w:rsidR="005121FB" w:rsidRDefault="005121FB" w:rsidP="005121FB">
      <w:r>
        <w:t>Digitalizarea oferă o multitudine de noi posibilități care le permit oamenilor să facă alegeri pentru o viață mai bună într-un mod fără precedent. Pe de altă parte, cu cât digitalizarea este mai dominantă în viața noastră, cu atât mai mult putem fi manipulați.</w:t>
      </w:r>
      <w:r w:rsidR="00C460C7">
        <w:t xml:space="preserve"> </w:t>
      </w:r>
      <w:r>
        <w:t>CESE solicită elaborarea unor norme transparente, care să fie adaptate și aplicate acestor tehnologii care evoluează rapid. O tehnologie de calitate, convingătoare ar trebui să presupună formare, nu manipulare, și să respecte principiul liberei alegeri a oamenilor, pentru a garanta autonomia umană.</w:t>
      </w:r>
    </w:p>
    <w:p w:rsidR="005121FB" w:rsidRDefault="005121FB" w:rsidP="005121FB">
      <w:pPr>
        <w:rPr>
          <w:lang w:val="en-GB"/>
        </w:rPr>
      </w:pPr>
    </w:p>
    <w:p w:rsidR="005121FB" w:rsidRDefault="005121FB" w:rsidP="005121FB">
      <w:r>
        <w:t xml:space="preserve">CESE invită UE să revizuiască </w:t>
      </w:r>
      <w:r>
        <w:rPr>
          <w:b/>
        </w:rPr>
        <w:t>reglementările existente în materie de securitate</w:t>
      </w:r>
      <w:r>
        <w:t xml:space="preserve"> și să elaboreze și să adapteze norme stricte de securitate pentru noile evoluții tehnologice pentru protecția cetățenilor în locuințele lor. CESE salută abordarea privind îmbunătățirea </w:t>
      </w:r>
      <w:r>
        <w:rPr>
          <w:b/>
        </w:rPr>
        <w:t>siguranței rutiere</w:t>
      </w:r>
      <w:r>
        <w:t xml:space="preserve"> prin introducerea mai multor tehnologii digitale în automobile, dar își exprimă, de asemenea, îngrijorarea cu privire la ritmul lent al acestor îmbunătățiri. Comitetul solicită elaborarea unor stimulente la nivelul UE pentru a aborda costurile mari (necesitatea de a cumpăra automobile noi) și acceptarea insuficientă a sistemelor de asistență (complexitate, lipsa formării). Trebuie să fie dezvoltată o strategie europeană pentru a adapta și a modifica sistemul nostru rutier, astfel încât vehiculele complet autonome, 100% sigure, să devină un succes.</w:t>
      </w:r>
    </w:p>
    <w:p w:rsidR="005121FB" w:rsidRDefault="005121FB" w:rsidP="005121FB">
      <w:pPr>
        <w:rPr>
          <w:lang w:val="en-GB"/>
        </w:rPr>
      </w:pPr>
    </w:p>
    <w:p w:rsidR="005121FB" w:rsidRDefault="005121FB" w:rsidP="005121FB">
      <w:r>
        <w:rPr>
          <w:b/>
        </w:rPr>
        <w:t>Consumatorul</w:t>
      </w:r>
      <w:r>
        <w:t xml:space="preserve"> individual, care nu deține competențe digitale profesionale, are nevoie de un sprijin puternic în utilizarea sistemelor digitale complexe. Transparența nu este suficientă: prin urmare, pentru a ajuta consumatorul, sunt necesare simplificări și proceduri standard la nivelul UE.</w:t>
      </w:r>
    </w:p>
    <w:p w:rsidR="005121FB" w:rsidRDefault="005121FB" w:rsidP="005121FB">
      <w:pPr>
        <w:rPr>
          <w:lang w:val="en-GB"/>
        </w:rPr>
      </w:pPr>
    </w:p>
    <w:p w:rsidR="005121FB" w:rsidRDefault="005121FB" w:rsidP="005121FB">
      <w:r>
        <w:t xml:space="preserve">CESE recomandă ca, ori de câte ori sunt planificate noi sisteme de automatizare în industrie, în comerț și în sectorul serviciilor, să se utilizeze metode științifice obiective de optimizare și evaluare a interacțiunii om-mașină. Metodele științifice ale </w:t>
      </w:r>
      <w:r>
        <w:rPr>
          <w:b/>
        </w:rPr>
        <w:t>ergonomiei cognitive</w:t>
      </w:r>
      <w:r>
        <w:t xml:space="preserve"> fac posibilă evaluarea obiectivă a nevoilor psihice, utilizând totodată noi sisteme de asistență tehnică. CESE este convins că digitalizarea va avea succes pe termen lung doar printr-o proiectare centrată pe oameni.</w:t>
      </w:r>
    </w:p>
    <w:p w:rsidR="005121FB" w:rsidRPr="00717F5B" w:rsidRDefault="005121FB" w:rsidP="005121FB">
      <w:pPr>
        <w:rPr>
          <w:sz w:val="16"/>
          <w:szCs w:val="16"/>
          <w:lang w:val="en-GB"/>
        </w:rPr>
      </w:pPr>
    </w:p>
    <w:p w:rsidR="005121FB" w:rsidRPr="005C58CA" w:rsidRDefault="005121FB" w:rsidP="005121FB">
      <w:pPr>
        <w:tabs>
          <w:tab w:val="left" w:pos="1701"/>
        </w:tabs>
        <w:rPr>
          <w:i/>
        </w:rPr>
      </w:pPr>
      <w:r>
        <w:rPr>
          <w:b/>
          <w:i/>
        </w:rPr>
        <w:t>Contact:</w:t>
      </w:r>
      <w:r>
        <w:rPr>
          <w:i/>
        </w:rPr>
        <w:tab/>
        <w:t>Maja Radman</w:t>
      </w:r>
    </w:p>
    <w:p w:rsidR="005121FB" w:rsidRDefault="005121FB" w:rsidP="005121FB">
      <w:pPr>
        <w:tabs>
          <w:tab w:val="left" w:pos="1701"/>
        </w:tabs>
        <w:rPr>
          <w:i/>
        </w:rPr>
      </w:pPr>
      <w:r>
        <w:rPr>
          <w:i/>
        </w:rPr>
        <w:tab/>
        <w:t xml:space="preserve">(Tel.: 00 32 2 546 9051 </w:t>
      </w:r>
      <w:r w:rsidR="00717F5B">
        <w:t>–</w:t>
      </w:r>
      <w:r>
        <w:rPr>
          <w:i/>
        </w:rPr>
        <w:t xml:space="preserve"> email: </w:t>
      </w:r>
      <w:hyperlink r:id="rId18" w:history="1">
        <w:r>
          <w:rPr>
            <w:rStyle w:val="Hyperlink"/>
            <w:i/>
          </w:rPr>
          <w:t>Maja.Radman@eesc.europa.eu</w:t>
        </w:r>
      </w:hyperlink>
      <w:r>
        <w:rPr>
          <w:i/>
        </w:rPr>
        <w:t>)</w:t>
      </w:r>
    </w:p>
    <w:p w:rsidR="002D537A" w:rsidRDefault="002D537A" w:rsidP="005121FB">
      <w:pPr>
        <w:tabs>
          <w:tab w:val="left" w:pos="1701"/>
        </w:tabs>
        <w:rPr>
          <w:lang w:val="en-GB"/>
        </w:rPr>
      </w:pPr>
    </w:p>
    <w:p w:rsidR="002D537A" w:rsidRPr="002D537A" w:rsidRDefault="002D537A" w:rsidP="002D537A">
      <w:pPr>
        <w:widowControl w:val="0"/>
        <w:numPr>
          <w:ilvl w:val="0"/>
          <w:numId w:val="12"/>
        </w:numPr>
        <w:overflowPunct w:val="0"/>
        <w:autoSpaceDE w:val="0"/>
        <w:autoSpaceDN w:val="0"/>
        <w:adjustRightInd w:val="0"/>
        <w:spacing w:line="240" w:lineRule="auto"/>
        <w:ind w:left="567" w:hanging="567"/>
        <w:textAlignment w:val="baseline"/>
        <w:rPr>
          <w:bCs/>
          <w:i/>
        </w:rPr>
      </w:pPr>
      <w:r>
        <w:rPr>
          <w:b/>
          <w:i/>
          <w:sz w:val="28"/>
          <w:szCs w:val="28"/>
        </w:rPr>
        <w:t xml:space="preserve">Siguranța aviației după </w:t>
      </w:r>
      <w:proofErr w:type="spellStart"/>
      <w:r>
        <w:rPr>
          <w:b/>
          <w:i/>
          <w:sz w:val="28"/>
          <w:szCs w:val="28"/>
        </w:rPr>
        <w:t>Brexit</w:t>
      </w:r>
      <w:proofErr w:type="spellEnd"/>
    </w:p>
    <w:p w:rsidR="002D537A" w:rsidRPr="00C460C7" w:rsidRDefault="002D537A" w:rsidP="00C460C7">
      <w:pPr>
        <w:tabs>
          <w:tab w:val="left" w:pos="1701"/>
        </w:tabs>
        <w:rPr>
          <w:b/>
          <w:sz w:val="16"/>
          <w:szCs w:val="16"/>
          <w:lang w:val="en-GB"/>
        </w:rPr>
      </w:pPr>
    </w:p>
    <w:p w:rsidR="002D537A" w:rsidRDefault="002D537A" w:rsidP="00717F5B">
      <w:pPr>
        <w:tabs>
          <w:tab w:val="left" w:pos="1843"/>
        </w:tabs>
      </w:pPr>
      <w:r>
        <w:rPr>
          <w:b/>
        </w:rPr>
        <w:t>Raportor general:</w:t>
      </w:r>
      <w:r>
        <w:rPr>
          <w:b/>
        </w:rPr>
        <w:tab/>
      </w:r>
      <w:r>
        <w:t xml:space="preserve">Thomas </w:t>
      </w:r>
      <w:proofErr w:type="spellStart"/>
      <w:r>
        <w:t>McDONOGH</w:t>
      </w:r>
      <w:proofErr w:type="spellEnd"/>
      <w:r>
        <w:t xml:space="preserve"> („Angajatori” – IE) </w:t>
      </w:r>
    </w:p>
    <w:p w:rsidR="002D537A" w:rsidRPr="00717F5B" w:rsidRDefault="002D537A" w:rsidP="002D537A">
      <w:pPr>
        <w:tabs>
          <w:tab w:val="left" w:pos="1701"/>
        </w:tabs>
        <w:rPr>
          <w:b/>
          <w:sz w:val="16"/>
          <w:szCs w:val="16"/>
          <w:lang w:val="en-GB"/>
        </w:rPr>
      </w:pPr>
    </w:p>
    <w:p w:rsidR="002D537A" w:rsidRDefault="002D537A" w:rsidP="00717F5B">
      <w:pPr>
        <w:tabs>
          <w:tab w:val="left" w:pos="1843"/>
        </w:tabs>
      </w:pPr>
      <w:r>
        <w:rPr>
          <w:b/>
        </w:rPr>
        <w:t>Referință:</w:t>
      </w:r>
      <w:r>
        <w:tab/>
        <w:t>COM(2018) 894 final – 2018/0434 (COD)</w:t>
      </w:r>
    </w:p>
    <w:p w:rsidR="002D537A" w:rsidRDefault="002D537A" w:rsidP="00C460C7">
      <w:pPr>
        <w:tabs>
          <w:tab w:val="left" w:pos="1843"/>
        </w:tabs>
      </w:pPr>
      <w:r>
        <w:tab/>
        <w:t>EESC-2019-00443-00-00-AC-TRA</w:t>
      </w:r>
    </w:p>
    <w:p w:rsidR="002D537A" w:rsidRPr="00C460C7" w:rsidRDefault="002D537A" w:rsidP="002D537A">
      <w:pPr>
        <w:tabs>
          <w:tab w:val="left" w:pos="2268"/>
        </w:tabs>
        <w:rPr>
          <w:sz w:val="16"/>
          <w:szCs w:val="16"/>
          <w:lang w:val="en-GB"/>
        </w:rPr>
      </w:pPr>
    </w:p>
    <w:p w:rsidR="002D537A" w:rsidRDefault="002D537A" w:rsidP="002D537A">
      <w:pPr>
        <w:tabs>
          <w:tab w:val="left" w:pos="2268"/>
        </w:tabs>
      </w:pPr>
      <w:r>
        <w:rPr>
          <w:b/>
        </w:rPr>
        <w:lastRenderedPageBreak/>
        <w:t>Punctele principale:</w:t>
      </w:r>
    </w:p>
    <w:p w:rsidR="002D537A" w:rsidRDefault="002D537A" w:rsidP="002D537A">
      <w:pPr>
        <w:tabs>
          <w:tab w:val="left" w:pos="2268"/>
        </w:tabs>
        <w:rPr>
          <w:lang w:val="en-GB"/>
        </w:rPr>
      </w:pPr>
    </w:p>
    <w:p w:rsidR="005121FB" w:rsidRDefault="002D537A" w:rsidP="005121FB">
      <w:r>
        <w:t xml:space="preserve">CESE a subliniat în repetate rânduri că transportul aerian internațional nu poate decât să își asume rolul de catalizator al creșterii economice durabile, dacă se mențin cele mai înalte niveluri de siguranță. Condițiile care garantează siguranța sunt standardele uniforme, puse în aplicare de toate părțile interesate și monitorizate de agențiile abilitate. </w:t>
      </w:r>
      <w:proofErr w:type="spellStart"/>
      <w:r>
        <w:t>Brexitul</w:t>
      </w:r>
      <w:proofErr w:type="spellEnd"/>
      <w:r>
        <w:t xml:space="preserve"> poate pune în pericol astfel de standarde și aplicarea uniformă în Europa în domeniul siguranței aviației, deoarece reglementările relevante de la nivelul UE nu se mai pot aplica părților interesate din sectorul aviației din Regatul Unit începând din martie 2019.</w:t>
      </w:r>
    </w:p>
    <w:p w:rsidR="002D537A" w:rsidRDefault="002D537A" w:rsidP="005121FB">
      <w:pPr>
        <w:rPr>
          <w:lang w:val="en-GB"/>
        </w:rPr>
      </w:pPr>
    </w:p>
    <w:p w:rsidR="002D537A" w:rsidRDefault="002D537A" w:rsidP="005121FB">
      <w:r>
        <w:t>În cazul în care nu există niciun alt temei juridic, nu este clar dacă certificatele eliberate de Regatul Unit în temeiul legislației UE vor fi în continuare valabile, nu este clar modul în care companiile aeriene înregistrate în Regatul Unit ar putea obține certificarea necesară începând cu 30 martie 2019 și nici modul în care întreprinderile de reparații și întreținere din Regatul Unit ar putea continua să furnizeze piese de schimb și servicii pe baza licențelor, în conformitate cu legislația UE. Pentru a rezolva aceste probleme și a stabili un temei juridic pentru a asigura o tranziție fără dificultăți la aplicarea legislației Regatului Unit, este necesar să se prevadă un regulament de urgență, în cazul în care nu se adoptă acordul de retragere.</w:t>
      </w:r>
    </w:p>
    <w:p w:rsidR="002D537A" w:rsidRDefault="002D537A" w:rsidP="005121FB">
      <w:pPr>
        <w:rPr>
          <w:lang w:val="en-GB"/>
        </w:rPr>
      </w:pPr>
    </w:p>
    <w:p w:rsidR="002D537A" w:rsidRDefault="002D537A" w:rsidP="005121FB">
      <w:r>
        <w:t xml:space="preserve">Deși părțile interesate pot, în multe cazuri, să rezolve problemele legate de menținerea valabilității certificatelor făcând apel la o autoritate aeronautică civilă a UE-27 sau solicitând un certificat de țară terță emis de Agenția Europeană de Siguranță a Aviației (AESA), există situații în care o astfel de atenuare a impactului </w:t>
      </w:r>
      <w:proofErr w:type="spellStart"/>
      <w:r>
        <w:t>Brexitului</w:t>
      </w:r>
      <w:proofErr w:type="spellEnd"/>
      <w:r>
        <w:t xml:space="preserve"> nu este posibilă. Aceste situații pot fi rezolvate doar dacă se stabilește un temei juridic.</w:t>
      </w:r>
    </w:p>
    <w:p w:rsidR="002D537A" w:rsidRDefault="002D537A" w:rsidP="005121FB">
      <w:pPr>
        <w:rPr>
          <w:lang w:val="en-GB"/>
        </w:rPr>
      </w:pPr>
    </w:p>
    <w:p w:rsidR="002D537A" w:rsidRDefault="002D537A" w:rsidP="005121FB">
      <w:r>
        <w:t>CESE felicită Comisia Europeană pentru această inițiativă de reglementare, prin care se recunosc problemele specifice ce ar putea apărea în materie de siguranță a aviației în cazul în care nu există niciun acord de retragere. Regulamentul va oferi sectorului garanțiile necesare că procesul de certificare nu va fi pus în pericol în timpul tranziției Regatului Unit de la statutul de stat membru la cel de țară terță. Călătorii vor avea, de asemenea, asigurarea că operațiunile de transport aerian vor continua și după 29</w:t>
      </w:r>
      <w:r w:rsidR="00C460C7">
        <w:t> </w:t>
      </w:r>
      <w:r>
        <w:t>martie 2019 în condiții de siguranță.</w:t>
      </w:r>
    </w:p>
    <w:p w:rsidR="002D537A" w:rsidRDefault="002D537A" w:rsidP="005121FB">
      <w:pPr>
        <w:rPr>
          <w:lang w:val="en-GB"/>
        </w:rPr>
      </w:pPr>
    </w:p>
    <w:p w:rsidR="002D537A" w:rsidRDefault="002D537A" w:rsidP="005121FB">
      <w:r>
        <w:t>CESE îndeamnă Regatul Unit să încheie cât mai curând posibil acorduri bilaterale privind siguranța, cu UE și cu alte țări terțe, pentru a stabili consensul necesar privind recunoașterea reciprocă a certificatelor eliberate de Regatul Unit și de celelalte părți.</w:t>
      </w:r>
    </w:p>
    <w:p w:rsidR="002D537A" w:rsidRDefault="002D537A" w:rsidP="005121FB"/>
    <w:p w:rsidR="002D537A" w:rsidRPr="00554D34" w:rsidRDefault="002D537A" w:rsidP="002D537A">
      <w:pPr>
        <w:tabs>
          <w:tab w:val="left" w:pos="1701"/>
        </w:tabs>
        <w:rPr>
          <w:i/>
        </w:rPr>
      </w:pPr>
      <w:r>
        <w:rPr>
          <w:b/>
          <w:i/>
        </w:rPr>
        <w:t>Contact:</w:t>
      </w:r>
      <w:r>
        <w:rPr>
          <w:i/>
        </w:rPr>
        <w:tab/>
        <w:t>Antonio Ribeiro Pereira</w:t>
      </w:r>
    </w:p>
    <w:p w:rsidR="002D537A" w:rsidRDefault="002D537A" w:rsidP="002D537A">
      <w:pPr>
        <w:tabs>
          <w:tab w:val="left" w:pos="1701"/>
        </w:tabs>
      </w:pPr>
      <w:r>
        <w:rPr>
          <w:i/>
        </w:rPr>
        <w:tab/>
        <w:t xml:space="preserve">(Tel.: 00 32 2 546 9363 - email: </w:t>
      </w:r>
      <w:hyperlink r:id="rId19" w:history="1">
        <w:r>
          <w:rPr>
            <w:rStyle w:val="Hyperlink"/>
            <w:i/>
          </w:rPr>
          <w:t>Antonio.RibeiroPereira@eesc.europa.eu</w:t>
        </w:r>
      </w:hyperlink>
      <w:r>
        <w:rPr>
          <w:i/>
        </w:rPr>
        <w:t>)</w:t>
      </w:r>
    </w:p>
    <w:p w:rsidR="002D537A" w:rsidRDefault="002D537A" w:rsidP="005121FB">
      <w:pPr>
        <w:rPr>
          <w:lang w:val="en-GB"/>
        </w:rPr>
      </w:pPr>
    </w:p>
    <w:p w:rsidR="00A7232D" w:rsidRPr="00A7232D" w:rsidRDefault="00A7232D" w:rsidP="00A7232D">
      <w:pPr>
        <w:pStyle w:val="ListParagraph"/>
        <w:numPr>
          <w:ilvl w:val="0"/>
          <w:numId w:val="11"/>
        </w:numPr>
        <w:ind w:left="567" w:hanging="567"/>
        <w:rPr>
          <w:i/>
        </w:rPr>
      </w:pPr>
      <w:r>
        <w:rPr>
          <w:b/>
          <w:i/>
          <w:sz w:val="28"/>
          <w:szCs w:val="28"/>
        </w:rPr>
        <w:t xml:space="preserve">„Asigurarea conectivității aeriene de bază după </w:t>
      </w:r>
      <w:proofErr w:type="spellStart"/>
      <w:r>
        <w:rPr>
          <w:b/>
          <w:i/>
          <w:sz w:val="28"/>
          <w:szCs w:val="28"/>
        </w:rPr>
        <w:t>Brexit</w:t>
      </w:r>
      <w:proofErr w:type="spellEnd"/>
      <w:r>
        <w:rPr>
          <w:b/>
          <w:i/>
          <w:sz w:val="28"/>
          <w:szCs w:val="28"/>
        </w:rPr>
        <w:t>”</w:t>
      </w:r>
    </w:p>
    <w:p w:rsidR="00A7232D" w:rsidRDefault="00A7232D" w:rsidP="00A7232D">
      <w:pPr>
        <w:rPr>
          <w:i/>
          <w:lang w:val="en-GB"/>
        </w:rPr>
      </w:pPr>
    </w:p>
    <w:p w:rsidR="00A7232D" w:rsidRDefault="00A7232D" w:rsidP="00C460C7">
      <w:pPr>
        <w:tabs>
          <w:tab w:val="left" w:pos="1843"/>
        </w:tabs>
      </w:pPr>
      <w:r>
        <w:rPr>
          <w:b/>
        </w:rPr>
        <w:t xml:space="preserve">Raportor general: </w:t>
      </w:r>
      <w:r>
        <w:rPr>
          <w:b/>
        </w:rPr>
        <w:tab/>
      </w:r>
      <w:proofErr w:type="spellStart"/>
      <w:r>
        <w:t>Jacek</w:t>
      </w:r>
      <w:proofErr w:type="spellEnd"/>
      <w:r>
        <w:t xml:space="preserve"> </w:t>
      </w:r>
      <w:proofErr w:type="spellStart"/>
      <w:r>
        <w:t>Krawczyk</w:t>
      </w:r>
      <w:proofErr w:type="spellEnd"/>
      <w:r>
        <w:t xml:space="preserve"> (Grupul „Angajatori” – PL)</w:t>
      </w:r>
    </w:p>
    <w:p w:rsidR="00584ECF" w:rsidRDefault="00584ECF" w:rsidP="00A7232D">
      <w:pPr>
        <w:rPr>
          <w:b/>
          <w:lang w:val="en-GB"/>
        </w:rPr>
      </w:pPr>
    </w:p>
    <w:p w:rsidR="00584ECF" w:rsidRDefault="00A7232D" w:rsidP="00C460C7">
      <w:pPr>
        <w:tabs>
          <w:tab w:val="left" w:pos="1843"/>
        </w:tabs>
      </w:pPr>
      <w:r>
        <w:rPr>
          <w:b/>
        </w:rPr>
        <w:t>Referință:</w:t>
      </w:r>
      <w:r>
        <w:t xml:space="preserve"> </w:t>
      </w:r>
      <w:r>
        <w:tab/>
        <w:t>COM(2018) 893 final – 2018/0433 (COD)</w:t>
      </w:r>
    </w:p>
    <w:p w:rsidR="00A7232D" w:rsidRDefault="00584ECF" w:rsidP="00C460C7">
      <w:pPr>
        <w:tabs>
          <w:tab w:val="left" w:pos="1843"/>
        </w:tabs>
      </w:pPr>
      <w:r>
        <w:tab/>
        <w:t>EESC-2019-00444-00-00-AC-TRA</w:t>
      </w:r>
    </w:p>
    <w:p w:rsidR="00584ECF" w:rsidRDefault="00584ECF" w:rsidP="00584ECF">
      <w:pPr>
        <w:tabs>
          <w:tab w:val="left" w:pos="2268"/>
        </w:tabs>
        <w:rPr>
          <w:lang w:val="en-GB"/>
        </w:rPr>
      </w:pPr>
    </w:p>
    <w:p w:rsidR="00584ECF" w:rsidRDefault="00584ECF" w:rsidP="00C460C7">
      <w:pPr>
        <w:keepNext/>
        <w:keepLines/>
        <w:tabs>
          <w:tab w:val="left" w:pos="2268"/>
        </w:tabs>
        <w:rPr>
          <w:b/>
        </w:rPr>
      </w:pPr>
      <w:r>
        <w:rPr>
          <w:b/>
        </w:rPr>
        <w:lastRenderedPageBreak/>
        <w:t>Punctele principale:</w:t>
      </w:r>
    </w:p>
    <w:p w:rsidR="00584ECF" w:rsidRDefault="00584ECF" w:rsidP="00C460C7">
      <w:pPr>
        <w:keepNext/>
        <w:keepLines/>
        <w:tabs>
          <w:tab w:val="left" w:pos="2268"/>
        </w:tabs>
        <w:rPr>
          <w:lang w:val="en-GB"/>
        </w:rPr>
      </w:pPr>
    </w:p>
    <w:p w:rsidR="00584ECF" w:rsidRDefault="00584ECF" w:rsidP="00C460C7">
      <w:pPr>
        <w:keepNext/>
        <w:keepLines/>
        <w:tabs>
          <w:tab w:val="left" w:pos="2268"/>
        </w:tabs>
      </w:pPr>
      <w:r>
        <w:t>CESE a subliniat în mod constant importanța și dimensiunea spațiului aerian unic european, catalizator pentru creștere economică și prosperitate și pentru menținerea competitivității Europei pe plan internațional. Odată cu intrarea în vigoare a deciziei Regatului Unit (UK) de a renunța la statutul de membru al Uniunii Europene (BREXIT), niciunul dintre sectoarele economice ale Regatului Unit nu va mai face parte din piața unică europeană; sectorul său aviatic nu va mai beneficia de pe urma spațiului aerian unic european și nici nu va mai contribui la acesta. În scenariul din ce în ce mai probabil al „retragerii în lipsa unui acord”, legislația UE, în special Regulamentul (CE) nr. 1008/2008, ar înceta să se aplice serviciilor aeriene dintre Regatul Unit și UE. Acest lucru creează insecuritate juridică, pune în pericol stabilitatea planificării și reprezintă un risc pentru continuitatea serviciilor între Regatul Unit și UE.</w:t>
      </w:r>
    </w:p>
    <w:p w:rsidR="00584ECF" w:rsidRDefault="00584ECF" w:rsidP="00584ECF">
      <w:pPr>
        <w:tabs>
          <w:tab w:val="left" w:pos="2268"/>
        </w:tabs>
        <w:rPr>
          <w:lang w:val="en-GB"/>
        </w:rPr>
      </w:pPr>
    </w:p>
    <w:p w:rsidR="00584ECF" w:rsidRDefault="00584ECF" w:rsidP="00584ECF">
      <w:pPr>
        <w:tabs>
          <w:tab w:val="left" w:pos="2268"/>
        </w:tabs>
      </w:pPr>
      <w:r>
        <w:t>CESE sprijină ideea regulamentului propus, ca măsură de urgență pentru asigurarea conectivității aeriene de bază, având în vedere faptul că regulamentul nu poate fi considerat o extindere a Regulamentului (CE) nr. 1008/2008 și nici ca un acord unilateral de retragere. Drepturile prevăzute în propunerea de regulament sunt, pe bună dreptate, limitate în timp și ca scop. Limitarea oportunităților comerciale la servicii între UE și Regatul Unit aferente celei de-a 3-a și celei de-a 4-a libertăți este logică și coerentă. Alte oportunități comerciale pentru companiile aeriene din UE și din Regatul Unit trebuie să facă obiectul negocierilor privind un viitor acord privind serviciile aeriene între cele două părți.</w:t>
      </w:r>
    </w:p>
    <w:p w:rsidR="00584ECF" w:rsidRDefault="00584ECF" w:rsidP="00584ECF">
      <w:pPr>
        <w:tabs>
          <w:tab w:val="left" w:pos="2268"/>
        </w:tabs>
        <w:rPr>
          <w:lang w:val="en-GB"/>
        </w:rPr>
      </w:pPr>
    </w:p>
    <w:p w:rsidR="00584ECF" w:rsidRDefault="00584ECF" w:rsidP="00584ECF">
      <w:pPr>
        <w:tabs>
          <w:tab w:val="left" w:pos="2268"/>
        </w:tabs>
      </w:pPr>
      <w:r>
        <w:t>Având în vedere consecințele economice și sociale ale acestui scenariu pesimist, este esențial ca Comisia Europeană să elaboreze un mecanism transparent de monitorizare detaliată. Un astfel de mecanism ar trebui să prevadă, de asemenea, o cooperare strânsă între Comisie și partenerii sociali și organizațiile societății civile, înainte de perioada de tranziție și în timpul acesteia, dar și în cursul negocierii unui nou acord privind serviciile aeriene.</w:t>
      </w:r>
    </w:p>
    <w:p w:rsidR="00584ECF" w:rsidRPr="00584ECF" w:rsidRDefault="00584ECF" w:rsidP="00584ECF">
      <w:pPr>
        <w:tabs>
          <w:tab w:val="left" w:pos="2268"/>
        </w:tabs>
        <w:rPr>
          <w:lang w:val="en-GB"/>
        </w:rPr>
      </w:pPr>
    </w:p>
    <w:p w:rsidR="00584ECF" w:rsidRPr="00554D34" w:rsidRDefault="00584ECF" w:rsidP="00584ECF">
      <w:pPr>
        <w:tabs>
          <w:tab w:val="left" w:pos="1701"/>
        </w:tabs>
        <w:rPr>
          <w:i/>
        </w:rPr>
      </w:pPr>
      <w:r>
        <w:rPr>
          <w:b/>
          <w:i/>
        </w:rPr>
        <w:t>Contact:</w:t>
      </w:r>
      <w:r>
        <w:rPr>
          <w:i/>
        </w:rPr>
        <w:tab/>
        <w:t xml:space="preserve">Kristian </w:t>
      </w:r>
      <w:proofErr w:type="spellStart"/>
      <w:r>
        <w:rPr>
          <w:i/>
        </w:rPr>
        <w:t>Krieger</w:t>
      </w:r>
      <w:proofErr w:type="spellEnd"/>
    </w:p>
    <w:p w:rsidR="00A7232D" w:rsidRDefault="00584ECF" w:rsidP="00584ECF">
      <w:pPr>
        <w:tabs>
          <w:tab w:val="left" w:pos="1701"/>
        </w:tabs>
        <w:rPr>
          <w:i/>
        </w:rPr>
      </w:pPr>
      <w:r>
        <w:rPr>
          <w:i/>
        </w:rPr>
        <w:tab/>
        <w:t xml:space="preserve">(Tel.: 00 32 2 546 8921 </w:t>
      </w:r>
      <w:r w:rsidR="00C460C7">
        <w:rPr>
          <w:i/>
        </w:rPr>
        <w:t>–</w:t>
      </w:r>
      <w:r>
        <w:rPr>
          <w:i/>
        </w:rPr>
        <w:t xml:space="preserve"> email: </w:t>
      </w:r>
      <w:hyperlink r:id="rId20" w:history="1">
        <w:r>
          <w:rPr>
            <w:rStyle w:val="Hyperlink"/>
            <w:i/>
          </w:rPr>
          <w:t>Kristian.Krieger@eesc.europa.eu</w:t>
        </w:r>
      </w:hyperlink>
      <w:r>
        <w:rPr>
          <w:i/>
        </w:rPr>
        <w:t>)</w:t>
      </w:r>
    </w:p>
    <w:p w:rsidR="00584ECF" w:rsidRDefault="00584ECF" w:rsidP="00584ECF">
      <w:pPr>
        <w:tabs>
          <w:tab w:val="left" w:pos="1701"/>
        </w:tabs>
        <w:rPr>
          <w:i/>
          <w:lang w:val="en-GB"/>
        </w:rPr>
      </w:pPr>
    </w:p>
    <w:p w:rsidR="00584ECF" w:rsidRPr="00584ECF" w:rsidRDefault="00584ECF" w:rsidP="00584ECF">
      <w:pPr>
        <w:numPr>
          <w:ilvl w:val="0"/>
          <w:numId w:val="21"/>
        </w:numPr>
        <w:ind w:left="567" w:hanging="567"/>
        <w:contextualSpacing/>
        <w:rPr>
          <w:b/>
          <w:bCs/>
          <w:i/>
          <w:iCs/>
          <w:sz w:val="28"/>
          <w:szCs w:val="28"/>
        </w:rPr>
      </w:pPr>
      <w:r>
        <w:rPr>
          <w:b/>
          <w:bCs/>
          <w:i/>
          <w:iCs/>
          <w:sz w:val="28"/>
          <w:szCs w:val="28"/>
        </w:rPr>
        <w:t xml:space="preserve">„Asigurarea conectivității de bază a transportului rutier de mărfuri după </w:t>
      </w:r>
      <w:proofErr w:type="spellStart"/>
      <w:r>
        <w:rPr>
          <w:b/>
          <w:bCs/>
          <w:i/>
          <w:iCs/>
          <w:sz w:val="28"/>
          <w:szCs w:val="28"/>
        </w:rPr>
        <w:t>Brexit</w:t>
      </w:r>
      <w:proofErr w:type="spellEnd"/>
      <w:r>
        <w:rPr>
          <w:b/>
          <w:bCs/>
          <w:i/>
          <w:iCs/>
          <w:sz w:val="28"/>
          <w:szCs w:val="28"/>
        </w:rPr>
        <w:t>”</w:t>
      </w:r>
    </w:p>
    <w:p w:rsidR="00584ECF" w:rsidRPr="00603489" w:rsidRDefault="00584ECF" w:rsidP="00584ECF">
      <w:pPr>
        <w:rPr>
          <w:lang w:val="en-GB"/>
        </w:rPr>
      </w:pPr>
    </w:p>
    <w:p w:rsidR="00584ECF" w:rsidRDefault="00584ECF" w:rsidP="00584ECF">
      <w:pPr>
        <w:tabs>
          <w:tab w:val="left" w:pos="2268"/>
        </w:tabs>
      </w:pPr>
      <w:r>
        <w:rPr>
          <w:b/>
        </w:rPr>
        <w:t xml:space="preserve">Raportor general: </w:t>
      </w:r>
      <w:r>
        <w:rPr>
          <w:b/>
        </w:rPr>
        <w:tab/>
      </w:r>
      <w:r>
        <w:t>Raymond HENCKS (Grupul „Lucrători” – LU)</w:t>
      </w:r>
    </w:p>
    <w:p w:rsidR="00584ECF" w:rsidRDefault="00584ECF" w:rsidP="00584ECF">
      <w:pPr>
        <w:rPr>
          <w:b/>
          <w:bCs/>
          <w:kern w:val="28"/>
          <w:lang w:val="en-GB"/>
        </w:rPr>
      </w:pPr>
    </w:p>
    <w:p w:rsidR="00584ECF" w:rsidRDefault="00584ECF" w:rsidP="00584ECF">
      <w:pPr>
        <w:tabs>
          <w:tab w:val="left" w:pos="2268"/>
        </w:tabs>
      </w:pPr>
      <w:r>
        <w:rPr>
          <w:b/>
          <w:bCs/>
        </w:rPr>
        <w:t>Referință:</w:t>
      </w:r>
      <w:r w:rsidR="00C460C7">
        <w:rPr>
          <w:b/>
          <w:bCs/>
        </w:rPr>
        <w:t xml:space="preserve"> </w:t>
      </w:r>
      <w:r>
        <w:rPr>
          <w:b/>
          <w:bCs/>
        </w:rPr>
        <w:tab/>
      </w:r>
      <w:r>
        <w:t xml:space="preserve">COM(2018) 895 final – 2018/0436 (COD) </w:t>
      </w:r>
    </w:p>
    <w:p w:rsidR="00584ECF" w:rsidRPr="00603489" w:rsidRDefault="00584ECF" w:rsidP="00584ECF">
      <w:pPr>
        <w:tabs>
          <w:tab w:val="left" w:pos="2268"/>
        </w:tabs>
        <w:rPr>
          <w:kern w:val="28"/>
        </w:rPr>
      </w:pPr>
      <w:r>
        <w:tab/>
        <w:t>EESC-2019-00450-00-00-AC-TRA</w:t>
      </w:r>
    </w:p>
    <w:p w:rsidR="00584ECF" w:rsidRPr="00603489" w:rsidRDefault="00584ECF" w:rsidP="00584ECF">
      <w:pPr>
        <w:rPr>
          <w:rFonts w:eastAsia="Calibri"/>
          <w:lang w:val="en-GB"/>
        </w:rPr>
      </w:pPr>
    </w:p>
    <w:p w:rsidR="00584ECF" w:rsidRDefault="00584ECF" w:rsidP="00584ECF">
      <w:pPr>
        <w:tabs>
          <w:tab w:val="left" w:pos="1701"/>
        </w:tabs>
        <w:rPr>
          <w:b/>
          <w:bCs/>
        </w:rPr>
      </w:pPr>
      <w:r>
        <w:rPr>
          <w:b/>
          <w:bCs/>
        </w:rPr>
        <w:t>Punctele principale:</w:t>
      </w:r>
    </w:p>
    <w:p w:rsidR="00584ECF" w:rsidRDefault="00584ECF" w:rsidP="00584ECF">
      <w:pPr>
        <w:tabs>
          <w:tab w:val="left" w:pos="1701"/>
        </w:tabs>
        <w:rPr>
          <w:b/>
          <w:bCs/>
          <w:lang w:val="en-GB"/>
        </w:rPr>
      </w:pPr>
    </w:p>
    <w:p w:rsidR="00584ECF" w:rsidRDefault="00584ECF" w:rsidP="00584ECF">
      <w:pPr>
        <w:tabs>
          <w:tab w:val="left" w:pos="1701"/>
        </w:tabs>
      </w:pPr>
      <w:r>
        <w:t>CESE sprijină eforturile Comisiei de a asigura temporar conectivitatea de bază a transportului rutier internațional de mărfuri cu vehicule grele de marfă dinspre UE către Regatul Unit și viceversa.</w:t>
      </w:r>
    </w:p>
    <w:p w:rsidR="00584ECF" w:rsidRDefault="00584ECF" w:rsidP="00584ECF">
      <w:pPr>
        <w:tabs>
          <w:tab w:val="left" w:pos="1701"/>
        </w:tabs>
        <w:rPr>
          <w:lang w:val="en-GB"/>
        </w:rPr>
      </w:pPr>
    </w:p>
    <w:p w:rsidR="00584ECF" w:rsidRDefault="00584ECF" w:rsidP="00584ECF">
      <w:pPr>
        <w:tabs>
          <w:tab w:val="left" w:pos="1701"/>
        </w:tabs>
      </w:pPr>
      <w:r>
        <w:t xml:space="preserve">CESE este de acord ca propunerea de regulament care face obiectul avizului să acorde operatorilor de transport rutier de marfă din Regatul Unit, până la 31 decembrie 2019, dreptul de a efectua transporturi </w:t>
      </w:r>
      <w:r>
        <w:lastRenderedPageBreak/>
        <w:t>bilaterale între punctele de plecare și de sosire, respectiv, Regatul Unit și Uniunea Europeană, în condițiile prevăzute în propunere și, în special, cu condiția ca transportatorii din Uniune să poată circula pe teritoriul Regatului Unit în condiții echivalente, inclusiv în condiții de concurență loială, echitabilă și nediscriminatorie.</w:t>
      </w:r>
    </w:p>
    <w:p w:rsidR="00BE197A" w:rsidRDefault="00BE197A" w:rsidP="00584ECF">
      <w:pPr>
        <w:tabs>
          <w:tab w:val="left" w:pos="1701"/>
        </w:tabs>
        <w:rPr>
          <w:lang w:val="en-GB"/>
        </w:rPr>
      </w:pPr>
    </w:p>
    <w:p w:rsidR="00BE197A" w:rsidRDefault="00BE197A" w:rsidP="00584ECF">
      <w:pPr>
        <w:tabs>
          <w:tab w:val="left" w:pos="1701"/>
        </w:tabs>
      </w:pPr>
      <w:r>
        <w:t>În cazul unei ieșiri a Regatului Unit din UE fără un acord de retragere, CESE solicită Regatului Unit și UE să negocieze și să stabilească, de comun acord și înainte de terminarea perioadei tranzitorii menționate, o conectivitate de bază în cadrul sistemului CEMT și viitoarele norme aplicabile relațiilor dintre Regatul Unit și Uniunea Europeană.</w:t>
      </w:r>
    </w:p>
    <w:p w:rsidR="00BE197A" w:rsidRDefault="00BE197A" w:rsidP="00584ECF">
      <w:pPr>
        <w:tabs>
          <w:tab w:val="left" w:pos="1701"/>
        </w:tabs>
        <w:rPr>
          <w:lang w:val="en-GB"/>
        </w:rPr>
      </w:pPr>
    </w:p>
    <w:p w:rsidR="00BE197A" w:rsidRPr="00554D34" w:rsidRDefault="00BE197A" w:rsidP="00BE197A">
      <w:pPr>
        <w:tabs>
          <w:tab w:val="left" w:pos="1701"/>
        </w:tabs>
        <w:rPr>
          <w:i/>
        </w:rPr>
      </w:pPr>
      <w:r>
        <w:rPr>
          <w:b/>
          <w:i/>
        </w:rPr>
        <w:t>Contact:</w:t>
      </w:r>
      <w:r>
        <w:rPr>
          <w:i/>
        </w:rPr>
        <w:tab/>
        <w:t>Antonio Ribeiro Pereira</w:t>
      </w:r>
    </w:p>
    <w:p w:rsidR="00BE197A" w:rsidRDefault="00BE197A" w:rsidP="00BE197A">
      <w:pPr>
        <w:tabs>
          <w:tab w:val="left" w:pos="1701"/>
        </w:tabs>
        <w:rPr>
          <w:b/>
          <w:bCs/>
        </w:rPr>
      </w:pPr>
      <w:r>
        <w:rPr>
          <w:i/>
        </w:rPr>
        <w:tab/>
        <w:t xml:space="preserve">(Tel.: 00 32 2 546 9363 - email: </w:t>
      </w:r>
      <w:hyperlink r:id="rId21" w:history="1">
        <w:r>
          <w:rPr>
            <w:rStyle w:val="Hyperlink"/>
            <w:i/>
          </w:rPr>
          <w:t>Antonio.RibeiroPereira@eesc.europa.eu</w:t>
        </w:r>
      </w:hyperlink>
      <w:r>
        <w:rPr>
          <w:i/>
        </w:rPr>
        <w:t>)</w:t>
      </w:r>
    </w:p>
    <w:p w:rsidR="00D72EB4" w:rsidRDefault="00D72EB4">
      <w:pPr>
        <w:spacing w:line="240" w:lineRule="auto"/>
        <w:jc w:val="left"/>
      </w:pPr>
      <w:r>
        <w:br w:type="page"/>
      </w:r>
    </w:p>
    <w:p w:rsidR="00314C5F" w:rsidRPr="00F17107" w:rsidRDefault="00E46EC4" w:rsidP="00E46EC4">
      <w:pPr>
        <w:pStyle w:val="Heading1"/>
        <w:rPr>
          <w:b/>
        </w:rPr>
      </w:pPr>
      <w:r>
        <w:lastRenderedPageBreak/>
        <w:tab/>
      </w:r>
      <w:bookmarkStart w:id="3" w:name="_Toc3457704"/>
      <w:r>
        <w:rPr>
          <w:b/>
        </w:rPr>
        <w:t>AGRICULTURĂ, DEZVOLTARE RURALĂ ȘI PROTECȚIA MEDIULUI</w:t>
      </w:r>
      <w:bookmarkEnd w:id="3"/>
    </w:p>
    <w:p w:rsidR="00954C6C" w:rsidRDefault="00954C6C" w:rsidP="00C460C7">
      <w:pPr>
        <w:spacing w:line="240" w:lineRule="auto"/>
        <w:jc w:val="left"/>
        <w:rPr>
          <w:iCs/>
          <w:lang w:val="en-GB"/>
        </w:rPr>
      </w:pPr>
    </w:p>
    <w:p w:rsidR="00D23E3E" w:rsidRPr="00D23E3E" w:rsidRDefault="00D23E3E" w:rsidP="00D23E3E">
      <w:pPr>
        <w:pStyle w:val="ListParagraph"/>
        <w:numPr>
          <w:ilvl w:val="0"/>
          <w:numId w:val="22"/>
        </w:numPr>
        <w:spacing w:line="240" w:lineRule="auto"/>
        <w:ind w:left="567" w:hanging="567"/>
        <w:jc w:val="left"/>
        <w:rPr>
          <w:iCs/>
        </w:rPr>
      </w:pPr>
      <w:r>
        <w:rPr>
          <w:b/>
          <w:bCs/>
          <w:i/>
          <w:iCs/>
          <w:sz w:val="28"/>
          <w:szCs w:val="28"/>
        </w:rPr>
        <w:t>Promovarea unei alimentații sănătoase și durabile în UE</w:t>
      </w:r>
    </w:p>
    <w:p w:rsidR="00D23E3E" w:rsidRDefault="00D23E3E" w:rsidP="00C460C7">
      <w:pPr>
        <w:spacing w:line="240" w:lineRule="auto"/>
        <w:jc w:val="left"/>
        <w:rPr>
          <w:iCs/>
          <w:lang w:val="en-GB"/>
        </w:rPr>
      </w:pPr>
    </w:p>
    <w:p w:rsidR="00D23E3E" w:rsidRPr="001625AD" w:rsidRDefault="00D23E3E" w:rsidP="00D23E3E">
      <w:r>
        <w:rPr>
          <w:b/>
        </w:rPr>
        <w:t>Raportor:</w:t>
      </w:r>
      <w:r>
        <w:tab/>
        <w:t>Peter SCHMIDT (Grupul „Lucrători” - DE)</w:t>
      </w:r>
    </w:p>
    <w:p w:rsidR="00D23E3E" w:rsidRPr="001625AD" w:rsidRDefault="00D23E3E" w:rsidP="00C460C7">
      <w:pPr>
        <w:spacing w:line="240" w:lineRule="auto"/>
        <w:rPr>
          <w:lang w:val="en-GB"/>
        </w:rPr>
      </w:pPr>
    </w:p>
    <w:p w:rsidR="00D23E3E" w:rsidRDefault="00D23E3E" w:rsidP="00D23E3E">
      <w:pPr>
        <w:ind w:left="-5"/>
        <w:rPr>
          <w:b/>
          <w:bCs/>
        </w:rPr>
      </w:pPr>
      <w:r>
        <w:rPr>
          <w:b/>
          <w:bCs/>
        </w:rPr>
        <w:t>Referință:</w:t>
      </w:r>
      <w:r>
        <w:rPr>
          <w:b/>
          <w:bCs/>
        </w:rPr>
        <w:tab/>
      </w:r>
      <w:r>
        <w:rPr>
          <w:b/>
          <w:bCs/>
        </w:rPr>
        <w:tab/>
      </w:r>
      <w:r>
        <w:t>Aviz din proprie inițiativă</w:t>
      </w:r>
    </w:p>
    <w:p w:rsidR="00D23E3E" w:rsidRPr="0062769C" w:rsidRDefault="00D23E3E" w:rsidP="00D23E3E">
      <w:pPr>
        <w:tabs>
          <w:tab w:val="left" w:pos="1701"/>
        </w:tabs>
        <w:ind w:left="-5"/>
        <w:rPr>
          <w:bCs/>
        </w:rPr>
      </w:pPr>
      <w:r>
        <w:tab/>
        <w:t>EESC-2018-04568-00-00-AC-TRA</w:t>
      </w:r>
    </w:p>
    <w:p w:rsidR="00D23E3E" w:rsidRPr="00FC3741" w:rsidRDefault="00D23E3E" w:rsidP="00C460C7">
      <w:pPr>
        <w:spacing w:line="240" w:lineRule="auto"/>
        <w:ind w:left="-5"/>
        <w:rPr>
          <w:lang w:val="en-GB"/>
        </w:rPr>
      </w:pPr>
    </w:p>
    <w:p w:rsidR="00D23E3E" w:rsidRDefault="00D23E3E" w:rsidP="00D23E3E">
      <w:pPr>
        <w:spacing w:line="240" w:lineRule="auto"/>
        <w:jc w:val="left"/>
        <w:rPr>
          <w:iCs/>
        </w:rPr>
      </w:pPr>
      <w:r>
        <w:rPr>
          <w:b/>
        </w:rPr>
        <w:t>Punctele principale:</w:t>
      </w:r>
    </w:p>
    <w:p w:rsidR="00D23E3E" w:rsidRDefault="00D23E3E" w:rsidP="00C460C7">
      <w:pPr>
        <w:spacing w:line="240" w:lineRule="auto"/>
        <w:jc w:val="left"/>
        <w:rPr>
          <w:iCs/>
          <w:lang w:val="en-GB"/>
        </w:rPr>
      </w:pPr>
    </w:p>
    <w:p w:rsidR="00D40C42" w:rsidRPr="009A77CB" w:rsidRDefault="00D40C42" w:rsidP="00D40C42">
      <w:r>
        <w:t>Avizul CESE pe tema „Contribuția societății civile la dezvoltarea unei politici alimentare globale în UE”, adoptat în decembrie 2017, a susținut adoptarea unei abordări mai integrate a politicii privind alimentația în UE. O alimentație sănătoasă și durabilă reprezintă un pilon esențial al unei astfel de politici privind alimentația, deoarece trebuie să ne formăm niște obiceiuri alimentare care să asigure îmbunătățirea – și nu deteriorarea – sănătății ecosistemelor, a sănătății publice și a vitalității teritoriilor rurale.</w:t>
      </w:r>
    </w:p>
    <w:p w:rsidR="00D40C42" w:rsidRPr="009A77CB" w:rsidRDefault="00D40C42" w:rsidP="00C460C7">
      <w:pPr>
        <w:spacing w:line="240" w:lineRule="auto"/>
        <w:rPr>
          <w:lang w:val="en-GB"/>
        </w:rPr>
      </w:pPr>
    </w:p>
    <w:p w:rsidR="00D40C42" w:rsidRPr="009A77CB" w:rsidRDefault="00D40C42" w:rsidP="00D40C42">
      <w:r>
        <w:t>Este timpul pentru accelerarea schimbării de paradigmă și există din ce în ce mai multe dovezi concludente în acest sens. CESE subliniază faptul că, în prezent, există o dinamică favorabilă dezvoltării politicilor, cum ar fi Deceniul de acțiune privind alimentația al Națiunilor Unite, punerea în aplicare a obiectivelor de dezvoltare durabilă ale ONU, Acordul de la Paris privind schimbările climatice și noile propuneri privind viitorul politicii agricole comune. De asemenea, există tot mai multe dovezi științifice care indică necesitatea transformării sistemelor de alimentație la nivel european și mondial, de exemplu în rapoartele elaborate de IPCC și Comisia EAT-</w:t>
      </w:r>
      <w:proofErr w:type="spellStart"/>
      <w:r>
        <w:t>Lancet</w:t>
      </w:r>
      <w:proofErr w:type="spellEnd"/>
      <w:r>
        <w:t>.</w:t>
      </w:r>
    </w:p>
    <w:p w:rsidR="00D40C42" w:rsidRPr="009A77CB" w:rsidRDefault="00D40C42" w:rsidP="00C460C7">
      <w:pPr>
        <w:spacing w:line="240" w:lineRule="auto"/>
        <w:rPr>
          <w:lang w:val="en-GB"/>
        </w:rPr>
      </w:pPr>
    </w:p>
    <w:p w:rsidR="00D40C42" w:rsidRPr="009A77CB" w:rsidRDefault="00D40C42" w:rsidP="00D40C42">
      <w:r>
        <w:t>CESE recunoaște și sprijină inițiativele actuale ale Comisiei de a promova o alimentație sănătoasă și durabilă, de exemplu includerea unei dispoziții în propunerea de reformă a PAC în ceea ce privește „îmbunătățirea răspunsului dat de agricultura UE exigențelor societale referitoare la hrană și la sănătate, inclusiv la alimentele sigure, hrănitoare și produse prin metode sustenabile, precum și la bunăstarea animalelor”. Cu toate acestea, nu există o abordare coordonată a acestor inițiative.</w:t>
      </w:r>
    </w:p>
    <w:p w:rsidR="00D40C42" w:rsidRPr="009A77CB" w:rsidRDefault="00D40C42" w:rsidP="00C460C7">
      <w:pPr>
        <w:spacing w:line="240" w:lineRule="auto"/>
        <w:rPr>
          <w:lang w:val="en-GB"/>
        </w:rPr>
      </w:pPr>
    </w:p>
    <w:p w:rsidR="00D40C42" w:rsidRPr="009A77CB" w:rsidRDefault="00D40C42" w:rsidP="00D40C42">
      <w:r>
        <w:t xml:space="preserve">Complexitatea legăturii dintre alimentație, sănătate, mediu și societate necesită o abordare mai cuprinzătoare în ceea ce privește alimentația, care să nu se concentreze doar pe comportamentul consumatorilor. Pentru a asigura coeziunea și obiectivul comun, CESE solicită elaborarea unor noi orientări privind alimentația durabilă, care să țină seama de diferențele culturale și geografice dintre statele membre și din interiorul lor. </w:t>
      </w:r>
    </w:p>
    <w:p w:rsidR="00D40C42" w:rsidRPr="009A77CB" w:rsidRDefault="00D40C42" w:rsidP="00C460C7">
      <w:pPr>
        <w:spacing w:line="240" w:lineRule="auto"/>
        <w:rPr>
          <w:lang w:val="en-GB"/>
        </w:rPr>
      </w:pPr>
    </w:p>
    <w:p w:rsidR="00D40C42" w:rsidRPr="009A77CB" w:rsidRDefault="00D40C42" w:rsidP="00D40C42">
      <w:r>
        <w:t>Noile orientări privind alimentația durabilă ar contribui la crearea unei direcții mai clare pentru ferme, procesatori, comercianții cu amănuntul și serviciile de alimentație. Sistemul agroalimentar ar beneficia de un „cadru” nou, favorabil producției, prelucrării, distribuirii și comercializării unor produse alimentare mai sănătoase și mai durabile, la un preț mai echitabil.</w:t>
      </w:r>
    </w:p>
    <w:p w:rsidR="00D40C42" w:rsidRPr="009A77CB" w:rsidRDefault="00D40C42" w:rsidP="00C460C7">
      <w:pPr>
        <w:spacing w:line="240" w:lineRule="auto"/>
        <w:rPr>
          <w:lang w:val="en-GB"/>
        </w:rPr>
      </w:pPr>
    </w:p>
    <w:p w:rsidR="00D40C42" w:rsidRPr="009A77CB" w:rsidRDefault="00D40C42" w:rsidP="00D40C42">
      <w:r>
        <w:t xml:space="preserve">CESE solicită crearea unui grup de experți care să formuleze orientări privind alimentația durabilă la nivel european în termen de doi ani. Acest grup ar trebui să includă organisme profesionale și științifice relevante din domeniul nutriției, sănătății publice, alimentației, mediului și științelor sociale. CESE este pregătit să contribuie la activitatea unui astfel de grup de experți pentru a furniza contribuția </w:t>
      </w:r>
      <w:r>
        <w:lastRenderedPageBreak/>
        <w:t>organizațiilor societății civile, în special prin intermediul grupului său de studiu temporar privind sistemele alimentare durabile.</w:t>
      </w:r>
    </w:p>
    <w:p w:rsidR="00D40C42" w:rsidRPr="009A77CB" w:rsidRDefault="00D40C42" w:rsidP="00C460C7">
      <w:pPr>
        <w:spacing w:line="240" w:lineRule="auto"/>
        <w:rPr>
          <w:lang w:val="en-GB"/>
        </w:rPr>
      </w:pPr>
    </w:p>
    <w:p w:rsidR="00D40C42" w:rsidRPr="009A77CB" w:rsidRDefault="00D40C42" w:rsidP="00D40C42">
      <w:r>
        <w:t>CESE reiterează importanța investițiilor în educația cu privire la alimentația durabilă, de la o vârstă fragedă, pentru a-i ajuta pe tineri să aprecieze „valoarea produselor alimentare”. O atenție deosebită trebuie acordată grupurilor vulnerabile, în special persoanelor cu venituri reduse.</w:t>
      </w:r>
    </w:p>
    <w:p w:rsidR="00D40C42" w:rsidRPr="009A77CB" w:rsidRDefault="00D40C42" w:rsidP="00C460C7">
      <w:pPr>
        <w:spacing w:line="240" w:lineRule="auto"/>
        <w:rPr>
          <w:lang w:val="en-GB"/>
        </w:rPr>
      </w:pPr>
    </w:p>
    <w:p w:rsidR="00D40C42" w:rsidRDefault="00D40C42" w:rsidP="00D40C42">
      <w:r>
        <w:t xml:space="preserve">Pe lângă faptul că ar sprijini sectorul comercial, orientările privind alimentația durabilă ar oferi, de asemenea, criterii comune și clare care pot fi aplicate în domeniul achizițiilor publice. Europa are nevoie de o procedură de achiziții publice verzi pentru produsele alimentare. În acest context, CESE solicită adoptarea de urgență a revizuirii criteriilor UE privind achizițiile publice verzi pentru serviciile de alimentație și de </w:t>
      </w:r>
      <w:proofErr w:type="spellStart"/>
      <w:r>
        <w:t>catering</w:t>
      </w:r>
      <w:proofErr w:type="spellEnd"/>
      <w:r>
        <w:t>. Legislația în materie de concurență nu ar trebui să constituie un impediment în calea elaborării unor orientări privind alimentația durabilă. Normele ar trebui adaptate astfel încât să contribuie la dezvoltarea economiei locale, și nu să împiedice durabilitatea.</w:t>
      </w:r>
    </w:p>
    <w:p w:rsidR="00D40C42" w:rsidRDefault="00D40C42" w:rsidP="00C460C7">
      <w:pPr>
        <w:spacing w:line="240" w:lineRule="auto"/>
        <w:rPr>
          <w:b/>
          <w:bCs/>
          <w:i/>
          <w:iCs/>
          <w:lang w:val="en-GB"/>
        </w:rPr>
      </w:pPr>
    </w:p>
    <w:p w:rsidR="00D40C42" w:rsidRPr="00EC3E9A" w:rsidRDefault="00D40C42" w:rsidP="00D40C42">
      <w:pPr>
        <w:tabs>
          <w:tab w:val="left" w:pos="1701"/>
        </w:tabs>
        <w:rPr>
          <w:i/>
          <w:iCs/>
        </w:rPr>
      </w:pPr>
      <w:r>
        <w:rPr>
          <w:b/>
          <w:bCs/>
          <w:i/>
          <w:iCs/>
        </w:rPr>
        <w:t>Contact:</w:t>
      </w:r>
      <w:r>
        <w:rPr>
          <w:b/>
          <w:bCs/>
          <w:i/>
          <w:iCs/>
        </w:rPr>
        <w:tab/>
      </w:r>
      <w:r>
        <w:rPr>
          <w:i/>
        </w:rPr>
        <w:t xml:space="preserve">Monica </w:t>
      </w:r>
      <w:proofErr w:type="spellStart"/>
      <w:r>
        <w:rPr>
          <w:i/>
        </w:rPr>
        <w:t>Guarinoni</w:t>
      </w:r>
      <w:proofErr w:type="spellEnd"/>
      <w:r>
        <w:rPr>
          <w:i/>
        </w:rPr>
        <w:t xml:space="preserve"> </w:t>
      </w:r>
    </w:p>
    <w:p w:rsidR="00D40C42" w:rsidRDefault="00D40C42" w:rsidP="00D40C42">
      <w:pPr>
        <w:tabs>
          <w:tab w:val="left" w:pos="1701"/>
        </w:tabs>
        <w:rPr>
          <w:i/>
          <w:iCs/>
        </w:rPr>
      </w:pPr>
      <w:r>
        <w:rPr>
          <w:i/>
          <w:iCs/>
        </w:rPr>
        <w:tab/>
        <w:t>(Tel.: 00 32 2 546 81 27– email:</w:t>
      </w:r>
      <w:r>
        <w:t xml:space="preserve"> </w:t>
      </w:r>
      <w:hyperlink r:id="rId22" w:history="1">
        <w:r>
          <w:rPr>
            <w:rStyle w:val="Hyperlink"/>
            <w:i/>
            <w:iCs/>
          </w:rPr>
          <w:t>Monica.Guarinoni@eesc.europa.eu</w:t>
        </w:r>
      </w:hyperlink>
      <w:r>
        <w:rPr>
          <w:i/>
          <w:iCs/>
        </w:rPr>
        <w:t xml:space="preserve"> )</w:t>
      </w:r>
    </w:p>
    <w:p w:rsidR="00D23E3E" w:rsidRDefault="00D23E3E" w:rsidP="00C460C7">
      <w:pPr>
        <w:spacing w:line="240" w:lineRule="auto"/>
        <w:jc w:val="left"/>
        <w:rPr>
          <w:iCs/>
          <w:lang w:val="en-GB"/>
        </w:rPr>
      </w:pPr>
    </w:p>
    <w:p w:rsidR="006B1734" w:rsidRPr="006B1734" w:rsidRDefault="006B1734" w:rsidP="006B1734">
      <w:pPr>
        <w:pStyle w:val="ListParagraph"/>
        <w:numPr>
          <w:ilvl w:val="0"/>
          <w:numId w:val="21"/>
        </w:numPr>
        <w:spacing w:line="240" w:lineRule="auto"/>
        <w:ind w:left="567" w:hanging="567"/>
        <w:jc w:val="left"/>
        <w:rPr>
          <w:iCs/>
        </w:rPr>
      </w:pPr>
      <w:r>
        <w:rPr>
          <w:b/>
          <w:bCs/>
          <w:i/>
          <w:iCs/>
          <w:sz w:val="28"/>
          <w:szCs w:val="28"/>
        </w:rPr>
        <w:t>Norme referitoare la FEPAM ca urmare a retragerii Regatului Unit din Uniune</w:t>
      </w:r>
    </w:p>
    <w:p w:rsidR="006B1734" w:rsidRDefault="006B1734" w:rsidP="00C460C7">
      <w:pPr>
        <w:spacing w:line="240" w:lineRule="auto"/>
        <w:jc w:val="left"/>
        <w:rPr>
          <w:iCs/>
          <w:lang w:val="en-GB"/>
        </w:rPr>
      </w:pPr>
    </w:p>
    <w:p w:rsidR="006B1734" w:rsidRPr="006B1734" w:rsidRDefault="006B1734" w:rsidP="006B1734">
      <w:pPr>
        <w:spacing w:line="240" w:lineRule="auto"/>
        <w:jc w:val="left"/>
        <w:rPr>
          <w:b/>
          <w:iCs/>
        </w:rPr>
      </w:pPr>
      <w:r>
        <w:rPr>
          <w:b/>
          <w:iCs/>
        </w:rPr>
        <w:t>Aviz de categoria C</w:t>
      </w:r>
    </w:p>
    <w:p w:rsidR="006B1734" w:rsidRDefault="006B1734" w:rsidP="00C460C7">
      <w:pPr>
        <w:spacing w:line="240" w:lineRule="auto"/>
        <w:jc w:val="left"/>
        <w:rPr>
          <w:iCs/>
          <w:lang w:val="en-GB"/>
        </w:rPr>
      </w:pPr>
    </w:p>
    <w:p w:rsidR="0017333F" w:rsidRDefault="0017333F" w:rsidP="0017333F">
      <w:pPr>
        <w:ind w:left="-5"/>
        <w:rPr>
          <w:b/>
          <w:bCs/>
        </w:rPr>
      </w:pPr>
      <w:r>
        <w:rPr>
          <w:b/>
          <w:bCs/>
        </w:rPr>
        <w:t>Referință:</w:t>
      </w:r>
      <w:r>
        <w:rPr>
          <w:b/>
          <w:bCs/>
        </w:rPr>
        <w:tab/>
      </w:r>
      <w:r>
        <w:rPr>
          <w:b/>
          <w:bCs/>
        </w:rPr>
        <w:tab/>
      </w:r>
      <w:r>
        <w:t>COM(2019) 48 final – 2019/0009 (COD)</w:t>
      </w:r>
    </w:p>
    <w:p w:rsidR="0017333F" w:rsidRPr="00FC3741" w:rsidRDefault="0017333F" w:rsidP="00E30ADD">
      <w:pPr>
        <w:ind w:left="1701"/>
      </w:pPr>
      <w:r>
        <w:t>EESC-2019-00680-00-00-AC-TRA</w:t>
      </w:r>
    </w:p>
    <w:p w:rsidR="0017333F" w:rsidRDefault="0017333F" w:rsidP="0017333F">
      <w:pPr>
        <w:rPr>
          <w:b/>
        </w:rPr>
      </w:pPr>
      <w:r>
        <w:rPr>
          <w:b/>
        </w:rPr>
        <w:t>Punctele principale:</w:t>
      </w:r>
    </w:p>
    <w:p w:rsidR="0017333F" w:rsidRDefault="0017333F" w:rsidP="00C460C7">
      <w:pPr>
        <w:spacing w:line="240" w:lineRule="auto"/>
        <w:rPr>
          <w:b/>
          <w:iCs/>
          <w:highlight w:val="yellow"/>
          <w:u w:val="single"/>
          <w:lang w:val="en-GB"/>
        </w:rPr>
      </w:pPr>
    </w:p>
    <w:p w:rsidR="0017333F" w:rsidRDefault="0017333F" w:rsidP="0017333F">
      <w:pPr>
        <w:pStyle w:val="Heading2"/>
        <w:numPr>
          <w:ilvl w:val="0"/>
          <w:numId w:val="0"/>
        </w:numPr>
      </w:pPr>
      <w:r>
        <w:t>Întrucât, în opinia sa, conținutul propunerii este pe deplin satisfăcător și nu face obiectul niciunei observații din partea sa, Comitetul a hotărât să emită un aviz favorabil cu privire la textul propus.</w:t>
      </w:r>
    </w:p>
    <w:p w:rsidR="0017333F" w:rsidRPr="00C460C7" w:rsidRDefault="0017333F" w:rsidP="00C460C7">
      <w:pPr>
        <w:spacing w:line="240" w:lineRule="auto"/>
        <w:ind w:left="-567"/>
        <w:rPr>
          <w:b/>
          <w:iCs/>
          <w:sz w:val="16"/>
          <w:szCs w:val="16"/>
          <w:highlight w:val="yellow"/>
          <w:u w:val="single"/>
          <w:lang w:val="en-GB"/>
        </w:rPr>
      </w:pPr>
    </w:p>
    <w:p w:rsidR="0017333F" w:rsidRPr="00EC3E9A" w:rsidRDefault="0017333F" w:rsidP="0017333F">
      <w:pPr>
        <w:tabs>
          <w:tab w:val="left" w:pos="1701"/>
        </w:tabs>
        <w:rPr>
          <w:i/>
          <w:iCs/>
        </w:rPr>
      </w:pPr>
      <w:r>
        <w:rPr>
          <w:b/>
          <w:bCs/>
          <w:i/>
          <w:iCs/>
        </w:rPr>
        <w:t>Contact:</w:t>
      </w:r>
      <w:r>
        <w:rPr>
          <w:b/>
          <w:bCs/>
          <w:i/>
          <w:iCs/>
        </w:rPr>
        <w:tab/>
      </w:r>
      <w:r>
        <w:rPr>
          <w:i/>
        </w:rPr>
        <w:t xml:space="preserve">Arturo </w:t>
      </w:r>
      <w:proofErr w:type="spellStart"/>
      <w:r>
        <w:rPr>
          <w:i/>
        </w:rPr>
        <w:t>Iniguez</w:t>
      </w:r>
      <w:proofErr w:type="spellEnd"/>
      <w:r>
        <w:rPr>
          <w:i/>
        </w:rPr>
        <w:t xml:space="preserve"> </w:t>
      </w:r>
    </w:p>
    <w:p w:rsidR="0017333F" w:rsidRDefault="0017333F" w:rsidP="0017333F">
      <w:pPr>
        <w:tabs>
          <w:tab w:val="left" w:pos="1701"/>
        </w:tabs>
        <w:spacing w:line="240" w:lineRule="auto"/>
        <w:jc w:val="left"/>
        <w:rPr>
          <w:i/>
          <w:iCs/>
        </w:rPr>
      </w:pPr>
      <w:r>
        <w:rPr>
          <w:i/>
          <w:iCs/>
        </w:rPr>
        <w:tab/>
        <w:t>(Tel.: 00 32 2 546 87 68– email:</w:t>
      </w:r>
      <w:r>
        <w:rPr>
          <w:i/>
          <w:iCs/>
          <w:color w:val="0000FF"/>
          <w:u w:val="single"/>
        </w:rPr>
        <w:t xml:space="preserve"> </w:t>
      </w:r>
      <w:hyperlink r:id="rId23" w:history="1">
        <w:r>
          <w:rPr>
            <w:rStyle w:val="Hyperlink"/>
            <w:i/>
            <w:iCs/>
          </w:rPr>
          <w:t>Arturo.Iniguez@eesc.europa.eu</w:t>
        </w:r>
      </w:hyperlink>
      <w:r>
        <w:rPr>
          <w:i/>
          <w:iCs/>
        </w:rPr>
        <w:t>)</w:t>
      </w:r>
    </w:p>
    <w:p w:rsidR="0017333F" w:rsidRDefault="0017333F" w:rsidP="00C460C7">
      <w:pPr>
        <w:tabs>
          <w:tab w:val="left" w:pos="1701"/>
        </w:tabs>
        <w:spacing w:line="240" w:lineRule="auto"/>
        <w:jc w:val="left"/>
        <w:rPr>
          <w:i/>
          <w:iCs/>
          <w:lang w:val="fr-FR"/>
        </w:rPr>
      </w:pPr>
    </w:p>
    <w:p w:rsidR="0017333F" w:rsidRPr="002A5422" w:rsidRDefault="0017333F" w:rsidP="0017333F">
      <w:pPr>
        <w:pStyle w:val="ListParagraph"/>
        <w:numPr>
          <w:ilvl w:val="0"/>
          <w:numId w:val="22"/>
        </w:numPr>
        <w:ind w:left="567" w:hanging="567"/>
        <w:rPr>
          <w:b/>
          <w:bCs/>
          <w:i/>
          <w:iCs/>
          <w:sz w:val="28"/>
          <w:szCs w:val="28"/>
        </w:rPr>
      </w:pPr>
      <w:r>
        <w:rPr>
          <w:b/>
          <w:bCs/>
          <w:i/>
          <w:iCs/>
          <w:sz w:val="28"/>
          <w:szCs w:val="28"/>
        </w:rPr>
        <w:t>Autorizațiile de pescuit pentru navele de pescuit ca urmare a retragerii Regatului Unit din Uniune</w:t>
      </w:r>
    </w:p>
    <w:p w:rsidR="0017333F" w:rsidRPr="00C460C7" w:rsidRDefault="0017333F" w:rsidP="00C460C7">
      <w:pPr>
        <w:pStyle w:val="ListParagraph"/>
        <w:spacing w:line="240" w:lineRule="auto"/>
        <w:ind w:left="567"/>
        <w:rPr>
          <w:b/>
          <w:bCs/>
          <w:i/>
          <w:iCs/>
          <w:sz w:val="18"/>
          <w:szCs w:val="18"/>
          <w:lang w:val="en-GB"/>
        </w:rPr>
      </w:pPr>
    </w:p>
    <w:p w:rsidR="0017333F" w:rsidRPr="001625AD" w:rsidRDefault="0017333F" w:rsidP="0017333F">
      <w:r>
        <w:rPr>
          <w:b/>
          <w:bCs/>
        </w:rPr>
        <w:t>Aviz de categoria C</w:t>
      </w:r>
    </w:p>
    <w:p w:rsidR="0017333F" w:rsidRPr="00C460C7" w:rsidRDefault="0017333F" w:rsidP="00C460C7">
      <w:pPr>
        <w:spacing w:line="240" w:lineRule="auto"/>
        <w:rPr>
          <w:sz w:val="16"/>
          <w:szCs w:val="16"/>
          <w:lang w:val="en-GB"/>
        </w:rPr>
      </w:pPr>
    </w:p>
    <w:p w:rsidR="0017333F" w:rsidRDefault="0017333F" w:rsidP="0017333F">
      <w:pPr>
        <w:ind w:left="-5"/>
        <w:rPr>
          <w:b/>
          <w:bCs/>
        </w:rPr>
      </w:pPr>
      <w:r>
        <w:rPr>
          <w:b/>
          <w:bCs/>
        </w:rPr>
        <w:t>Referință:</w:t>
      </w:r>
      <w:r>
        <w:rPr>
          <w:b/>
          <w:bCs/>
        </w:rPr>
        <w:tab/>
      </w:r>
      <w:r>
        <w:rPr>
          <w:b/>
          <w:bCs/>
        </w:rPr>
        <w:tab/>
      </w:r>
      <w:r>
        <w:t>COM(2019) 49 final – 2019/0010 (COD)</w:t>
      </w:r>
    </w:p>
    <w:p w:rsidR="0017333F" w:rsidRPr="00FC3741" w:rsidRDefault="0017333F" w:rsidP="00E30ADD">
      <w:pPr>
        <w:ind w:left="1701"/>
      </w:pPr>
      <w:r>
        <w:t>EESC-2019-00683-00-00-AC-TRA</w:t>
      </w:r>
    </w:p>
    <w:p w:rsidR="00C460C7" w:rsidRDefault="00C460C7" w:rsidP="0017333F">
      <w:pPr>
        <w:rPr>
          <w:b/>
        </w:rPr>
      </w:pPr>
    </w:p>
    <w:p w:rsidR="0017333F" w:rsidRDefault="0017333F" w:rsidP="0017333F">
      <w:pPr>
        <w:rPr>
          <w:b/>
        </w:rPr>
      </w:pPr>
      <w:r>
        <w:rPr>
          <w:b/>
        </w:rPr>
        <w:t>Punctele principale:</w:t>
      </w:r>
    </w:p>
    <w:p w:rsidR="0017333F" w:rsidRPr="00C460C7" w:rsidRDefault="0017333F" w:rsidP="00C460C7">
      <w:pPr>
        <w:spacing w:line="240" w:lineRule="auto"/>
        <w:rPr>
          <w:b/>
          <w:iCs/>
          <w:sz w:val="16"/>
          <w:szCs w:val="16"/>
          <w:highlight w:val="yellow"/>
          <w:u w:val="single"/>
          <w:lang w:val="en-GB"/>
        </w:rPr>
      </w:pPr>
    </w:p>
    <w:p w:rsidR="0017333F" w:rsidRDefault="0017333F" w:rsidP="0017333F">
      <w:pPr>
        <w:pStyle w:val="Heading2"/>
        <w:numPr>
          <w:ilvl w:val="0"/>
          <w:numId w:val="0"/>
        </w:numPr>
      </w:pPr>
      <w:r>
        <w:t>Întrucât, în opinia sa, conținutul propunerii este pe deplin satisfăcător și nu face obiectul niciunei observații din partea sa, Comitetul a hotărât să emită un aviz favorabil cu privire la textul propus.</w:t>
      </w:r>
    </w:p>
    <w:p w:rsidR="0017333F" w:rsidRDefault="0017333F" w:rsidP="0017333F">
      <w:pPr>
        <w:ind w:left="-567"/>
        <w:rPr>
          <w:b/>
          <w:iCs/>
          <w:highlight w:val="yellow"/>
          <w:u w:val="single"/>
          <w:lang w:val="en-GB"/>
        </w:rPr>
      </w:pPr>
    </w:p>
    <w:p w:rsidR="0017333F" w:rsidRPr="00EC3E9A" w:rsidRDefault="0017333F" w:rsidP="0017333F">
      <w:pPr>
        <w:tabs>
          <w:tab w:val="left" w:pos="1701"/>
        </w:tabs>
        <w:rPr>
          <w:i/>
          <w:iCs/>
        </w:rPr>
      </w:pPr>
      <w:r>
        <w:rPr>
          <w:b/>
          <w:bCs/>
          <w:i/>
          <w:iCs/>
        </w:rPr>
        <w:t>Contact:</w:t>
      </w:r>
      <w:r>
        <w:rPr>
          <w:b/>
          <w:bCs/>
          <w:i/>
          <w:iCs/>
        </w:rPr>
        <w:tab/>
      </w:r>
      <w:r>
        <w:rPr>
          <w:i/>
        </w:rPr>
        <w:t xml:space="preserve">Arturo </w:t>
      </w:r>
      <w:proofErr w:type="spellStart"/>
      <w:r>
        <w:rPr>
          <w:i/>
        </w:rPr>
        <w:t>Iniguez</w:t>
      </w:r>
      <w:proofErr w:type="spellEnd"/>
      <w:r>
        <w:rPr>
          <w:i/>
        </w:rPr>
        <w:t xml:space="preserve"> </w:t>
      </w:r>
    </w:p>
    <w:p w:rsidR="00D72EB4" w:rsidRDefault="0017333F" w:rsidP="00C460C7">
      <w:pPr>
        <w:tabs>
          <w:tab w:val="left" w:pos="1701"/>
        </w:tabs>
        <w:spacing w:line="240" w:lineRule="auto"/>
        <w:jc w:val="left"/>
        <w:rPr>
          <w:iCs/>
        </w:rPr>
      </w:pPr>
      <w:r>
        <w:rPr>
          <w:i/>
          <w:iCs/>
        </w:rPr>
        <w:tab/>
        <w:t>(Tel.: 00 32 2 546 87 68– email:</w:t>
      </w:r>
      <w:r>
        <w:rPr>
          <w:i/>
          <w:iCs/>
          <w:color w:val="0000FF"/>
          <w:u w:val="single"/>
        </w:rPr>
        <w:t xml:space="preserve"> </w:t>
      </w:r>
      <w:hyperlink r:id="rId24" w:history="1">
        <w:r>
          <w:rPr>
            <w:rStyle w:val="Hyperlink"/>
            <w:i/>
            <w:iCs/>
          </w:rPr>
          <w:t>Arturo.Iniguez@eesc.europa.eu</w:t>
        </w:r>
      </w:hyperlink>
      <w:r>
        <w:rPr>
          <w:i/>
          <w:iCs/>
        </w:rPr>
        <w:t>)</w:t>
      </w:r>
      <w:r w:rsidR="00D72EB4">
        <w:br w:type="page"/>
      </w:r>
    </w:p>
    <w:p w:rsidR="00387229" w:rsidRDefault="00E46EC4" w:rsidP="00E46EC4">
      <w:pPr>
        <w:pStyle w:val="Heading1"/>
        <w:rPr>
          <w:b/>
        </w:rPr>
      </w:pPr>
      <w:bookmarkStart w:id="4" w:name="_Toc514234507"/>
      <w:bookmarkStart w:id="5" w:name="_Toc514234754"/>
      <w:bookmarkStart w:id="6" w:name="_Toc514235001"/>
      <w:bookmarkStart w:id="7" w:name="_Toc514235125"/>
      <w:bookmarkStart w:id="8" w:name="_Toc514235248"/>
      <w:bookmarkStart w:id="9" w:name="_Toc514235368"/>
      <w:bookmarkStart w:id="10" w:name="_Toc514235486"/>
      <w:bookmarkStart w:id="11" w:name="_Toc514235604"/>
      <w:bookmarkStart w:id="12" w:name="_Toc514235720"/>
      <w:bookmarkStart w:id="13" w:name="_Toc514234508"/>
      <w:bookmarkStart w:id="14" w:name="_Toc514234755"/>
      <w:bookmarkStart w:id="15" w:name="_Toc514235002"/>
      <w:bookmarkStart w:id="16" w:name="_Toc514235126"/>
      <w:bookmarkStart w:id="17" w:name="_Toc514235249"/>
      <w:bookmarkStart w:id="18" w:name="_Toc514235369"/>
      <w:bookmarkStart w:id="19" w:name="_Toc514235487"/>
      <w:bookmarkStart w:id="20" w:name="_Toc514235605"/>
      <w:bookmarkStart w:id="21" w:name="_Toc514235721"/>
      <w:bookmarkStart w:id="22" w:name="_Toc514234509"/>
      <w:bookmarkStart w:id="23" w:name="_Toc514234756"/>
      <w:bookmarkStart w:id="24" w:name="_Toc514235003"/>
      <w:bookmarkStart w:id="25" w:name="_Toc514235127"/>
      <w:bookmarkStart w:id="26" w:name="_Toc514235250"/>
      <w:bookmarkStart w:id="27" w:name="_Toc514235370"/>
      <w:bookmarkStart w:id="28" w:name="_Toc514235488"/>
      <w:bookmarkStart w:id="29" w:name="_Toc514235606"/>
      <w:bookmarkStart w:id="30" w:name="_Toc514235722"/>
      <w:bookmarkStart w:id="31" w:name="_Toc514234510"/>
      <w:bookmarkStart w:id="32" w:name="_Toc514234757"/>
      <w:bookmarkStart w:id="33" w:name="_Toc514235004"/>
      <w:bookmarkStart w:id="34" w:name="_Toc514235128"/>
      <w:bookmarkStart w:id="35" w:name="_Toc514235251"/>
      <w:bookmarkStart w:id="36" w:name="_Toc514235371"/>
      <w:bookmarkStart w:id="37" w:name="_Toc514235489"/>
      <w:bookmarkStart w:id="38" w:name="_Toc514235607"/>
      <w:bookmarkStart w:id="39" w:name="_Toc514235723"/>
      <w:bookmarkStart w:id="40" w:name="_Toc514234511"/>
      <w:bookmarkStart w:id="41" w:name="_Toc514234758"/>
      <w:bookmarkStart w:id="42" w:name="_Toc514235005"/>
      <w:bookmarkStart w:id="43" w:name="_Toc514235129"/>
      <w:bookmarkStart w:id="44" w:name="_Toc514235252"/>
      <w:bookmarkStart w:id="45" w:name="_Toc514235372"/>
      <w:bookmarkStart w:id="46" w:name="_Toc514235490"/>
      <w:bookmarkStart w:id="47" w:name="_Toc514235608"/>
      <w:bookmarkStart w:id="48" w:name="_Toc514235724"/>
      <w:bookmarkStart w:id="49" w:name="_Toc514234512"/>
      <w:bookmarkStart w:id="50" w:name="_Toc514234759"/>
      <w:bookmarkStart w:id="51" w:name="_Toc514235006"/>
      <w:bookmarkStart w:id="52" w:name="_Toc514235130"/>
      <w:bookmarkStart w:id="53" w:name="_Toc514235253"/>
      <w:bookmarkStart w:id="54" w:name="_Toc514235373"/>
      <w:bookmarkStart w:id="55" w:name="_Toc514235491"/>
      <w:bookmarkStart w:id="56" w:name="_Toc514235609"/>
      <w:bookmarkStart w:id="57" w:name="_Toc514235725"/>
      <w:bookmarkStart w:id="58" w:name="_Toc514234513"/>
      <w:bookmarkStart w:id="59" w:name="_Toc514234760"/>
      <w:bookmarkStart w:id="60" w:name="_Toc514235007"/>
      <w:bookmarkStart w:id="61" w:name="_Toc514235131"/>
      <w:bookmarkStart w:id="62" w:name="_Toc514235254"/>
      <w:bookmarkStart w:id="63" w:name="_Toc514235374"/>
      <w:bookmarkStart w:id="64" w:name="_Toc514235492"/>
      <w:bookmarkStart w:id="65" w:name="_Toc514235610"/>
      <w:bookmarkStart w:id="66" w:name="_Toc514235726"/>
      <w:bookmarkStart w:id="67" w:name="_Toc514234514"/>
      <w:bookmarkStart w:id="68" w:name="_Toc514234761"/>
      <w:bookmarkStart w:id="69" w:name="_Toc514235008"/>
      <w:bookmarkStart w:id="70" w:name="_Toc514235132"/>
      <w:bookmarkStart w:id="71" w:name="_Toc514235255"/>
      <w:bookmarkStart w:id="72" w:name="_Toc514235375"/>
      <w:bookmarkStart w:id="73" w:name="_Toc514235493"/>
      <w:bookmarkStart w:id="74" w:name="_Toc514235611"/>
      <w:bookmarkStart w:id="75" w:name="_Toc514235727"/>
      <w:bookmarkStart w:id="76" w:name="_Toc514234515"/>
      <w:bookmarkStart w:id="77" w:name="_Toc514234762"/>
      <w:bookmarkStart w:id="78" w:name="_Toc514235009"/>
      <w:bookmarkStart w:id="79" w:name="_Toc514235133"/>
      <w:bookmarkStart w:id="80" w:name="_Toc514235256"/>
      <w:bookmarkStart w:id="81" w:name="_Toc514235376"/>
      <w:bookmarkStart w:id="82" w:name="_Toc514235494"/>
      <w:bookmarkStart w:id="83" w:name="_Toc514235612"/>
      <w:bookmarkStart w:id="84" w:name="_Toc514235728"/>
      <w:bookmarkStart w:id="85" w:name="_Toc514234516"/>
      <w:bookmarkStart w:id="86" w:name="_Toc514234763"/>
      <w:bookmarkStart w:id="87" w:name="_Toc514235010"/>
      <w:bookmarkStart w:id="88" w:name="_Toc514235134"/>
      <w:bookmarkStart w:id="89" w:name="_Toc514235257"/>
      <w:bookmarkStart w:id="90" w:name="_Toc514235377"/>
      <w:bookmarkStart w:id="91" w:name="_Toc514235495"/>
      <w:bookmarkStart w:id="92" w:name="_Toc514235613"/>
      <w:bookmarkStart w:id="93" w:name="_Toc514235729"/>
      <w:bookmarkStart w:id="94" w:name="_Toc514234517"/>
      <w:bookmarkStart w:id="95" w:name="_Toc514234764"/>
      <w:bookmarkStart w:id="96" w:name="_Toc514235011"/>
      <w:bookmarkStart w:id="97" w:name="_Toc514235135"/>
      <w:bookmarkStart w:id="98" w:name="_Toc514235258"/>
      <w:bookmarkStart w:id="99" w:name="_Toc514235378"/>
      <w:bookmarkStart w:id="100" w:name="_Toc514235496"/>
      <w:bookmarkStart w:id="101" w:name="_Toc514235614"/>
      <w:bookmarkStart w:id="102" w:name="_Toc514235730"/>
      <w:bookmarkStart w:id="103" w:name="_Toc514234518"/>
      <w:bookmarkStart w:id="104" w:name="_Toc514234765"/>
      <w:bookmarkStart w:id="105" w:name="_Toc514235012"/>
      <w:bookmarkStart w:id="106" w:name="_Toc514235136"/>
      <w:bookmarkStart w:id="107" w:name="_Toc514235259"/>
      <w:bookmarkStart w:id="108" w:name="_Toc514235379"/>
      <w:bookmarkStart w:id="109" w:name="_Toc514235497"/>
      <w:bookmarkStart w:id="110" w:name="_Toc514235615"/>
      <w:bookmarkStart w:id="111" w:name="_Toc514235731"/>
      <w:bookmarkStart w:id="112" w:name="_Toc514234519"/>
      <w:bookmarkStart w:id="113" w:name="_Toc514234766"/>
      <w:bookmarkStart w:id="114" w:name="_Toc514235013"/>
      <w:bookmarkStart w:id="115" w:name="_Toc514235137"/>
      <w:bookmarkStart w:id="116" w:name="_Toc514235260"/>
      <w:bookmarkStart w:id="117" w:name="_Toc514235380"/>
      <w:bookmarkStart w:id="118" w:name="_Toc514235498"/>
      <w:bookmarkStart w:id="119" w:name="_Toc514235616"/>
      <w:bookmarkStart w:id="120" w:name="_Toc514235732"/>
      <w:bookmarkStart w:id="121" w:name="_Toc514234520"/>
      <w:bookmarkStart w:id="122" w:name="_Toc514234767"/>
      <w:bookmarkStart w:id="123" w:name="_Toc514235014"/>
      <w:bookmarkStart w:id="124" w:name="_Toc514235138"/>
      <w:bookmarkStart w:id="125" w:name="_Toc514235261"/>
      <w:bookmarkStart w:id="126" w:name="_Toc514235381"/>
      <w:bookmarkStart w:id="127" w:name="_Toc514235499"/>
      <w:bookmarkStart w:id="128" w:name="_Toc514235617"/>
      <w:bookmarkStart w:id="129" w:name="_Toc514235733"/>
      <w:bookmarkStart w:id="130" w:name="_Toc514234521"/>
      <w:bookmarkStart w:id="131" w:name="_Toc514234768"/>
      <w:bookmarkStart w:id="132" w:name="_Toc514235015"/>
      <w:bookmarkStart w:id="133" w:name="_Toc514235139"/>
      <w:bookmarkStart w:id="134" w:name="_Toc514235262"/>
      <w:bookmarkStart w:id="135" w:name="_Toc514235382"/>
      <w:bookmarkStart w:id="136" w:name="_Toc514235500"/>
      <w:bookmarkStart w:id="137" w:name="_Toc514235618"/>
      <w:bookmarkStart w:id="138" w:name="_Toc514235734"/>
      <w:bookmarkStart w:id="139" w:name="_Toc514234522"/>
      <w:bookmarkStart w:id="140" w:name="_Toc514234769"/>
      <w:bookmarkStart w:id="141" w:name="_Toc514235016"/>
      <w:bookmarkStart w:id="142" w:name="_Toc514235140"/>
      <w:bookmarkStart w:id="143" w:name="_Toc514235263"/>
      <w:bookmarkStart w:id="144" w:name="_Toc514235383"/>
      <w:bookmarkStart w:id="145" w:name="_Toc514235501"/>
      <w:bookmarkStart w:id="146" w:name="_Toc514235619"/>
      <w:bookmarkStart w:id="147" w:name="_Toc514235735"/>
      <w:bookmarkStart w:id="148" w:name="_Toc514234523"/>
      <w:bookmarkStart w:id="149" w:name="_Toc514234770"/>
      <w:bookmarkStart w:id="150" w:name="_Toc514235017"/>
      <w:bookmarkStart w:id="151" w:name="_Toc514235141"/>
      <w:bookmarkStart w:id="152" w:name="_Toc514235264"/>
      <w:bookmarkStart w:id="153" w:name="_Toc514235384"/>
      <w:bookmarkStart w:id="154" w:name="_Toc514235502"/>
      <w:bookmarkStart w:id="155" w:name="_Toc514235620"/>
      <w:bookmarkStart w:id="156" w:name="_Toc514235736"/>
      <w:bookmarkStart w:id="157" w:name="_Toc514234524"/>
      <w:bookmarkStart w:id="158" w:name="_Toc514234771"/>
      <w:bookmarkStart w:id="159" w:name="_Toc514235018"/>
      <w:bookmarkStart w:id="160" w:name="_Toc514235142"/>
      <w:bookmarkStart w:id="161" w:name="_Toc514235265"/>
      <w:bookmarkStart w:id="162" w:name="_Toc514235385"/>
      <w:bookmarkStart w:id="163" w:name="_Toc514235503"/>
      <w:bookmarkStart w:id="164" w:name="_Toc514235621"/>
      <w:bookmarkStart w:id="165" w:name="_Toc514235737"/>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lastRenderedPageBreak/>
        <w:tab/>
      </w:r>
      <w:bookmarkStart w:id="166" w:name="_Toc3457705"/>
      <w:r>
        <w:rPr>
          <w:b/>
        </w:rPr>
        <w:t>OCUPAREA FORȚEI DE MUNCĂ, AFACERI SOCIALE ȘI CETĂȚENIE</w:t>
      </w:r>
      <w:bookmarkEnd w:id="166"/>
    </w:p>
    <w:p w:rsidR="00395392" w:rsidRDefault="00395392" w:rsidP="00C460C7">
      <w:pPr>
        <w:tabs>
          <w:tab w:val="left" w:pos="1701"/>
        </w:tabs>
        <w:spacing w:line="240" w:lineRule="auto"/>
        <w:rPr>
          <w:i/>
          <w:szCs w:val="20"/>
        </w:rPr>
      </w:pPr>
    </w:p>
    <w:p w:rsidR="00890C94" w:rsidRPr="009F76F3" w:rsidRDefault="00890C94" w:rsidP="009F76F3">
      <w:pPr>
        <w:pStyle w:val="ListParagraph"/>
        <w:numPr>
          <w:ilvl w:val="0"/>
          <w:numId w:val="22"/>
        </w:numPr>
        <w:tabs>
          <w:tab w:val="left" w:pos="1701"/>
        </w:tabs>
        <w:spacing w:line="24" w:lineRule="atLeast"/>
        <w:ind w:left="567" w:hanging="567"/>
        <w:rPr>
          <w:i/>
          <w:szCs w:val="20"/>
        </w:rPr>
      </w:pPr>
      <w:r>
        <w:rPr>
          <w:b/>
          <w:i/>
          <w:sz w:val="28"/>
          <w:szCs w:val="28"/>
        </w:rPr>
        <w:t>Pentru o directivă-cadru europeană privind venitul minim</w:t>
      </w:r>
    </w:p>
    <w:p w:rsidR="00890C94" w:rsidRDefault="00890C94" w:rsidP="00C460C7">
      <w:pPr>
        <w:tabs>
          <w:tab w:val="left" w:pos="1701"/>
        </w:tabs>
        <w:spacing w:line="240" w:lineRule="auto"/>
        <w:rPr>
          <w:i/>
          <w:szCs w:val="20"/>
        </w:rPr>
      </w:pPr>
    </w:p>
    <w:p w:rsidR="00890C94" w:rsidRDefault="00890C94" w:rsidP="00890C94">
      <w:pPr>
        <w:overflowPunct w:val="0"/>
        <w:autoSpaceDE w:val="0"/>
        <w:autoSpaceDN w:val="0"/>
        <w:adjustRightInd w:val="0"/>
        <w:textAlignment w:val="baseline"/>
        <w:rPr>
          <w:b/>
          <w:szCs w:val="20"/>
        </w:rPr>
      </w:pPr>
      <w:r>
        <w:rPr>
          <w:b/>
          <w:szCs w:val="20"/>
        </w:rPr>
        <w:t>Raportor:</w:t>
      </w:r>
      <w:r>
        <w:rPr>
          <w:b/>
          <w:szCs w:val="20"/>
        </w:rPr>
        <w:tab/>
      </w:r>
      <w:r>
        <w:t xml:space="preserve">Georges DASSIS (Lucrători </w:t>
      </w:r>
      <w:r w:rsidR="00C460C7">
        <w:t>–</w:t>
      </w:r>
      <w:r>
        <w:t xml:space="preserve"> EL)</w:t>
      </w:r>
    </w:p>
    <w:p w:rsidR="00890C94" w:rsidRDefault="00890C94" w:rsidP="00C460C7">
      <w:pPr>
        <w:tabs>
          <w:tab w:val="left" w:pos="1701"/>
        </w:tabs>
        <w:spacing w:line="240" w:lineRule="auto"/>
        <w:rPr>
          <w:b/>
          <w:szCs w:val="20"/>
          <w:lang w:val="en-GB"/>
        </w:rPr>
      </w:pPr>
    </w:p>
    <w:p w:rsidR="00890C94" w:rsidRDefault="00890C94">
      <w:pPr>
        <w:tabs>
          <w:tab w:val="left" w:pos="1701"/>
        </w:tabs>
        <w:spacing w:line="24" w:lineRule="atLeast"/>
        <w:rPr>
          <w:b/>
          <w:szCs w:val="20"/>
        </w:rPr>
      </w:pPr>
      <w:r>
        <w:rPr>
          <w:b/>
          <w:szCs w:val="20"/>
        </w:rPr>
        <w:t>Referință:</w:t>
      </w:r>
      <w:r>
        <w:tab/>
        <w:t>Aviz din proprie inițiativă</w:t>
      </w:r>
    </w:p>
    <w:p w:rsidR="00890C94" w:rsidRDefault="00890C94" w:rsidP="00527880">
      <w:pPr>
        <w:tabs>
          <w:tab w:val="left" w:pos="1701"/>
        </w:tabs>
        <w:spacing w:line="24" w:lineRule="atLeast"/>
        <w:ind w:left="1701"/>
      </w:pPr>
      <w:r>
        <w:t>EESC-2018-02210-00-00-AC-TRA</w:t>
      </w:r>
    </w:p>
    <w:p w:rsidR="00890C94" w:rsidRDefault="00890C94" w:rsidP="00C460C7">
      <w:pPr>
        <w:tabs>
          <w:tab w:val="left" w:pos="1701"/>
        </w:tabs>
        <w:spacing w:line="240" w:lineRule="auto"/>
      </w:pPr>
    </w:p>
    <w:p w:rsidR="00890C94" w:rsidRPr="009F76F3" w:rsidRDefault="00890C94">
      <w:pPr>
        <w:tabs>
          <w:tab w:val="left" w:pos="1701"/>
        </w:tabs>
        <w:spacing w:line="24" w:lineRule="atLeast"/>
        <w:rPr>
          <w:b/>
        </w:rPr>
      </w:pPr>
      <w:r>
        <w:rPr>
          <w:b/>
        </w:rPr>
        <w:t>Punctele principale:</w:t>
      </w:r>
    </w:p>
    <w:p w:rsidR="00527880" w:rsidRDefault="00527880" w:rsidP="00C460C7">
      <w:pPr>
        <w:pStyle w:val="Heading2"/>
        <w:numPr>
          <w:ilvl w:val="0"/>
          <w:numId w:val="0"/>
        </w:numPr>
        <w:spacing w:line="240" w:lineRule="auto"/>
      </w:pPr>
    </w:p>
    <w:p w:rsidR="00890C94" w:rsidRPr="00692B41" w:rsidRDefault="00890C94" w:rsidP="009F76F3">
      <w:pPr>
        <w:pStyle w:val="Heading2"/>
        <w:numPr>
          <w:ilvl w:val="0"/>
          <w:numId w:val="0"/>
        </w:numPr>
      </w:pPr>
      <w:r>
        <w:t xml:space="preserve">De la izbucnirea crizei economice care a urmat crizei financiare din 2008, și în pofida redresării economice percepute în ultimii ani, rata sărăciei a continuat să crească în rândul șomerilor de lungă durată și al lucrătorilor săraci, </w:t>
      </w:r>
    </w:p>
    <w:p w:rsidR="00890C94" w:rsidRPr="00692B41" w:rsidRDefault="00890C94" w:rsidP="00C460C7">
      <w:pPr>
        <w:pStyle w:val="Heading3"/>
        <w:numPr>
          <w:ilvl w:val="0"/>
          <w:numId w:val="0"/>
        </w:numPr>
        <w:spacing w:line="240" w:lineRule="auto"/>
        <w:rPr>
          <w:lang w:eastAsia="el-GR"/>
        </w:rPr>
      </w:pPr>
    </w:p>
    <w:p w:rsidR="00890C94" w:rsidRPr="00692B41" w:rsidRDefault="00890C94" w:rsidP="009F76F3">
      <w:pPr>
        <w:pStyle w:val="Heading2"/>
        <w:numPr>
          <w:ilvl w:val="0"/>
          <w:numId w:val="0"/>
        </w:numPr>
        <w:overflowPunct w:val="0"/>
        <w:autoSpaceDE w:val="0"/>
        <w:autoSpaceDN w:val="0"/>
        <w:adjustRightInd w:val="0"/>
        <w:textAlignment w:val="baseline"/>
      </w:pPr>
      <w:r>
        <w:t>Până în prezent, textele Uniunii și angajamentele pe care aceasta și le-a asumat, precum Strategia Europa 2020, care viza reducerea cu 20 de milioane a numărului persoanelor amenințate de sărăcie, nu au condus la rezultatele așteptate. Aplicarea principiului subsidiarității, cu metoda deschisă de coordonare (MDC) ca singur mecanism, nu este, prin urmare, suficient pentru atingerea obiectivelor stabilite.</w:t>
      </w:r>
    </w:p>
    <w:p w:rsidR="00890C94" w:rsidRPr="00692B41" w:rsidRDefault="00890C94" w:rsidP="00C460C7">
      <w:pPr>
        <w:spacing w:line="240" w:lineRule="auto"/>
        <w:rPr>
          <w:lang w:eastAsia="el-GR"/>
        </w:rPr>
      </w:pPr>
    </w:p>
    <w:p w:rsidR="00890C94" w:rsidRPr="00692B41" w:rsidRDefault="00890C94" w:rsidP="009F76F3">
      <w:pPr>
        <w:pStyle w:val="Heading2"/>
        <w:numPr>
          <w:ilvl w:val="0"/>
          <w:numId w:val="0"/>
        </w:numPr>
        <w:overflowPunct w:val="0"/>
        <w:autoSpaceDE w:val="0"/>
        <w:autoSpaceDN w:val="0"/>
        <w:adjustRightInd w:val="0"/>
        <w:textAlignment w:val="baseline"/>
      </w:pPr>
      <w:r>
        <w:t xml:space="preserve">Introducerea unui cadru european obligatoriu pentru un venit minim decent în Europa, care să generalizeze, să sprijine și să asigure caracterul decent (adecvat) al sistemelor de venit minim din statele membre, ar însemna, așadar, un prim răspuns european important la problema gravă și persistentă a sărăciei în Europa. </w:t>
      </w:r>
    </w:p>
    <w:p w:rsidR="00890C94" w:rsidRPr="00692B41" w:rsidRDefault="00890C94" w:rsidP="00C460C7">
      <w:pPr>
        <w:spacing w:line="240" w:lineRule="auto"/>
        <w:rPr>
          <w:lang w:eastAsia="el-GR"/>
        </w:rPr>
      </w:pPr>
    </w:p>
    <w:p w:rsidR="00890C94" w:rsidRPr="00692B41" w:rsidRDefault="00890C94" w:rsidP="009F76F3">
      <w:pPr>
        <w:pStyle w:val="Heading2"/>
        <w:numPr>
          <w:ilvl w:val="0"/>
          <w:numId w:val="0"/>
        </w:numPr>
        <w:overflowPunct w:val="0"/>
        <w:autoSpaceDE w:val="0"/>
        <w:autoSpaceDN w:val="0"/>
        <w:adjustRightInd w:val="0"/>
        <w:textAlignment w:val="baseline"/>
      </w:pPr>
      <w:r>
        <w:t>Aceasta ar putea lua forma unei directive de stabilire a cadrului de referință pentru introducerea unui venit minim adecvat, adaptat la nivelul și la modul de viață al fiecărei țări și care ar ține seama de elementele de redistribuire socială, de fiscalitate, de nivelul de viață în funcție de un buget de referință, a cărui metodologie ar fi definită la nivel european.</w:t>
      </w:r>
    </w:p>
    <w:p w:rsidR="00890C94" w:rsidRPr="00692B41" w:rsidRDefault="00890C94" w:rsidP="00C460C7">
      <w:pPr>
        <w:spacing w:line="240" w:lineRule="auto"/>
      </w:pPr>
    </w:p>
    <w:p w:rsidR="00890C94" w:rsidRDefault="00890C94" w:rsidP="009F76F3">
      <w:pPr>
        <w:pStyle w:val="Heading2"/>
        <w:numPr>
          <w:ilvl w:val="0"/>
          <w:numId w:val="0"/>
        </w:numPr>
        <w:overflowPunct w:val="0"/>
        <w:autoSpaceDE w:val="0"/>
        <w:autoSpaceDN w:val="0"/>
        <w:adjustRightInd w:val="0"/>
        <w:textAlignment w:val="baseline"/>
      </w:pPr>
      <w:r>
        <w:t>Chestiunea legată de introducerea unui venit minim decent garantat de către UE este eminamente politică. Cei care susțin utilizarea legislației UE în acest caz găsesc temeiul legal în articolul 153 alineatul (1) literele (c) și (h) din TFUE.</w:t>
      </w:r>
    </w:p>
    <w:p w:rsidR="00890C94" w:rsidRPr="001E2B2B" w:rsidRDefault="00890C94" w:rsidP="00C460C7">
      <w:pPr>
        <w:spacing w:line="240" w:lineRule="auto"/>
      </w:pPr>
    </w:p>
    <w:p w:rsidR="00890C94" w:rsidRPr="000648C3" w:rsidRDefault="00890C94" w:rsidP="009F76F3">
      <w:pPr>
        <w:pStyle w:val="Heading2"/>
        <w:numPr>
          <w:ilvl w:val="0"/>
          <w:numId w:val="0"/>
        </w:numPr>
        <w:overflowPunct w:val="0"/>
        <w:autoSpaceDE w:val="0"/>
        <w:autoSpaceDN w:val="0"/>
        <w:adjustRightInd w:val="0"/>
        <w:textAlignment w:val="baseline"/>
      </w:pPr>
      <w:r>
        <w:t>În primul său aviz în acest domeniu (</w:t>
      </w:r>
      <w:hyperlink r:id="rId25" w:history="1">
        <w:r>
          <w:t>JO C 170, 5.6.2014, p. 23-31</w:t>
        </w:r>
      </w:hyperlink>
      <w:r>
        <w:t>), CESE a invitat Comisia să examineze posibilitățile de finanțare a unui venit minim european, axându-se în special pe perspectiva creării unui fond european adecvat. Având în vedere că Comisia nu a dat curs acestei invitații, Comitetul consideră că este oportună reiterarea ei.</w:t>
      </w:r>
    </w:p>
    <w:p w:rsidR="00890C94" w:rsidRDefault="00890C94" w:rsidP="00C460C7">
      <w:pPr>
        <w:spacing w:line="240" w:lineRule="auto"/>
        <w:ind w:left="-567"/>
        <w:rPr>
          <w:rFonts w:eastAsiaTheme="minorHAnsi"/>
          <w:bCs/>
          <w:color w:val="000000"/>
        </w:rPr>
      </w:pPr>
    </w:p>
    <w:p w:rsidR="00890C94" w:rsidRPr="00856D9E" w:rsidRDefault="00890C94" w:rsidP="009F76F3">
      <w:pPr>
        <w:tabs>
          <w:tab w:val="left" w:pos="1701"/>
        </w:tabs>
        <w:overflowPunct w:val="0"/>
        <w:autoSpaceDE w:val="0"/>
        <w:autoSpaceDN w:val="0"/>
        <w:adjustRightInd w:val="0"/>
        <w:spacing w:line="240" w:lineRule="exact"/>
        <w:textAlignment w:val="baseline"/>
        <w:rPr>
          <w:i/>
          <w:szCs w:val="20"/>
        </w:rPr>
      </w:pPr>
      <w:r>
        <w:rPr>
          <w:b/>
          <w:i/>
          <w:szCs w:val="20"/>
        </w:rPr>
        <w:t>Persoană de contact</w:t>
      </w:r>
      <w:r>
        <w:t>:</w:t>
      </w:r>
      <w:r>
        <w:rPr>
          <w:i/>
          <w:szCs w:val="20"/>
        </w:rPr>
        <w:t xml:space="preserve"> </w:t>
      </w:r>
      <w:r>
        <w:rPr>
          <w:i/>
          <w:szCs w:val="20"/>
        </w:rPr>
        <w:tab/>
      </w:r>
      <w:proofErr w:type="spellStart"/>
      <w:r>
        <w:rPr>
          <w:i/>
          <w:szCs w:val="20"/>
        </w:rPr>
        <w:t>Judite</w:t>
      </w:r>
      <w:proofErr w:type="spellEnd"/>
      <w:r>
        <w:rPr>
          <w:i/>
          <w:szCs w:val="20"/>
        </w:rPr>
        <w:t xml:space="preserve"> </w:t>
      </w:r>
      <w:proofErr w:type="spellStart"/>
      <w:r>
        <w:rPr>
          <w:i/>
          <w:szCs w:val="20"/>
        </w:rPr>
        <w:t>Berkemeier</w:t>
      </w:r>
      <w:proofErr w:type="spellEnd"/>
    </w:p>
    <w:p w:rsidR="00890C94" w:rsidRPr="009F76F3" w:rsidRDefault="00890C94" w:rsidP="00527880">
      <w:pPr>
        <w:tabs>
          <w:tab w:val="left" w:pos="1701"/>
        </w:tabs>
        <w:spacing w:line="24" w:lineRule="atLeast"/>
        <w:ind w:left="1701"/>
        <w:rPr>
          <w:i/>
          <w:szCs w:val="20"/>
        </w:rPr>
      </w:pPr>
      <w:r>
        <w:rPr>
          <w:i/>
          <w:szCs w:val="20"/>
        </w:rPr>
        <w:t xml:space="preserve">(Tel.: 00 32 2 546 98 97 – email: </w:t>
      </w:r>
      <w:hyperlink r:id="rId26" w:history="1">
        <w:r>
          <w:rPr>
            <w:rStyle w:val="Hyperlink"/>
            <w:i/>
            <w:szCs w:val="20"/>
          </w:rPr>
          <w:t>mariajudite.berkemeier@eesc.europa.eu</w:t>
        </w:r>
      </w:hyperlink>
      <w:r>
        <w:rPr>
          <w:i/>
          <w:szCs w:val="20"/>
        </w:rPr>
        <w:t>)</w:t>
      </w:r>
    </w:p>
    <w:p w:rsidR="00890C94" w:rsidRDefault="00890C94" w:rsidP="00C460C7">
      <w:pPr>
        <w:tabs>
          <w:tab w:val="left" w:pos="1701"/>
        </w:tabs>
        <w:spacing w:line="240" w:lineRule="auto"/>
        <w:rPr>
          <w:i/>
          <w:szCs w:val="20"/>
        </w:rPr>
      </w:pPr>
    </w:p>
    <w:p w:rsidR="00395392" w:rsidRPr="00395392" w:rsidRDefault="00395392" w:rsidP="00395392">
      <w:pPr>
        <w:pStyle w:val="ListParagraph"/>
        <w:numPr>
          <w:ilvl w:val="0"/>
          <w:numId w:val="25"/>
        </w:numPr>
        <w:tabs>
          <w:tab w:val="left" w:pos="1701"/>
        </w:tabs>
        <w:spacing w:line="24" w:lineRule="atLeast"/>
        <w:ind w:left="567" w:hanging="567"/>
        <w:rPr>
          <w:i/>
          <w:szCs w:val="20"/>
        </w:rPr>
      </w:pPr>
      <w:r>
        <w:rPr>
          <w:b/>
          <w:i/>
          <w:sz w:val="28"/>
          <w:szCs w:val="28"/>
        </w:rPr>
        <w:t xml:space="preserve">Continuarea activităților de mobilitate din cadrul programului Erasmus+ în contextul </w:t>
      </w:r>
      <w:proofErr w:type="spellStart"/>
      <w:r>
        <w:rPr>
          <w:b/>
          <w:i/>
          <w:sz w:val="28"/>
          <w:szCs w:val="28"/>
        </w:rPr>
        <w:t>Brexitului</w:t>
      </w:r>
      <w:proofErr w:type="spellEnd"/>
    </w:p>
    <w:p w:rsidR="00395392" w:rsidRDefault="00395392" w:rsidP="00C460C7">
      <w:pPr>
        <w:tabs>
          <w:tab w:val="left" w:pos="1701"/>
        </w:tabs>
        <w:spacing w:line="240" w:lineRule="auto"/>
        <w:rPr>
          <w:i/>
          <w:szCs w:val="20"/>
        </w:rPr>
      </w:pPr>
    </w:p>
    <w:p w:rsidR="00395392" w:rsidRPr="006B1734" w:rsidRDefault="00395392" w:rsidP="00395392">
      <w:pPr>
        <w:spacing w:line="240" w:lineRule="auto"/>
        <w:jc w:val="left"/>
        <w:rPr>
          <w:b/>
          <w:iCs/>
        </w:rPr>
      </w:pPr>
      <w:r>
        <w:rPr>
          <w:b/>
          <w:iCs/>
        </w:rPr>
        <w:t>Aviz de categoria C</w:t>
      </w:r>
    </w:p>
    <w:p w:rsidR="00395392" w:rsidRDefault="00395392" w:rsidP="00C460C7">
      <w:pPr>
        <w:spacing w:line="240" w:lineRule="auto"/>
        <w:jc w:val="left"/>
        <w:rPr>
          <w:iCs/>
          <w:lang w:val="en-GB"/>
        </w:rPr>
      </w:pPr>
    </w:p>
    <w:p w:rsidR="00395392" w:rsidRDefault="00527880" w:rsidP="00527880">
      <w:pPr>
        <w:ind w:left="1701" w:hanging="1706"/>
        <w:rPr>
          <w:b/>
          <w:bCs/>
        </w:rPr>
      </w:pPr>
      <w:r>
        <w:rPr>
          <w:b/>
          <w:bCs/>
        </w:rPr>
        <w:t>Referință:</w:t>
      </w:r>
      <w:r>
        <w:rPr>
          <w:b/>
          <w:bCs/>
        </w:rPr>
        <w:tab/>
      </w:r>
      <w:r>
        <w:t>COM(2019) 65 final – 2019/0030 (COD)</w:t>
      </w:r>
    </w:p>
    <w:p w:rsidR="00395392" w:rsidRPr="00FC3741" w:rsidRDefault="00395392" w:rsidP="00E30ADD">
      <w:pPr>
        <w:ind w:left="1701"/>
      </w:pPr>
      <w:r>
        <w:t>EESC-2019-00768-00-00-AC-TRA</w:t>
      </w:r>
    </w:p>
    <w:p w:rsidR="00395392" w:rsidRDefault="00395392" w:rsidP="00395392">
      <w:pPr>
        <w:rPr>
          <w:b/>
          <w:lang w:val="en-GB"/>
        </w:rPr>
      </w:pPr>
    </w:p>
    <w:p w:rsidR="00395392" w:rsidRDefault="00395392" w:rsidP="00395392">
      <w:pPr>
        <w:rPr>
          <w:b/>
        </w:rPr>
      </w:pPr>
      <w:r>
        <w:rPr>
          <w:b/>
        </w:rPr>
        <w:t>Punctele principale:</w:t>
      </w:r>
    </w:p>
    <w:p w:rsidR="00395392" w:rsidRDefault="00395392" w:rsidP="00395392">
      <w:pPr>
        <w:pStyle w:val="Heading2"/>
        <w:numPr>
          <w:ilvl w:val="0"/>
          <w:numId w:val="0"/>
        </w:numPr>
        <w:rPr>
          <w:lang w:val="en-GB"/>
        </w:rPr>
      </w:pPr>
    </w:p>
    <w:p w:rsidR="00395392" w:rsidRDefault="00395392" w:rsidP="00395392">
      <w:pPr>
        <w:pStyle w:val="Heading2"/>
        <w:numPr>
          <w:ilvl w:val="0"/>
          <w:numId w:val="0"/>
        </w:numPr>
      </w:pPr>
      <w:r>
        <w:t>Întrucât, în opinia sa, conținutul propunerii este pe deplin satisfăcător și nu face obiectul niciunei observații din partea sa, Comitetul a hotărât să emită un aviz favorabil cu privire la textul propus.</w:t>
      </w:r>
    </w:p>
    <w:p w:rsidR="00395392" w:rsidRDefault="00395392" w:rsidP="00395392">
      <w:pPr>
        <w:ind w:left="-567"/>
        <w:rPr>
          <w:b/>
          <w:iCs/>
          <w:highlight w:val="yellow"/>
          <w:u w:val="single"/>
          <w:lang w:val="en-GB"/>
        </w:rPr>
      </w:pPr>
    </w:p>
    <w:p w:rsidR="00C71FF0" w:rsidRPr="00856D9E" w:rsidRDefault="00395392" w:rsidP="00C71FF0">
      <w:pPr>
        <w:tabs>
          <w:tab w:val="left" w:pos="1701"/>
        </w:tabs>
        <w:overflowPunct w:val="0"/>
        <w:autoSpaceDE w:val="0"/>
        <w:autoSpaceDN w:val="0"/>
        <w:adjustRightInd w:val="0"/>
        <w:spacing w:line="240" w:lineRule="exact"/>
        <w:textAlignment w:val="baseline"/>
        <w:rPr>
          <w:i/>
          <w:szCs w:val="20"/>
        </w:rPr>
      </w:pPr>
      <w:r>
        <w:rPr>
          <w:b/>
          <w:bCs/>
          <w:i/>
          <w:iCs/>
        </w:rPr>
        <w:t>Contact:</w:t>
      </w:r>
      <w:r>
        <w:rPr>
          <w:i/>
          <w:szCs w:val="20"/>
        </w:rPr>
        <w:t xml:space="preserve"> </w:t>
      </w:r>
      <w:r>
        <w:rPr>
          <w:i/>
          <w:szCs w:val="20"/>
        </w:rPr>
        <w:tab/>
        <w:t>Sabrina Borg</w:t>
      </w:r>
    </w:p>
    <w:p w:rsidR="00395392" w:rsidRPr="00EC3E9A" w:rsidRDefault="00C71FF0" w:rsidP="00527880">
      <w:pPr>
        <w:tabs>
          <w:tab w:val="left" w:pos="1701"/>
        </w:tabs>
        <w:ind w:left="1701"/>
        <w:rPr>
          <w:i/>
          <w:iCs/>
        </w:rPr>
      </w:pPr>
      <w:r>
        <w:rPr>
          <w:i/>
          <w:szCs w:val="20"/>
        </w:rPr>
        <w:t xml:space="preserve">(Tel.: 00 32 2 546 97 27 – email: </w:t>
      </w:r>
      <w:hyperlink r:id="rId27" w:history="1">
        <w:r>
          <w:rPr>
            <w:rStyle w:val="Hyperlink"/>
            <w:i/>
            <w:szCs w:val="20"/>
          </w:rPr>
          <w:t>sabrina.borg@eesc.europa.eu</w:t>
        </w:r>
      </w:hyperlink>
      <w:r>
        <w:rPr>
          <w:i/>
          <w:szCs w:val="20"/>
        </w:rPr>
        <w:t>)</w:t>
      </w:r>
    </w:p>
    <w:p w:rsidR="00395392" w:rsidRDefault="00395392" w:rsidP="00395392">
      <w:pPr>
        <w:tabs>
          <w:tab w:val="left" w:pos="1701"/>
        </w:tabs>
        <w:spacing w:line="24" w:lineRule="atLeast"/>
        <w:rPr>
          <w:i/>
          <w:iCs/>
          <w:lang w:val="fr-FR"/>
        </w:rPr>
      </w:pPr>
    </w:p>
    <w:p w:rsidR="00C71FF0" w:rsidRPr="00395392" w:rsidRDefault="00C71FF0" w:rsidP="00C71FF0">
      <w:pPr>
        <w:tabs>
          <w:tab w:val="left" w:pos="1701"/>
        </w:tabs>
        <w:spacing w:line="24" w:lineRule="atLeast"/>
        <w:jc w:val="center"/>
        <w:rPr>
          <w:i/>
          <w:szCs w:val="20"/>
        </w:rPr>
      </w:pPr>
      <w:r>
        <w:rPr>
          <w:i/>
          <w:szCs w:val="20"/>
        </w:rPr>
        <w:t>____________</w:t>
      </w:r>
    </w:p>
    <w:sectPr w:rsidR="00C71FF0" w:rsidRPr="00395392" w:rsidSect="00527880">
      <w:headerReference w:type="even" r:id="rId28"/>
      <w:headerReference w:type="default" r:id="rId29"/>
      <w:footerReference w:type="even" r:id="rId30"/>
      <w:footerReference w:type="default" r:id="rId31"/>
      <w:headerReference w:type="first" r:id="rId32"/>
      <w:footerReference w:type="first" r:id="rId33"/>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B66" w:rsidRDefault="00FE6B66" w:rsidP="003B283B">
      <w:pPr>
        <w:spacing w:line="240" w:lineRule="auto"/>
      </w:pPr>
      <w:r>
        <w:separator/>
      </w:r>
    </w:p>
  </w:endnote>
  <w:endnote w:type="continuationSeparator" w:id="0">
    <w:p w:rsidR="00FE6B66" w:rsidRDefault="00FE6B66" w:rsidP="003B283B">
      <w:pPr>
        <w:spacing w:line="240" w:lineRule="auto"/>
      </w:pPr>
      <w:r>
        <w:continuationSeparator/>
      </w:r>
    </w:p>
  </w:endnote>
  <w:endnote w:type="continuationNotice" w:id="1">
    <w:p w:rsidR="00FE6B66" w:rsidRDefault="00FE6B6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1"/>
    <w:family w:val="roman"/>
    <w:pitch w:val="variable"/>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B66" w:rsidRPr="00527880" w:rsidRDefault="00527880" w:rsidP="00527880">
    <w:pPr>
      <w:pStyle w:val="Footer"/>
    </w:pPr>
    <w:r>
      <w:t xml:space="preserve">EESC-2019-00479-00-01-TCD-TRA (EN) </w:t>
    </w:r>
    <w:r>
      <w:fldChar w:fldCharType="begin"/>
    </w:r>
    <w:r>
      <w:instrText xml:space="preserve"> PAGE  \* Arabic  \* MERGEFORMAT </w:instrText>
    </w:r>
    <w:r>
      <w:fldChar w:fldCharType="separate"/>
    </w:r>
    <w:r w:rsidR="002655CD">
      <w:rPr>
        <w:noProof/>
      </w:rPr>
      <w:t>1</w:t>
    </w:r>
    <w:r>
      <w:fldChar w:fldCharType="end"/>
    </w:r>
    <w:r>
      <w:t>/</w:t>
    </w:r>
    <w:r>
      <w:fldChar w:fldCharType="begin"/>
    </w:r>
    <w:r>
      <w:instrText xml:space="preserve"> NUMPAGES </w:instrText>
    </w:r>
    <w:r>
      <w:fldChar w:fldCharType="separate"/>
    </w:r>
    <w:r w:rsidR="002655CD">
      <w:rPr>
        <w:noProof/>
      </w:rPr>
      <w:t>13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B66" w:rsidRPr="00527880" w:rsidRDefault="00FE6B66" w:rsidP="005278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B66" w:rsidRPr="00527880" w:rsidRDefault="00527880" w:rsidP="00527880">
    <w:pPr>
      <w:pStyle w:val="Footer"/>
    </w:pPr>
    <w:r>
      <w:t xml:space="preserve">EESC-2019-00479-00-01-TCD-TRA (EN) </w:t>
    </w:r>
    <w:r>
      <w:fldChar w:fldCharType="begin"/>
    </w:r>
    <w:r>
      <w:instrText xml:space="preserve"> PAGE  \* Arabic  \* MERGEFORMAT </w:instrText>
    </w:r>
    <w:r>
      <w:fldChar w:fldCharType="separate"/>
    </w:r>
    <w:r w:rsidR="002655CD">
      <w:rPr>
        <w:noProof/>
      </w:rPr>
      <w:t>13</w:t>
    </w:r>
    <w:r>
      <w:fldChar w:fldCharType="end"/>
    </w:r>
    <w:r>
      <w:t>/</w:t>
    </w:r>
    <w:r>
      <w:fldChar w:fldCharType="begin"/>
    </w:r>
    <w:r>
      <w:instrText xml:space="preserve"> NUMPAGES </w:instrText>
    </w:r>
    <w:r>
      <w:fldChar w:fldCharType="separate"/>
    </w:r>
    <w:r w:rsidR="002655CD">
      <w:rPr>
        <w:noProof/>
      </w:rPr>
      <w:t>13</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B66" w:rsidRPr="00527880" w:rsidRDefault="00FE6B66" w:rsidP="005278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B66" w:rsidRDefault="00FE6B66" w:rsidP="003B283B">
      <w:pPr>
        <w:spacing w:line="240" w:lineRule="auto"/>
      </w:pPr>
      <w:r>
        <w:separator/>
      </w:r>
    </w:p>
  </w:footnote>
  <w:footnote w:type="continuationSeparator" w:id="0">
    <w:p w:rsidR="00FE6B66" w:rsidRDefault="00FE6B66" w:rsidP="003B283B">
      <w:pPr>
        <w:spacing w:line="240" w:lineRule="auto"/>
      </w:pPr>
      <w:r>
        <w:continuationSeparator/>
      </w:r>
    </w:p>
  </w:footnote>
  <w:footnote w:type="continuationNotice" w:id="1">
    <w:p w:rsidR="00FE6B66" w:rsidRPr="00377A77" w:rsidRDefault="00FE6B66">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B66" w:rsidRPr="00527880" w:rsidRDefault="00FE6B66" w:rsidP="005278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B66" w:rsidRPr="00527880" w:rsidRDefault="00FE6B66" w:rsidP="005278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B66" w:rsidRPr="00527880" w:rsidRDefault="00FE6B66" w:rsidP="005278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750758A"/>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FFFFFFFE"/>
    <w:multiLevelType w:val="singleLevel"/>
    <w:tmpl w:val="A8C2A524"/>
    <w:lvl w:ilvl="0">
      <w:numFmt w:val="decimal"/>
      <w:lvlText w:val="*"/>
      <w:lvlJc w:val="left"/>
    </w:lvl>
  </w:abstractNum>
  <w:abstractNum w:abstractNumId="2" w15:restartNumberingAfterBreak="0">
    <w:nsid w:val="016A641A"/>
    <w:multiLevelType w:val="hybridMultilevel"/>
    <w:tmpl w:val="FBAA7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A3AA5"/>
    <w:multiLevelType w:val="hybridMultilevel"/>
    <w:tmpl w:val="B22252D0"/>
    <w:lvl w:ilvl="0" w:tplc="7BE6920E">
      <w:start w:val="1"/>
      <w:numFmt w:val="bullet"/>
      <w:lvlText w:val=""/>
      <w:lvlJc w:val="left"/>
      <w:pPr>
        <w:ind w:left="1440" w:hanging="360"/>
      </w:pPr>
      <w:rPr>
        <w:rFonts w:ascii="Symbol" w:hAnsi="Symbol"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C82D17"/>
    <w:multiLevelType w:val="hybridMultilevel"/>
    <w:tmpl w:val="A48AE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814F41"/>
    <w:multiLevelType w:val="hybridMultilevel"/>
    <w:tmpl w:val="A20AC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6B5B87"/>
    <w:multiLevelType w:val="hybridMultilevel"/>
    <w:tmpl w:val="F8765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2759E7"/>
    <w:multiLevelType w:val="hybridMultilevel"/>
    <w:tmpl w:val="76B0A4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F52127E"/>
    <w:multiLevelType w:val="hybridMultilevel"/>
    <w:tmpl w:val="2200CB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3C2636AA"/>
    <w:multiLevelType w:val="hybridMultilevel"/>
    <w:tmpl w:val="097C5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900C70"/>
    <w:multiLevelType w:val="hybridMultilevel"/>
    <w:tmpl w:val="D14E41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4CC90B6E"/>
    <w:multiLevelType w:val="hybridMultilevel"/>
    <w:tmpl w:val="82D4767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4DD53CBB"/>
    <w:multiLevelType w:val="hybridMultilevel"/>
    <w:tmpl w:val="5BA0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772D8A"/>
    <w:multiLevelType w:val="hybridMultilevel"/>
    <w:tmpl w:val="8660A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D26C97"/>
    <w:multiLevelType w:val="hybridMultilevel"/>
    <w:tmpl w:val="5E2055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16" w15:restartNumberingAfterBreak="0">
    <w:nsid w:val="54B312FA"/>
    <w:multiLevelType w:val="hybridMultilevel"/>
    <w:tmpl w:val="BE2ADDC4"/>
    <w:lvl w:ilvl="0" w:tplc="080C0001">
      <w:start w:val="1"/>
      <w:numFmt w:val="bullet"/>
      <w:lvlText w:val=""/>
      <w:lvlJc w:val="left"/>
      <w:pPr>
        <w:ind w:left="1480" w:hanging="360"/>
      </w:pPr>
      <w:rPr>
        <w:rFonts w:ascii="Symbol" w:hAnsi="Symbol" w:hint="default"/>
      </w:rPr>
    </w:lvl>
    <w:lvl w:ilvl="1" w:tplc="080C0003" w:tentative="1">
      <w:start w:val="1"/>
      <w:numFmt w:val="bullet"/>
      <w:lvlText w:val="o"/>
      <w:lvlJc w:val="left"/>
      <w:pPr>
        <w:ind w:left="2200" w:hanging="360"/>
      </w:pPr>
      <w:rPr>
        <w:rFonts w:ascii="Courier New" w:hAnsi="Courier New" w:cs="Courier New" w:hint="default"/>
      </w:rPr>
    </w:lvl>
    <w:lvl w:ilvl="2" w:tplc="080C0005" w:tentative="1">
      <w:start w:val="1"/>
      <w:numFmt w:val="bullet"/>
      <w:lvlText w:val=""/>
      <w:lvlJc w:val="left"/>
      <w:pPr>
        <w:ind w:left="2920" w:hanging="360"/>
      </w:pPr>
      <w:rPr>
        <w:rFonts w:ascii="Wingdings" w:hAnsi="Wingdings" w:hint="default"/>
      </w:rPr>
    </w:lvl>
    <w:lvl w:ilvl="3" w:tplc="080C0001" w:tentative="1">
      <w:start w:val="1"/>
      <w:numFmt w:val="bullet"/>
      <w:lvlText w:val=""/>
      <w:lvlJc w:val="left"/>
      <w:pPr>
        <w:ind w:left="3640" w:hanging="360"/>
      </w:pPr>
      <w:rPr>
        <w:rFonts w:ascii="Symbol" w:hAnsi="Symbol" w:hint="default"/>
      </w:rPr>
    </w:lvl>
    <w:lvl w:ilvl="4" w:tplc="080C0003" w:tentative="1">
      <w:start w:val="1"/>
      <w:numFmt w:val="bullet"/>
      <w:lvlText w:val="o"/>
      <w:lvlJc w:val="left"/>
      <w:pPr>
        <w:ind w:left="4360" w:hanging="360"/>
      </w:pPr>
      <w:rPr>
        <w:rFonts w:ascii="Courier New" w:hAnsi="Courier New" w:cs="Courier New" w:hint="default"/>
      </w:rPr>
    </w:lvl>
    <w:lvl w:ilvl="5" w:tplc="080C0005" w:tentative="1">
      <w:start w:val="1"/>
      <w:numFmt w:val="bullet"/>
      <w:lvlText w:val=""/>
      <w:lvlJc w:val="left"/>
      <w:pPr>
        <w:ind w:left="5080" w:hanging="360"/>
      </w:pPr>
      <w:rPr>
        <w:rFonts w:ascii="Wingdings" w:hAnsi="Wingdings" w:hint="default"/>
      </w:rPr>
    </w:lvl>
    <w:lvl w:ilvl="6" w:tplc="080C0001" w:tentative="1">
      <w:start w:val="1"/>
      <w:numFmt w:val="bullet"/>
      <w:lvlText w:val=""/>
      <w:lvlJc w:val="left"/>
      <w:pPr>
        <w:ind w:left="5800" w:hanging="360"/>
      </w:pPr>
      <w:rPr>
        <w:rFonts w:ascii="Symbol" w:hAnsi="Symbol" w:hint="default"/>
      </w:rPr>
    </w:lvl>
    <w:lvl w:ilvl="7" w:tplc="080C0003" w:tentative="1">
      <w:start w:val="1"/>
      <w:numFmt w:val="bullet"/>
      <w:lvlText w:val="o"/>
      <w:lvlJc w:val="left"/>
      <w:pPr>
        <w:ind w:left="6520" w:hanging="360"/>
      </w:pPr>
      <w:rPr>
        <w:rFonts w:ascii="Courier New" w:hAnsi="Courier New" w:cs="Courier New" w:hint="default"/>
      </w:rPr>
    </w:lvl>
    <w:lvl w:ilvl="8" w:tplc="080C0005" w:tentative="1">
      <w:start w:val="1"/>
      <w:numFmt w:val="bullet"/>
      <w:lvlText w:val=""/>
      <w:lvlJc w:val="left"/>
      <w:pPr>
        <w:ind w:left="7240" w:hanging="360"/>
      </w:pPr>
      <w:rPr>
        <w:rFonts w:ascii="Wingdings" w:hAnsi="Wingdings" w:hint="default"/>
      </w:rPr>
    </w:lvl>
  </w:abstractNum>
  <w:abstractNum w:abstractNumId="17" w15:restartNumberingAfterBreak="0">
    <w:nsid w:val="58667743"/>
    <w:multiLevelType w:val="hybridMultilevel"/>
    <w:tmpl w:val="2BF2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52280E"/>
    <w:multiLevelType w:val="hybridMultilevel"/>
    <w:tmpl w:val="8954FEEE"/>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19" w15:restartNumberingAfterBreak="0">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20" w15:restartNumberingAfterBreak="0">
    <w:nsid w:val="656E07C8"/>
    <w:multiLevelType w:val="hybridMultilevel"/>
    <w:tmpl w:val="7A2AF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1B1407"/>
    <w:multiLevelType w:val="multilevel"/>
    <w:tmpl w:val="85462CFA"/>
    <w:lvl w:ilvl="0">
      <w:start w:val="1"/>
      <w:numFmt w:val="decimal"/>
      <w:lvlText w:val="%1."/>
      <w:legacy w:legacy="1" w:legacySpace="0" w:legacyIndent="0"/>
      <w:lvlJc w:val="left"/>
    </w:lvl>
    <w:lvl w:ilvl="1">
      <w:start w:val="1"/>
      <w:numFmt w:val="bullet"/>
      <w:lvlText w:val=""/>
      <w:lvlJc w:val="left"/>
      <w:rPr>
        <w:rFonts w:ascii="Symbol" w:hAnsi="Symbol" w:hint="default"/>
        <w:b w:val="0"/>
        <w:i w:val="0"/>
        <w:sz w:val="22"/>
      </w:rPr>
    </w:lvl>
    <w:lvl w:ilvl="2">
      <w:start w:val="1"/>
      <w:numFmt w:val="bullet"/>
      <w:lvlText w:val=""/>
      <w:lvlJc w:val="left"/>
      <w:rPr>
        <w:rFonts w:ascii="Symbol" w:hAnsi="Symbol" w:hint="default"/>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2" w15:restartNumberingAfterBreak="0">
    <w:nsid w:val="70873983"/>
    <w:multiLevelType w:val="hybridMultilevel"/>
    <w:tmpl w:val="0FD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B9697B"/>
    <w:multiLevelType w:val="hybridMultilevel"/>
    <w:tmpl w:val="757EBC5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78C6083E"/>
    <w:multiLevelType w:val="hybridMultilevel"/>
    <w:tmpl w:val="A3A20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9B4A57"/>
    <w:multiLevelType w:val="hybridMultilevel"/>
    <w:tmpl w:val="67A813EE"/>
    <w:lvl w:ilvl="0" w:tplc="080C0001">
      <w:start w:val="1"/>
      <w:numFmt w:val="bullet"/>
      <w:lvlText w:val=""/>
      <w:lvlJc w:val="left"/>
      <w:pPr>
        <w:ind w:left="1080" w:hanging="72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1"/>
  </w:num>
  <w:num w:numId="4">
    <w:abstractNumId w:val="20"/>
  </w:num>
  <w:num w:numId="5">
    <w:abstractNumId w:val="3"/>
  </w:num>
  <w:num w:numId="6">
    <w:abstractNumId w:val="9"/>
  </w:num>
  <w:num w:numId="7">
    <w:abstractNumId w:val="5"/>
  </w:num>
  <w:num w:numId="8">
    <w:abstractNumId w:val="10"/>
  </w:num>
  <w:num w:numId="9">
    <w:abstractNumId w:val="25"/>
  </w:num>
  <w:num w:numId="10">
    <w:abstractNumId w:val="16"/>
  </w:num>
  <w:num w:numId="11">
    <w:abstractNumId w:val="13"/>
  </w:num>
  <w:num w:numId="12">
    <w:abstractNumId w:val="19"/>
  </w:num>
  <w:num w:numId="13">
    <w:abstractNumId w:val="1"/>
    <w:lvlOverride w:ilvl="0">
      <w:lvl w:ilvl="0">
        <w:start w:val="1"/>
        <w:numFmt w:val="bullet"/>
        <w:lvlText w:val=""/>
        <w:lvlJc w:val="left"/>
        <w:pPr>
          <w:ind w:left="720" w:hanging="360"/>
        </w:pPr>
        <w:rPr>
          <w:rFonts w:ascii="Symbol" w:hAnsi="Symbol" w:hint="default"/>
        </w:rPr>
      </w:lvl>
    </w:lvlOverride>
  </w:num>
  <w:num w:numId="14">
    <w:abstractNumId w:val="2"/>
  </w:num>
  <w:num w:numId="15">
    <w:abstractNumId w:val="17"/>
  </w:num>
  <w:num w:numId="16">
    <w:abstractNumId w:val="6"/>
  </w:num>
  <w:num w:numId="17">
    <w:abstractNumId w:val="11"/>
  </w:num>
  <w:num w:numId="18">
    <w:abstractNumId w:val="18"/>
  </w:num>
  <w:num w:numId="19">
    <w:abstractNumId w:val="23"/>
  </w:num>
  <w:num w:numId="20">
    <w:abstractNumId w:val="7"/>
  </w:num>
  <w:num w:numId="21">
    <w:abstractNumId w:val="8"/>
  </w:num>
  <w:num w:numId="22">
    <w:abstractNumId w:val="14"/>
  </w:num>
  <w:num w:numId="23">
    <w:abstractNumId w:val="22"/>
  </w:num>
  <w:num w:numId="24">
    <w:abstractNumId w:val="12"/>
  </w:num>
  <w:num w:numId="25">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2447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STYLES"/>
  </w:docVars>
  <w:rsids>
    <w:rsidRoot w:val="003B283B"/>
    <w:rsid w:val="00000CE8"/>
    <w:rsid w:val="000017DC"/>
    <w:rsid w:val="00002B80"/>
    <w:rsid w:val="00002E4F"/>
    <w:rsid w:val="00004D0F"/>
    <w:rsid w:val="00005800"/>
    <w:rsid w:val="00005B0A"/>
    <w:rsid w:val="00007617"/>
    <w:rsid w:val="00007B94"/>
    <w:rsid w:val="000104CB"/>
    <w:rsid w:val="000115A9"/>
    <w:rsid w:val="00012B39"/>
    <w:rsid w:val="00013610"/>
    <w:rsid w:val="000138A1"/>
    <w:rsid w:val="0001686B"/>
    <w:rsid w:val="00017703"/>
    <w:rsid w:val="000201DF"/>
    <w:rsid w:val="00020A28"/>
    <w:rsid w:val="00020D86"/>
    <w:rsid w:val="000215A9"/>
    <w:rsid w:val="00022AA4"/>
    <w:rsid w:val="00022B6C"/>
    <w:rsid w:val="000240FE"/>
    <w:rsid w:val="000244F9"/>
    <w:rsid w:val="0002476C"/>
    <w:rsid w:val="00024FEF"/>
    <w:rsid w:val="0002595E"/>
    <w:rsid w:val="00026BD2"/>
    <w:rsid w:val="00026FDD"/>
    <w:rsid w:val="00027A22"/>
    <w:rsid w:val="00030B04"/>
    <w:rsid w:val="0003128F"/>
    <w:rsid w:val="000316FF"/>
    <w:rsid w:val="00031C70"/>
    <w:rsid w:val="00032E3A"/>
    <w:rsid w:val="000338E8"/>
    <w:rsid w:val="00033C6E"/>
    <w:rsid w:val="00033DA8"/>
    <w:rsid w:val="00034832"/>
    <w:rsid w:val="000349EE"/>
    <w:rsid w:val="00034A75"/>
    <w:rsid w:val="00034F66"/>
    <w:rsid w:val="00035B58"/>
    <w:rsid w:val="00035EF4"/>
    <w:rsid w:val="00036931"/>
    <w:rsid w:val="00036976"/>
    <w:rsid w:val="00036ED6"/>
    <w:rsid w:val="000378CC"/>
    <w:rsid w:val="00037B11"/>
    <w:rsid w:val="0004006B"/>
    <w:rsid w:val="0004042B"/>
    <w:rsid w:val="00041496"/>
    <w:rsid w:val="000419D4"/>
    <w:rsid w:val="00041C6C"/>
    <w:rsid w:val="00041EB7"/>
    <w:rsid w:val="00042751"/>
    <w:rsid w:val="000432D1"/>
    <w:rsid w:val="000444BB"/>
    <w:rsid w:val="00044DCB"/>
    <w:rsid w:val="00045054"/>
    <w:rsid w:val="000451B3"/>
    <w:rsid w:val="00045B31"/>
    <w:rsid w:val="0005077B"/>
    <w:rsid w:val="00051C81"/>
    <w:rsid w:val="0005250A"/>
    <w:rsid w:val="000529F2"/>
    <w:rsid w:val="00054BA6"/>
    <w:rsid w:val="00054E26"/>
    <w:rsid w:val="00055735"/>
    <w:rsid w:val="000557CE"/>
    <w:rsid w:val="000559BE"/>
    <w:rsid w:val="000562AF"/>
    <w:rsid w:val="000571C2"/>
    <w:rsid w:val="00060853"/>
    <w:rsid w:val="00060E5C"/>
    <w:rsid w:val="00061952"/>
    <w:rsid w:val="00062214"/>
    <w:rsid w:val="00065751"/>
    <w:rsid w:val="00066490"/>
    <w:rsid w:val="00067189"/>
    <w:rsid w:val="00067BC4"/>
    <w:rsid w:val="0007026C"/>
    <w:rsid w:val="000702DC"/>
    <w:rsid w:val="00070C28"/>
    <w:rsid w:val="00070DC9"/>
    <w:rsid w:val="000714D6"/>
    <w:rsid w:val="00071E53"/>
    <w:rsid w:val="00072772"/>
    <w:rsid w:val="0007365D"/>
    <w:rsid w:val="00073A46"/>
    <w:rsid w:val="000742C2"/>
    <w:rsid w:val="000747E4"/>
    <w:rsid w:val="00074A88"/>
    <w:rsid w:val="00074CD8"/>
    <w:rsid w:val="00076077"/>
    <w:rsid w:val="00076AD3"/>
    <w:rsid w:val="000807B6"/>
    <w:rsid w:val="000814F6"/>
    <w:rsid w:val="00081813"/>
    <w:rsid w:val="000818D4"/>
    <w:rsid w:val="000821ED"/>
    <w:rsid w:val="00082546"/>
    <w:rsid w:val="000836FE"/>
    <w:rsid w:val="00083F57"/>
    <w:rsid w:val="000868DE"/>
    <w:rsid w:val="00086D04"/>
    <w:rsid w:val="00086E67"/>
    <w:rsid w:val="00087AE9"/>
    <w:rsid w:val="00087F38"/>
    <w:rsid w:val="00092CB2"/>
    <w:rsid w:val="00092FC0"/>
    <w:rsid w:val="00093786"/>
    <w:rsid w:val="00094645"/>
    <w:rsid w:val="00095A1C"/>
    <w:rsid w:val="000967CA"/>
    <w:rsid w:val="00096999"/>
    <w:rsid w:val="000974BF"/>
    <w:rsid w:val="00097F0D"/>
    <w:rsid w:val="000A2809"/>
    <w:rsid w:val="000A4202"/>
    <w:rsid w:val="000A62E2"/>
    <w:rsid w:val="000A63F9"/>
    <w:rsid w:val="000A7A22"/>
    <w:rsid w:val="000B1EEE"/>
    <w:rsid w:val="000B243F"/>
    <w:rsid w:val="000B5B18"/>
    <w:rsid w:val="000C07F0"/>
    <w:rsid w:val="000C0946"/>
    <w:rsid w:val="000C0AA0"/>
    <w:rsid w:val="000C139C"/>
    <w:rsid w:val="000C2679"/>
    <w:rsid w:val="000C37E9"/>
    <w:rsid w:val="000C3BFD"/>
    <w:rsid w:val="000C3DF6"/>
    <w:rsid w:val="000C469F"/>
    <w:rsid w:val="000C491C"/>
    <w:rsid w:val="000C4C72"/>
    <w:rsid w:val="000C56D4"/>
    <w:rsid w:val="000C65BE"/>
    <w:rsid w:val="000C6808"/>
    <w:rsid w:val="000C6F0E"/>
    <w:rsid w:val="000C7D79"/>
    <w:rsid w:val="000C7E7C"/>
    <w:rsid w:val="000D007F"/>
    <w:rsid w:val="000D28F0"/>
    <w:rsid w:val="000D3F88"/>
    <w:rsid w:val="000D50A8"/>
    <w:rsid w:val="000D59D3"/>
    <w:rsid w:val="000D602F"/>
    <w:rsid w:val="000D6031"/>
    <w:rsid w:val="000D6B2F"/>
    <w:rsid w:val="000D77C2"/>
    <w:rsid w:val="000D7E59"/>
    <w:rsid w:val="000D7F5A"/>
    <w:rsid w:val="000E053F"/>
    <w:rsid w:val="000E26A2"/>
    <w:rsid w:val="000E4005"/>
    <w:rsid w:val="000E4C16"/>
    <w:rsid w:val="000E6466"/>
    <w:rsid w:val="000E6F41"/>
    <w:rsid w:val="000E7D79"/>
    <w:rsid w:val="000F0112"/>
    <w:rsid w:val="000F035E"/>
    <w:rsid w:val="000F0AFF"/>
    <w:rsid w:val="000F16CE"/>
    <w:rsid w:val="000F181E"/>
    <w:rsid w:val="000F3021"/>
    <w:rsid w:val="000F3050"/>
    <w:rsid w:val="000F42C4"/>
    <w:rsid w:val="000F4A9A"/>
    <w:rsid w:val="000F5381"/>
    <w:rsid w:val="000F558D"/>
    <w:rsid w:val="000F55B5"/>
    <w:rsid w:val="000F5ED9"/>
    <w:rsid w:val="000F77C3"/>
    <w:rsid w:val="000F7B4B"/>
    <w:rsid w:val="00101551"/>
    <w:rsid w:val="0010339F"/>
    <w:rsid w:val="001036E0"/>
    <w:rsid w:val="0010391E"/>
    <w:rsid w:val="00103CC0"/>
    <w:rsid w:val="00104975"/>
    <w:rsid w:val="001052AF"/>
    <w:rsid w:val="001053BA"/>
    <w:rsid w:val="001055E6"/>
    <w:rsid w:val="001063E3"/>
    <w:rsid w:val="0010786D"/>
    <w:rsid w:val="00110344"/>
    <w:rsid w:val="00111024"/>
    <w:rsid w:val="001126F6"/>
    <w:rsid w:val="001127C6"/>
    <w:rsid w:val="00113882"/>
    <w:rsid w:val="001138AF"/>
    <w:rsid w:val="001138B0"/>
    <w:rsid w:val="00114E69"/>
    <w:rsid w:val="001158DF"/>
    <w:rsid w:val="00115E8C"/>
    <w:rsid w:val="00116CFB"/>
    <w:rsid w:val="00120CC5"/>
    <w:rsid w:val="00125DFA"/>
    <w:rsid w:val="0012647C"/>
    <w:rsid w:val="00126A7F"/>
    <w:rsid w:val="00127660"/>
    <w:rsid w:val="00130B18"/>
    <w:rsid w:val="00131042"/>
    <w:rsid w:val="0013146D"/>
    <w:rsid w:val="00132AD0"/>
    <w:rsid w:val="00134B0D"/>
    <w:rsid w:val="00135E41"/>
    <w:rsid w:val="00136F53"/>
    <w:rsid w:val="00136FA8"/>
    <w:rsid w:val="001376AC"/>
    <w:rsid w:val="001400DB"/>
    <w:rsid w:val="0014104C"/>
    <w:rsid w:val="00141052"/>
    <w:rsid w:val="00141D4F"/>
    <w:rsid w:val="00142A4E"/>
    <w:rsid w:val="0014464E"/>
    <w:rsid w:val="00144A1D"/>
    <w:rsid w:val="00144DCE"/>
    <w:rsid w:val="00145081"/>
    <w:rsid w:val="00145167"/>
    <w:rsid w:val="00146F91"/>
    <w:rsid w:val="001509A7"/>
    <w:rsid w:val="00153199"/>
    <w:rsid w:val="001540D3"/>
    <w:rsid w:val="001545B6"/>
    <w:rsid w:val="00154B90"/>
    <w:rsid w:val="00155138"/>
    <w:rsid w:val="00155FD0"/>
    <w:rsid w:val="00156950"/>
    <w:rsid w:val="00157649"/>
    <w:rsid w:val="00160DCC"/>
    <w:rsid w:val="00160DD6"/>
    <w:rsid w:val="001636EC"/>
    <w:rsid w:val="001657F4"/>
    <w:rsid w:val="00166FCB"/>
    <w:rsid w:val="0017001D"/>
    <w:rsid w:val="0017241F"/>
    <w:rsid w:val="0017333F"/>
    <w:rsid w:val="001737B7"/>
    <w:rsid w:val="00174675"/>
    <w:rsid w:val="0017469D"/>
    <w:rsid w:val="00175D41"/>
    <w:rsid w:val="001762F4"/>
    <w:rsid w:val="001764F7"/>
    <w:rsid w:val="001768E2"/>
    <w:rsid w:val="0018061D"/>
    <w:rsid w:val="00180A82"/>
    <w:rsid w:val="001811FF"/>
    <w:rsid w:val="00182B42"/>
    <w:rsid w:val="00182D03"/>
    <w:rsid w:val="00183FC7"/>
    <w:rsid w:val="00184AE4"/>
    <w:rsid w:val="00184C46"/>
    <w:rsid w:val="00186D96"/>
    <w:rsid w:val="00191C0B"/>
    <w:rsid w:val="00192F9E"/>
    <w:rsid w:val="001940FA"/>
    <w:rsid w:val="00194447"/>
    <w:rsid w:val="0019516A"/>
    <w:rsid w:val="00195479"/>
    <w:rsid w:val="001970B2"/>
    <w:rsid w:val="001979F8"/>
    <w:rsid w:val="001A1064"/>
    <w:rsid w:val="001A141E"/>
    <w:rsid w:val="001A35F9"/>
    <w:rsid w:val="001A3828"/>
    <w:rsid w:val="001A3AEF"/>
    <w:rsid w:val="001A3D0C"/>
    <w:rsid w:val="001A3E55"/>
    <w:rsid w:val="001A461B"/>
    <w:rsid w:val="001A56E8"/>
    <w:rsid w:val="001B01AC"/>
    <w:rsid w:val="001B0D26"/>
    <w:rsid w:val="001B10E9"/>
    <w:rsid w:val="001B1504"/>
    <w:rsid w:val="001B15BB"/>
    <w:rsid w:val="001B18C2"/>
    <w:rsid w:val="001B232C"/>
    <w:rsid w:val="001B28BC"/>
    <w:rsid w:val="001B3D6A"/>
    <w:rsid w:val="001B424E"/>
    <w:rsid w:val="001B4CC9"/>
    <w:rsid w:val="001B5DF7"/>
    <w:rsid w:val="001B65A1"/>
    <w:rsid w:val="001B6A12"/>
    <w:rsid w:val="001C0535"/>
    <w:rsid w:val="001C05B2"/>
    <w:rsid w:val="001C07DD"/>
    <w:rsid w:val="001C0B67"/>
    <w:rsid w:val="001C12BE"/>
    <w:rsid w:val="001C17BE"/>
    <w:rsid w:val="001C1C9C"/>
    <w:rsid w:val="001C365D"/>
    <w:rsid w:val="001C39EC"/>
    <w:rsid w:val="001C3A18"/>
    <w:rsid w:val="001C4264"/>
    <w:rsid w:val="001C52C8"/>
    <w:rsid w:val="001C6C93"/>
    <w:rsid w:val="001C76BE"/>
    <w:rsid w:val="001C782A"/>
    <w:rsid w:val="001D00DF"/>
    <w:rsid w:val="001D013F"/>
    <w:rsid w:val="001D078A"/>
    <w:rsid w:val="001D1A28"/>
    <w:rsid w:val="001D326E"/>
    <w:rsid w:val="001D4E3C"/>
    <w:rsid w:val="001D52CB"/>
    <w:rsid w:val="001D69DD"/>
    <w:rsid w:val="001D6C48"/>
    <w:rsid w:val="001D74DC"/>
    <w:rsid w:val="001E0C2F"/>
    <w:rsid w:val="001E0E97"/>
    <w:rsid w:val="001E17D8"/>
    <w:rsid w:val="001E2338"/>
    <w:rsid w:val="001E558F"/>
    <w:rsid w:val="001E5961"/>
    <w:rsid w:val="001E717B"/>
    <w:rsid w:val="001E74A2"/>
    <w:rsid w:val="001E76FC"/>
    <w:rsid w:val="001F0BC4"/>
    <w:rsid w:val="001F1D17"/>
    <w:rsid w:val="001F1F3D"/>
    <w:rsid w:val="001F4D66"/>
    <w:rsid w:val="001F4DA7"/>
    <w:rsid w:val="001F59A5"/>
    <w:rsid w:val="001F689E"/>
    <w:rsid w:val="0020089C"/>
    <w:rsid w:val="00200F03"/>
    <w:rsid w:val="002013C3"/>
    <w:rsid w:val="002022AD"/>
    <w:rsid w:val="00202634"/>
    <w:rsid w:val="00203A8F"/>
    <w:rsid w:val="00203D01"/>
    <w:rsid w:val="00204864"/>
    <w:rsid w:val="0020498A"/>
    <w:rsid w:val="002052D8"/>
    <w:rsid w:val="00205EFC"/>
    <w:rsid w:val="00210810"/>
    <w:rsid w:val="00211393"/>
    <w:rsid w:val="00211FAE"/>
    <w:rsid w:val="00211FF4"/>
    <w:rsid w:val="00212787"/>
    <w:rsid w:val="00212C0D"/>
    <w:rsid w:val="002138A9"/>
    <w:rsid w:val="00214451"/>
    <w:rsid w:val="002156FD"/>
    <w:rsid w:val="00215DFB"/>
    <w:rsid w:val="0021639E"/>
    <w:rsid w:val="00217A33"/>
    <w:rsid w:val="00221123"/>
    <w:rsid w:val="00223339"/>
    <w:rsid w:val="002236A6"/>
    <w:rsid w:val="00224DE6"/>
    <w:rsid w:val="00224E75"/>
    <w:rsid w:val="002259C0"/>
    <w:rsid w:val="00226823"/>
    <w:rsid w:val="002276DD"/>
    <w:rsid w:val="0023002B"/>
    <w:rsid w:val="00230EC2"/>
    <w:rsid w:val="002327D5"/>
    <w:rsid w:val="002327E9"/>
    <w:rsid w:val="00233285"/>
    <w:rsid w:val="00233CAC"/>
    <w:rsid w:val="00234CD4"/>
    <w:rsid w:val="00234D89"/>
    <w:rsid w:val="0023548F"/>
    <w:rsid w:val="002358E8"/>
    <w:rsid w:val="00236FB9"/>
    <w:rsid w:val="002375A0"/>
    <w:rsid w:val="00237A97"/>
    <w:rsid w:val="002407AA"/>
    <w:rsid w:val="002411E0"/>
    <w:rsid w:val="00241C29"/>
    <w:rsid w:val="00242408"/>
    <w:rsid w:val="00242759"/>
    <w:rsid w:val="00242890"/>
    <w:rsid w:val="00242B03"/>
    <w:rsid w:val="00243514"/>
    <w:rsid w:val="00244ABF"/>
    <w:rsid w:val="002469F7"/>
    <w:rsid w:val="00247F50"/>
    <w:rsid w:val="00250267"/>
    <w:rsid w:val="00252542"/>
    <w:rsid w:val="002532B5"/>
    <w:rsid w:val="002539A1"/>
    <w:rsid w:val="00253B72"/>
    <w:rsid w:val="002542CC"/>
    <w:rsid w:val="002559A2"/>
    <w:rsid w:val="002563ED"/>
    <w:rsid w:val="00256406"/>
    <w:rsid w:val="0026049D"/>
    <w:rsid w:val="00260E92"/>
    <w:rsid w:val="00263B55"/>
    <w:rsid w:val="002653BB"/>
    <w:rsid w:val="0026557C"/>
    <w:rsid w:val="002655CD"/>
    <w:rsid w:val="002659B2"/>
    <w:rsid w:val="00266729"/>
    <w:rsid w:val="00266BC6"/>
    <w:rsid w:val="00266F4F"/>
    <w:rsid w:val="00267947"/>
    <w:rsid w:val="00267AB2"/>
    <w:rsid w:val="00270FF0"/>
    <w:rsid w:val="0027137C"/>
    <w:rsid w:val="0027413E"/>
    <w:rsid w:val="0027451C"/>
    <w:rsid w:val="00274585"/>
    <w:rsid w:val="00274E55"/>
    <w:rsid w:val="002751DD"/>
    <w:rsid w:val="00276777"/>
    <w:rsid w:val="00276ED9"/>
    <w:rsid w:val="0028043D"/>
    <w:rsid w:val="00281365"/>
    <w:rsid w:val="0028188E"/>
    <w:rsid w:val="00282C78"/>
    <w:rsid w:val="002831ED"/>
    <w:rsid w:val="002840ED"/>
    <w:rsid w:val="002843D9"/>
    <w:rsid w:val="002874D7"/>
    <w:rsid w:val="002903CB"/>
    <w:rsid w:val="00290CFF"/>
    <w:rsid w:val="00291033"/>
    <w:rsid w:val="00291252"/>
    <w:rsid w:val="002915A8"/>
    <w:rsid w:val="0029165B"/>
    <w:rsid w:val="00291981"/>
    <w:rsid w:val="00291F64"/>
    <w:rsid w:val="002920E3"/>
    <w:rsid w:val="00293159"/>
    <w:rsid w:val="0029435D"/>
    <w:rsid w:val="00297AF8"/>
    <w:rsid w:val="002A0707"/>
    <w:rsid w:val="002A17C4"/>
    <w:rsid w:val="002A2B5D"/>
    <w:rsid w:val="002A349B"/>
    <w:rsid w:val="002A3665"/>
    <w:rsid w:val="002A3BAB"/>
    <w:rsid w:val="002A48AF"/>
    <w:rsid w:val="002A4A76"/>
    <w:rsid w:val="002A5E72"/>
    <w:rsid w:val="002A5F58"/>
    <w:rsid w:val="002B10EE"/>
    <w:rsid w:val="002B2798"/>
    <w:rsid w:val="002B4372"/>
    <w:rsid w:val="002B445D"/>
    <w:rsid w:val="002B4C96"/>
    <w:rsid w:val="002B5973"/>
    <w:rsid w:val="002C0F1F"/>
    <w:rsid w:val="002C1811"/>
    <w:rsid w:val="002C1999"/>
    <w:rsid w:val="002C289C"/>
    <w:rsid w:val="002C3DCC"/>
    <w:rsid w:val="002C41FF"/>
    <w:rsid w:val="002C43DB"/>
    <w:rsid w:val="002C4E24"/>
    <w:rsid w:val="002C5D72"/>
    <w:rsid w:val="002C6439"/>
    <w:rsid w:val="002C78B6"/>
    <w:rsid w:val="002C7ECD"/>
    <w:rsid w:val="002D09CC"/>
    <w:rsid w:val="002D0F32"/>
    <w:rsid w:val="002D0F3B"/>
    <w:rsid w:val="002D1B76"/>
    <w:rsid w:val="002D2A79"/>
    <w:rsid w:val="002D41B7"/>
    <w:rsid w:val="002D537A"/>
    <w:rsid w:val="002D6E86"/>
    <w:rsid w:val="002D73EF"/>
    <w:rsid w:val="002D750B"/>
    <w:rsid w:val="002E11B9"/>
    <w:rsid w:val="002E1245"/>
    <w:rsid w:val="002E5300"/>
    <w:rsid w:val="002E5965"/>
    <w:rsid w:val="002E5A78"/>
    <w:rsid w:val="002E64CB"/>
    <w:rsid w:val="002E7DDB"/>
    <w:rsid w:val="002F0044"/>
    <w:rsid w:val="002F0199"/>
    <w:rsid w:val="002F0388"/>
    <w:rsid w:val="002F1623"/>
    <w:rsid w:val="002F2C18"/>
    <w:rsid w:val="002F352C"/>
    <w:rsid w:val="002F3776"/>
    <w:rsid w:val="002F3FAF"/>
    <w:rsid w:val="002F7D23"/>
    <w:rsid w:val="003002D3"/>
    <w:rsid w:val="00300C7E"/>
    <w:rsid w:val="003029D8"/>
    <w:rsid w:val="00302FF6"/>
    <w:rsid w:val="003033EF"/>
    <w:rsid w:val="00303C59"/>
    <w:rsid w:val="00304E98"/>
    <w:rsid w:val="003058FB"/>
    <w:rsid w:val="00305FBE"/>
    <w:rsid w:val="00306501"/>
    <w:rsid w:val="003075E1"/>
    <w:rsid w:val="003079A2"/>
    <w:rsid w:val="00307A61"/>
    <w:rsid w:val="00310AC5"/>
    <w:rsid w:val="00310FF8"/>
    <w:rsid w:val="00311036"/>
    <w:rsid w:val="00311101"/>
    <w:rsid w:val="003111F0"/>
    <w:rsid w:val="0031261A"/>
    <w:rsid w:val="00312635"/>
    <w:rsid w:val="00313641"/>
    <w:rsid w:val="00313967"/>
    <w:rsid w:val="00314C5F"/>
    <w:rsid w:val="00314E4E"/>
    <w:rsid w:val="00314E67"/>
    <w:rsid w:val="003154F6"/>
    <w:rsid w:val="003160F4"/>
    <w:rsid w:val="00316841"/>
    <w:rsid w:val="003179EF"/>
    <w:rsid w:val="00322BCE"/>
    <w:rsid w:val="00325453"/>
    <w:rsid w:val="003256F1"/>
    <w:rsid w:val="00325A3E"/>
    <w:rsid w:val="0032640E"/>
    <w:rsid w:val="00326AA5"/>
    <w:rsid w:val="00326F48"/>
    <w:rsid w:val="0032747F"/>
    <w:rsid w:val="00327A6E"/>
    <w:rsid w:val="00327A80"/>
    <w:rsid w:val="00330566"/>
    <w:rsid w:val="00330A73"/>
    <w:rsid w:val="00331247"/>
    <w:rsid w:val="00331316"/>
    <w:rsid w:val="00331403"/>
    <w:rsid w:val="00331515"/>
    <w:rsid w:val="00332F52"/>
    <w:rsid w:val="00333F18"/>
    <w:rsid w:val="00334557"/>
    <w:rsid w:val="00335367"/>
    <w:rsid w:val="003353E8"/>
    <w:rsid w:val="00335FB2"/>
    <w:rsid w:val="00336DB2"/>
    <w:rsid w:val="00337799"/>
    <w:rsid w:val="0034052F"/>
    <w:rsid w:val="003415D2"/>
    <w:rsid w:val="00342579"/>
    <w:rsid w:val="00342715"/>
    <w:rsid w:val="003439F8"/>
    <w:rsid w:val="003440A3"/>
    <w:rsid w:val="003445DE"/>
    <w:rsid w:val="003448C7"/>
    <w:rsid w:val="00345197"/>
    <w:rsid w:val="003451E8"/>
    <w:rsid w:val="0034601A"/>
    <w:rsid w:val="0034657E"/>
    <w:rsid w:val="00346C63"/>
    <w:rsid w:val="00350470"/>
    <w:rsid w:val="00351081"/>
    <w:rsid w:val="00353680"/>
    <w:rsid w:val="003542D4"/>
    <w:rsid w:val="003543F0"/>
    <w:rsid w:val="003552B8"/>
    <w:rsid w:val="003555A1"/>
    <w:rsid w:val="0035631F"/>
    <w:rsid w:val="00357667"/>
    <w:rsid w:val="00360D02"/>
    <w:rsid w:val="00361007"/>
    <w:rsid w:val="00361CF3"/>
    <w:rsid w:val="003627DD"/>
    <w:rsid w:val="00362B7F"/>
    <w:rsid w:val="00363067"/>
    <w:rsid w:val="00363EFA"/>
    <w:rsid w:val="00364BAB"/>
    <w:rsid w:val="00364C54"/>
    <w:rsid w:val="00364D74"/>
    <w:rsid w:val="00364D95"/>
    <w:rsid w:val="00365049"/>
    <w:rsid w:val="0036522E"/>
    <w:rsid w:val="00367133"/>
    <w:rsid w:val="00367A90"/>
    <w:rsid w:val="00371609"/>
    <w:rsid w:val="00371671"/>
    <w:rsid w:val="0037202C"/>
    <w:rsid w:val="00372D96"/>
    <w:rsid w:val="00374124"/>
    <w:rsid w:val="003759AE"/>
    <w:rsid w:val="00377A77"/>
    <w:rsid w:val="003803A1"/>
    <w:rsid w:val="00380A9A"/>
    <w:rsid w:val="0038274D"/>
    <w:rsid w:val="00382847"/>
    <w:rsid w:val="003833E4"/>
    <w:rsid w:val="00383700"/>
    <w:rsid w:val="00383AB0"/>
    <w:rsid w:val="0038496B"/>
    <w:rsid w:val="00385CA9"/>
    <w:rsid w:val="00387229"/>
    <w:rsid w:val="0038799C"/>
    <w:rsid w:val="00387CFB"/>
    <w:rsid w:val="003909E1"/>
    <w:rsid w:val="003911A9"/>
    <w:rsid w:val="0039178A"/>
    <w:rsid w:val="00391A85"/>
    <w:rsid w:val="003921C5"/>
    <w:rsid w:val="00392559"/>
    <w:rsid w:val="003931A5"/>
    <w:rsid w:val="003939EE"/>
    <w:rsid w:val="00393A41"/>
    <w:rsid w:val="00394196"/>
    <w:rsid w:val="0039485C"/>
    <w:rsid w:val="00394D69"/>
    <w:rsid w:val="00394DFA"/>
    <w:rsid w:val="00395392"/>
    <w:rsid w:val="00395564"/>
    <w:rsid w:val="00395C7C"/>
    <w:rsid w:val="0039620F"/>
    <w:rsid w:val="00396C91"/>
    <w:rsid w:val="00396F6E"/>
    <w:rsid w:val="00397835"/>
    <w:rsid w:val="003979EC"/>
    <w:rsid w:val="00397A66"/>
    <w:rsid w:val="00397C0A"/>
    <w:rsid w:val="003A2297"/>
    <w:rsid w:val="003A29B6"/>
    <w:rsid w:val="003A63B9"/>
    <w:rsid w:val="003A667F"/>
    <w:rsid w:val="003A7683"/>
    <w:rsid w:val="003B0F39"/>
    <w:rsid w:val="003B1165"/>
    <w:rsid w:val="003B1E45"/>
    <w:rsid w:val="003B20F1"/>
    <w:rsid w:val="003B283B"/>
    <w:rsid w:val="003B2AB5"/>
    <w:rsid w:val="003B2BA2"/>
    <w:rsid w:val="003B38AA"/>
    <w:rsid w:val="003B4060"/>
    <w:rsid w:val="003B4824"/>
    <w:rsid w:val="003B48BF"/>
    <w:rsid w:val="003B5313"/>
    <w:rsid w:val="003B5456"/>
    <w:rsid w:val="003B59B3"/>
    <w:rsid w:val="003B5A54"/>
    <w:rsid w:val="003C1187"/>
    <w:rsid w:val="003C195A"/>
    <w:rsid w:val="003C2DB1"/>
    <w:rsid w:val="003C4AF5"/>
    <w:rsid w:val="003C4E8F"/>
    <w:rsid w:val="003C4EF8"/>
    <w:rsid w:val="003C5357"/>
    <w:rsid w:val="003D05FE"/>
    <w:rsid w:val="003D210F"/>
    <w:rsid w:val="003D35EF"/>
    <w:rsid w:val="003D3B49"/>
    <w:rsid w:val="003D3D9E"/>
    <w:rsid w:val="003D55BE"/>
    <w:rsid w:val="003D5DE9"/>
    <w:rsid w:val="003D5F81"/>
    <w:rsid w:val="003D7FAF"/>
    <w:rsid w:val="003E0B8C"/>
    <w:rsid w:val="003E24BB"/>
    <w:rsid w:val="003E387D"/>
    <w:rsid w:val="003E44F6"/>
    <w:rsid w:val="003E5833"/>
    <w:rsid w:val="003E6010"/>
    <w:rsid w:val="003E693F"/>
    <w:rsid w:val="003E75FE"/>
    <w:rsid w:val="003E7C25"/>
    <w:rsid w:val="003E7D0F"/>
    <w:rsid w:val="003F0686"/>
    <w:rsid w:val="003F09BC"/>
    <w:rsid w:val="003F1815"/>
    <w:rsid w:val="003F1D4E"/>
    <w:rsid w:val="003F2CD5"/>
    <w:rsid w:val="003F2F97"/>
    <w:rsid w:val="003F4FF6"/>
    <w:rsid w:val="003F59AD"/>
    <w:rsid w:val="003F65E2"/>
    <w:rsid w:val="00400FC6"/>
    <w:rsid w:val="00402423"/>
    <w:rsid w:val="00402CA2"/>
    <w:rsid w:val="0040578C"/>
    <w:rsid w:val="004079A9"/>
    <w:rsid w:val="00407AA7"/>
    <w:rsid w:val="004107E8"/>
    <w:rsid w:val="004114DB"/>
    <w:rsid w:val="00411755"/>
    <w:rsid w:val="0041385B"/>
    <w:rsid w:val="00413CA9"/>
    <w:rsid w:val="00413EED"/>
    <w:rsid w:val="00414A4C"/>
    <w:rsid w:val="00414CA3"/>
    <w:rsid w:val="00415AAD"/>
    <w:rsid w:val="0041623F"/>
    <w:rsid w:val="0041728F"/>
    <w:rsid w:val="004178C1"/>
    <w:rsid w:val="00421682"/>
    <w:rsid w:val="0042187E"/>
    <w:rsid w:val="004221CC"/>
    <w:rsid w:val="004235E7"/>
    <w:rsid w:val="004242B7"/>
    <w:rsid w:val="00425124"/>
    <w:rsid w:val="00425526"/>
    <w:rsid w:val="004258F9"/>
    <w:rsid w:val="00426306"/>
    <w:rsid w:val="00427096"/>
    <w:rsid w:val="004276C7"/>
    <w:rsid w:val="00427C97"/>
    <w:rsid w:val="00430418"/>
    <w:rsid w:val="00430705"/>
    <w:rsid w:val="0043072E"/>
    <w:rsid w:val="004307DC"/>
    <w:rsid w:val="00430FC6"/>
    <w:rsid w:val="004310BF"/>
    <w:rsid w:val="0043229E"/>
    <w:rsid w:val="004331FF"/>
    <w:rsid w:val="00433EDC"/>
    <w:rsid w:val="00434AB9"/>
    <w:rsid w:val="00434C77"/>
    <w:rsid w:val="00440808"/>
    <w:rsid w:val="00441BAD"/>
    <w:rsid w:val="00443153"/>
    <w:rsid w:val="00443771"/>
    <w:rsid w:val="0044401F"/>
    <w:rsid w:val="004444F8"/>
    <w:rsid w:val="00444C4C"/>
    <w:rsid w:val="00444D44"/>
    <w:rsid w:val="004452E3"/>
    <w:rsid w:val="004460B4"/>
    <w:rsid w:val="00446146"/>
    <w:rsid w:val="00450993"/>
    <w:rsid w:val="004513D7"/>
    <w:rsid w:val="004520DF"/>
    <w:rsid w:val="0045436B"/>
    <w:rsid w:val="00455A5C"/>
    <w:rsid w:val="00456257"/>
    <w:rsid w:val="00456D45"/>
    <w:rsid w:val="00460A6B"/>
    <w:rsid w:val="00460CCB"/>
    <w:rsid w:val="00460D3F"/>
    <w:rsid w:val="00461E3E"/>
    <w:rsid w:val="00463915"/>
    <w:rsid w:val="004639B7"/>
    <w:rsid w:val="00463DA5"/>
    <w:rsid w:val="004641D6"/>
    <w:rsid w:val="004647DD"/>
    <w:rsid w:val="00464A26"/>
    <w:rsid w:val="00464B19"/>
    <w:rsid w:val="00464C86"/>
    <w:rsid w:val="00464D3B"/>
    <w:rsid w:val="00464F6D"/>
    <w:rsid w:val="00464F78"/>
    <w:rsid w:val="004652C4"/>
    <w:rsid w:val="00466AC6"/>
    <w:rsid w:val="00466E21"/>
    <w:rsid w:val="00467B6A"/>
    <w:rsid w:val="0047016B"/>
    <w:rsid w:val="00470409"/>
    <w:rsid w:val="004719F8"/>
    <w:rsid w:val="00471A72"/>
    <w:rsid w:val="0047306F"/>
    <w:rsid w:val="004733C2"/>
    <w:rsid w:val="0047355F"/>
    <w:rsid w:val="0047417A"/>
    <w:rsid w:val="004764CC"/>
    <w:rsid w:val="00477B4B"/>
    <w:rsid w:val="00477C1C"/>
    <w:rsid w:val="0048090F"/>
    <w:rsid w:val="00480C50"/>
    <w:rsid w:val="00481E81"/>
    <w:rsid w:val="0048396C"/>
    <w:rsid w:val="00484993"/>
    <w:rsid w:val="00486144"/>
    <w:rsid w:val="00486C20"/>
    <w:rsid w:val="00486F07"/>
    <w:rsid w:val="00491D54"/>
    <w:rsid w:val="004929C8"/>
    <w:rsid w:val="00492EDB"/>
    <w:rsid w:val="00494E1A"/>
    <w:rsid w:val="00495606"/>
    <w:rsid w:val="00496EBA"/>
    <w:rsid w:val="00497493"/>
    <w:rsid w:val="00497BC6"/>
    <w:rsid w:val="004A1166"/>
    <w:rsid w:val="004A58D1"/>
    <w:rsid w:val="004A58E6"/>
    <w:rsid w:val="004A7356"/>
    <w:rsid w:val="004A737C"/>
    <w:rsid w:val="004A7AEE"/>
    <w:rsid w:val="004A7C3A"/>
    <w:rsid w:val="004A7E85"/>
    <w:rsid w:val="004B03FA"/>
    <w:rsid w:val="004B0633"/>
    <w:rsid w:val="004B13AA"/>
    <w:rsid w:val="004B14C0"/>
    <w:rsid w:val="004B2B81"/>
    <w:rsid w:val="004B41EE"/>
    <w:rsid w:val="004B4C64"/>
    <w:rsid w:val="004B5BBE"/>
    <w:rsid w:val="004B6415"/>
    <w:rsid w:val="004B6441"/>
    <w:rsid w:val="004B73E7"/>
    <w:rsid w:val="004B7790"/>
    <w:rsid w:val="004B7884"/>
    <w:rsid w:val="004C05A5"/>
    <w:rsid w:val="004C0FE5"/>
    <w:rsid w:val="004C2DBC"/>
    <w:rsid w:val="004C339E"/>
    <w:rsid w:val="004C340A"/>
    <w:rsid w:val="004C3D00"/>
    <w:rsid w:val="004C4138"/>
    <w:rsid w:val="004C447B"/>
    <w:rsid w:val="004C4D7B"/>
    <w:rsid w:val="004C56A4"/>
    <w:rsid w:val="004C6E55"/>
    <w:rsid w:val="004C745C"/>
    <w:rsid w:val="004C7B95"/>
    <w:rsid w:val="004D1C6E"/>
    <w:rsid w:val="004D1F3E"/>
    <w:rsid w:val="004D5272"/>
    <w:rsid w:val="004D6922"/>
    <w:rsid w:val="004D6D5B"/>
    <w:rsid w:val="004E0268"/>
    <w:rsid w:val="004E0985"/>
    <w:rsid w:val="004E1536"/>
    <w:rsid w:val="004E16EC"/>
    <w:rsid w:val="004E21A8"/>
    <w:rsid w:val="004E2B3E"/>
    <w:rsid w:val="004E3528"/>
    <w:rsid w:val="004E3A5B"/>
    <w:rsid w:val="004E46A8"/>
    <w:rsid w:val="004E4A42"/>
    <w:rsid w:val="004E7253"/>
    <w:rsid w:val="004E7950"/>
    <w:rsid w:val="004E7D6B"/>
    <w:rsid w:val="004F0B26"/>
    <w:rsid w:val="004F196E"/>
    <w:rsid w:val="004F1A47"/>
    <w:rsid w:val="004F1B3E"/>
    <w:rsid w:val="004F2115"/>
    <w:rsid w:val="004F2819"/>
    <w:rsid w:val="004F3783"/>
    <w:rsid w:val="004F4E76"/>
    <w:rsid w:val="004F61B4"/>
    <w:rsid w:val="004F694B"/>
    <w:rsid w:val="004F70F9"/>
    <w:rsid w:val="004F7A13"/>
    <w:rsid w:val="005003A6"/>
    <w:rsid w:val="00501FA4"/>
    <w:rsid w:val="005021B6"/>
    <w:rsid w:val="005024F6"/>
    <w:rsid w:val="005029EB"/>
    <w:rsid w:val="00503FE7"/>
    <w:rsid w:val="00504096"/>
    <w:rsid w:val="00504A01"/>
    <w:rsid w:val="00505516"/>
    <w:rsid w:val="00505DD7"/>
    <w:rsid w:val="00506054"/>
    <w:rsid w:val="00507398"/>
    <w:rsid w:val="005073C6"/>
    <w:rsid w:val="00507B8C"/>
    <w:rsid w:val="005100BB"/>
    <w:rsid w:val="00511B8D"/>
    <w:rsid w:val="00511C40"/>
    <w:rsid w:val="005121FB"/>
    <w:rsid w:val="0051243D"/>
    <w:rsid w:val="00512710"/>
    <w:rsid w:val="005127A0"/>
    <w:rsid w:val="00514A9A"/>
    <w:rsid w:val="00514E2E"/>
    <w:rsid w:val="00515A67"/>
    <w:rsid w:val="00515BC0"/>
    <w:rsid w:val="00516F22"/>
    <w:rsid w:val="005207E3"/>
    <w:rsid w:val="00520A8A"/>
    <w:rsid w:val="00522152"/>
    <w:rsid w:val="00523686"/>
    <w:rsid w:val="00523996"/>
    <w:rsid w:val="00525911"/>
    <w:rsid w:val="00527880"/>
    <w:rsid w:val="00531900"/>
    <w:rsid w:val="005329D4"/>
    <w:rsid w:val="00532E20"/>
    <w:rsid w:val="00534CC2"/>
    <w:rsid w:val="005359C0"/>
    <w:rsid w:val="00535FFB"/>
    <w:rsid w:val="00537288"/>
    <w:rsid w:val="0054017F"/>
    <w:rsid w:val="0054168C"/>
    <w:rsid w:val="005434EE"/>
    <w:rsid w:val="00543C6C"/>
    <w:rsid w:val="00543DD5"/>
    <w:rsid w:val="0054508A"/>
    <w:rsid w:val="005461E4"/>
    <w:rsid w:val="00546C60"/>
    <w:rsid w:val="0055010F"/>
    <w:rsid w:val="005508F5"/>
    <w:rsid w:val="0055113A"/>
    <w:rsid w:val="005515D5"/>
    <w:rsid w:val="00551720"/>
    <w:rsid w:val="00552629"/>
    <w:rsid w:val="005533A1"/>
    <w:rsid w:val="00553E31"/>
    <w:rsid w:val="00554222"/>
    <w:rsid w:val="00554364"/>
    <w:rsid w:val="00554B37"/>
    <w:rsid w:val="00556040"/>
    <w:rsid w:val="005563AF"/>
    <w:rsid w:val="005564A3"/>
    <w:rsid w:val="00557587"/>
    <w:rsid w:val="005578B1"/>
    <w:rsid w:val="00557A1C"/>
    <w:rsid w:val="00560546"/>
    <w:rsid w:val="00560AD6"/>
    <w:rsid w:val="00561C94"/>
    <w:rsid w:val="00561E5A"/>
    <w:rsid w:val="005632D7"/>
    <w:rsid w:val="0056359E"/>
    <w:rsid w:val="00565200"/>
    <w:rsid w:val="005654FB"/>
    <w:rsid w:val="00565EF7"/>
    <w:rsid w:val="005661DF"/>
    <w:rsid w:val="00566858"/>
    <w:rsid w:val="005676DC"/>
    <w:rsid w:val="00567739"/>
    <w:rsid w:val="00567A1B"/>
    <w:rsid w:val="0057117C"/>
    <w:rsid w:val="0057239E"/>
    <w:rsid w:val="005724ED"/>
    <w:rsid w:val="00575896"/>
    <w:rsid w:val="00575EED"/>
    <w:rsid w:val="00575FD4"/>
    <w:rsid w:val="0057764D"/>
    <w:rsid w:val="00577829"/>
    <w:rsid w:val="005805C8"/>
    <w:rsid w:val="0058068C"/>
    <w:rsid w:val="00581104"/>
    <w:rsid w:val="005828CD"/>
    <w:rsid w:val="00583D31"/>
    <w:rsid w:val="00584150"/>
    <w:rsid w:val="00584D4C"/>
    <w:rsid w:val="00584ECF"/>
    <w:rsid w:val="00585A11"/>
    <w:rsid w:val="00586CCC"/>
    <w:rsid w:val="005876F8"/>
    <w:rsid w:val="00590A97"/>
    <w:rsid w:val="005918AB"/>
    <w:rsid w:val="00592C99"/>
    <w:rsid w:val="00592EE3"/>
    <w:rsid w:val="00593D2E"/>
    <w:rsid w:val="00595399"/>
    <w:rsid w:val="0059550E"/>
    <w:rsid w:val="00595E30"/>
    <w:rsid w:val="005966FE"/>
    <w:rsid w:val="00596BE7"/>
    <w:rsid w:val="00596CDE"/>
    <w:rsid w:val="00597449"/>
    <w:rsid w:val="005A07EF"/>
    <w:rsid w:val="005A196D"/>
    <w:rsid w:val="005A22B5"/>
    <w:rsid w:val="005A2AD2"/>
    <w:rsid w:val="005A68CF"/>
    <w:rsid w:val="005A6CB1"/>
    <w:rsid w:val="005A71E9"/>
    <w:rsid w:val="005A7585"/>
    <w:rsid w:val="005B04CB"/>
    <w:rsid w:val="005B0683"/>
    <w:rsid w:val="005B0D29"/>
    <w:rsid w:val="005B1315"/>
    <w:rsid w:val="005B36E1"/>
    <w:rsid w:val="005B4236"/>
    <w:rsid w:val="005B46EE"/>
    <w:rsid w:val="005B4883"/>
    <w:rsid w:val="005B4C4C"/>
    <w:rsid w:val="005B50A3"/>
    <w:rsid w:val="005B5D2D"/>
    <w:rsid w:val="005B6FAD"/>
    <w:rsid w:val="005B70E6"/>
    <w:rsid w:val="005B7ACA"/>
    <w:rsid w:val="005B7EAD"/>
    <w:rsid w:val="005C0D2A"/>
    <w:rsid w:val="005C119A"/>
    <w:rsid w:val="005C1435"/>
    <w:rsid w:val="005C2810"/>
    <w:rsid w:val="005C2BCF"/>
    <w:rsid w:val="005C4EEA"/>
    <w:rsid w:val="005C5CD7"/>
    <w:rsid w:val="005C6AF2"/>
    <w:rsid w:val="005C6C52"/>
    <w:rsid w:val="005C6CC7"/>
    <w:rsid w:val="005C6FD3"/>
    <w:rsid w:val="005C7155"/>
    <w:rsid w:val="005D060D"/>
    <w:rsid w:val="005D2896"/>
    <w:rsid w:val="005D40E1"/>
    <w:rsid w:val="005D460E"/>
    <w:rsid w:val="005D4846"/>
    <w:rsid w:val="005D4877"/>
    <w:rsid w:val="005D6008"/>
    <w:rsid w:val="005D6252"/>
    <w:rsid w:val="005D652A"/>
    <w:rsid w:val="005D6D67"/>
    <w:rsid w:val="005E26CF"/>
    <w:rsid w:val="005E27A6"/>
    <w:rsid w:val="005E32A3"/>
    <w:rsid w:val="005E3865"/>
    <w:rsid w:val="005E531B"/>
    <w:rsid w:val="005E74AE"/>
    <w:rsid w:val="005E7516"/>
    <w:rsid w:val="005E75FA"/>
    <w:rsid w:val="005F0470"/>
    <w:rsid w:val="005F3AFA"/>
    <w:rsid w:val="005F3E11"/>
    <w:rsid w:val="005F54A5"/>
    <w:rsid w:val="005F5722"/>
    <w:rsid w:val="005F5D74"/>
    <w:rsid w:val="005F7907"/>
    <w:rsid w:val="005F7FD3"/>
    <w:rsid w:val="00600B60"/>
    <w:rsid w:val="006028AC"/>
    <w:rsid w:val="00603D56"/>
    <w:rsid w:val="006043AA"/>
    <w:rsid w:val="00606054"/>
    <w:rsid w:val="00607C32"/>
    <w:rsid w:val="00607F1C"/>
    <w:rsid w:val="00610CDE"/>
    <w:rsid w:val="0061195A"/>
    <w:rsid w:val="006139AA"/>
    <w:rsid w:val="006140BB"/>
    <w:rsid w:val="0061565F"/>
    <w:rsid w:val="006168EB"/>
    <w:rsid w:val="00616E48"/>
    <w:rsid w:val="006210CA"/>
    <w:rsid w:val="0062160F"/>
    <w:rsid w:val="00621A10"/>
    <w:rsid w:val="0062238D"/>
    <w:rsid w:val="00622A2D"/>
    <w:rsid w:val="0062300F"/>
    <w:rsid w:val="00623026"/>
    <w:rsid w:val="0062302E"/>
    <w:rsid w:val="00623940"/>
    <w:rsid w:val="00626B1D"/>
    <w:rsid w:val="00630BE1"/>
    <w:rsid w:val="00630FCB"/>
    <w:rsid w:val="00632738"/>
    <w:rsid w:val="00633E90"/>
    <w:rsid w:val="0063400F"/>
    <w:rsid w:val="00635200"/>
    <w:rsid w:val="00635D71"/>
    <w:rsid w:val="00637052"/>
    <w:rsid w:val="00637DD7"/>
    <w:rsid w:val="006402C6"/>
    <w:rsid w:val="00640A24"/>
    <w:rsid w:val="0064336B"/>
    <w:rsid w:val="00643DC8"/>
    <w:rsid w:val="00643E56"/>
    <w:rsid w:val="00643EFF"/>
    <w:rsid w:val="0064421A"/>
    <w:rsid w:val="00644B34"/>
    <w:rsid w:val="006452AC"/>
    <w:rsid w:val="00646338"/>
    <w:rsid w:val="00646EEC"/>
    <w:rsid w:val="00647030"/>
    <w:rsid w:val="00647038"/>
    <w:rsid w:val="006472A6"/>
    <w:rsid w:val="006501DC"/>
    <w:rsid w:val="006522A0"/>
    <w:rsid w:val="00653919"/>
    <w:rsid w:val="00654258"/>
    <w:rsid w:val="0065504C"/>
    <w:rsid w:val="006552FD"/>
    <w:rsid w:val="0065609C"/>
    <w:rsid w:val="006579F9"/>
    <w:rsid w:val="00657F8D"/>
    <w:rsid w:val="006600DC"/>
    <w:rsid w:val="00661E13"/>
    <w:rsid w:val="00662B40"/>
    <w:rsid w:val="0066437E"/>
    <w:rsid w:val="00664675"/>
    <w:rsid w:val="00664CC5"/>
    <w:rsid w:val="00664E83"/>
    <w:rsid w:val="00666847"/>
    <w:rsid w:val="006703C8"/>
    <w:rsid w:val="006705FA"/>
    <w:rsid w:val="00671031"/>
    <w:rsid w:val="006716F2"/>
    <w:rsid w:val="00673A39"/>
    <w:rsid w:val="00674490"/>
    <w:rsid w:val="006763EC"/>
    <w:rsid w:val="00676E35"/>
    <w:rsid w:val="0067717C"/>
    <w:rsid w:val="0068003C"/>
    <w:rsid w:val="00680159"/>
    <w:rsid w:val="006808D7"/>
    <w:rsid w:val="00680AA8"/>
    <w:rsid w:val="006811D6"/>
    <w:rsid w:val="0068174F"/>
    <w:rsid w:val="00681787"/>
    <w:rsid w:val="006819C8"/>
    <w:rsid w:val="00683BD1"/>
    <w:rsid w:val="00683FED"/>
    <w:rsid w:val="00685D27"/>
    <w:rsid w:val="00686B1B"/>
    <w:rsid w:val="00690AFD"/>
    <w:rsid w:val="0069185E"/>
    <w:rsid w:val="006927FA"/>
    <w:rsid w:val="00692AC9"/>
    <w:rsid w:val="00693333"/>
    <w:rsid w:val="00693C6A"/>
    <w:rsid w:val="00694CCC"/>
    <w:rsid w:val="00694CE4"/>
    <w:rsid w:val="0069600A"/>
    <w:rsid w:val="00696031"/>
    <w:rsid w:val="00696261"/>
    <w:rsid w:val="0069688F"/>
    <w:rsid w:val="00697392"/>
    <w:rsid w:val="00697507"/>
    <w:rsid w:val="0069782A"/>
    <w:rsid w:val="006A083E"/>
    <w:rsid w:val="006A08D5"/>
    <w:rsid w:val="006A091D"/>
    <w:rsid w:val="006A2764"/>
    <w:rsid w:val="006A31EB"/>
    <w:rsid w:val="006A416D"/>
    <w:rsid w:val="006A41F5"/>
    <w:rsid w:val="006A4EAA"/>
    <w:rsid w:val="006A5519"/>
    <w:rsid w:val="006A5BE8"/>
    <w:rsid w:val="006A6090"/>
    <w:rsid w:val="006A645E"/>
    <w:rsid w:val="006A65F0"/>
    <w:rsid w:val="006A6F27"/>
    <w:rsid w:val="006A7210"/>
    <w:rsid w:val="006B02D0"/>
    <w:rsid w:val="006B15C0"/>
    <w:rsid w:val="006B1734"/>
    <w:rsid w:val="006B1950"/>
    <w:rsid w:val="006B1DFC"/>
    <w:rsid w:val="006B1EE7"/>
    <w:rsid w:val="006B2B3F"/>
    <w:rsid w:val="006B422C"/>
    <w:rsid w:val="006B4FD1"/>
    <w:rsid w:val="006B5013"/>
    <w:rsid w:val="006B6362"/>
    <w:rsid w:val="006B65B3"/>
    <w:rsid w:val="006B7240"/>
    <w:rsid w:val="006B7B1B"/>
    <w:rsid w:val="006C15CE"/>
    <w:rsid w:val="006C1861"/>
    <w:rsid w:val="006C29F2"/>
    <w:rsid w:val="006C4809"/>
    <w:rsid w:val="006C7E77"/>
    <w:rsid w:val="006D03D8"/>
    <w:rsid w:val="006D0DD1"/>
    <w:rsid w:val="006D1BB9"/>
    <w:rsid w:val="006D1FFF"/>
    <w:rsid w:val="006D2114"/>
    <w:rsid w:val="006D2D8D"/>
    <w:rsid w:val="006D30A4"/>
    <w:rsid w:val="006D311D"/>
    <w:rsid w:val="006D3206"/>
    <w:rsid w:val="006D4380"/>
    <w:rsid w:val="006D4815"/>
    <w:rsid w:val="006D698D"/>
    <w:rsid w:val="006D78FF"/>
    <w:rsid w:val="006D7E2A"/>
    <w:rsid w:val="006E058E"/>
    <w:rsid w:val="006E07C3"/>
    <w:rsid w:val="006E1620"/>
    <w:rsid w:val="006E28A4"/>
    <w:rsid w:val="006E3C3D"/>
    <w:rsid w:val="006E4A32"/>
    <w:rsid w:val="006E4C0E"/>
    <w:rsid w:val="006E6132"/>
    <w:rsid w:val="006E77C1"/>
    <w:rsid w:val="006F0D9E"/>
    <w:rsid w:val="006F170C"/>
    <w:rsid w:val="006F289E"/>
    <w:rsid w:val="006F2CA5"/>
    <w:rsid w:val="006F396D"/>
    <w:rsid w:val="006F5B7B"/>
    <w:rsid w:val="006F6558"/>
    <w:rsid w:val="0070007A"/>
    <w:rsid w:val="007008B5"/>
    <w:rsid w:val="00701383"/>
    <w:rsid w:val="00701551"/>
    <w:rsid w:val="00701FE4"/>
    <w:rsid w:val="00703845"/>
    <w:rsid w:val="00704BB2"/>
    <w:rsid w:val="007056EF"/>
    <w:rsid w:val="00705B24"/>
    <w:rsid w:val="007074EA"/>
    <w:rsid w:val="007074EE"/>
    <w:rsid w:val="007078F0"/>
    <w:rsid w:val="0071116B"/>
    <w:rsid w:val="007112FB"/>
    <w:rsid w:val="007120EF"/>
    <w:rsid w:val="00712E5C"/>
    <w:rsid w:val="007149F9"/>
    <w:rsid w:val="0071714D"/>
    <w:rsid w:val="00717F5B"/>
    <w:rsid w:val="007200A7"/>
    <w:rsid w:val="00720A63"/>
    <w:rsid w:val="00721659"/>
    <w:rsid w:val="00721879"/>
    <w:rsid w:val="00721D96"/>
    <w:rsid w:val="00722923"/>
    <w:rsid w:val="0072400C"/>
    <w:rsid w:val="00724012"/>
    <w:rsid w:val="0072636A"/>
    <w:rsid w:val="007267B9"/>
    <w:rsid w:val="00727242"/>
    <w:rsid w:val="007272E6"/>
    <w:rsid w:val="007274A7"/>
    <w:rsid w:val="00730B8E"/>
    <w:rsid w:val="00731308"/>
    <w:rsid w:val="00731C77"/>
    <w:rsid w:val="00732A09"/>
    <w:rsid w:val="00732E96"/>
    <w:rsid w:val="00736415"/>
    <w:rsid w:val="00736AD9"/>
    <w:rsid w:val="0073735F"/>
    <w:rsid w:val="007402B1"/>
    <w:rsid w:val="00740EA8"/>
    <w:rsid w:val="00741C6B"/>
    <w:rsid w:val="00742468"/>
    <w:rsid w:val="007424AC"/>
    <w:rsid w:val="00742957"/>
    <w:rsid w:val="00742995"/>
    <w:rsid w:val="0074489D"/>
    <w:rsid w:val="0074514B"/>
    <w:rsid w:val="007456DC"/>
    <w:rsid w:val="00745F83"/>
    <w:rsid w:val="007460DB"/>
    <w:rsid w:val="00746722"/>
    <w:rsid w:val="00746810"/>
    <w:rsid w:val="00746BC1"/>
    <w:rsid w:val="0074791C"/>
    <w:rsid w:val="0075085B"/>
    <w:rsid w:val="00750AF6"/>
    <w:rsid w:val="0075179F"/>
    <w:rsid w:val="00751A86"/>
    <w:rsid w:val="00752800"/>
    <w:rsid w:val="00752D36"/>
    <w:rsid w:val="00753427"/>
    <w:rsid w:val="00753B6A"/>
    <w:rsid w:val="0075416B"/>
    <w:rsid w:val="00754261"/>
    <w:rsid w:val="00754C10"/>
    <w:rsid w:val="007551F4"/>
    <w:rsid w:val="007562AD"/>
    <w:rsid w:val="00757CF0"/>
    <w:rsid w:val="007605C0"/>
    <w:rsid w:val="00760E25"/>
    <w:rsid w:val="00761F77"/>
    <w:rsid w:val="00763B53"/>
    <w:rsid w:val="007647C3"/>
    <w:rsid w:val="00765C42"/>
    <w:rsid w:val="00765F1B"/>
    <w:rsid w:val="00766201"/>
    <w:rsid w:val="0076772E"/>
    <w:rsid w:val="007700AF"/>
    <w:rsid w:val="0077094B"/>
    <w:rsid w:val="00770D5C"/>
    <w:rsid w:val="00771B7B"/>
    <w:rsid w:val="007720EE"/>
    <w:rsid w:val="007727B7"/>
    <w:rsid w:val="00772D4D"/>
    <w:rsid w:val="007738AC"/>
    <w:rsid w:val="00773CCB"/>
    <w:rsid w:val="0077423A"/>
    <w:rsid w:val="00774A10"/>
    <w:rsid w:val="00774ED8"/>
    <w:rsid w:val="00776E35"/>
    <w:rsid w:val="00780E20"/>
    <w:rsid w:val="0078178B"/>
    <w:rsid w:val="0078187B"/>
    <w:rsid w:val="007818AB"/>
    <w:rsid w:val="00781CA3"/>
    <w:rsid w:val="00782FDA"/>
    <w:rsid w:val="00785399"/>
    <w:rsid w:val="00785B79"/>
    <w:rsid w:val="00786406"/>
    <w:rsid w:val="00787B80"/>
    <w:rsid w:val="00790145"/>
    <w:rsid w:val="00791C99"/>
    <w:rsid w:val="00791D95"/>
    <w:rsid w:val="00792440"/>
    <w:rsid w:val="00792AB5"/>
    <w:rsid w:val="00793B5F"/>
    <w:rsid w:val="00793CC7"/>
    <w:rsid w:val="0079472F"/>
    <w:rsid w:val="007948F2"/>
    <w:rsid w:val="007949E3"/>
    <w:rsid w:val="00794B5D"/>
    <w:rsid w:val="00794E1C"/>
    <w:rsid w:val="00795A2F"/>
    <w:rsid w:val="00795DA3"/>
    <w:rsid w:val="0079638E"/>
    <w:rsid w:val="00796D74"/>
    <w:rsid w:val="00797036"/>
    <w:rsid w:val="00797F04"/>
    <w:rsid w:val="007A0167"/>
    <w:rsid w:val="007A1E14"/>
    <w:rsid w:val="007A3904"/>
    <w:rsid w:val="007A57F4"/>
    <w:rsid w:val="007B31B6"/>
    <w:rsid w:val="007B3529"/>
    <w:rsid w:val="007B5211"/>
    <w:rsid w:val="007C0787"/>
    <w:rsid w:val="007C07C5"/>
    <w:rsid w:val="007C2D6B"/>
    <w:rsid w:val="007C3321"/>
    <w:rsid w:val="007C3593"/>
    <w:rsid w:val="007C4447"/>
    <w:rsid w:val="007C7E90"/>
    <w:rsid w:val="007D03DC"/>
    <w:rsid w:val="007D0DD1"/>
    <w:rsid w:val="007D114B"/>
    <w:rsid w:val="007D135C"/>
    <w:rsid w:val="007D2670"/>
    <w:rsid w:val="007D291E"/>
    <w:rsid w:val="007D2AA2"/>
    <w:rsid w:val="007D31F4"/>
    <w:rsid w:val="007D4275"/>
    <w:rsid w:val="007D4396"/>
    <w:rsid w:val="007D459C"/>
    <w:rsid w:val="007D4B5F"/>
    <w:rsid w:val="007D5306"/>
    <w:rsid w:val="007D5D0A"/>
    <w:rsid w:val="007D64BB"/>
    <w:rsid w:val="007D78A9"/>
    <w:rsid w:val="007E06C0"/>
    <w:rsid w:val="007E0816"/>
    <w:rsid w:val="007E0BBB"/>
    <w:rsid w:val="007E0F60"/>
    <w:rsid w:val="007E134F"/>
    <w:rsid w:val="007E170F"/>
    <w:rsid w:val="007E2573"/>
    <w:rsid w:val="007E3168"/>
    <w:rsid w:val="007E3E7F"/>
    <w:rsid w:val="007E47DD"/>
    <w:rsid w:val="007E6BCE"/>
    <w:rsid w:val="007E6DF2"/>
    <w:rsid w:val="007E6F14"/>
    <w:rsid w:val="007E7B20"/>
    <w:rsid w:val="007F00D3"/>
    <w:rsid w:val="007F087E"/>
    <w:rsid w:val="007F0D28"/>
    <w:rsid w:val="007F0D84"/>
    <w:rsid w:val="007F15F7"/>
    <w:rsid w:val="007F16A2"/>
    <w:rsid w:val="007F2174"/>
    <w:rsid w:val="007F2384"/>
    <w:rsid w:val="007F2A89"/>
    <w:rsid w:val="007F2E18"/>
    <w:rsid w:val="007F330A"/>
    <w:rsid w:val="007F435F"/>
    <w:rsid w:val="007F556F"/>
    <w:rsid w:val="007F58F1"/>
    <w:rsid w:val="007F67C6"/>
    <w:rsid w:val="007F76AD"/>
    <w:rsid w:val="007F7E76"/>
    <w:rsid w:val="00800AE3"/>
    <w:rsid w:val="00801B7A"/>
    <w:rsid w:val="00802367"/>
    <w:rsid w:val="0080274C"/>
    <w:rsid w:val="00802AF7"/>
    <w:rsid w:val="008030CD"/>
    <w:rsid w:val="008031D6"/>
    <w:rsid w:val="008038C5"/>
    <w:rsid w:val="00805F7C"/>
    <w:rsid w:val="00806324"/>
    <w:rsid w:val="00806DD0"/>
    <w:rsid w:val="00807BBA"/>
    <w:rsid w:val="00810910"/>
    <w:rsid w:val="00810E69"/>
    <w:rsid w:val="0081158D"/>
    <w:rsid w:val="00811B34"/>
    <w:rsid w:val="00811B49"/>
    <w:rsid w:val="00811CDA"/>
    <w:rsid w:val="008140C2"/>
    <w:rsid w:val="00814D3F"/>
    <w:rsid w:val="008157C9"/>
    <w:rsid w:val="008169EC"/>
    <w:rsid w:val="0082010F"/>
    <w:rsid w:val="008212B0"/>
    <w:rsid w:val="00821A37"/>
    <w:rsid w:val="00821C94"/>
    <w:rsid w:val="00822E71"/>
    <w:rsid w:val="00822F86"/>
    <w:rsid w:val="00824BEE"/>
    <w:rsid w:val="00825193"/>
    <w:rsid w:val="00825C09"/>
    <w:rsid w:val="00826076"/>
    <w:rsid w:val="00826273"/>
    <w:rsid w:val="00826FD1"/>
    <w:rsid w:val="008275E5"/>
    <w:rsid w:val="00827D46"/>
    <w:rsid w:val="0083038A"/>
    <w:rsid w:val="0083066E"/>
    <w:rsid w:val="00830E2A"/>
    <w:rsid w:val="008314D7"/>
    <w:rsid w:val="00831C5E"/>
    <w:rsid w:val="00832654"/>
    <w:rsid w:val="00832685"/>
    <w:rsid w:val="008331AD"/>
    <w:rsid w:val="008338B9"/>
    <w:rsid w:val="008350EE"/>
    <w:rsid w:val="0083618B"/>
    <w:rsid w:val="008367AC"/>
    <w:rsid w:val="00837647"/>
    <w:rsid w:val="008405A0"/>
    <w:rsid w:val="00840A6E"/>
    <w:rsid w:val="00841454"/>
    <w:rsid w:val="008429E8"/>
    <w:rsid w:val="00843690"/>
    <w:rsid w:val="00843DF6"/>
    <w:rsid w:val="00845BBE"/>
    <w:rsid w:val="00847378"/>
    <w:rsid w:val="00847AAF"/>
    <w:rsid w:val="00850E12"/>
    <w:rsid w:val="00851487"/>
    <w:rsid w:val="008524D0"/>
    <w:rsid w:val="00852878"/>
    <w:rsid w:val="00853046"/>
    <w:rsid w:val="008535EF"/>
    <w:rsid w:val="008549CE"/>
    <w:rsid w:val="0085624B"/>
    <w:rsid w:val="0085647C"/>
    <w:rsid w:val="00860B63"/>
    <w:rsid w:val="00860DE8"/>
    <w:rsid w:val="008615C4"/>
    <w:rsid w:val="008620C5"/>
    <w:rsid w:val="008634DC"/>
    <w:rsid w:val="00863940"/>
    <w:rsid w:val="00864BA0"/>
    <w:rsid w:val="00864DC6"/>
    <w:rsid w:val="008655DD"/>
    <w:rsid w:val="00867B02"/>
    <w:rsid w:val="00870187"/>
    <w:rsid w:val="008708A1"/>
    <w:rsid w:val="008715B0"/>
    <w:rsid w:val="008731E1"/>
    <w:rsid w:val="008736DF"/>
    <w:rsid w:val="008741DB"/>
    <w:rsid w:val="00874B7D"/>
    <w:rsid w:val="00874D0D"/>
    <w:rsid w:val="00875CD1"/>
    <w:rsid w:val="00875E52"/>
    <w:rsid w:val="00875F60"/>
    <w:rsid w:val="008762A0"/>
    <w:rsid w:val="00876D7B"/>
    <w:rsid w:val="0087711E"/>
    <w:rsid w:val="0088091A"/>
    <w:rsid w:val="00880B4D"/>
    <w:rsid w:val="0088128E"/>
    <w:rsid w:val="008813F4"/>
    <w:rsid w:val="00881DC7"/>
    <w:rsid w:val="00881E5F"/>
    <w:rsid w:val="008829A4"/>
    <w:rsid w:val="008836DC"/>
    <w:rsid w:val="00883D5B"/>
    <w:rsid w:val="00883FCB"/>
    <w:rsid w:val="0088450B"/>
    <w:rsid w:val="008860BD"/>
    <w:rsid w:val="00886AB3"/>
    <w:rsid w:val="00886F6C"/>
    <w:rsid w:val="008874F5"/>
    <w:rsid w:val="0088790E"/>
    <w:rsid w:val="00887B21"/>
    <w:rsid w:val="00890C94"/>
    <w:rsid w:val="00891B74"/>
    <w:rsid w:val="00892DE9"/>
    <w:rsid w:val="00893E28"/>
    <w:rsid w:val="00894DA5"/>
    <w:rsid w:val="0089503E"/>
    <w:rsid w:val="00895093"/>
    <w:rsid w:val="008959B9"/>
    <w:rsid w:val="00895F6F"/>
    <w:rsid w:val="00896BB6"/>
    <w:rsid w:val="008A0BF5"/>
    <w:rsid w:val="008A198C"/>
    <w:rsid w:val="008A2046"/>
    <w:rsid w:val="008A2455"/>
    <w:rsid w:val="008A2A2F"/>
    <w:rsid w:val="008A3652"/>
    <w:rsid w:val="008A6D95"/>
    <w:rsid w:val="008A6EC0"/>
    <w:rsid w:val="008B0290"/>
    <w:rsid w:val="008B09D3"/>
    <w:rsid w:val="008B1171"/>
    <w:rsid w:val="008B3BFA"/>
    <w:rsid w:val="008B48E2"/>
    <w:rsid w:val="008B5152"/>
    <w:rsid w:val="008B5EA0"/>
    <w:rsid w:val="008B6EE1"/>
    <w:rsid w:val="008B7356"/>
    <w:rsid w:val="008B7E27"/>
    <w:rsid w:val="008C036E"/>
    <w:rsid w:val="008C0796"/>
    <w:rsid w:val="008C0AEC"/>
    <w:rsid w:val="008C0CA5"/>
    <w:rsid w:val="008C0CB4"/>
    <w:rsid w:val="008C11BE"/>
    <w:rsid w:val="008C12A2"/>
    <w:rsid w:val="008C18C1"/>
    <w:rsid w:val="008C1CF5"/>
    <w:rsid w:val="008C3BD0"/>
    <w:rsid w:val="008C3CE8"/>
    <w:rsid w:val="008C3DC9"/>
    <w:rsid w:val="008C4B38"/>
    <w:rsid w:val="008C6470"/>
    <w:rsid w:val="008C670E"/>
    <w:rsid w:val="008C7465"/>
    <w:rsid w:val="008D00A6"/>
    <w:rsid w:val="008D10DE"/>
    <w:rsid w:val="008D2C9C"/>
    <w:rsid w:val="008D3DE9"/>
    <w:rsid w:val="008D444C"/>
    <w:rsid w:val="008D54FE"/>
    <w:rsid w:val="008D639A"/>
    <w:rsid w:val="008D6ABD"/>
    <w:rsid w:val="008D6B9D"/>
    <w:rsid w:val="008D7826"/>
    <w:rsid w:val="008E0AC9"/>
    <w:rsid w:val="008E0E0E"/>
    <w:rsid w:val="008E10BE"/>
    <w:rsid w:val="008E1227"/>
    <w:rsid w:val="008E212A"/>
    <w:rsid w:val="008E23C2"/>
    <w:rsid w:val="008E2A16"/>
    <w:rsid w:val="008E3205"/>
    <w:rsid w:val="008E328D"/>
    <w:rsid w:val="008E383F"/>
    <w:rsid w:val="008E4FE2"/>
    <w:rsid w:val="008E5190"/>
    <w:rsid w:val="008E5F4E"/>
    <w:rsid w:val="008E5F8B"/>
    <w:rsid w:val="008E79DB"/>
    <w:rsid w:val="008F1975"/>
    <w:rsid w:val="008F199D"/>
    <w:rsid w:val="008F1CB0"/>
    <w:rsid w:val="008F1D0A"/>
    <w:rsid w:val="008F1EF7"/>
    <w:rsid w:val="008F25E8"/>
    <w:rsid w:val="008F3933"/>
    <w:rsid w:val="008F405E"/>
    <w:rsid w:val="008F663E"/>
    <w:rsid w:val="008F6AB1"/>
    <w:rsid w:val="008F7791"/>
    <w:rsid w:val="00900EA0"/>
    <w:rsid w:val="00901B7F"/>
    <w:rsid w:val="009022ED"/>
    <w:rsid w:val="00902891"/>
    <w:rsid w:val="00903118"/>
    <w:rsid w:val="009031A2"/>
    <w:rsid w:val="0090367E"/>
    <w:rsid w:val="00903E49"/>
    <w:rsid w:val="00903EBB"/>
    <w:rsid w:val="009046F9"/>
    <w:rsid w:val="00904EB4"/>
    <w:rsid w:val="00904EBC"/>
    <w:rsid w:val="0090578F"/>
    <w:rsid w:val="00906027"/>
    <w:rsid w:val="009066D0"/>
    <w:rsid w:val="00906AFE"/>
    <w:rsid w:val="009110F8"/>
    <w:rsid w:val="009114AF"/>
    <w:rsid w:val="00911883"/>
    <w:rsid w:val="0091399B"/>
    <w:rsid w:val="0091453E"/>
    <w:rsid w:val="00915485"/>
    <w:rsid w:val="00915C4E"/>
    <w:rsid w:val="00915EB8"/>
    <w:rsid w:val="00916A2C"/>
    <w:rsid w:val="00916ADD"/>
    <w:rsid w:val="009177C9"/>
    <w:rsid w:val="00917932"/>
    <w:rsid w:val="009207D3"/>
    <w:rsid w:val="00921023"/>
    <w:rsid w:val="00921C9B"/>
    <w:rsid w:val="00921E9F"/>
    <w:rsid w:val="0092229A"/>
    <w:rsid w:val="00923DCD"/>
    <w:rsid w:val="00923ECA"/>
    <w:rsid w:val="009249E5"/>
    <w:rsid w:val="00924DDF"/>
    <w:rsid w:val="00925D18"/>
    <w:rsid w:val="00927AA9"/>
    <w:rsid w:val="00927B5B"/>
    <w:rsid w:val="00930D55"/>
    <w:rsid w:val="00932F5A"/>
    <w:rsid w:val="00933610"/>
    <w:rsid w:val="00933B07"/>
    <w:rsid w:val="00934561"/>
    <w:rsid w:val="009358CE"/>
    <w:rsid w:val="00941C63"/>
    <w:rsid w:val="0094406C"/>
    <w:rsid w:val="00944F28"/>
    <w:rsid w:val="009459A6"/>
    <w:rsid w:val="00945FB7"/>
    <w:rsid w:val="00946CC3"/>
    <w:rsid w:val="00947A7A"/>
    <w:rsid w:val="009523E9"/>
    <w:rsid w:val="009539C8"/>
    <w:rsid w:val="00953BD4"/>
    <w:rsid w:val="00953DE1"/>
    <w:rsid w:val="00954C4D"/>
    <w:rsid w:val="00954C6C"/>
    <w:rsid w:val="00955259"/>
    <w:rsid w:val="00955D18"/>
    <w:rsid w:val="00956AC9"/>
    <w:rsid w:val="00960E94"/>
    <w:rsid w:val="009619CC"/>
    <w:rsid w:val="009628CB"/>
    <w:rsid w:val="00962AB9"/>
    <w:rsid w:val="00963089"/>
    <w:rsid w:val="0096362C"/>
    <w:rsid w:val="00963FE9"/>
    <w:rsid w:val="009650BD"/>
    <w:rsid w:val="00965DFD"/>
    <w:rsid w:val="00966084"/>
    <w:rsid w:val="009661A6"/>
    <w:rsid w:val="00966E9D"/>
    <w:rsid w:val="00967A30"/>
    <w:rsid w:val="00967E69"/>
    <w:rsid w:val="00973A8E"/>
    <w:rsid w:val="00974757"/>
    <w:rsid w:val="00974AD2"/>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97A"/>
    <w:rsid w:val="00985DF1"/>
    <w:rsid w:val="00985E4A"/>
    <w:rsid w:val="009860AD"/>
    <w:rsid w:val="009867C1"/>
    <w:rsid w:val="009871E1"/>
    <w:rsid w:val="00987EAE"/>
    <w:rsid w:val="0099016F"/>
    <w:rsid w:val="00990F40"/>
    <w:rsid w:val="00991B1C"/>
    <w:rsid w:val="00992591"/>
    <w:rsid w:val="00992739"/>
    <w:rsid w:val="00993A83"/>
    <w:rsid w:val="0099413E"/>
    <w:rsid w:val="009941C8"/>
    <w:rsid w:val="0099424C"/>
    <w:rsid w:val="00994BA0"/>
    <w:rsid w:val="009952BF"/>
    <w:rsid w:val="0099587F"/>
    <w:rsid w:val="00995B30"/>
    <w:rsid w:val="009967CB"/>
    <w:rsid w:val="009A0B29"/>
    <w:rsid w:val="009A0DEA"/>
    <w:rsid w:val="009A1A95"/>
    <w:rsid w:val="009A1F1D"/>
    <w:rsid w:val="009A24AD"/>
    <w:rsid w:val="009A253D"/>
    <w:rsid w:val="009A26C1"/>
    <w:rsid w:val="009A288E"/>
    <w:rsid w:val="009A495E"/>
    <w:rsid w:val="009A51F0"/>
    <w:rsid w:val="009A791D"/>
    <w:rsid w:val="009A7FA8"/>
    <w:rsid w:val="009B0BC4"/>
    <w:rsid w:val="009B0BC8"/>
    <w:rsid w:val="009B10FF"/>
    <w:rsid w:val="009B3504"/>
    <w:rsid w:val="009B4402"/>
    <w:rsid w:val="009B5536"/>
    <w:rsid w:val="009B5A72"/>
    <w:rsid w:val="009C1289"/>
    <w:rsid w:val="009C48A3"/>
    <w:rsid w:val="009C4B4E"/>
    <w:rsid w:val="009C6421"/>
    <w:rsid w:val="009C6F8B"/>
    <w:rsid w:val="009C7881"/>
    <w:rsid w:val="009D0DE4"/>
    <w:rsid w:val="009D18FF"/>
    <w:rsid w:val="009D234D"/>
    <w:rsid w:val="009D383A"/>
    <w:rsid w:val="009D3AE0"/>
    <w:rsid w:val="009D5BAA"/>
    <w:rsid w:val="009D6AF9"/>
    <w:rsid w:val="009D77ED"/>
    <w:rsid w:val="009E094D"/>
    <w:rsid w:val="009E0B58"/>
    <w:rsid w:val="009E0DB0"/>
    <w:rsid w:val="009E15A0"/>
    <w:rsid w:val="009E1A1C"/>
    <w:rsid w:val="009E1DC8"/>
    <w:rsid w:val="009E3B87"/>
    <w:rsid w:val="009E3FEB"/>
    <w:rsid w:val="009E46E9"/>
    <w:rsid w:val="009E5563"/>
    <w:rsid w:val="009E5586"/>
    <w:rsid w:val="009E5C1F"/>
    <w:rsid w:val="009E6BE9"/>
    <w:rsid w:val="009E7175"/>
    <w:rsid w:val="009F01E3"/>
    <w:rsid w:val="009F02EC"/>
    <w:rsid w:val="009F036B"/>
    <w:rsid w:val="009F05CF"/>
    <w:rsid w:val="009F09F1"/>
    <w:rsid w:val="009F1077"/>
    <w:rsid w:val="009F40CA"/>
    <w:rsid w:val="009F40D9"/>
    <w:rsid w:val="009F4267"/>
    <w:rsid w:val="009F475D"/>
    <w:rsid w:val="009F4BE9"/>
    <w:rsid w:val="009F58A3"/>
    <w:rsid w:val="009F76F3"/>
    <w:rsid w:val="009F7736"/>
    <w:rsid w:val="00A0080F"/>
    <w:rsid w:val="00A0181D"/>
    <w:rsid w:val="00A02081"/>
    <w:rsid w:val="00A02258"/>
    <w:rsid w:val="00A02AB3"/>
    <w:rsid w:val="00A04281"/>
    <w:rsid w:val="00A0447D"/>
    <w:rsid w:val="00A04E10"/>
    <w:rsid w:val="00A05234"/>
    <w:rsid w:val="00A05870"/>
    <w:rsid w:val="00A0670F"/>
    <w:rsid w:val="00A07E52"/>
    <w:rsid w:val="00A100FF"/>
    <w:rsid w:val="00A108CC"/>
    <w:rsid w:val="00A1092B"/>
    <w:rsid w:val="00A11345"/>
    <w:rsid w:val="00A11D42"/>
    <w:rsid w:val="00A12A28"/>
    <w:rsid w:val="00A134D8"/>
    <w:rsid w:val="00A14950"/>
    <w:rsid w:val="00A16EE4"/>
    <w:rsid w:val="00A1766C"/>
    <w:rsid w:val="00A17F1A"/>
    <w:rsid w:val="00A2140A"/>
    <w:rsid w:val="00A219E7"/>
    <w:rsid w:val="00A21D98"/>
    <w:rsid w:val="00A22001"/>
    <w:rsid w:val="00A221D0"/>
    <w:rsid w:val="00A222A7"/>
    <w:rsid w:val="00A244AE"/>
    <w:rsid w:val="00A244B5"/>
    <w:rsid w:val="00A24AFA"/>
    <w:rsid w:val="00A25130"/>
    <w:rsid w:val="00A25446"/>
    <w:rsid w:val="00A25D87"/>
    <w:rsid w:val="00A26386"/>
    <w:rsid w:val="00A31462"/>
    <w:rsid w:val="00A31921"/>
    <w:rsid w:val="00A32152"/>
    <w:rsid w:val="00A34ED8"/>
    <w:rsid w:val="00A35017"/>
    <w:rsid w:val="00A35333"/>
    <w:rsid w:val="00A353BC"/>
    <w:rsid w:val="00A355C7"/>
    <w:rsid w:val="00A35A58"/>
    <w:rsid w:val="00A36171"/>
    <w:rsid w:val="00A36716"/>
    <w:rsid w:val="00A36A65"/>
    <w:rsid w:val="00A36BDD"/>
    <w:rsid w:val="00A372EE"/>
    <w:rsid w:val="00A4018D"/>
    <w:rsid w:val="00A429DA"/>
    <w:rsid w:val="00A43163"/>
    <w:rsid w:val="00A43397"/>
    <w:rsid w:val="00A434D5"/>
    <w:rsid w:val="00A4405B"/>
    <w:rsid w:val="00A44AE9"/>
    <w:rsid w:val="00A45CD8"/>
    <w:rsid w:val="00A45EE9"/>
    <w:rsid w:val="00A46815"/>
    <w:rsid w:val="00A51CAA"/>
    <w:rsid w:val="00A53343"/>
    <w:rsid w:val="00A54ACB"/>
    <w:rsid w:val="00A55ABB"/>
    <w:rsid w:val="00A56055"/>
    <w:rsid w:val="00A56B6D"/>
    <w:rsid w:val="00A57F27"/>
    <w:rsid w:val="00A60027"/>
    <w:rsid w:val="00A61E8F"/>
    <w:rsid w:val="00A62004"/>
    <w:rsid w:val="00A6266F"/>
    <w:rsid w:val="00A63F16"/>
    <w:rsid w:val="00A64A3B"/>
    <w:rsid w:val="00A65DD2"/>
    <w:rsid w:val="00A66866"/>
    <w:rsid w:val="00A679BC"/>
    <w:rsid w:val="00A70063"/>
    <w:rsid w:val="00A7009D"/>
    <w:rsid w:val="00A7080D"/>
    <w:rsid w:val="00A71703"/>
    <w:rsid w:val="00A71A8D"/>
    <w:rsid w:val="00A71EF4"/>
    <w:rsid w:val="00A7232D"/>
    <w:rsid w:val="00A72D7A"/>
    <w:rsid w:val="00A72E3F"/>
    <w:rsid w:val="00A74327"/>
    <w:rsid w:val="00A7436E"/>
    <w:rsid w:val="00A76812"/>
    <w:rsid w:val="00A76B23"/>
    <w:rsid w:val="00A80AAC"/>
    <w:rsid w:val="00A81584"/>
    <w:rsid w:val="00A81894"/>
    <w:rsid w:val="00A86A1B"/>
    <w:rsid w:val="00A86D47"/>
    <w:rsid w:val="00A91E1F"/>
    <w:rsid w:val="00A92296"/>
    <w:rsid w:val="00A9340A"/>
    <w:rsid w:val="00A944F3"/>
    <w:rsid w:val="00A96E05"/>
    <w:rsid w:val="00A97896"/>
    <w:rsid w:val="00A97E15"/>
    <w:rsid w:val="00AA0BA5"/>
    <w:rsid w:val="00AA164C"/>
    <w:rsid w:val="00AA179C"/>
    <w:rsid w:val="00AA18AE"/>
    <w:rsid w:val="00AA19B0"/>
    <w:rsid w:val="00AA2776"/>
    <w:rsid w:val="00AA3306"/>
    <w:rsid w:val="00AA4125"/>
    <w:rsid w:val="00AA4AA6"/>
    <w:rsid w:val="00AA57F0"/>
    <w:rsid w:val="00AA5DB4"/>
    <w:rsid w:val="00AB16BF"/>
    <w:rsid w:val="00AB1FBE"/>
    <w:rsid w:val="00AB24C8"/>
    <w:rsid w:val="00AB4252"/>
    <w:rsid w:val="00AB508B"/>
    <w:rsid w:val="00AB6734"/>
    <w:rsid w:val="00AB6BE1"/>
    <w:rsid w:val="00AC00CE"/>
    <w:rsid w:val="00AC16E1"/>
    <w:rsid w:val="00AC18F5"/>
    <w:rsid w:val="00AC2599"/>
    <w:rsid w:val="00AC26C3"/>
    <w:rsid w:val="00AC27AB"/>
    <w:rsid w:val="00AC3FF9"/>
    <w:rsid w:val="00AC5086"/>
    <w:rsid w:val="00AC5496"/>
    <w:rsid w:val="00AC6019"/>
    <w:rsid w:val="00AC6F72"/>
    <w:rsid w:val="00AD12EE"/>
    <w:rsid w:val="00AD173D"/>
    <w:rsid w:val="00AD2465"/>
    <w:rsid w:val="00AD442D"/>
    <w:rsid w:val="00AD6554"/>
    <w:rsid w:val="00AD7EE7"/>
    <w:rsid w:val="00AE0A04"/>
    <w:rsid w:val="00AE14F3"/>
    <w:rsid w:val="00AE20D3"/>
    <w:rsid w:val="00AE22F2"/>
    <w:rsid w:val="00AE2392"/>
    <w:rsid w:val="00AE24DF"/>
    <w:rsid w:val="00AE3428"/>
    <w:rsid w:val="00AE46CA"/>
    <w:rsid w:val="00AE52EA"/>
    <w:rsid w:val="00AE5B1E"/>
    <w:rsid w:val="00AE79CA"/>
    <w:rsid w:val="00AF1968"/>
    <w:rsid w:val="00AF310D"/>
    <w:rsid w:val="00AF328F"/>
    <w:rsid w:val="00AF4582"/>
    <w:rsid w:val="00AF4F04"/>
    <w:rsid w:val="00AF6B3D"/>
    <w:rsid w:val="00AF6F3E"/>
    <w:rsid w:val="00AF7639"/>
    <w:rsid w:val="00AF7B73"/>
    <w:rsid w:val="00AF7DE5"/>
    <w:rsid w:val="00B01399"/>
    <w:rsid w:val="00B01C44"/>
    <w:rsid w:val="00B03922"/>
    <w:rsid w:val="00B04ACF"/>
    <w:rsid w:val="00B053C6"/>
    <w:rsid w:val="00B05746"/>
    <w:rsid w:val="00B062B6"/>
    <w:rsid w:val="00B07386"/>
    <w:rsid w:val="00B10030"/>
    <w:rsid w:val="00B104E7"/>
    <w:rsid w:val="00B108E3"/>
    <w:rsid w:val="00B10DE9"/>
    <w:rsid w:val="00B14DAA"/>
    <w:rsid w:val="00B163C8"/>
    <w:rsid w:val="00B16E28"/>
    <w:rsid w:val="00B16E80"/>
    <w:rsid w:val="00B17D6B"/>
    <w:rsid w:val="00B209D1"/>
    <w:rsid w:val="00B227CB"/>
    <w:rsid w:val="00B234E3"/>
    <w:rsid w:val="00B23945"/>
    <w:rsid w:val="00B24A09"/>
    <w:rsid w:val="00B256F0"/>
    <w:rsid w:val="00B26A6C"/>
    <w:rsid w:val="00B274CC"/>
    <w:rsid w:val="00B31E79"/>
    <w:rsid w:val="00B32641"/>
    <w:rsid w:val="00B33A06"/>
    <w:rsid w:val="00B34AF2"/>
    <w:rsid w:val="00B35253"/>
    <w:rsid w:val="00B36427"/>
    <w:rsid w:val="00B40107"/>
    <w:rsid w:val="00B4093A"/>
    <w:rsid w:val="00B40D05"/>
    <w:rsid w:val="00B40DAA"/>
    <w:rsid w:val="00B419F8"/>
    <w:rsid w:val="00B4246E"/>
    <w:rsid w:val="00B43B74"/>
    <w:rsid w:val="00B43C8B"/>
    <w:rsid w:val="00B44286"/>
    <w:rsid w:val="00B44DE2"/>
    <w:rsid w:val="00B461DE"/>
    <w:rsid w:val="00B4742A"/>
    <w:rsid w:val="00B47B47"/>
    <w:rsid w:val="00B50DEE"/>
    <w:rsid w:val="00B50F6E"/>
    <w:rsid w:val="00B52FBD"/>
    <w:rsid w:val="00B53927"/>
    <w:rsid w:val="00B54D58"/>
    <w:rsid w:val="00B55D48"/>
    <w:rsid w:val="00B57DB2"/>
    <w:rsid w:val="00B607BF"/>
    <w:rsid w:val="00B60D9B"/>
    <w:rsid w:val="00B6122B"/>
    <w:rsid w:val="00B61251"/>
    <w:rsid w:val="00B614E6"/>
    <w:rsid w:val="00B6214E"/>
    <w:rsid w:val="00B6342A"/>
    <w:rsid w:val="00B65239"/>
    <w:rsid w:val="00B65A19"/>
    <w:rsid w:val="00B65AF4"/>
    <w:rsid w:val="00B65F77"/>
    <w:rsid w:val="00B71A2B"/>
    <w:rsid w:val="00B72929"/>
    <w:rsid w:val="00B72A61"/>
    <w:rsid w:val="00B7390A"/>
    <w:rsid w:val="00B73A91"/>
    <w:rsid w:val="00B73F92"/>
    <w:rsid w:val="00B75A56"/>
    <w:rsid w:val="00B75A7B"/>
    <w:rsid w:val="00B77130"/>
    <w:rsid w:val="00B77B0A"/>
    <w:rsid w:val="00B77E9D"/>
    <w:rsid w:val="00B77EB1"/>
    <w:rsid w:val="00B811E0"/>
    <w:rsid w:val="00B811EC"/>
    <w:rsid w:val="00B81ED2"/>
    <w:rsid w:val="00B822F3"/>
    <w:rsid w:val="00B82F3D"/>
    <w:rsid w:val="00B83530"/>
    <w:rsid w:val="00B84123"/>
    <w:rsid w:val="00B85972"/>
    <w:rsid w:val="00B87120"/>
    <w:rsid w:val="00B901EB"/>
    <w:rsid w:val="00B920F7"/>
    <w:rsid w:val="00B92979"/>
    <w:rsid w:val="00B929A5"/>
    <w:rsid w:val="00B939A6"/>
    <w:rsid w:val="00B93E80"/>
    <w:rsid w:val="00B94083"/>
    <w:rsid w:val="00B94955"/>
    <w:rsid w:val="00B95DD5"/>
    <w:rsid w:val="00B97A60"/>
    <w:rsid w:val="00B97C33"/>
    <w:rsid w:val="00B97F73"/>
    <w:rsid w:val="00BA020D"/>
    <w:rsid w:val="00BA0A81"/>
    <w:rsid w:val="00BA0C8A"/>
    <w:rsid w:val="00BA1E37"/>
    <w:rsid w:val="00BA4901"/>
    <w:rsid w:val="00BA49CA"/>
    <w:rsid w:val="00BA4C14"/>
    <w:rsid w:val="00BA534E"/>
    <w:rsid w:val="00BA5F2A"/>
    <w:rsid w:val="00BA6C29"/>
    <w:rsid w:val="00BA72BD"/>
    <w:rsid w:val="00BB018A"/>
    <w:rsid w:val="00BB026F"/>
    <w:rsid w:val="00BB087C"/>
    <w:rsid w:val="00BB3FB2"/>
    <w:rsid w:val="00BB4A59"/>
    <w:rsid w:val="00BB5370"/>
    <w:rsid w:val="00BB6031"/>
    <w:rsid w:val="00BB64B0"/>
    <w:rsid w:val="00BB65C4"/>
    <w:rsid w:val="00BB7B9D"/>
    <w:rsid w:val="00BC1694"/>
    <w:rsid w:val="00BC2853"/>
    <w:rsid w:val="00BC33D4"/>
    <w:rsid w:val="00BC4431"/>
    <w:rsid w:val="00BC4B7F"/>
    <w:rsid w:val="00BC5473"/>
    <w:rsid w:val="00BC6E2E"/>
    <w:rsid w:val="00BC7DE7"/>
    <w:rsid w:val="00BD097C"/>
    <w:rsid w:val="00BD2639"/>
    <w:rsid w:val="00BD37E2"/>
    <w:rsid w:val="00BD4CC9"/>
    <w:rsid w:val="00BD4EB5"/>
    <w:rsid w:val="00BD5B6F"/>
    <w:rsid w:val="00BD620F"/>
    <w:rsid w:val="00BE197A"/>
    <w:rsid w:val="00BE1AF0"/>
    <w:rsid w:val="00BE364C"/>
    <w:rsid w:val="00BE37BA"/>
    <w:rsid w:val="00BE4580"/>
    <w:rsid w:val="00BE50AC"/>
    <w:rsid w:val="00BE6F98"/>
    <w:rsid w:val="00BF15FD"/>
    <w:rsid w:val="00BF1785"/>
    <w:rsid w:val="00BF2010"/>
    <w:rsid w:val="00BF2365"/>
    <w:rsid w:val="00BF2E5D"/>
    <w:rsid w:val="00BF384C"/>
    <w:rsid w:val="00BF4496"/>
    <w:rsid w:val="00BF4BCD"/>
    <w:rsid w:val="00BF683B"/>
    <w:rsid w:val="00BF688B"/>
    <w:rsid w:val="00BF69EB"/>
    <w:rsid w:val="00C01120"/>
    <w:rsid w:val="00C01A8A"/>
    <w:rsid w:val="00C0229B"/>
    <w:rsid w:val="00C035C7"/>
    <w:rsid w:val="00C0389C"/>
    <w:rsid w:val="00C04263"/>
    <w:rsid w:val="00C04273"/>
    <w:rsid w:val="00C044F5"/>
    <w:rsid w:val="00C04732"/>
    <w:rsid w:val="00C06017"/>
    <w:rsid w:val="00C06E2C"/>
    <w:rsid w:val="00C07032"/>
    <w:rsid w:val="00C077CE"/>
    <w:rsid w:val="00C07936"/>
    <w:rsid w:val="00C07E13"/>
    <w:rsid w:val="00C1115F"/>
    <w:rsid w:val="00C1160A"/>
    <w:rsid w:val="00C117FF"/>
    <w:rsid w:val="00C11D42"/>
    <w:rsid w:val="00C12328"/>
    <w:rsid w:val="00C12A12"/>
    <w:rsid w:val="00C12B67"/>
    <w:rsid w:val="00C13825"/>
    <w:rsid w:val="00C1391E"/>
    <w:rsid w:val="00C13A7D"/>
    <w:rsid w:val="00C141C9"/>
    <w:rsid w:val="00C144F2"/>
    <w:rsid w:val="00C152A6"/>
    <w:rsid w:val="00C15982"/>
    <w:rsid w:val="00C160D0"/>
    <w:rsid w:val="00C16E14"/>
    <w:rsid w:val="00C201CA"/>
    <w:rsid w:val="00C203E7"/>
    <w:rsid w:val="00C21EFF"/>
    <w:rsid w:val="00C22360"/>
    <w:rsid w:val="00C227AD"/>
    <w:rsid w:val="00C22825"/>
    <w:rsid w:val="00C23BA1"/>
    <w:rsid w:val="00C23DF7"/>
    <w:rsid w:val="00C253D7"/>
    <w:rsid w:val="00C25B4D"/>
    <w:rsid w:val="00C26DEE"/>
    <w:rsid w:val="00C274F6"/>
    <w:rsid w:val="00C27BFD"/>
    <w:rsid w:val="00C303D0"/>
    <w:rsid w:val="00C30474"/>
    <w:rsid w:val="00C3053E"/>
    <w:rsid w:val="00C31597"/>
    <w:rsid w:val="00C363DF"/>
    <w:rsid w:val="00C373A2"/>
    <w:rsid w:val="00C37F29"/>
    <w:rsid w:val="00C4067A"/>
    <w:rsid w:val="00C41BC5"/>
    <w:rsid w:val="00C44FB9"/>
    <w:rsid w:val="00C454C8"/>
    <w:rsid w:val="00C45A67"/>
    <w:rsid w:val="00C460C7"/>
    <w:rsid w:val="00C46454"/>
    <w:rsid w:val="00C47D9F"/>
    <w:rsid w:val="00C5077D"/>
    <w:rsid w:val="00C5106A"/>
    <w:rsid w:val="00C515E0"/>
    <w:rsid w:val="00C5183B"/>
    <w:rsid w:val="00C51A35"/>
    <w:rsid w:val="00C522C9"/>
    <w:rsid w:val="00C540BC"/>
    <w:rsid w:val="00C546D9"/>
    <w:rsid w:val="00C57333"/>
    <w:rsid w:val="00C57A19"/>
    <w:rsid w:val="00C61790"/>
    <w:rsid w:val="00C624F8"/>
    <w:rsid w:val="00C62955"/>
    <w:rsid w:val="00C64256"/>
    <w:rsid w:val="00C64815"/>
    <w:rsid w:val="00C64A18"/>
    <w:rsid w:val="00C64C12"/>
    <w:rsid w:val="00C64DB4"/>
    <w:rsid w:val="00C66947"/>
    <w:rsid w:val="00C67814"/>
    <w:rsid w:val="00C67DF9"/>
    <w:rsid w:val="00C703D4"/>
    <w:rsid w:val="00C7096C"/>
    <w:rsid w:val="00C70A83"/>
    <w:rsid w:val="00C71FF0"/>
    <w:rsid w:val="00C725E7"/>
    <w:rsid w:val="00C726AA"/>
    <w:rsid w:val="00C72F05"/>
    <w:rsid w:val="00C732DD"/>
    <w:rsid w:val="00C73A82"/>
    <w:rsid w:val="00C73BEF"/>
    <w:rsid w:val="00C74BBA"/>
    <w:rsid w:val="00C74EB7"/>
    <w:rsid w:val="00C7512A"/>
    <w:rsid w:val="00C761B3"/>
    <w:rsid w:val="00C7654D"/>
    <w:rsid w:val="00C80F0D"/>
    <w:rsid w:val="00C8222D"/>
    <w:rsid w:val="00C82730"/>
    <w:rsid w:val="00C83322"/>
    <w:rsid w:val="00C835B2"/>
    <w:rsid w:val="00C83E94"/>
    <w:rsid w:val="00C83F1B"/>
    <w:rsid w:val="00C85AC8"/>
    <w:rsid w:val="00C87EFC"/>
    <w:rsid w:val="00C90593"/>
    <w:rsid w:val="00C90ACF"/>
    <w:rsid w:val="00C90C12"/>
    <w:rsid w:val="00C91381"/>
    <w:rsid w:val="00C92ED9"/>
    <w:rsid w:val="00C937E3"/>
    <w:rsid w:val="00C938A2"/>
    <w:rsid w:val="00C94BED"/>
    <w:rsid w:val="00C9647E"/>
    <w:rsid w:val="00C9666D"/>
    <w:rsid w:val="00C97992"/>
    <w:rsid w:val="00C97B34"/>
    <w:rsid w:val="00CA1241"/>
    <w:rsid w:val="00CA18F8"/>
    <w:rsid w:val="00CA1941"/>
    <w:rsid w:val="00CA3753"/>
    <w:rsid w:val="00CA3D9A"/>
    <w:rsid w:val="00CB10E5"/>
    <w:rsid w:val="00CB1363"/>
    <w:rsid w:val="00CB1D32"/>
    <w:rsid w:val="00CB40EE"/>
    <w:rsid w:val="00CB4EF9"/>
    <w:rsid w:val="00CB4F00"/>
    <w:rsid w:val="00CB5CC4"/>
    <w:rsid w:val="00CB6A8A"/>
    <w:rsid w:val="00CB7A79"/>
    <w:rsid w:val="00CC0E6A"/>
    <w:rsid w:val="00CC3544"/>
    <w:rsid w:val="00CC3E39"/>
    <w:rsid w:val="00CC4171"/>
    <w:rsid w:val="00CC4385"/>
    <w:rsid w:val="00CC49A2"/>
    <w:rsid w:val="00CC57DC"/>
    <w:rsid w:val="00CC6783"/>
    <w:rsid w:val="00CC6A15"/>
    <w:rsid w:val="00CC6AD3"/>
    <w:rsid w:val="00CC734B"/>
    <w:rsid w:val="00CD1811"/>
    <w:rsid w:val="00CD2E7B"/>
    <w:rsid w:val="00CD4639"/>
    <w:rsid w:val="00CD5F76"/>
    <w:rsid w:val="00CD6411"/>
    <w:rsid w:val="00CE24C9"/>
    <w:rsid w:val="00CE27BF"/>
    <w:rsid w:val="00CE2C06"/>
    <w:rsid w:val="00CE3E7C"/>
    <w:rsid w:val="00CE4BFB"/>
    <w:rsid w:val="00CE5779"/>
    <w:rsid w:val="00CE5991"/>
    <w:rsid w:val="00CE63B6"/>
    <w:rsid w:val="00CE653A"/>
    <w:rsid w:val="00CF2663"/>
    <w:rsid w:val="00CF35FC"/>
    <w:rsid w:val="00CF3BBF"/>
    <w:rsid w:val="00CF53C8"/>
    <w:rsid w:val="00CF5E85"/>
    <w:rsid w:val="00CF5F66"/>
    <w:rsid w:val="00CF635C"/>
    <w:rsid w:val="00CF63CB"/>
    <w:rsid w:val="00CF7A15"/>
    <w:rsid w:val="00D00275"/>
    <w:rsid w:val="00D00B99"/>
    <w:rsid w:val="00D0129A"/>
    <w:rsid w:val="00D02C24"/>
    <w:rsid w:val="00D033AB"/>
    <w:rsid w:val="00D0410B"/>
    <w:rsid w:val="00D0422F"/>
    <w:rsid w:val="00D046A8"/>
    <w:rsid w:val="00D057E1"/>
    <w:rsid w:val="00D05BB8"/>
    <w:rsid w:val="00D05EB9"/>
    <w:rsid w:val="00D06776"/>
    <w:rsid w:val="00D06A85"/>
    <w:rsid w:val="00D07A8B"/>
    <w:rsid w:val="00D13369"/>
    <w:rsid w:val="00D13F17"/>
    <w:rsid w:val="00D14053"/>
    <w:rsid w:val="00D14D46"/>
    <w:rsid w:val="00D15180"/>
    <w:rsid w:val="00D1518A"/>
    <w:rsid w:val="00D155F5"/>
    <w:rsid w:val="00D15664"/>
    <w:rsid w:val="00D158AD"/>
    <w:rsid w:val="00D160F1"/>
    <w:rsid w:val="00D16179"/>
    <w:rsid w:val="00D16D76"/>
    <w:rsid w:val="00D17D86"/>
    <w:rsid w:val="00D20AB2"/>
    <w:rsid w:val="00D210FE"/>
    <w:rsid w:val="00D215F3"/>
    <w:rsid w:val="00D2288D"/>
    <w:rsid w:val="00D229C6"/>
    <w:rsid w:val="00D23740"/>
    <w:rsid w:val="00D238B9"/>
    <w:rsid w:val="00D23E3E"/>
    <w:rsid w:val="00D27CCC"/>
    <w:rsid w:val="00D30967"/>
    <w:rsid w:val="00D30D29"/>
    <w:rsid w:val="00D32E3B"/>
    <w:rsid w:val="00D33205"/>
    <w:rsid w:val="00D33B62"/>
    <w:rsid w:val="00D341AA"/>
    <w:rsid w:val="00D345E7"/>
    <w:rsid w:val="00D350C8"/>
    <w:rsid w:val="00D354D8"/>
    <w:rsid w:val="00D361A3"/>
    <w:rsid w:val="00D36EFC"/>
    <w:rsid w:val="00D40A15"/>
    <w:rsid w:val="00D40BA4"/>
    <w:rsid w:val="00D40C42"/>
    <w:rsid w:val="00D4141E"/>
    <w:rsid w:val="00D416D2"/>
    <w:rsid w:val="00D4227C"/>
    <w:rsid w:val="00D4404D"/>
    <w:rsid w:val="00D468AB"/>
    <w:rsid w:val="00D478CF"/>
    <w:rsid w:val="00D502B8"/>
    <w:rsid w:val="00D504C3"/>
    <w:rsid w:val="00D508CE"/>
    <w:rsid w:val="00D51474"/>
    <w:rsid w:val="00D51A1E"/>
    <w:rsid w:val="00D538D3"/>
    <w:rsid w:val="00D56136"/>
    <w:rsid w:val="00D56D1A"/>
    <w:rsid w:val="00D57B64"/>
    <w:rsid w:val="00D601FC"/>
    <w:rsid w:val="00D606E2"/>
    <w:rsid w:val="00D61533"/>
    <w:rsid w:val="00D621E6"/>
    <w:rsid w:val="00D62387"/>
    <w:rsid w:val="00D62A5F"/>
    <w:rsid w:val="00D64CA3"/>
    <w:rsid w:val="00D64FE0"/>
    <w:rsid w:val="00D668D4"/>
    <w:rsid w:val="00D67573"/>
    <w:rsid w:val="00D67A5D"/>
    <w:rsid w:val="00D67BBB"/>
    <w:rsid w:val="00D67C7B"/>
    <w:rsid w:val="00D71342"/>
    <w:rsid w:val="00D71803"/>
    <w:rsid w:val="00D71CD2"/>
    <w:rsid w:val="00D72920"/>
    <w:rsid w:val="00D72EB4"/>
    <w:rsid w:val="00D73420"/>
    <w:rsid w:val="00D73B1E"/>
    <w:rsid w:val="00D7472A"/>
    <w:rsid w:val="00D74A5E"/>
    <w:rsid w:val="00D751B0"/>
    <w:rsid w:val="00D805CE"/>
    <w:rsid w:val="00D80E32"/>
    <w:rsid w:val="00D81307"/>
    <w:rsid w:val="00D81C22"/>
    <w:rsid w:val="00D81C7A"/>
    <w:rsid w:val="00D81CB1"/>
    <w:rsid w:val="00D82C94"/>
    <w:rsid w:val="00D82F00"/>
    <w:rsid w:val="00D830A4"/>
    <w:rsid w:val="00D83969"/>
    <w:rsid w:val="00D84D1C"/>
    <w:rsid w:val="00D85439"/>
    <w:rsid w:val="00D86311"/>
    <w:rsid w:val="00D87BF1"/>
    <w:rsid w:val="00D90188"/>
    <w:rsid w:val="00D90700"/>
    <w:rsid w:val="00D90FB6"/>
    <w:rsid w:val="00D916E0"/>
    <w:rsid w:val="00D92D5B"/>
    <w:rsid w:val="00D93206"/>
    <w:rsid w:val="00D94EB7"/>
    <w:rsid w:val="00D95007"/>
    <w:rsid w:val="00D95EAB"/>
    <w:rsid w:val="00D96879"/>
    <w:rsid w:val="00D97E9B"/>
    <w:rsid w:val="00D97EA9"/>
    <w:rsid w:val="00DA0BA0"/>
    <w:rsid w:val="00DA161B"/>
    <w:rsid w:val="00DA21B4"/>
    <w:rsid w:val="00DA2918"/>
    <w:rsid w:val="00DA2D91"/>
    <w:rsid w:val="00DA3474"/>
    <w:rsid w:val="00DA6571"/>
    <w:rsid w:val="00DA6FA1"/>
    <w:rsid w:val="00DB0D67"/>
    <w:rsid w:val="00DB25B9"/>
    <w:rsid w:val="00DB2CC6"/>
    <w:rsid w:val="00DB3936"/>
    <w:rsid w:val="00DB4472"/>
    <w:rsid w:val="00DB4A7C"/>
    <w:rsid w:val="00DB4B5E"/>
    <w:rsid w:val="00DB564E"/>
    <w:rsid w:val="00DB5CCF"/>
    <w:rsid w:val="00DB69D2"/>
    <w:rsid w:val="00DB6DF3"/>
    <w:rsid w:val="00DB6F6A"/>
    <w:rsid w:val="00DB73A9"/>
    <w:rsid w:val="00DC21B2"/>
    <w:rsid w:val="00DC27C5"/>
    <w:rsid w:val="00DC3B90"/>
    <w:rsid w:val="00DC543D"/>
    <w:rsid w:val="00DC7A11"/>
    <w:rsid w:val="00DC7ED7"/>
    <w:rsid w:val="00DC7FAC"/>
    <w:rsid w:val="00DD0491"/>
    <w:rsid w:val="00DD05C4"/>
    <w:rsid w:val="00DD05FE"/>
    <w:rsid w:val="00DD07C9"/>
    <w:rsid w:val="00DD0A86"/>
    <w:rsid w:val="00DD0C2E"/>
    <w:rsid w:val="00DD198E"/>
    <w:rsid w:val="00DD3B4F"/>
    <w:rsid w:val="00DD3CE5"/>
    <w:rsid w:val="00DD4687"/>
    <w:rsid w:val="00DD4A63"/>
    <w:rsid w:val="00DD5011"/>
    <w:rsid w:val="00DD5204"/>
    <w:rsid w:val="00DD5589"/>
    <w:rsid w:val="00DD647C"/>
    <w:rsid w:val="00DD64AF"/>
    <w:rsid w:val="00DD655B"/>
    <w:rsid w:val="00DD6AE4"/>
    <w:rsid w:val="00DD6D5D"/>
    <w:rsid w:val="00DD7879"/>
    <w:rsid w:val="00DD7B37"/>
    <w:rsid w:val="00DD7D2B"/>
    <w:rsid w:val="00DE1B14"/>
    <w:rsid w:val="00DE25EF"/>
    <w:rsid w:val="00DE2903"/>
    <w:rsid w:val="00DE478E"/>
    <w:rsid w:val="00DE47E9"/>
    <w:rsid w:val="00DE4C44"/>
    <w:rsid w:val="00DE4F63"/>
    <w:rsid w:val="00DE59B3"/>
    <w:rsid w:val="00DE6866"/>
    <w:rsid w:val="00DF2441"/>
    <w:rsid w:val="00DF29AB"/>
    <w:rsid w:val="00DF2ED9"/>
    <w:rsid w:val="00DF3D79"/>
    <w:rsid w:val="00DF4971"/>
    <w:rsid w:val="00DF6481"/>
    <w:rsid w:val="00DF76D7"/>
    <w:rsid w:val="00DF776E"/>
    <w:rsid w:val="00DF7C95"/>
    <w:rsid w:val="00E013C8"/>
    <w:rsid w:val="00E01B2D"/>
    <w:rsid w:val="00E03063"/>
    <w:rsid w:val="00E03C2F"/>
    <w:rsid w:val="00E04459"/>
    <w:rsid w:val="00E0490E"/>
    <w:rsid w:val="00E06D7D"/>
    <w:rsid w:val="00E07AE2"/>
    <w:rsid w:val="00E1002C"/>
    <w:rsid w:val="00E112B9"/>
    <w:rsid w:val="00E12477"/>
    <w:rsid w:val="00E1288A"/>
    <w:rsid w:val="00E12B0C"/>
    <w:rsid w:val="00E12CA4"/>
    <w:rsid w:val="00E14BDE"/>
    <w:rsid w:val="00E165E5"/>
    <w:rsid w:val="00E16BDF"/>
    <w:rsid w:val="00E17510"/>
    <w:rsid w:val="00E17B8F"/>
    <w:rsid w:val="00E209D8"/>
    <w:rsid w:val="00E2126D"/>
    <w:rsid w:val="00E21B91"/>
    <w:rsid w:val="00E21BCC"/>
    <w:rsid w:val="00E2242A"/>
    <w:rsid w:val="00E2261E"/>
    <w:rsid w:val="00E226E9"/>
    <w:rsid w:val="00E24D04"/>
    <w:rsid w:val="00E24E8C"/>
    <w:rsid w:val="00E30A3C"/>
    <w:rsid w:val="00E30ADD"/>
    <w:rsid w:val="00E30C86"/>
    <w:rsid w:val="00E32722"/>
    <w:rsid w:val="00E33B33"/>
    <w:rsid w:val="00E34658"/>
    <w:rsid w:val="00E3526B"/>
    <w:rsid w:val="00E35AA3"/>
    <w:rsid w:val="00E37047"/>
    <w:rsid w:val="00E37661"/>
    <w:rsid w:val="00E407DD"/>
    <w:rsid w:val="00E41308"/>
    <w:rsid w:val="00E41633"/>
    <w:rsid w:val="00E417E3"/>
    <w:rsid w:val="00E4346B"/>
    <w:rsid w:val="00E4347A"/>
    <w:rsid w:val="00E435F2"/>
    <w:rsid w:val="00E44AB4"/>
    <w:rsid w:val="00E44B09"/>
    <w:rsid w:val="00E44C79"/>
    <w:rsid w:val="00E45BEF"/>
    <w:rsid w:val="00E46012"/>
    <w:rsid w:val="00E4661C"/>
    <w:rsid w:val="00E46EC4"/>
    <w:rsid w:val="00E50405"/>
    <w:rsid w:val="00E516C1"/>
    <w:rsid w:val="00E51A34"/>
    <w:rsid w:val="00E53230"/>
    <w:rsid w:val="00E53332"/>
    <w:rsid w:val="00E5375C"/>
    <w:rsid w:val="00E53AE5"/>
    <w:rsid w:val="00E53C6B"/>
    <w:rsid w:val="00E54554"/>
    <w:rsid w:val="00E54FA7"/>
    <w:rsid w:val="00E55EF4"/>
    <w:rsid w:val="00E568E7"/>
    <w:rsid w:val="00E5739B"/>
    <w:rsid w:val="00E57F1B"/>
    <w:rsid w:val="00E602DF"/>
    <w:rsid w:val="00E602F0"/>
    <w:rsid w:val="00E6048D"/>
    <w:rsid w:val="00E62608"/>
    <w:rsid w:val="00E631B5"/>
    <w:rsid w:val="00E63E28"/>
    <w:rsid w:val="00E643F2"/>
    <w:rsid w:val="00E6444F"/>
    <w:rsid w:val="00E6466A"/>
    <w:rsid w:val="00E65473"/>
    <w:rsid w:val="00E655A4"/>
    <w:rsid w:val="00E6566F"/>
    <w:rsid w:val="00E66299"/>
    <w:rsid w:val="00E6694D"/>
    <w:rsid w:val="00E66BA2"/>
    <w:rsid w:val="00E67A8B"/>
    <w:rsid w:val="00E701B3"/>
    <w:rsid w:val="00E70827"/>
    <w:rsid w:val="00E70DF7"/>
    <w:rsid w:val="00E71C7E"/>
    <w:rsid w:val="00E72430"/>
    <w:rsid w:val="00E752BD"/>
    <w:rsid w:val="00E75D87"/>
    <w:rsid w:val="00E80D97"/>
    <w:rsid w:val="00E81A13"/>
    <w:rsid w:val="00E82F78"/>
    <w:rsid w:val="00E83647"/>
    <w:rsid w:val="00E83C53"/>
    <w:rsid w:val="00E83F3B"/>
    <w:rsid w:val="00E84AF3"/>
    <w:rsid w:val="00E850CE"/>
    <w:rsid w:val="00E850FE"/>
    <w:rsid w:val="00E855C2"/>
    <w:rsid w:val="00E918FA"/>
    <w:rsid w:val="00E91973"/>
    <w:rsid w:val="00E91BD8"/>
    <w:rsid w:val="00E92596"/>
    <w:rsid w:val="00E94287"/>
    <w:rsid w:val="00E9483D"/>
    <w:rsid w:val="00E9527E"/>
    <w:rsid w:val="00E97693"/>
    <w:rsid w:val="00E97DE3"/>
    <w:rsid w:val="00EA005D"/>
    <w:rsid w:val="00EA0C94"/>
    <w:rsid w:val="00EA0FAF"/>
    <w:rsid w:val="00EA2B80"/>
    <w:rsid w:val="00EA33A4"/>
    <w:rsid w:val="00EA3B47"/>
    <w:rsid w:val="00EA45D8"/>
    <w:rsid w:val="00EA5358"/>
    <w:rsid w:val="00EA5C24"/>
    <w:rsid w:val="00EA5F81"/>
    <w:rsid w:val="00EA6E1D"/>
    <w:rsid w:val="00EA7311"/>
    <w:rsid w:val="00EA7B88"/>
    <w:rsid w:val="00EB44EE"/>
    <w:rsid w:val="00EB509D"/>
    <w:rsid w:val="00EB6E7A"/>
    <w:rsid w:val="00EC13B7"/>
    <w:rsid w:val="00EC1BD8"/>
    <w:rsid w:val="00EC2AB1"/>
    <w:rsid w:val="00EC423F"/>
    <w:rsid w:val="00EC4C43"/>
    <w:rsid w:val="00EC5F04"/>
    <w:rsid w:val="00EC63E2"/>
    <w:rsid w:val="00EC69E1"/>
    <w:rsid w:val="00EC6D2D"/>
    <w:rsid w:val="00EC713A"/>
    <w:rsid w:val="00EC7796"/>
    <w:rsid w:val="00EC7FB1"/>
    <w:rsid w:val="00ED0F60"/>
    <w:rsid w:val="00ED143E"/>
    <w:rsid w:val="00ED2941"/>
    <w:rsid w:val="00ED65ED"/>
    <w:rsid w:val="00ED6A60"/>
    <w:rsid w:val="00ED6FD4"/>
    <w:rsid w:val="00ED70E2"/>
    <w:rsid w:val="00ED7F77"/>
    <w:rsid w:val="00EE140B"/>
    <w:rsid w:val="00EE25F5"/>
    <w:rsid w:val="00EE278E"/>
    <w:rsid w:val="00EE3AEB"/>
    <w:rsid w:val="00EE4363"/>
    <w:rsid w:val="00EE4976"/>
    <w:rsid w:val="00EE5CC0"/>
    <w:rsid w:val="00EE5E88"/>
    <w:rsid w:val="00EE74E4"/>
    <w:rsid w:val="00EF0733"/>
    <w:rsid w:val="00EF0FE0"/>
    <w:rsid w:val="00EF1FF3"/>
    <w:rsid w:val="00EF2BED"/>
    <w:rsid w:val="00EF53DD"/>
    <w:rsid w:val="00EF5987"/>
    <w:rsid w:val="00EF5BA6"/>
    <w:rsid w:val="00EF64A8"/>
    <w:rsid w:val="00EF65C5"/>
    <w:rsid w:val="00EF6BEA"/>
    <w:rsid w:val="00F00D87"/>
    <w:rsid w:val="00F01448"/>
    <w:rsid w:val="00F01EBA"/>
    <w:rsid w:val="00F024B3"/>
    <w:rsid w:val="00F02CF8"/>
    <w:rsid w:val="00F03DDA"/>
    <w:rsid w:val="00F046C3"/>
    <w:rsid w:val="00F04B25"/>
    <w:rsid w:val="00F04D10"/>
    <w:rsid w:val="00F051B3"/>
    <w:rsid w:val="00F06136"/>
    <w:rsid w:val="00F06C78"/>
    <w:rsid w:val="00F07D69"/>
    <w:rsid w:val="00F1063D"/>
    <w:rsid w:val="00F11602"/>
    <w:rsid w:val="00F139A5"/>
    <w:rsid w:val="00F13AE7"/>
    <w:rsid w:val="00F153E0"/>
    <w:rsid w:val="00F1658B"/>
    <w:rsid w:val="00F17107"/>
    <w:rsid w:val="00F215A9"/>
    <w:rsid w:val="00F21A6E"/>
    <w:rsid w:val="00F2226F"/>
    <w:rsid w:val="00F2269F"/>
    <w:rsid w:val="00F226CE"/>
    <w:rsid w:val="00F23BB1"/>
    <w:rsid w:val="00F24CCC"/>
    <w:rsid w:val="00F25C93"/>
    <w:rsid w:val="00F27DB8"/>
    <w:rsid w:val="00F3080D"/>
    <w:rsid w:val="00F31ACB"/>
    <w:rsid w:val="00F327D7"/>
    <w:rsid w:val="00F327DB"/>
    <w:rsid w:val="00F32D1A"/>
    <w:rsid w:val="00F32EE8"/>
    <w:rsid w:val="00F33BFD"/>
    <w:rsid w:val="00F36F50"/>
    <w:rsid w:val="00F37CCC"/>
    <w:rsid w:val="00F400A9"/>
    <w:rsid w:val="00F410EA"/>
    <w:rsid w:val="00F413C3"/>
    <w:rsid w:val="00F42FBF"/>
    <w:rsid w:val="00F433FF"/>
    <w:rsid w:val="00F43CDE"/>
    <w:rsid w:val="00F4434D"/>
    <w:rsid w:val="00F44F7C"/>
    <w:rsid w:val="00F4567B"/>
    <w:rsid w:val="00F47577"/>
    <w:rsid w:val="00F513F7"/>
    <w:rsid w:val="00F5237A"/>
    <w:rsid w:val="00F5294A"/>
    <w:rsid w:val="00F52DC5"/>
    <w:rsid w:val="00F52F91"/>
    <w:rsid w:val="00F533AD"/>
    <w:rsid w:val="00F533C5"/>
    <w:rsid w:val="00F534B9"/>
    <w:rsid w:val="00F56EEB"/>
    <w:rsid w:val="00F56FC3"/>
    <w:rsid w:val="00F5728B"/>
    <w:rsid w:val="00F600F8"/>
    <w:rsid w:val="00F61B63"/>
    <w:rsid w:val="00F61E0A"/>
    <w:rsid w:val="00F62030"/>
    <w:rsid w:val="00F62033"/>
    <w:rsid w:val="00F622A7"/>
    <w:rsid w:val="00F6430A"/>
    <w:rsid w:val="00F649C3"/>
    <w:rsid w:val="00F671B2"/>
    <w:rsid w:val="00F672FE"/>
    <w:rsid w:val="00F673C4"/>
    <w:rsid w:val="00F7022D"/>
    <w:rsid w:val="00F70FF1"/>
    <w:rsid w:val="00F70FFA"/>
    <w:rsid w:val="00F71A9C"/>
    <w:rsid w:val="00F728F6"/>
    <w:rsid w:val="00F73B1E"/>
    <w:rsid w:val="00F74BB3"/>
    <w:rsid w:val="00F75B41"/>
    <w:rsid w:val="00F75E35"/>
    <w:rsid w:val="00F75FB5"/>
    <w:rsid w:val="00F76EFE"/>
    <w:rsid w:val="00F77554"/>
    <w:rsid w:val="00F77C43"/>
    <w:rsid w:val="00F80706"/>
    <w:rsid w:val="00F8102D"/>
    <w:rsid w:val="00F81B41"/>
    <w:rsid w:val="00F81E32"/>
    <w:rsid w:val="00F82F52"/>
    <w:rsid w:val="00F83F52"/>
    <w:rsid w:val="00F845D5"/>
    <w:rsid w:val="00F84C0F"/>
    <w:rsid w:val="00F852B3"/>
    <w:rsid w:val="00F86641"/>
    <w:rsid w:val="00F86CE7"/>
    <w:rsid w:val="00F86EB4"/>
    <w:rsid w:val="00F86ED1"/>
    <w:rsid w:val="00F87711"/>
    <w:rsid w:val="00F87901"/>
    <w:rsid w:val="00F90E75"/>
    <w:rsid w:val="00F91945"/>
    <w:rsid w:val="00F91D6A"/>
    <w:rsid w:val="00F91FCF"/>
    <w:rsid w:val="00F928CB"/>
    <w:rsid w:val="00F92923"/>
    <w:rsid w:val="00F93161"/>
    <w:rsid w:val="00F93A92"/>
    <w:rsid w:val="00F955CF"/>
    <w:rsid w:val="00F9673A"/>
    <w:rsid w:val="00F97A2D"/>
    <w:rsid w:val="00FA0840"/>
    <w:rsid w:val="00FA08A4"/>
    <w:rsid w:val="00FA0AD4"/>
    <w:rsid w:val="00FA27F5"/>
    <w:rsid w:val="00FA2E43"/>
    <w:rsid w:val="00FA4089"/>
    <w:rsid w:val="00FA63F1"/>
    <w:rsid w:val="00FA65B3"/>
    <w:rsid w:val="00FA681F"/>
    <w:rsid w:val="00FA761D"/>
    <w:rsid w:val="00FA773F"/>
    <w:rsid w:val="00FA799B"/>
    <w:rsid w:val="00FA7B89"/>
    <w:rsid w:val="00FB1153"/>
    <w:rsid w:val="00FB19F4"/>
    <w:rsid w:val="00FB1DF5"/>
    <w:rsid w:val="00FB1F36"/>
    <w:rsid w:val="00FB2462"/>
    <w:rsid w:val="00FB29D6"/>
    <w:rsid w:val="00FB3229"/>
    <w:rsid w:val="00FB40C4"/>
    <w:rsid w:val="00FB4732"/>
    <w:rsid w:val="00FB5355"/>
    <w:rsid w:val="00FB5CC0"/>
    <w:rsid w:val="00FB5F92"/>
    <w:rsid w:val="00FB6FED"/>
    <w:rsid w:val="00FB72FC"/>
    <w:rsid w:val="00FB7E0C"/>
    <w:rsid w:val="00FB7F26"/>
    <w:rsid w:val="00FC0B2C"/>
    <w:rsid w:val="00FC1390"/>
    <w:rsid w:val="00FC3325"/>
    <w:rsid w:val="00FC4239"/>
    <w:rsid w:val="00FC45F0"/>
    <w:rsid w:val="00FC4F4E"/>
    <w:rsid w:val="00FC5610"/>
    <w:rsid w:val="00FD067E"/>
    <w:rsid w:val="00FD126B"/>
    <w:rsid w:val="00FD183E"/>
    <w:rsid w:val="00FD1A59"/>
    <w:rsid w:val="00FD1EF9"/>
    <w:rsid w:val="00FD2974"/>
    <w:rsid w:val="00FD3802"/>
    <w:rsid w:val="00FD5998"/>
    <w:rsid w:val="00FD5BD5"/>
    <w:rsid w:val="00FD6793"/>
    <w:rsid w:val="00FD7243"/>
    <w:rsid w:val="00FD75DA"/>
    <w:rsid w:val="00FD7DA4"/>
    <w:rsid w:val="00FD7E01"/>
    <w:rsid w:val="00FE0210"/>
    <w:rsid w:val="00FE140C"/>
    <w:rsid w:val="00FE15E3"/>
    <w:rsid w:val="00FE16FC"/>
    <w:rsid w:val="00FE21A5"/>
    <w:rsid w:val="00FE2954"/>
    <w:rsid w:val="00FE2B7E"/>
    <w:rsid w:val="00FE33DE"/>
    <w:rsid w:val="00FE3C85"/>
    <w:rsid w:val="00FE5651"/>
    <w:rsid w:val="00FE57C9"/>
    <w:rsid w:val="00FE629F"/>
    <w:rsid w:val="00FE64BB"/>
    <w:rsid w:val="00FE6B66"/>
    <w:rsid w:val="00FE714C"/>
    <w:rsid w:val="00FE7485"/>
    <w:rsid w:val="00FF0753"/>
    <w:rsid w:val="00FF15DA"/>
    <w:rsid w:val="00FF1B46"/>
    <w:rsid w:val="00FF2067"/>
    <w:rsid w:val="00FF27A9"/>
    <w:rsid w:val="00FF3A9F"/>
    <w:rsid w:val="00FF3F13"/>
    <w:rsid w:val="00FF5603"/>
    <w:rsid w:val="00FF573B"/>
    <w:rsid w:val="00FF5A93"/>
    <w:rsid w:val="00FF724D"/>
    <w:rsid w:val="00FF7D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4737"/>
    <o:shapelayout v:ext="edit">
      <o:idmap v:ext="edit" data="1"/>
    </o:shapelayout>
  </w:shapeDefaults>
  <w:decimalSymbol w:val=","/>
  <w:listSeparator w:val=";"/>
  <w14:docId w14:val="082E1D14"/>
  <w14:defaultImageDpi w14:val="96"/>
  <w15:docId w15:val="{9C5E298F-8D34-4A0C-9222-64AAA630732C}"/>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o-RO" w:eastAsia="fr-FR" w:bidi="fr-FR"/>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qFormat="1"/>
    <w:lsdException w:name="annotation text" w:semiHidden="1" w:unhideWhenUsed="1"/>
    <w:lsdException w:name="header" w:locked="1" w:semiHidden="1" w:unhideWhenUsed="1" w:qFormat="1"/>
    <w:lsdException w:name="footer" w:locked="1"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928"/>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976928"/>
    <w:pPr>
      <w:numPr>
        <w:numId w:val="1"/>
      </w:numPr>
      <w:outlineLvl w:val="0"/>
    </w:pPr>
    <w:rPr>
      <w:kern w:val="28"/>
    </w:rPr>
  </w:style>
  <w:style w:type="paragraph" w:styleId="Heading2">
    <w:name w:val="heading 2"/>
    <w:aliases w:val=" Char"/>
    <w:basedOn w:val="Normal"/>
    <w:next w:val="Normal"/>
    <w:link w:val="Heading2Char"/>
    <w:qFormat/>
    <w:rsid w:val="00976928"/>
    <w:pPr>
      <w:numPr>
        <w:ilvl w:val="1"/>
        <w:numId w:val="1"/>
      </w:numPr>
      <w:outlineLvl w:val="1"/>
    </w:pPr>
  </w:style>
  <w:style w:type="paragraph" w:styleId="Heading3">
    <w:name w:val="heading 3"/>
    <w:basedOn w:val="Normal"/>
    <w:next w:val="Normal"/>
    <w:link w:val="Heading3Char"/>
    <w:qFormat/>
    <w:rsid w:val="00976928"/>
    <w:pPr>
      <w:numPr>
        <w:ilvl w:val="2"/>
        <w:numId w:val="1"/>
      </w:numPr>
      <w:outlineLvl w:val="2"/>
    </w:pPr>
  </w:style>
  <w:style w:type="paragraph" w:styleId="Heading4">
    <w:name w:val="heading 4"/>
    <w:basedOn w:val="Normal"/>
    <w:next w:val="Normal"/>
    <w:link w:val="Heading4Char"/>
    <w:qFormat/>
    <w:rsid w:val="00976928"/>
    <w:pPr>
      <w:numPr>
        <w:ilvl w:val="3"/>
        <w:numId w:val="1"/>
      </w:numPr>
      <w:outlineLvl w:val="3"/>
    </w:pPr>
  </w:style>
  <w:style w:type="paragraph" w:styleId="Heading5">
    <w:name w:val="heading 5"/>
    <w:basedOn w:val="Normal"/>
    <w:next w:val="Normal"/>
    <w:link w:val="Heading5Char"/>
    <w:qFormat/>
    <w:rsid w:val="00976928"/>
    <w:pPr>
      <w:numPr>
        <w:ilvl w:val="4"/>
        <w:numId w:val="1"/>
      </w:numPr>
      <w:outlineLvl w:val="4"/>
    </w:pPr>
  </w:style>
  <w:style w:type="paragraph" w:styleId="Heading6">
    <w:name w:val="heading 6"/>
    <w:basedOn w:val="Normal"/>
    <w:next w:val="Normal"/>
    <w:link w:val="Heading6Char"/>
    <w:qFormat/>
    <w:rsid w:val="00976928"/>
    <w:pPr>
      <w:numPr>
        <w:ilvl w:val="5"/>
        <w:numId w:val="1"/>
      </w:numPr>
      <w:outlineLvl w:val="5"/>
    </w:pPr>
  </w:style>
  <w:style w:type="paragraph" w:styleId="Heading7">
    <w:name w:val="heading 7"/>
    <w:basedOn w:val="Normal"/>
    <w:next w:val="Normal"/>
    <w:link w:val="Heading7Char"/>
    <w:qFormat/>
    <w:rsid w:val="00976928"/>
    <w:pPr>
      <w:numPr>
        <w:ilvl w:val="6"/>
        <w:numId w:val="1"/>
      </w:numPr>
      <w:outlineLvl w:val="6"/>
    </w:pPr>
  </w:style>
  <w:style w:type="paragraph" w:styleId="Heading8">
    <w:name w:val="heading 8"/>
    <w:basedOn w:val="Normal"/>
    <w:next w:val="Normal"/>
    <w:link w:val="Heading8Char"/>
    <w:qFormat/>
    <w:rsid w:val="00976928"/>
    <w:pPr>
      <w:numPr>
        <w:ilvl w:val="7"/>
        <w:numId w:val="1"/>
      </w:numPr>
      <w:outlineLvl w:val="7"/>
    </w:pPr>
  </w:style>
  <w:style w:type="paragraph" w:styleId="Heading9">
    <w:name w:val="heading 9"/>
    <w:basedOn w:val="Normal"/>
    <w:next w:val="Normal"/>
    <w:link w:val="Heading9Char"/>
    <w:qFormat/>
    <w:rsid w:val="00976928"/>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ro-RO"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ro-RO"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ro-RO"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ro-RO"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ro-RO"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ro-RO"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ro-RO"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ro-RO"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ro-RO" w:eastAsia="en-US" w:bidi="ar-SA"/>
    </w:rPr>
  </w:style>
  <w:style w:type="paragraph" w:styleId="FootnoteText">
    <w:name w:val="footnote text"/>
    <w:basedOn w:val="Normal"/>
    <w:link w:val="FootnoteTextChar"/>
    <w:qFormat/>
    <w:rsid w:val="00976928"/>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ro-RO" w:eastAsia="en-US" w:bidi="ar-SA"/>
    </w:rPr>
  </w:style>
  <w:style w:type="paragraph" w:styleId="Header">
    <w:name w:val="header"/>
    <w:basedOn w:val="Normal"/>
    <w:link w:val="HeaderChar"/>
    <w:qFormat/>
    <w:rsid w:val="00976928"/>
  </w:style>
  <w:style w:type="character" w:customStyle="1" w:styleId="HeaderChar">
    <w:name w:val="Header Char"/>
    <w:basedOn w:val="DefaultParagraphFont"/>
    <w:link w:val="Header"/>
    <w:locked/>
    <w:rsid w:val="003B283B"/>
    <w:rPr>
      <w:rFonts w:ascii="Times New Roman" w:hAnsi="Times New Roman"/>
      <w:sz w:val="22"/>
      <w:szCs w:val="22"/>
      <w:lang w:val="ro-RO"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uiPriority w:val="99"/>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76928"/>
    <w:rPr>
      <w:rFonts w:ascii="Tahoma" w:hAnsi="Tahoma" w:cs="Tahoma"/>
      <w:sz w:val="16"/>
      <w:szCs w:val="16"/>
      <w:lang w:val="ro-RO" w:eastAsia="en-US" w:bidi="ar-SA"/>
    </w:rPr>
  </w:style>
  <w:style w:type="paragraph" w:styleId="Footer">
    <w:name w:val="footer"/>
    <w:basedOn w:val="Normal"/>
    <w:link w:val="FooterChar"/>
    <w:qFormat/>
    <w:locked/>
    <w:rsid w:val="00976928"/>
  </w:style>
  <w:style w:type="character" w:customStyle="1" w:styleId="FooterChar">
    <w:name w:val="Footer Char"/>
    <w:basedOn w:val="DefaultParagraphFont"/>
    <w:link w:val="Footer"/>
    <w:rsid w:val="0036522E"/>
    <w:rPr>
      <w:rFonts w:ascii="Times New Roman" w:hAnsi="Times New Roman"/>
      <w:sz w:val="22"/>
      <w:szCs w:val="22"/>
      <w:lang w:val="ro-RO" w:eastAsia="en-US" w:bidi="ar-SA"/>
    </w:rPr>
  </w:style>
  <w:style w:type="character" w:styleId="FootnoteReference">
    <w:name w:val="footnote reference"/>
    <w:aliases w:val="SUPERS,Footnote reference number,Footnote symbol,note TESI,-E Fußnotenzeichen,number,Footnote Reference Superscript,Times 10 Point,Exposant 3 Point"/>
    <w:basedOn w:val="DefaultParagraphFont"/>
    <w:unhideWhenUsed/>
    <w:qFormat/>
    <w:locked/>
    <w:rsid w:val="00976928"/>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976928"/>
    <w:pPr>
      <w:ind w:left="720"/>
    </w:pPr>
    <w:rPr>
      <w:i/>
    </w:rPr>
  </w:style>
  <w:style w:type="character" w:customStyle="1" w:styleId="normal--char">
    <w:name w:val="normal--char"/>
    <w:basedOn w:val="DefaultParagraphFont"/>
    <w:rsid w:val="009A288E"/>
  </w:style>
  <w:style w:type="character" w:customStyle="1" w:styleId="Caratterinotaapidipagina">
    <w:name w:val="Caratteri nota a piè di pagina"/>
    <w:qFormat/>
    <w:rsid w:val="00832654"/>
    <w:rPr>
      <w:vertAlign w:val="superscript"/>
    </w:rPr>
  </w:style>
  <w:style w:type="paragraph" w:customStyle="1" w:styleId="Footnote">
    <w:name w:val="Footnote"/>
    <w:qFormat/>
    <w:rsid w:val="00832654"/>
    <w:pPr>
      <w:widowControl w:val="0"/>
      <w:suppressAutoHyphens/>
    </w:pPr>
    <w:rPr>
      <w:rFonts w:eastAsia="TimesNewRomanPSMT"/>
      <w:color w:val="00000A"/>
      <w:lang w:eastAsia="zh-CN" w:bidi="hi-IN"/>
    </w:r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414CA3"/>
    <w:rPr>
      <w:rFonts w:ascii="Times New Roman" w:hAnsi="Times New Roman"/>
      <w:sz w:val="22"/>
      <w:szCs w:val="22"/>
      <w:lang w:val="ro-RO" w:eastAsia="en-US" w:bidi="ar-SA"/>
    </w:rPr>
  </w:style>
  <w:style w:type="paragraph" w:customStyle="1" w:styleId="Bullet0">
    <w:name w:val="Bullet 0"/>
    <w:basedOn w:val="Normal"/>
    <w:rsid w:val="00027A22"/>
    <w:pPr>
      <w:tabs>
        <w:tab w:val="num" w:pos="850"/>
      </w:tabs>
      <w:spacing w:before="120" w:after="120" w:line="240" w:lineRule="auto"/>
      <w:ind w:left="850" w:hanging="850"/>
    </w:pPr>
    <w:rPr>
      <w:snapToGrid w:val="0"/>
      <w:sz w:val="24"/>
      <w:szCs w:val="24"/>
      <w:lang w:eastAsia="en-GB"/>
    </w:rPr>
  </w:style>
  <w:style w:type="character" w:styleId="CommentReference">
    <w:name w:val="annotation reference"/>
    <w:basedOn w:val="DefaultParagraphFont"/>
    <w:rsid w:val="00335FB2"/>
    <w:rPr>
      <w:sz w:val="16"/>
      <w:szCs w:val="16"/>
    </w:rPr>
  </w:style>
  <w:style w:type="paragraph" w:styleId="CommentText">
    <w:name w:val="annotation text"/>
    <w:basedOn w:val="Normal"/>
    <w:link w:val="CommentTextChar"/>
    <w:rsid w:val="00335FB2"/>
    <w:pPr>
      <w:spacing w:line="240" w:lineRule="auto"/>
    </w:pPr>
    <w:rPr>
      <w:sz w:val="20"/>
      <w:szCs w:val="20"/>
    </w:rPr>
  </w:style>
  <w:style w:type="character" w:customStyle="1" w:styleId="CommentTextChar">
    <w:name w:val="Comment Text Char"/>
    <w:basedOn w:val="DefaultParagraphFont"/>
    <w:link w:val="CommentText"/>
    <w:rsid w:val="00335FB2"/>
    <w:rPr>
      <w:rFonts w:ascii="Times New Roman" w:hAnsi="Times New Roman"/>
      <w:lang w:val="ro-RO" w:eastAsia="en-US" w:bidi="ar-SA"/>
    </w:rPr>
  </w:style>
  <w:style w:type="paragraph" w:styleId="CommentSubject">
    <w:name w:val="annotation subject"/>
    <w:basedOn w:val="CommentText"/>
    <w:next w:val="CommentText"/>
    <w:link w:val="CommentSubjectChar"/>
    <w:rsid w:val="00335FB2"/>
    <w:rPr>
      <w:b/>
      <w:bCs/>
    </w:rPr>
  </w:style>
  <w:style w:type="character" w:customStyle="1" w:styleId="CommentSubjectChar">
    <w:name w:val="Comment Subject Char"/>
    <w:basedOn w:val="CommentTextChar"/>
    <w:link w:val="CommentSubject"/>
    <w:rsid w:val="00335FB2"/>
    <w:rPr>
      <w:rFonts w:ascii="Times New Roman" w:hAnsi="Times New Roman"/>
      <w:b/>
      <w:bCs/>
      <w:lang w:val="ro-RO" w:eastAsia="en-US" w:bidi="ar-SA"/>
    </w:rPr>
  </w:style>
  <w:style w:type="table" w:styleId="TableGrid">
    <w:name w:val="Table Grid"/>
    <w:basedOn w:val="TableNormal"/>
    <w:uiPriority w:val="59"/>
    <w:locked/>
    <w:rsid w:val="0060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2CF8"/>
    <w:pPr>
      <w:spacing w:before="100" w:beforeAutospacing="1" w:after="100" w:afterAutospacing="1" w:line="240" w:lineRule="auto"/>
      <w:jc w:val="left"/>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esc.europa.eu/ro/our-work/opinions-information-reports/plenary-session-summaries" TargetMode="External"/><Relationship Id="rId18" Type="http://schemas.openxmlformats.org/officeDocument/2006/relationships/hyperlink" Target="mailto:Maja.Radman@eesc.europa.eu" TargetMode="External"/><Relationship Id="rId26" Type="http://schemas.openxmlformats.org/officeDocument/2006/relationships/hyperlink" Target="mailto:mariajudite.berkemeier@eesc.europa.eu" TargetMode="External"/><Relationship Id="rId3" Type="http://schemas.openxmlformats.org/officeDocument/2006/relationships/customXml" Target="../customXml/item3.xml"/><Relationship Id="rId21" Type="http://schemas.openxmlformats.org/officeDocument/2006/relationships/hyperlink" Target="mailto:Antonio.RibeiroPereira@eesc.europa.eu"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georgios.meleas@eesc.europa.eu" TargetMode="External"/><Relationship Id="rId25" Type="http://schemas.openxmlformats.org/officeDocument/2006/relationships/hyperlink" Target="https://eur-lex.europa.eu/legal-content/RO/TXT/HTML/?uri=CELEX:52013IE1960&amp;from=EN" TargetMode="Externa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mailto:susanne.johansson@eesc.europa.eu" TargetMode="External"/><Relationship Id="rId20" Type="http://schemas.openxmlformats.org/officeDocument/2006/relationships/hyperlink" Target="mailto:Kristian.Krieger@eesc.europa.e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Arturo.Iniguez@eesc.europa.eu" TargetMode="External"/><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mailto:Arturo.Iniguez@eesc.europa.eu"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mailto:Antonio.RibeiroPereira@eesc.europa.eu"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dm.eesc.europa.eu/EESCDocumentSearch/Pages/opinionssearch.aspx" TargetMode="External"/><Relationship Id="rId22" Type="http://schemas.openxmlformats.org/officeDocument/2006/relationships/hyperlink" Target="mailto:Monica.Guarinoni@eesc.europa.eu" TargetMode="External"/><Relationship Id="rId27" Type="http://schemas.openxmlformats.org/officeDocument/2006/relationships/hyperlink" Target="mailto:sabrina.borg@eesc.europa.eu" TargetMode="External"/><Relationship Id="rId30" Type="http://schemas.openxmlformats.org/officeDocument/2006/relationships/footer" Target="footer2.xml"/><Relationship Id="rId35" Type="http://schemas.openxmlformats.org/officeDocument/2006/relationships/theme" Target="theme/theme1.xml"/></Relationships>
</file>

<file path=word/_rels/settings.xml.rels>&#65279;<?xml version="1.0" encoding="utf-8"?><Relationships xmlns="http://schemas.openxmlformats.org/package/2006/relationships"><Relationship Type="http://schemas.openxmlformats.org/officeDocument/2006/relationships/attachedTemplate" Target="file:///Y:\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CTJJHAUHWN5E-3-7251</_dlc_DocId>
    <_dlc_DocIdUrl xmlns="bfc960a6-20da-4c94-8684-71380fca093b">
      <Url>http://dm2016/eesc/2019/_layouts/15/DocIdRedir.aspx?ID=CTJJHAUHWN5E-3-7251</Url>
      <Description>CTJJHAUHWN5E-3-7251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2019-03-14T12:00:00+00:00</ProductionDate>
    <DocumentNumber xmlns="1a880128-5ecc-41cf-b0c3-c2c47c4bf0f0">479</DocumentNumber>
    <FicheYear xmlns="bfc960a6-20da-4c94-8684-71380fca093b">2019</FicheYear>
    <DocumentVersion xmlns="bfc960a6-20da-4c94-8684-71380fca093b">1</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2019-03-20T12:00:00+00:00</MeetingDate>
    <DocumentLanguage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s>
    </DocumentLanguage_0>
    <TaxCatchAll xmlns="bfc960a6-20da-4c94-8684-71380fca093b">
      <Value>65</Value>
      <Value>64</Value>
      <Value>63</Value>
      <Value>62</Value>
      <Value>60</Value>
      <Value>59</Value>
      <Value>58</Value>
      <Value>57</Value>
      <Value>56</Value>
      <Value>55</Value>
      <Value>52</Value>
      <Value>49</Value>
      <Value>48</Value>
      <Value>46</Value>
      <Value>45</Value>
      <Value>38</Value>
      <Value>31</Value>
      <Value>25</Value>
      <Value>21</Value>
      <Value>17</Value>
      <Value>16</Value>
      <Value>14</Value>
      <Value>10</Value>
      <Value>8</Value>
      <Value>7</Value>
      <Value>5</Value>
      <Value>4</Value>
      <Value>2</Value>
      <Value>1</Value>
    </TaxCatchAll>
    <Rapporteur xmlns="bfc960a6-20da-4c94-8684-71380fca093b"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bfc960a6-20da-4c94-8684-71380fca093b">2019</DocumentYear>
    <FicheNumber xmlns="bfc960a6-20da-4c94-8684-71380fca093b">2884</FicheNumber>
    <AdoptionDate xmlns="bfc960a6-20da-4c94-8684-71380fca093b" xsi:nil="true"/>
    <DocumentPart xmlns="bfc960a6-20da-4c94-8684-71380fca093b">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bfc960a6-20da-4c94-8684-71380fca093b">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s>
    </AvailableTranslations_0>
    <MeetingNumber xmlns="1a880128-5ecc-41cf-b0c3-c2c47c4bf0f0">542</MeetingNumber>
    <DossierName_0 xmlns="http://schemas.microsoft.com/sharepoint/v3/fields">
      <Terms xmlns="http://schemas.microsoft.com/office/infopath/2007/PartnerControls"/>
    </DossierName_0>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F96ACDE40F503D428B912E19D7E3B18C" ma:contentTypeVersion="4" ma:contentTypeDescription="Defines the documents for Document Manager V2" ma:contentTypeScope="" ma:versionID="5ff9cf38c9207e6e8fff85a7a6b45f2e">
  <xsd:schema xmlns:xsd="http://www.w3.org/2001/XMLSchema" xmlns:xs="http://www.w3.org/2001/XMLSchema" xmlns:p="http://schemas.microsoft.com/office/2006/metadata/properties" xmlns:ns2="bfc960a6-20da-4c94-8684-71380fca093b" xmlns:ns3="http://schemas.microsoft.com/sharepoint/v3/fields" xmlns:ns4="1a880128-5ecc-41cf-b0c3-c2c47c4bf0f0" targetNamespace="http://schemas.microsoft.com/office/2006/metadata/properties" ma:root="true" ma:fieldsID="7dc887b1a9520bb49ac5dea0581373bc" ns2:_="" ns3:_="" ns4:_="">
    <xsd:import namespace="bfc960a6-20da-4c94-8684-71380fca093b"/>
    <xsd:import namespace="http://schemas.microsoft.com/sharepoint/v3/fields"/>
    <xsd:import namespace="1a880128-5ecc-41cf-b0c3-c2c47c4bf0f0"/>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880128-5ecc-41cf-b0c3-c2c47c4bf0f0"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7172C6D-F210-4BCC-96B9-D59A42C1E6F5}"/>
</file>

<file path=customXml/itemProps2.xml><?xml version="1.0" encoding="utf-8"?>
<ds:datastoreItem xmlns:ds="http://schemas.openxmlformats.org/officeDocument/2006/customXml" ds:itemID="{D80C6F9B-5804-4FB9-BBB5-065BAD396579}"/>
</file>

<file path=customXml/itemProps3.xml><?xml version="1.0" encoding="utf-8"?>
<ds:datastoreItem xmlns:ds="http://schemas.openxmlformats.org/officeDocument/2006/customXml" ds:itemID="{2272B315-18A8-418C-AEDB-0DE6F18C5CA7}"/>
</file>

<file path=customXml/itemProps4.xml><?xml version="1.0" encoding="utf-8"?>
<ds:datastoreItem xmlns:ds="http://schemas.openxmlformats.org/officeDocument/2006/customXml" ds:itemID="{5A9C10F3-DC7E-458B-9A6E-AD8CF648F7BF}"/>
</file>

<file path=customXml/itemProps5.xml><?xml version="1.0" encoding="utf-8"?>
<ds:datastoreItem xmlns:ds="http://schemas.openxmlformats.org/officeDocument/2006/customXml" ds:itemID="{08209713-0886-44E3-9085-16779B475439}"/>
</file>

<file path=docProps/app.xml><?xml version="1.0" encoding="utf-8"?>
<Properties xmlns="http://schemas.openxmlformats.org/officeDocument/2006/extended-properties" xmlns:vt="http://schemas.openxmlformats.org/officeDocument/2006/docPropsVTypes">
  <Template>Styles.dotm</Template>
  <TotalTime>18</TotalTime>
  <Pages>13</Pages>
  <Words>3575</Words>
  <Characters>22887</Characters>
  <Application>Microsoft Office Word</Application>
  <DocSecurity>0</DocSecurity>
  <Lines>190</Lines>
  <Paragraphs>52</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26410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Sinteza avizelor adoptate - februarie 2019</dc:title>
  <dc:creator>Marcos Jaime Tornin</dc:creator>
  <cp:keywords>EESC-2019-00479-00-01-TCD-TRA-EN</cp:keywords>
  <dc:description>Rapporteur:  - Original language: EN - Date of document: 14/03/2019 - Date of meeting: 20/03/2019 - External documents:  - Administrator: Mme De Paepe Elke</dc:description>
  <cp:lastModifiedBy>dgref</cp:lastModifiedBy>
  <cp:revision>4</cp:revision>
  <cp:lastPrinted>2018-10-15T11:52:00Z</cp:lastPrinted>
  <dcterms:created xsi:type="dcterms:W3CDTF">2019-03-14T10:50:00Z</dcterms:created>
  <dcterms:modified xsi:type="dcterms:W3CDTF">2019-03-14T11:08:00Z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12/03/2019, 27/02/2019, 13/12/2018, 09/11/2018, 12/07/2018, 23/05/2018, 13/03/2018, 26/02/2018, 14/02/2018, 24/01/2018, 16/01/2018, 19/12/2017, 01/12/2017, 16/11/2017, 15/11/2017, 17/10/2017, 13/09/2017, 03/07/2017, 12/06/2017, 02/06/2017, 24/04/2017, 23/</vt:lpwstr>
  </property>
  <property fmtid="{D5CDD505-2E9C-101B-9397-08002B2CF9AE}" pid="4" name="Pref_Time">
    <vt:lpwstr>14:04:34, 15:42:09, 11:27:48, 09:10:15, 14:45:38, 09:50:08, 13:54:15, 10:33:11, 11:57:02, 15:31:00, 09:45:52, 11:53:01, 15:00:14, 15:49:39, 15:47:16, 10:48:52, 11:23:50, 09:51:12, 14:43:57, 12:54:34, 12:22:33, 12:08:44, 12:23:59, 18:12:41, 09:48:43, 08:36</vt:lpwstr>
  </property>
  <property fmtid="{D5CDD505-2E9C-101B-9397-08002B2CF9AE}" pid="5" name="Pref_User">
    <vt:lpwstr>mkop, enied, enied, amett, enied, hnic, mreg, jhvi, mkop, hnic, mkop, amett, jhvi, amett, tvoc, tvoc, tvoc, amett, hnic, mreg, mreg, enied, mreg, jhvi, tvoc, htoo, mreg, tvoc, hnic, mreg, hnic, amett, nmcg, amett, enied, nmcg, amett, enied, ymur, tvoc, nm</vt:lpwstr>
  </property>
  <property fmtid="{D5CDD505-2E9C-101B-9397-08002B2CF9AE}" pid="6" name="Pref_FileName">
    <vt:lpwstr>EESC-2019-00479-00-01-TCD-ORI.docx, EESC-2019-00479-00-00-TCD-ORI.docx, EESC-2018-05296-00-00-TCD-ORI.docx, EESC-2018-04640-00-01-TCD-ORI.docx, EESC-2018-02821-00-00-TCD-ORI.docx, EESC-2018-02039-00-00-TCD-ORI.docx, EESC-2018-00950-00-00-TCD-ORI.docx, EES</vt:lpwstr>
  </property>
  <property fmtid="{D5CDD505-2E9C-101B-9397-08002B2CF9AE}" pid="7" name="ContentTypeId">
    <vt:lpwstr>0x010100EA97B91038054C99906057A708A1480A00F96ACDE40F503D428B912E19D7E3B18C</vt:lpwstr>
  </property>
  <property fmtid="{D5CDD505-2E9C-101B-9397-08002B2CF9AE}" pid="8" name="_dlc_DocIdItemGuid">
    <vt:lpwstr>75a2dc83-ab1b-4953-903b-4afeb821949c</vt:lpwstr>
  </property>
  <property fmtid="{D5CDD505-2E9C-101B-9397-08002B2CF9AE}" pid="9" name="AvailableTranslations">
    <vt:lpwstr>25;#SK|46d9fce0-ef79-4f71-b89b-cd6aa82426b8;#16;#PL|1e03da61-4678-4e07-b136-b5024ca9197b;#46;#CS|72f9705b-0217-4fd3-bea2-cbc7ed80e26e;#63;#MT|7df99101-6854-4a26-b53a-b88c0da02c26;#38;#SV|c2ed69e7-a339-43d7-8f22-d93680a92aa0;#45;#NL|55c6556c-b4f4-441d-9acf-c498d4f838bd;#57;#RO|feb747a2-64cd-4299-af12-4833ddc30497;#65;#ET|ff6c3f4c-b02c-4c3c-ab07-2c37995a7a0a;#58;#LV|46f7e311-5d9f-4663-b433-18aeccb7ace7;#55;#BG|1a1b3951-7821-4e6a-85f5-5673fc08bd2c;#64;#PT|50ccc04a-eadd-42ae-a0cb-acaf45f812ba;#49;#EL|6d4f4d51-af9b-4650-94b4-4276bee85c91;#59;#HR|2f555653-ed1a-4fe6-8362-9082d95989e5;#56;#SL|98a412ae-eb01-49e9-ae3d-585a81724cfc;#48;#LT|a7ff5ce7-6123-4f68-865a-a57c31810414;#17;#ES|e7a6b05b-ae16-40c8-add9-68b64b03aeba;#4;#EN|f2175f21-25d7-44a3-96da-d6a61b075e1b;#14;#DE|f6b31e5a-26fa-4935-b661-318e46daf27e;#52;#DA|5d49c027-8956-412b-aa16-e85a0f96ad0e;#10;#FR|d2afafd3-4c81-4f60-8f52-ee33f2f54ff3;#62;#FI|87606a43-d45f-42d6-b8c9-e1a3457db5b7;#21;#IT|0774613c-01ed-4e5d-a25d-11d2388de825;#60;#HU|6b229040-c589-4408-b4c1-4285663d20a8</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4;#EN|f2175f21-25d7-44a3-96da-d6a61b075e1b</vt:lpwstr>
  </property>
  <property fmtid="{D5CDD505-2E9C-101B-9397-08002B2CF9AE}" pid="14" name="MeetingName">
    <vt:lpwstr>31;#SPL-CES|32d8cb1f-c9ec-4365-95c7-8385a18618ac</vt:lpwstr>
  </property>
  <property fmtid="{D5CDD505-2E9C-101B-9397-08002B2CF9AE}" pid="15" name="VersionStatus">
    <vt:lpwstr>7;#Final|ea5e6674-7b27-4bac-b091-73adbb394efe</vt:lpwstr>
  </property>
  <property fmtid="{D5CDD505-2E9C-101B-9397-08002B2CF9AE}" pid="16" name="DocumentSource">
    <vt:lpwstr>1;#EESC|422833ec-8d7e-4e65-8e4e-8bed07ffb729</vt:lpwstr>
  </property>
  <property fmtid="{D5CDD505-2E9C-101B-9397-08002B2CF9AE}" pid="17" name="DocumentType">
    <vt:lpwstr>8;#TCD|cd9d6eb6-3f4f-424a-b2d1-57c9d450eaaf</vt:lpwstr>
  </property>
  <property fmtid="{D5CDD505-2E9C-101B-9397-08002B2CF9AE}" pid="18" name="DocumentLanguage">
    <vt:lpwstr>57;#RO|feb747a2-64cd-4299-af12-4833ddc30497</vt:lpwstr>
  </property>
</Properties>
</file>