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F93161" w:rsidRDefault="006A08D5" w:rsidP="000D6B2F">
      <w:pPr>
        <w:snapToGrid w:val="0"/>
        <w:jc w:val="center"/>
      </w:pPr>
      <w:r w:rsidRPr="00F93161">
        <w:fldChar w:fldCharType="begin"/>
      </w:r>
      <w:r w:rsidRPr="00F93161">
        <w:instrText xml:space="preserve">  </w:instrText>
      </w:r>
      <w:r w:rsidRPr="00F93161">
        <w:fldChar w:fldCharType="end"/>
      </w:r>
      <w:r>
        <w:rPr>
          <w:noProof/>
          <w:lang w:val="fr-BE" w:eastAsia="fr-BE"/>
        </w:rPr>
        <w:drawing>
          <wp:inline distT="0" distB="0" distL="0" distR="0" wp14:anchorId="70A3109B" wp14:editId="3AC0EE90">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r>
        <w:rPr>
          <w:noProof/>
          <w:sz w:val="20"/>
          <w:lang w:val="fr-BE" w:eastAsia="fr-BE"/>
        </w:rPr>
        <mc:AlternateContent>
          <mc:Choice Requires="wps">
            <w:drawing>
              <wp:anchor distT="0" distB="0" distL="114300" distR="114300" simplePos="0" relativeHeight="251659264" behindDoc="1" locked="0" layoutInCell="0" allowOverlap="1" wp14:anchorId="168CE581" wp14:editId="364D3B8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F22" w:rsidRPr="00260E65" w:rsidRDefault="00E21F22">
                            <w:pPr>
                              <w:jc w:val="center"/>
                              <w:rPr>
                                <w:rFonts w:ascii="Arial" w:hAnsi="Arial" w:cs="Arial"/>
                                <w:b/>
                                <w:bCs/>
                                <w:sz w:val="48"/>
                              </w:rPr>
                            </w:pPr>
                            <w:r>
                              <w:rPr>
                                <w:rFonts w:ascii="Arial" w:hAnsi="Arial"/>
                                <w:b/>
                                <w:bCs/>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CE5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E21F22" w:rsidRPr="00260E65" w:rsidRDefault="00E21F22">
                      <w:pPr>
                        <w:jc w:val="center"/>
                        <w:rPr>
                          <w:rFonts w:ascii="Arial" w:hAnsi="Arial" w:cs="Arial"/>
                          <w:b/>
                          <w:bCs/>
                          <w:sz w:val="48"/>
                        </w:rPr>
                      </w:pPr>
                      <w:r>
                        <w:rPr>
                          <w:rFonts w:ascii="Arial" w:hAnsi="Arial"/>
                          <w:b/>
                          <w:bCs/>
                          <w:sz w:val="48"/>
                        </w:rPr>
                        <w:t>ES</w:t>
                      </w:r>
                    </w:p>
                  </w:txbxContent>
                </v:textbox>
                <w10:wrap anchorx="page" anchory="page"/>
              </v:shape>
            </w:pict>
          </mc:Fallback>
        </mc:AlternateContent>
      </w:r>
    </w:p>
    <w:p w:rsidR="008405A0" w:rsidRPr="00F93161" w:rsidRDefault="00876D7B" w:rsidP="000D6B2F">
      <w:pPr>
        <w:snapToGrid w:val="0"/>
        <w:jc w:val="center"/>
        <w:rPr>
          <w:rFonts w:ascii="Arial" w:eastAsia="MS Mincho" w:hAnsi="Arial" w:cs="Arial"/>
          <w:b/>
          <w:i/>
          <w:sz w:val="20"/>
        </w:rPr>
      </w:pPr>
      <w:r>
        <w:rPr>
          <w:rFonts w:ascii="Arial" w:hAnsi="Arial"/>
          <w:b/>
          <w:i/>
          <w:sz w:val="20"/>
        </w:rPr>
        <w:t>Comité Económico y Social Europeo</w:t>
      </w:r>
    </w:p>
    <w:p w:rsidR="008405A0" w:rsidRPr="00D85439" w:rsidRDefault="008405A0" w:rsidP="000D6B2F">
      <w:pPr>
        <w:snapToGrid w:val="0"/>
        <w:rPr>
          <w:lang w:val="en-GB"/>
        </w:rPr>
      </w:pPr>
    </w:p>
    <w:p w:rsidR="008405A0" w:rsidRPr="00D85439" w:rsidRDefault="008405A0" w:rsidP="000D6B2F">
      <w:pPr>
        <w:snapToGrid w:val="0"/>
        <w:rPr>
          <w:lang w:val="en-GB"/>
        </w:rPr>
      </w:pPr>
    </w:p>
    <w:p w:rsidR="008405A0" w:rsidRPr="00D85439" w:rsidRDefault="00FC0B2C" w:rsidP="000D6B2F">
      <w:pPr>
        <w:snapToGrid w:val="0"/>
        <w:jc w:val="right"/>
        <w:rPr>
          <w:rFonts w:eastAsia="MS Mincho"/>
        </w:rPr>
      </w:pPr>
      <w:r>
        <w:t>Bruselas, 7 de enero de 2019</w:t>
      </w:r>
    </w:p>
    <w:p w:rsidR="008405A0" w:rsidRPr="00D85439" w:rsidRDefault="008405A0" w:rsidP="000D6B2F">
      <w:pPr>
        <w:snapToGrid w:val="0"/>
        <w:rPr>
          <w:lang w:val="en-GB"/>
        </w:rPr>
      </w:pPr>
    </w:p>
    <w:p w:rsidR="008405A0" w:rsidRPr="00D85439" w:rsidRDefault="008405A0" w:rsidP="000D6B2F">
      <w:pPr>
        <w:snapToGrid w:val="0"/>
        <w:rPr>
          <w:lang w:val="en-GB"/>
        </w:rPr>
      </w:pPr>
    </w:p>
    <w:p w:rsidR="00AF6F3E" w:rsidRPr="00D85439" w:rsidRDefault="00AF6F3E" w:rsidP="000D6B2F">
      <w:pPr>
        <w:snapToGrid w:val="0"/>
        <w:rPr>
          <w:lang w:val="en-GB"/>
        </w:rPr>
      </w:pPr>
    </w:p>
    <w:p w:rsidR="006819C8" w:rsidRPr="00D85439" w:rsidRDefault="006819C8" w:rsidP="000D6B2F">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0D6B2F">
            <w:pPr>
              <w:snapToGrid w:val="0"/>
              <w:jc w:val="center"/>
              <w:rPr>
                <w:rFonts w:eastAsia="MS Mincho"/>
                <w:b/>
                <w:sz w:val="32"/>
              </w:rPr>
            </w:pPr>
            <w:r>
              <w:rPr>
                <w:b/>
                <w:sz w:val="32"/>
              </w:rPr>
              <w:t>PLENO</w:t>
            </w:r>
            <w:r>
              <w:rPr>
                <w:b/>
                <w:sz w:val="32"/>
              </w:rPr>
              <w:br/>
              <w:t xml:space="preserve"> </w:t>
            </w:r>
            <w:r>
              <w:rPr>
                <w:b/>
                <w:sz w:val="32"/>
              </w:rPr>
              <w:br/>
              <w:t>DE LOS DÍAS 12 Y 13 DE DICIEMBRE DE 2018</w:t>
            </w:r>
            <w:r>
              <w:rPr>
                <w:b/>
                <w:sz w:val="32"/>
              </w:rPr>
              <w:br/>
              <w:t xml:space="preserve"> </w:t>
            </w:r>
            <w:r>
              <w:rPr>
                <w:b/>
                <w:sz w:val="32"/>
              </w:rPr>
              <w:br/>
              <w:t>SÍNTESIS DE LOS DICTÁMENES APROBADOS</w:t>
            </w:r>
          </w:p>
          <w:p w:rsidR="008405A0" w:rsidRPr="00D85439" w:rsidRDefault="008405A0" w:rsidP="000D6B2F">
            <w:pPr>
              <w:rPr>
                <w:lang w:val="en-GB"/>
              </w:rPr>
            </w:pPr>
          </w:p>
          <w:p w:rsidR="008405A0" w:rsidRPr="00D85439" w:rsidRDefault="008405A0" w:rsidP="000D6B2F">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0D6B2F">
            <w:pPr>
              <w:snapToGrid w:val="0"/>
              <w:jc w:val="center"/>
              <w:rPr>
                <w:b/>
                <w:lang w:val="en-GB"/>
              </w:rPr>
            </w:pPr>
          </w:p>
          <w:p w:rsidR="00FC0B2C" w:rsidRPr="00D85439" w:rsidRDefault="00FC0B2C" w:rsidP="000D6B2F">
            <w:pPr>
              <w:snapToGrid w:val="0"/>
              <w:jc w:val="center"/>
              <w:rPr>
                <w:rFonts w:eastAsia="MS Mincho"/>
                <w:b/>
              </w:rPr>
            </w:pPr>
            <w:r>
              <w:rPr>
                <w:b/>
              </w:rPr>
              <w:t>Este documento puede consultarse en todas las lenguas oficiales en el sitio Internet del Comité en la siguiente dirección:</w:t>
            </w:r>
          </w:p>
          <w:p w:rsidR="00FC0B2C" w:rsidRPr="00D85439" w:rsidRDefault="00FC0B2C" w:rsidP="000D6B2F">
            <w:pPr>
              <w:snapToGrid w:val="0"/>
              <w:jc w:val="center"/>
              <w:rPr>
                <w:b/>
                <w:lang w:val="en-GB"/>
              </w:rPr>
            </w:pPr>
          </w:p>
          <w:p w:rsidR="00FC0B2C" w:rsidRPr="00D85439" w:rsidRDefault="00E21F22" w:rsidP="000D6B2F">
            <w:pPr>
              <w:jc w:val="center"/>
              <w:rPr>
                <w:rStyle w:val="Hyperlink"/>
                <w:b/>
              </w:rPr>
            </w:pPr>
            <w:hyperlink r:id="rId13">
              <w:r>
                <w:rPr>
                  <w:rStyle w:val="Hyperlink"/>
                </w:rPr>
                <w:t>http://www.eesc.europa.eu/en/our-work/opinions-information-reports/plenary-session-summaries</w:t>
              </w:r>
            </w:hyperlink>
          </w:p>
          <w:p w:rsidR="00FC0B2C" w:rsidRPr="00D85439" w:rsidRDefault="00FC0B2C" w:rsidP="000D6B2F">
            <w:pPr>
              <w:snapToGrid w:val="0"/>
              <w:jc w:val="center"/>
              <w:rPr>
                <w:b/>
                <w:lang w:val="en-GB"/>
              </w:rPr>
            </w:pPr>
          </w:p>
          <w:p w:rsidR="00FC0B2C" w:rsidRPr="00D85439" w:rsidRDefault="00FC0B2C" w:rsidP="000D6B2F">
            <w:pPr>
              <w:snapToGrid w:val="0"/>
              <w:jc w:val="center"/>
              <w:rPr>
                <w:rFonts w:eastAsia="SimSun"/>
                <w:b/>
                <w:lang w:val="en-GB"/>
              </w:rPr>
            </w:pPr>
          </w:p>
          <w:p w:rsidR="00FC0B2C" w:rsidRPr="00D85439" w:rsidRDefault="00FC0B2C" w:rsidP="000D6B2F">
            <w:pPr>
              <w:snapToGrid w:val="0"/>
              <w:jc w:val="center"/>
              <w:rPr>
                <w:rFonts w:eastAsia="MS Mincho"/>
                <w:b/>
              </w:rPr>
            </w:pPr>
            <w:r>
              <w:rPr>
                <w:b/>
              </w:rPr>
              <w:t>Los dictámenes mencionados pueden consultarse en línea a partir del motor de búsqueda del Comité:</w:t>
            </w:r>
          </w:p>
          <w:p w:rsidR="00FC0B2C" w:rsidRPr="00D85439" w:rsidRDefault="00FC0B2C" w:rsidP="000D6B2F">
            <w:pPr>
              <w:snapToGrid w:val="0"/>
              <w:jc w:val="center"/>
              <w:rPr>
                <w:b/>
                <w:lang w:val="en-GB"/>
              </w:rPr>
            </w:pPr>
          </w:p>
          <w:p w:rsidR="00FC0B2C" w:rsidRPr="00D85439" w:rsidRDefault="00E21F22" w:rsidP="000D6B2F">
            <w:pPr>
              <w:jc w:val="center"/>
              <w:rPr>
                <w:rStyle w:val="Hyperlink"/>
                <w:b/>
              </w:rPr>
            </w:pPr>
            <w:hyperlink r:id="rId14">
              <w:r>
                <w:rPr>
                  <w:rStyle w:val="Hyperlink"/>
                </w:rPr>
                <w:t>http://dm.eesc.europa.eu/EESCDocumentSearch/Pages/opinionssearch.aspx</w:t>
              </w:r>
            </w:hyperlink>
          </w:p>
          <w:p w:rsidR="008405A0" w:rsidRPr="00D85439" w:rsidRDefault="008405A0" w:rsidP="000D6B2F">
            <w:pPr>
              <w:snapToGrid w:val="0"/>
              <w:jc w:val="center"/>
              <w:rPr>
                <w:b/>
                <w:bCs/>
                <w:lang w:val="en-GB"/>
              </w:rPr>
            </w:pPr>
          </w:p>
        </w:tc>
      </w:tr>
    </w:tbl>
    <w:p w:rsidR="008F7791" w:rsidRPr="00D85439" w:rsidRDefault="008F7791" w:rsidP="000D6B2F">
      <w:pPr>
        <w:rPr>
          <w:rFonts w:eastAsia="SimSun"/>
          <w:lang w:val="en-GB"/>
        </w:rPr>
      </w:pPr>
    </w:p>
    <w:p w:rsidR="00A9340A" w:rsidRPr="00D85439" w:rsidRDefault="00A9340A" w:rsidP="000D6B2F">
      <w:pPr>
        <w:rPr>
          <w:rFonts w:eastAsia="SimSun"/>
          <w:lang w:val="en-GB"/>
        </w:rPr>
        <w:sectPr w:rsidR="00A9340A" w:rsidRPr="00D85439" w:rsidSect="00623A46">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0D6B2F">
      <w:pPr>
        <w:snapToGrid w:val="0"/>
        <w:rPr>
          <w:b/>
        </w:rPr>
      </w:pPr>
      <w:r>
        <w:rPr>
          <w:b/>
        </w:rPr>
        <w:lastRenderedPageBreak/>
        <w:t>Índice</w:t>
      </w:r>
    </w:p>
    <w:p w:rsidR="00D16D76" w:rsidRPr="00D85439" w:rsidRDefault="00D16D76" w:rsidP="000D6B2F">
      <w:pPr>
        <w:rPr>
          <w:lang w:val="en-GB"/>
        </w:rPr>
      </w:pPr>
    </w:p>
    <w:p w:rsidR="00E21F22" w:rsidRDefault="003353E8">
      <w:pPr>
        <w:pStyle w:val="TOC1"/>
        <w:rPr>
          <w:rFonts w:asciiTheme="minorHAnsi" w:eastAsiaTheme="minorEastAsia" w:hAnsiTheme="minorHAnsi" w:cstheme="minorBidi"/>
          <w:noProof/>
          <w:lang w:val="fr-BE" w:eastAsia="fr-BE"/>
        </w:rPr>
      </w:pPr>
      <w:r w:rsidRPr="00D85439">
        <w:fldChar w:fldCharType="begin"/>
      </w:r>
      <w:r w:rsidRPr="00D85439">
        <w:instrText xml:space="preserve"> TOC \o "1-1" \h \z \u </w:instrText>
      </w:r>
      <w:r w:rsidRPr="00D85439">
        <w:fldChar w:fldCharType="separate"/>
      </w:r>
      <w:hyperlink w:anchor="_Toc535577278" w:history="1">
        <w:r w:rsidR="00E21F22" w:rsidRPr="00833FC9">
          <w:rPr>
            <w:rStyle w:val="Hyperlink"/>
            <w:caps/>
            <w:noProof/>
          </w:rPr>
          <w:t>1.</w:t>
        </w:r>
        <w:r w:rsidR="00E21F22">
          <w:rPr>
            <w:rFonts w:asciiTheme="minorHAnsi" w:eastAsiaTheme="minorEastAsia" w:hAnsiTheme="minorHAnsi" w:cstheme="minorBidi"/>
            <w:noProof/>
            <w:lang w:val="fr-BE" w:eastAsia="fr-BE"/>
          </w:rPr>
          <w:tab/>
        </w:r>
        <w:r w:rsidR="00E21F22" w:rsidRPr="00833FC9">
          <w:rPr>
            <w:rStyle w:val="Hyperlink"/>
            <w:b/>
            <w:caps/>
            <w:noProof/>
          </w:rPr>
          <w:t>Unión Económica y Monetaria y Cohesión Económica y Social</w:t>
        </w:r>
        <w:r w:rsidR="00E21F22">
          <w:rPr>
            <w:noProof/>
            <w:webHidden/>
          </w:rPr>
          <w:tab/>
        </w:r>
        <w:r w:rsidR="00E21F22">
          <w:rPr>
            <w:noProof/>
            <w:webHidden/>
          </w:rPr>
          <w:fldChar w:fldCharType="begin"/>
        </w:r>
        <w:r w:rsidR="00E21F22">
          <w:rPr>
            <w:noProof/>
            <w:webHidden/>
          </w:rPr>
          <w:instrText xml:space="preserve"> PAGEREF _Toc535577278 \h </w:instrText>
        </w:r>
        <w:r w:rsidR="00E21F22">
          <w:rPr>
            <w:noProof/>
            <w:webHidden/>
          </w:rPr>
        </w:r>
        <w:r w:rsidR="00E21F22">
          <w:rPr>
            <w:noProof/>
            <w:webHidden/>
          </w:rPr>
          <w:fldChar w:fldCharType="separate"/>
        </w:r>
        <w:r w:rsidR="00005D1A">
          <w:rPr>
            <w:noProof/>
            <w:webHidden/>
          </w:rPr>
          <w:t>3</w:t>
        </w:r>
        <w:r w:rsidR="00E21F22">
          <w:rPr>
            <w:noProof/>
            <w:webHidden/>
          </w:rPr>
          <w:fldChar w:fldCharType="end"/>
        </w:r>
      </w:hyperlink>
    </w:p>
    <w:p w:rsidR="00E21F22" w:rsidRDefault="00E21F22">
      <w:pPr>
        <w:pStyle w:val="TOC1"/>
        <w:rPr>
          <w:rFonts w:asciiTheme="minorHAnsi" w:eastAsiaTheme="minorEastAsia" w:hAnsiTheme="minorHAnsi" w:cstheme="minorBidi"/>
          <w:noProof/>
          <w:lang w:val="fr-BE" w:eastAsia="fr-BE"/>
        </w:rPr>
      </w:pPr>
      <w:hyperlink w:anchor="_Toc535577279" w:history="1">
        <w:r w:rsidRPr="00833FC9">
          <w:rPr>
            <w:rStyle w:val="Hyperlink"/>
            <w:caps/>
            <w:noProof/>
          </w:rPr>
          <w:t>2.</w:t>
        </w:r>
        <w:r>
          <w:rPr>
            <w:rFonts w:asciiTheme="minorHAnsi" w:eastAsiaTheme="minorEastAsia" w:hAnsiTheme="minorHAnsi" w:cstheme="minorBidi"/>
            <w:noProof/>
            <w:lang w:val="fr-BE" w:eastAsia="fr-BE"/>
          </w:rPr>
          <w:tab/>
        </w:r>
        <w:r w:rsidRPr="00833FC9">
          <w:rPr>
            <w:rStyle w:val="Hyperlink"/>
            <w:b/>
            <w:caps/>
            <w:noProof/>
          </w:rPr>
          <w:t>Mercado Único, Producción y Consumo</w:t>
        </w:r>
        <w:r>
          <w:rPr>
            <w:noProof/>
            <w:webHidden/>
          </w:rPr>
          <w:tab/>
        </w:r>
        <w:r>
          <w:rPr>
            <w:noProof/>
            <w:webHidden/>
          </w:rPr>
          <w:fldChar w:fldCharType="begin"/>
        </w:r>
        <w:r>
          <w:rPr>
            <w:noProof/>
            <w:webHidden/>
          </w:rPr>
          <w:instrText xml:space="preserve"> PAGEREF _Toc535577279 \h </w:instrText>
        </w:r>
        <w:r>
          <w:rPr>
            <w:noProof/>
            <w:webHidden/>
          </w:rPr>
        </w:r>
        <w:r>
          <w:rPr>
            <w:noProof/>
            <w:webHidden/>
          </w:rPr>
          <w:fldChar w:fldCharType="separate"/>
        </w:r>
        <w:r w:rsidR="00005D1A">
          <w:rPr>
            <w:noProof/>
            <w:webHidden/>
          </w:rPr>
          <w:t>4</w:t>
        </w:r>
        <w:r>
          <w:rPr>
            <w:noProof/>
            <w:webHidden/>
          </w:rPr>
          <w:fldChar w:fldCharType="end"/>
        </w:r>
      </w:hyperlink>
    </w:p>
    <w:p w:rsidR="00E21F22" w:rsidRDefault="00E21F22">
      <w:pPr>
        <w:pStyle w:val="TOC1"/>
        <w:rPr>
          <w:rFonts w:asciiTheme="minorHAnsi" w:eastAsiaTheme="minorEastAsia" w:hAnsiTheme="minorHAnsi" w:cstheme="minorBidi"/>
          <w:noProof/>
          <w:lang w:val="fr-BE" w:eastAsia="fr-BE"/>
        </w:rPr>
      </w:pPr>
      <w:hyperlink w:anchor="_Toc535577280" w:history="1">
        <w:r w:rsidRPr="00833FC9">
          <w:rPr>
            <w:rStyle w:val="Hyperlink"/>
            <w:caps/>
            <w:noProof/>
          </w:rPr>
          <w:t>3.</w:t>
        </w:r>
        <w:r>
          <w:rPr>
            <w:rFonts w:asciiTheme="minorHAnsi" w:eastAsiaTheme="minorEastAsia" w:hAnsiTheme="minorHAnsi" w:cstheme="minorBidi"/>
            <w:noProof/>
            <w:lang w:val="fr-BE" w:eastAsia="fr-BE"/>
          </w:rPr>
          <w:tab/>
        </w:r>
        <w:r w:rsidRPr="00833FC9">
          <w:rPr>
            <w:rStyle w:val="Hyperlink"/>
            <w:b/>
            <w:caps/>
            <w:noProof/>
          </w:rPr>
          <w:t>Transportes, Energía, Infraestructuras y Sociedad de la Información</w:t>
        </w:r>
        <w:r>
          <w:rPr>
            <w:noProof/>
            <w:webHidden/>
          </w:rPr>
          <w:tab/>
        </w:r>
        <w:r>
          <w:rPr>
            <w:noProof/>
            <w:webHidden/>
          </w:rPr>
          <w:fldChar w:fldCharType="begin"/>
        </w:r>
        <w:r>
          <w:rPr>
            <w:noProof/>
            <w:webHidden/>
          </w:rPr>
          <w:instrText xml:space="preserve"> PAGEREF _Toc535577280 \h </w:instrText>
        </w:r>
        <w:r>
          <w:rPr>
            <w:noProof/>
            <w:webHidden/>
          </w:rPr>
        </w:r>
        <w:r>
          <w:rPr>
            <w:noProof/>
            <w:webHidden/>
          </w:rPr>
          <w:fldChar w:fldCharType="separate"/>
        </w:r>
        <w:r w:rsidR="00005D1A">
          <w:rPr>
            <w:noProof/>
            <w:webHidden/>
          </w:rPr>
          <w:t>6</w:t>
        </w:r>
        <w:r>
          <w:rPr>
            <w:noProof/>
            <w:webHidden/>
          </w:rPr>
          <w:fldChar w:fldCharType="end"/>
        </w:r>
      </w:hyperlink>
    </w:p>
    <w:p w:rsidR="00E21F22" w:rsidRDefault="00E21F22">
      <w:pPr>
        <w:pStyle w:val="TOC1"/>
        <w:rPr>
          <w:rFonts w:asciiTheme="minorHAnsi" w:eastAsiaTheme="minorEastAsia" w:hAnsiTheme="minorHAnsi" w:cstheme="minorBidi"/>
          <w:noProof/>
          <w:lang w:val="fr-BE" w:eastAsia="fr-BE"/>
        </w:rPr>
      </w:pPr>
      <w:hyperlink w:anchor="_Toc535577281" w:history="1">
        <w:r w:rsidRPr="00833FC9">
          <w:rPr>
            <w:rStyle w:val="Hyperlink"/>
            <w:noProof/>
          </w:rPr>
          <w:t>4.</w:t>
        </w:r>
        <w:r>
          <w:rPr>
            <w:rFonts w:asciiTheme="minorHAnsi" w:eastAsiaTheme="minorEastAsia" w:hAnsiTheme="minorHAnsi" w:cstheme="minorBidi"/>
            <w:noProof/>
            <w:lang w:val="fr-BE" w:eastAsia="fr-BE"/>
          </w:rPr>
          <w:tab/>
        </w:r>
        <w:r w:rsidRPr="00833FC9">
          <w:rPr>
            <w:rStyle w:val="Hyperlink"/>
            <w:b/>
            <w:noProof/>
          </w:rPr>
          <w:t>RELACIONES EXTERIORES</w:t>
        </w:r>
        <w:r>
          <w:rPr>
            <w:noProof/>
            <w:webHidden/>
          </w:rPr>
          <w:tab/>
        </w:r>
        <w:r>
          <w:rPr>
            <w:noProof/>
            <w:webHidden/>
          </w:rPr>
          <w:fldChar w:fldCharType="begin"/>
        </w:r>
        <w:r>
          <w:rPr>
            <w:noProof/>
            <w:webHidden/>
          </w:rPr>
          <w:instrText xml:space="preserve"> PAGEREF _Toc535577281 \h </w:instrText>
        </w:r>
        <w:r>
          <w:rPr>
            <w:noProof/>
            <w:webHidden/>
          </w:rPr>
        </w:r>
        <w:r>
          <w:rPr>
            <w:noProof/>
            <w:webHidden/>
          </w:rPr>
          <w:fldChar w:fldCharType="separate"/>
        </w:r>
        <w:r w:rsidR="00005D1A">
          <w:rPr>
            <w:noProof/>
            <w:webHidden/>
          </w:rPr>
          <w:t>10</w:t>
        </w:r>
        <w:r>
          <w:rPr>
            <w:noProof/>
            <w:webHidden/>
          </w:rPr>
          <w:fldChar w:fldCharType="end"/>
        </w:r>
      </w:hyperlink>
    </w:p>
    <w:p w:rsidR="00E21F22" w:rsidRDefault="00E21F22">
      <w:pPr>
        <w:pStyle w:val="TOC1"/>
        <w:rPr>
          <w:rFonts w:asciiTheme="minorHAnsi" w:eastAsiaTheme="minorEastAsia" w:hAnsiTheme="minorHAnsi" w:cstheme="minorBidi"/>
          <w:noProof/>
          <w:lang w:val="fr-BE" w:eastAsia="fr-BE"/>
        </w:rPr>
      </w:pPr>
      <w:hyperlink w:anchor="_Toc535577282" w:history="1">
        <w:r w:rsidRPr="00833FC9">
          <w:rPr>
            <w:rStyle w:val="Hyperlink"/>
            <w:noProof/>
          </w:rPr>
          <w:t>5.</w:t>
        </w:r>
        <w:r>
          <w:rPr>
            <w:rFonts w:asciiTheme="minorHAnsi" w:eastAsiaTheme="minorEastAsia" w:hAnsiTheme="minorHAnsi" w:cstheme="minorBidi"/>
            <w:noProof/>
            <w:lang w:val="fr-BE" w:eastAsia="fr-BE"/>
          </w:rPr>
          <w:tab/>
        </w:r>
        <w:r w:rsidRPr="00833FC9">
          <w:rPr>
            <w:rStyle w:val="Hyperlink"/>
            <w:b/>
            <w:noProof/>
          </w:rPr>
          <w:t>AGRICULTURA, DESARROLLO RURAL Y MEDIO AMBIENTE</w:t>
        </w:r>
        <w:r>
          <w:rPr>
            <w:noProof/>
            <w:webHidden/>
          </w:rPr>
          <w:tab/>
        </w:r>
        <w:r>
          <w:rPr>
            <w:noProof/>
            <w:webHidden/>
          </w:rPr>
          <w:fldChar w:fldCharType="begin"/>
        </w:r>
        <w:r>
          <w:rPr>
            <w:noProof/>
            <w:webHidden/>
          </w:rPr>
          <w:instrText xml:space="preserve"> PAGEREF _Toc535577282 \h </w:instrText>
        </w:r>
        <w:r>
          <w:rPr>
            <w:noProof/>
            <w:webHidden/>
          </w:rPr>
        </w:r>
        <w:r>
          <w:rPr>
            <w:noProof/>
            <w:webHidden/>
          </w:rPr>
          <w:fldChar w:fldCharType="separate"/>
        </w:r>
        <w:r w:rsidR="00005D1A">
          <w:rPr>
            <w:noProof/>
            <w:webHidden/>
          </w:rPr>
          <w:t>14</w:t>
        </w:r>
        <w:r>
          <w:rPr>
            <w:noProof/>
            <w:webHidden/>
          </w:rPr>
          <w:fldChar w:fldCharType="end"/>
        </w:r>
      </w:hyperlink>
    </w:p>
    <w:p w:rsidR="00E21F22" w:rsidRDefault="00E21F22">
      <w:pPr>
        <w:pStyle w:val="TOC1"/>
        <w:rPr>
          <w:rFonts w:asciiTheme="minorHAnsi" w:eastAsiaTheme="minorEastAsia" w:hAnsiTheme="minorHAnsi" w:cstheme="minorBidi"/>
          <w:noProof/>
          <w:lang w:val="fr-BE" w:eastAsia="fr-BE"/>
        </w:rPr>
      </w:pPr>
      <w:hyperlink w:anchor="_Toc535577283" w:history="1">
        <w:r w:rsidRPr="00833FC9">
          <w:rPr>
            <w:rStyle w:val="Hyperlink"/>
            <w:noProof/>
          </w:rPr>
          <w:t>6.</w:t>
        </w:r>
        <w:r>
          <w:rPr>
            <w:rFonts w:asciiTheme="minorHAnsi" w:eastAsiaTheme="minorEastAsia" w:hAnsiTheme="minorHAnsi" w:cstheme="minorBidi"/>
            <w:noProof/>
            <w:lang w:val="fr-BE" w:eastAsia="fr-BE"/>
          </w:rPr>
          <w:tab/>
        </w:r>
        <w:r w:rsidRPr="00833FC9">
          <w:rPr>
            <w:rStyle w:val="Hyperlink"/>
            <w:b/>
            <w:noProof/>
          </w:rPr>
          <w:t>EMPLEO, ASUNTOS SOCIALES Y CIUDADANÍA</w:t>
        </w:r>
        <w:r>
          <w:rPr>
            <w:noProof/>
            <w:webHidden/>
          </w:rPr>
          <w:tab/>
        </w:r>
        <w:r>
          <w:rPr>
            <w:noProof/>
            <w:webHidden/>
          </w:rPr>
          <w:fldChar w:fldCharType="begin"/>
        </w:r>
        <w:r>
          <w:rPr>
            <w:noProof/>
            <w:webHidden/>
          </w:rPr>
          <w:instrText xml:space="preserve"> PAGEREF _Toc535577283 \h </w:instrText>
        </w:r>
        <w:r>
          <w:rPr>
            <w:noProof/>
            <w:webHidden/>
          </w:rPr>
        </w:r>
        <w:r>
          <w:rPr>
            <w:noProof/>
            <w:webHidden/>
          </w:rPr>
          <w:fldChar w:fldCharType="separate"/>
        </w:r>
        <w:r w:rsidR="00005D1A">
          <w:rPr>
            <w:noProof/>
            <w:webHidden/>
          </w:rPr>
          <w:t>21</w:t>
        </w:r>
        <w:r>
          <w:rPr>
            <w:noProof/>
            <w:webHidden/>
          </w:rPr>
          <w:fldChar w:fldCharType="end"/>
        </w:r>
      </w:hyperlink>
    </w:p>
    <w:p w:rsidR="00E21F22" w:rsidRDefault="00E21F22">
      <w:pPr>
        <w:pStyle w:val="TOC1"/>
        <w:rPr>
          <w:rFonts w:asciiTheme="minorHAnsi" w:eastAsiaTheme="minorEastAsia" w:hAnsiTheme="minorHAnsi" w:cstheme="minorBidi"/>
          <w:noProof/>
          <w:lang w:val="fr-BE" w:eastAsia="fr-BE"/>
        </w:rPr>
      </w:pPr>
      <w:hyperlink w:anchor="_Toc535577284" w:history="1">
        <w:r w:rsidRPr="00833FC9">
          <w:rPr>
            <w:rStyle w:val="Hyperlink"/>
            <w:noProof/>
          </w:rPr>
          <w:t>7.</w:t>
        </w:r>
        <w:r>
          <w:rPr>
            <w:rFonts w:asciiTheme="minorHAnsi" w:eastAsiaTheme="minorEastAsia" w:hAnsiTheme="minorHAnsi" w:cstheme="minorBidi"/>
            <w:noProof/>
            <w:lang w:val="fr-BE" w:eastAsia="fr-BE"/>
          </w:rPr>
          <w:tab/>
        </w:r>
        <w:r w:rsidRPr="00833FC9">
          <w:rPr>
            <w:rStyle w:val="Hyperlink"/>
            <w:b/>
            <w:noProof/>
          </w:rPr>
          <w:t>COMISIÓN CONSULTIVA DE LAS TRANSFORMACIONES INDUSTRIALES</w:t>
        </w:r>
        <w:r>
          <w:rPr>
            <w:noProof/>
            <w:webHidden/>
          </w:rPr>
          <w:tab/>
        </w:r>
        <w:r>
          <w:rPr>
            <w:noProof/>
            <w:webHidden/>
          </w:rPr>
          <w:fldChar w:fldCharType="begin"/>
        </w:r>
        <w:r>
          <w:rPr>
            <w:noProof/>
            <w:webHidden/>
          </w:rPr>
          <w:instrText xml:space="preserve"> PAGEREF _Toc535577284 \h </w:instrText>
        </w:r>
        <w:r>
          <w:rPr>
            <w:noProof/>
            <w:webHidden/>
          </w:rPr>
        </w:r>
        <w:r>
          <w:rPr>
            <w:noProof/>
            <w:webHidden/>
          </w:rPr>
          <w:fldChar w:fldCharType="separate"/>
        </w:r>
        <w:r w:rsidR="00005D1A">
          <w:rPr>
            <w:noProof/>
            <w:webHidden/>
          </w:rPr>
          <w:t>28</w:t>
        </w:r>
        <w:r>
          <w:rPr>
            <w:noProof/>
            <w:webHidden/>
          </w:rPr>
          <w:fldChar w:fldCharType="end"/>
        </w:r>
      </w:hyperlink>
    </w:p>
    <w:p w:rsidR="008405A0" w:rsidRPr="00D85439" w:rsidRDefault="003353E8" w:rsidP="000D6B2F">
      <w:r w:rsidRPr="00D85439">
        <w:fldChar w:fldCharType="end"/>
      </w:r>
      <w:r>
        <w:br w:type="page"/>
      </w:r>
    </w:p>
    <w:p w:rsidR="00421682" w:rsidRPr="00D85439" w:rsidRDefault="00AD7EE7" w:rsidP="000D6B2F">
      <w:r>
        <w:lastRenderedPageBreak/>
        <w:t>Los dictámenes aprobados en el pleno de los días 12 y 13 de diciembre de 2018 fueron los siguientes:</w:t>
      </w:r>
    </w:p>
    <w:p w:rsidR="00A43397" w:rsidRPr="00D85439" w:rsidRDefault="00A43397" w:rsidP="000D6B2F">
      <w:pPr>
        <w:rPr>
          <w:lang w:val="en-GB"/>
        </w:rPr>
      </w:pPr>
    </w:p>
    <w:p w:rsidR="00A43397" w:rsidRDefault="000C491C" w:rsidP="000D6B2F">
      <w:pPr>
        <w:pStyle w:val="Heading1"/>
        <w:ind w:left="567" w:hanging="567"/>
        <w:rPr>
          <w:b/>
          <w:caps/>
        </w:rPr>
      </w:pPr>
      <w:bookmarkStart w:id="0" w:name="_Toc535577278"/>
      <w:r>
        <w:rPr>
          <w:b/>
          <w:caps/>
        </w:rPr>
        <w:t>Unión Económica y Monetaria y Cohesión Económica y Social</w:t>
      </w:r>
      <w:bookmarkEnd w:id="0"/>
    </w:p>
    <w:p w:rsidR="001A35F9" w:rsidRPr="001A35F9" w:rsidRDefault="001A35F9" w:rsidP="001A35F9">
      <w:pPr>
        <w:pStyle w:val="ListParagraph"/>
        <w:ind w:left="567"/>
        <w:rPr>
          <w:b/>
          <w:caps/>
          <w:kern w:val="28"/>
          <w:lang w:val="en-GB"/>
        </w:rPr>
      </w:pPr>
    </w:p>
    <w:p w:rsidR="00C9647E" w:rsidRPr="00A92296" w:rsidRDefault="00A92296" w:rsidP="00A92296">
      <w:pPr>
        <w:pStyle w:val="ListParagraph"/>
        <w:numPr>
          <w:ilvl w:val="0"/>
          <w:numId w:val="120"/>
        </w:numPr>
        <w:ind w:left="567" w:hanging="567"/>
        <w:rPr>
          <w:b/>
          <w:caps/>
          <w:kern w:val="28"/>
        </w:rPr>
      </w:pPr>
      <w:r>
        <w:rPr>
          <w:b/>
          <w:bCs/>
          <w:i/>
          <w:iCs/>
          <w:sz w:val="28"/>
          <w:szCs w:val="28"/>
        </w:rPr>
        <w:t>Sistema Europeo de Supervisión Financiera (SESF) – Propuesta modificada de lucha contra el blanqueo de capitales</w:t>
      </w:r>
    </w:p>
    <w:p w:rsidR="00A92296" w:rsidRDefault="00A92296" w:rsidP="00A92296">
      <w:pPr>
        <w:rPr>
          <w:b/>
          <w:caps/>
          <w:kern w:val="28"/>
          <w:lang w:val="en-GB"/>
        </w:rPr>
      </w:pPr>
    </w:p>
    <w:p w:rsidR="00A92296" w:rsidRDefault="00A92296" w:rsidP="00A92296">
      <w:pPr>
        <w:tabs>
          <w:tab w:val="left" w:pos="2268"/>
        </w:tabs>
      </w:pPr>
      <w:r>
        <w:rPr>
          <w:b/>
        </w:rPr>
        <w:t>Ponente general:</w:t>
      </w:r>
      <w:r>
        <w:tab/>
        <w:t>Petr ZAHRADNÍK (Empresarios – CZ)</w:t>
      </w:r>
    </w:p>
    <w:p w:rsidR="00A92296" w:rsidRPr="00967F51" w:rsidRDefault="00A92296" w:rsidP="00A92296">
      <w:pPr>
        <w:tabs>
          <w:tab w:val="left" w:pos="1701"/>
        </w:tabs>
        <w:rPr>
          <w:lang w:val="en-GB"/>
        </w:rPr>
      </w:pPr>
    </w:p>
    <w:p w:rsidR="00A92296" w:rsidRDefault="00A92296" w:rsidP="00A92296">
      <w:pPr>
        <w:tabs>
          <w:tab w:val="left" w:pos="1701"/>
        </w:tabs>
        <w:ind w:left="-5"/>
      </w:pPr>
      <w:r>
        <w:rPr>
          <w:b/>
          <w:bCs/>
        </w:rPr>
        <w:t>Referencias:</w:t>
      </w:r>
      <w:r w:rsidR="00E21F22">
        <w:rPr>
          <w:b/>
          <w:bCs/>
        </w:rPr>
        <w:tab/>
      </w:r>
      <w:r w:rsidR="00005D1A">
        <w:rPr>
          <w:b/>
          <w:bCs/>
        </w:rPr>
        <w:tab/>
      </w:r>
      <w:r>
        <w:t>COM(2018) 646 final – 2017/0230 (COD)</w:t>
      </w:r>
    </w:p>
    <w:p w:rsidR="00A92296" w:rsidRPr="00411ABF" w:rsidRDefault="00005D1A" w:rsidP="00623A46">
      <w:pPr>
        <w:ind w:left="1701"/>
        <w:rPr>
          <w:iCs/>
        </w:rPr>
      </w:pPr>
      <w:r>
        <w:tab/>
      </w:r>
      <w:r w:rsidR="00A92296">
        <w:t>EESC-2018-04922-00-00-AC-TRA</w:t>
      </w:r>
    </w:p>
    <w:p w:rsidR="00A92296" w:rsidRPr="00967F51" w:rsidRDefault="001A35F9" w:rsidP="00A92296">
      <w:pPr>
        <w:ind w:left="-5"/>
        <w:rPr>
          <w:b/>
        </w:rPr>
      </w:pPr>
      <w:r>
        <w:tab/>
      </w:r>
    </w:p>
    <w:p w:rsidR="00A92296" w:rsidRDefault="00A92296" w:rsidP="00A92296">
      <w:pPr>
        <w:ind w:left="-5"/>
        <w:rPr>
          <w:b/>
        </w:rPr>
      </w:pPr>
      <w:r>
        <w:rPr>
          <w:b/>
        </w:rPr>
        <w:t>Puntos clave</w:t>
      </w:r>
    </w:p>
    <w:p w:rsidR="001A35F9" w:rsidRDefault="001A35F9" w:rsidP="00A92296">
      <w:pPr>
        <w:keepNext/>
        <w:spacing w:line="240" w:lineRule="auto"/>
        <w:rPr>
          <w:color w:val="000000" w:themeColor="text1"/>
        </w:rPr>
      </w:pPr>
    </w:p>
    <w:p w:rsidR="00A92296" w:rsidRDefault="00A92296" w:rsidP="00A92296">
      <w:pPr>
        <w:keepNext/>
        <w:spacing w:line="240" w:lineRule="auto"/>
        <w:rPr>
          <w:color w:val="000000" w:themeColor="text1"/>
        </w:rPr>
      </w:pPr>
      <w:r>
        <w:rPr>
          <w:color w:val="000000" w:themeColor="text1"/>
        </w:rPr>
        <w:t>El CESE:</w:t>
      </w:r>
    </w:p>
    <w:p w:rsidR="00A92296" w:rsidRDefault="00A92296" w:rsidP="00A92296">
      <w:pPr>
        <w:keepNext/>
        <w:spacing w:line="240" w:lineRule="auto"/>
        <w:rPr>
          <w:color w:val="000000" w:themeColor="text1"/>
        </w:rPr>
      </w:pPr>
    </w:p>
    <w:p w:rsidR="00A92296" w:rsidRDefault="00A92296" w:rsidP="00543C6C">
      <w:pPr>
        <w:pStyle w:val="ListParagraph"/>
        <w:numPr>
          <w:ilvl w:val="0"/>
          <w:numId w:val="120"/>
        </w:numPr>
        <w:spacing w:line="240" w:lineRule="auto"/>
        <w:ind w:left="567" w:hanging="567"/>
      </w:pPr>
      <w:r>
        <w:t>valora positivamente la flexibilidad con la que la Comisión Europea está respondiendo a los problemas sobre blanqueo de capitales;</w:t>
      </w:r>
    </w:p>
    <w:p w:rsidR="00A92296" w:rsidRDefault="00A92296" w:rsidP="00456D45">
      <w:pPr>
        <w:spacing w:line="240" w:lineRule="auto"/>
        <w:ind w:left="567" w:hanging="567"/>
      </w:pPr>
    </w:p>
    <w:p w:rsidR="00A92296" w:rsidRDefault="00A92296" w:rsidP="00543C6C">
      <w:pPr>
        <w:pStyle w:val="ListParagraph"/>
        <w:numPr>
          <w:ilvl w:val="0"/>
          <w:numId w:val="120"/>
        </w:numPr>
        <w:spacing w:line="240" w:lineRule="auto"/>
        <w:ind w:left="567" w:hanging="567"/>
      </w:pPr>
      <w:r>
        <w:t>también considera que, además de reforzar la coordinación y aumentar la eficacia de las interacciones entre las autoridades de supervisión, las actividades también deberían coordinarse con las demás partes interesadas;</w:t>
      </w:r>
    </w:p>
    <w:p w:rsidR="00A92296" w:rsidRDefault="00A92296" w:rsidP="00456D45">
      <w:pPr>
        <w:spacing w:line="240" w:lineRule="auto"/>
        <w:ind w:left="567" w:hanging="567"/>
      </w:pPr>
    </w:p>
    <w:p w:rsidR="00A92296" w:rsidRDefault="00A92296" w:rsidP="00543C6C">
      <w:pPr>
        <w:pStyle w:val="ListParagraph"/>
        <w:numPr>
          <w:ilvl w:val="0"/>
          <w:numId w:val="120"/>
        </w:numPr>
        <w:spacing w:line="240" w:lineRule="auto"/>
        <w:ind w:left="567" w:hanging="567"/>
      </w:pPr>
      <w:r>
        <w:t>destaca la creciente importancia que reviste este problema para los terceros países;</w:t>
      </w:r>
    </w:p>
    <w:p w:rsidR="00A92296" w:rsidRDefault="00A92296" w:rsidP="00456D45">
      <w:pPr>
        <w:spacing w:line="240" w:lineRule="auto"/>
        <w:ind w:left="567" w:hanging="567"/>
      </w:pPr>
    </w:p>
    <w:p w:rsidR="00A92296" w:rsidRDefault="00A92296" w:rsidP="00543C6C">
      <w:pPr>
        <w:pStyle w:val="ListParagraph"/>
        <w:numPr>
          <w:ilvl w:val="0"/>
          <w:numId w:val="120"/>
        </w:numPr>
        <w:spacing w:line="240" w:lineRule="auto"/>
        <w:ind w:left="567" w:hanging="567"/>
      </w:pPr>
      <w:r>
        <w:t>constata que es preferible proceder de manera más gradual, a fin de evitar una importante perturbación de la estabilidad y la funcionalidad del sistema existente;</w:t>
      </w:r>
    </w:p>
    <w:p w:rsidR="00A92296" w:rsidRDefault="00A92296" w:rsidP="00456D45">
      <w:pPr>
        <w:spacing w:line="240" w:lineRule="auto"/>
        <w:ind w:left="567" w:hanging="567"/>
      </w:pPr>
    </w:p>
    <w:p w:rsidR="00A92296" w:rsidRDefault="00A92296" w:rsidP="00543C6C">
      <w:pPr>
        <w:pStyle w:val="ListParagraph"/>
        <w:numPr>
          <w:ilvl w:val="0"/>
          <w:numId w:val="126"/>
        </w:numPr>
        <w:spacing w:line="240" w:lineRule="auto"/>
        <w:ind w:left="567" w:hanging="567"/>
      </w:pPr>
      <w:r>
        <w:t>subraya la importancia de la comunicación interna y externa en materia de blanqueo de capitales y financiación del terrorismo:</w:t>
      </w:r>
    </w:p>
    <w:p w:rsidR="00A92296" w:rsidRDefault="00A92296" w:rsidP="00456D45">
      <w:pPr>
        <w:spacing w:line="240" w:lineRule="auto"/>
      </w:pPr>
    </w:p>
    <w:p w:rsidR="00A92296" w:rsidRDefault="00B920F7" w:rsidP="00543C6C">
      <w:pPr>
        <w:pStyle w:val="ListParagraph"/>
        <w:numPr>
          <w:ilvl w:val="0"/>
          <w:numId w:val="124"/>
        </w:numPr>
        <w:spacing w:line="240" w:lineRule="auto"/>
        <w:ind w:left="1134" w:hanging="567"/>
      </w:pPr>
      <w:r>
        <w:t>comunicación interna: resulta esencial optimizar y proteger los flujos de información entre las autoridades de supervisión competentes;</w:t>
      </w:r>
    </w:p>
    <w:p w:rsidR="00A92296" w:rsidRDefault="00B920F7" w:rsidP="00543C6C">
      <w:pPr>
        <w:pStyle w:val="ListParagraph"/>
        <w:numPr>
          <w:ilvl w:val="0"/>
          <w:numId w:val="124"/>
        </w:numPr>
        <w:spacing w:line="240" w:lineRule="auto"/>
        <w:ind w:left="1134" w:hanging="567"/>
      </w:pPr>
      <w:r>
        <w:t>comunicación externa: el reto reside en informar y sensibilizar al público interesado, ya que se trata de una forma de prevención y preparación ante la posibilidad de que se cometa este tipo de acto delictivo;</w:t>
      </w:r>
    </w:p>
    <w:p w:rsidR="00A92296" w:rsidRDefault="00A92296" w:rsidP="00456D45">
      <w:pPr>
        <w:spacing w:line="240" w:lineRule="auto"/>
        <w:ind w:left="567" w:hanging="567"/>
      </w:pPr>
    </w:p>
    <w:p w:rsidR="00A92296" w:rsidRDefault="00A92296" w:rsidP="00543C6C">
      <w:pPr>
        <w:pStyle w:val="ListParagraph"/>
        <w:numPr>
          <w:ilvl w:val="0"/>
          <w:numId w:val="120"/>
        </w:numPr>
        <w:ind w:left="567" w:hanging="567"/>
      </w:pPr>
      <w:r>
        <w:t>acogería con agrado una descripción más detallada de las nuevas relaciones entre la Autoridad Bancaria Europea y las otras autoridades de supervisión, ya sean de la UE, de los Estados miembros o, especialmente, de terceros países.</w:t>
      </w:r>
    </w:p>
    <w:p w:rsidR="00A92296" w:rsidRDefault="00A92296" w:rsidP="00A92296">
      <w:pPr>
        <w:keepNext/>
        <w:spacing w:line="240" w:lineRule="auto"/>
        <w:rPr>
          <w:color w:val="000000" w:themeColor="text1"/>
        </w:rPr>
      </w:pPr>
    </w:p>
    <w:p w:rsidR="00ED6A60" w:rsidRPr="00F804DC" w:rsidRDefault="00ED6A60" w:rsidP="00ED6A60">
      <w:pPr>
        <w:tabs>
          <w:tab w:val="left" w:pos="1701"/>
        </w:tabs>
        <w:rPr>
          <w:i/>
        </w:rPr>
      </w:pPr>
      <w:r>
        <w:rPr>
          <w:b/>
          <w:i/>
        </w:rPr>
        <w:t>Contacto:</w:t>
      </w:r>
      <w:r>
        <w:rPr>
          <w:i/>
        </w:rPr>
        <w:t xml:space="preserve"> </w:t>
      </w:r>
      <w:r>
        <w:rPr>
          <w:i/>
        </w:rPr>
        <w:tab/>
        <w:t>Gerald Klec</w:t>
      </w:r>
    </w:p>
    <w:p w:rsidR="00ED6A60" w:rsidRDefault="00ED6A60" w:rsidP="00ED6A60">
      <w:pPr>
        <w:keepNext/>
        <w:tabs>
          <w:tab w:val="left" w:pos="1701"/>
        </w:tabs>
        <w:spacing w:line="240" w:lineRule="auto"/>
        <w:rPr>
          <w:color w:val="000000" w:themeColor="text1"/>
        </w:rPr>
      </w:pPr>
      <w:r>
        <w:rPr>
          <w:i/>
        </w:rPr>
        <w:tab/>
        <w:t xml:space="preserve">(Tel. 00 32 2 546 9909 - correo electrónico: </w:t>
      </w:r>
      <w:hyperlink r:id="rId21" w:history="1">
        <w:r>
          <w:rPr>
            <w:rStyle w:val="Hyperlink"/>
            <w:i/>
          </w:rPr>
          <w:t>gerald.klec@eesc.europa.eu</w:t>
        </w:r>
      </w:hyperlink>
      <w:r>
        <w:rPr>
          <w:i/>
        </w:rPr>
        <w:t>)</w:t>
      </w:r>
    </w:p>
    <w:p w:rsidR="00A92296" w:rsidRPr="00A92296" w:rsidRDefault="00A92296" w:rsidP="00A92296">
      <w:pPr>
        <w:rPr>
          <w:b/>
          <w:caps/>
          <w:kern w:val="28"/>
          <w:lang w:val="en-GB"/>
        </w:rPr>
      </w:pPr>
    </w:p>
    <w:p w:rsidR="00A43397" w:rsidRDefault="000C491C" w:rsidP="00E21F22">
      <w:pPr>
        <w:pStyle w:val="Heading1"/>
        <w:keepNext/>
        <w:keepLines/>
        <w:ind w:left="567" w:hanging="567"/>
        <w:rPr>
          <w:b/>
          <w:caps/>
        </w:rPr>
      </w:pPr>
      <w:bookmarkStart w:id="1" w:name="_Toc535577279"/>
      <w:r>
        <w:rPr>
          <w:b/>
          <w:caps/>
        </w:rPr>
        <w:lastRenderedPageBreak/>
        <w:t>Mercado Único, Producción y Consumo</w:t>
      </w:r>
      <w:bookmarkEnd w:id="1"/>
    </w:p>
    <w:p w:rsidR="001A35F9" w:rsidRPr="001A35F9" w:rsidRDefault="001A35F9" w:rsidP="00E21F22">
      <w:pPr>
        <w:keepNext/>
        <w:keepLines/>
        <w:widowControl w:val="0"/>
        <w:overflowPunct w:val="0"/>
        <w:autoSpaceDE w:val="0"/>
        <w:autoSpaceDN w:val="0"/>
        <w:adjustRightInd w:val="0"/>
        <w:ind w:left="567"/>
        <w:rPr>
          <w:sz w:val="24"/>
          <w:szCs w:val="24"/>
        </w:rPr>
      </w:pPr>
    </w:p>
    <w:p w:rsidR="00F91D6A" w:rsidRPr="00B2569F" w:rsidRDefault="00945FB7" w:rsidP="00E21F22">
      <w:pPr>
        <w:keepNext/>
        <w:keepLines/>
        <w:widowControl w:val="0"/>
        <w:numPr>
          <w:ilvl w:val="0"/>
          <w:numId w:val="25"/>
        </w:numPr>
        <w:overflowPunct w:val="0"/>
        <w:autoSpaceDE w:val="0"/>
        <w:autoSpaceDN w:val="0"/>
        <w:adjustRightInd w:val="0"/>
        <w:ind w:left="567" w:hanging="567"/>
        <w:rPr>
          <w:sz w:val="24"/>
          <w:szCs w:val="24"/>
        </w:rPr>
      </w:pPr>
      <w:r>
        <w:rPr>
          <w:b/>
          <w:i/>
          <w:sz w:val="28"/>
          <w:szCs w:val="28"/>
        </w:rPr>
        <w:t>Sector minorista</w:t>
      </w:r>
    </w:p>
    <w:p w:rsidR="00F91D6A" w:rsidRPr="00B2569F" w:rsidRDefault="00F91D6A" w:rsidP="00E21F22">
      <w:pPr>
        <w:keepNext/>
        <w:keepLines/>
        <w:tabs>
          <w:tab w:val="center" w:pos="284"/>
        </w:tabs>
        <w:ind w:left="266" w:hanging="266"/>
        <w:rPr>
          <w:b/>
          <w:szCs w:val="20"/>
        </w:rPr>
      </w:pPr>
    </w:p>
    <w:p w:rsidR="00F91D6A" w:rsidRDefault="00F91D6A" w:rsidP="00E21F22">
      <w:pPr>
        <w:keepNext/>
        <w:keepLines/>
      </w:pPr>
      <w:r>
        <w:rPr>
          <w:b/>
        </w:rPr>
        <w:t>Ponente:</w:t>
      </w:r>
      <w:r>
        <w:t xml:space="preserve"> </w:t>
      </w:r>
      <w:r>
        <w:tab/>
      </w:r>
      <w:r w:rsidR="00E21F22">
        <w:tab/>
      </w:r>
      <w:r>
        <w:t>Ronny LANNOO (Diversidad Europa – BE)</w:t>
      </w:r>
    </w:p>
    <w:p w:rsidR="00F91D6A" w:rsidRPr="00B2569F" w:rsidRDefault="00F91D6A" w:rsidP="00E21F22">
      <w:pPr>
        <w:keepNext/>
        <w:keepLines/>
        <w:tabs>
          <w:tab w:val="center" w:pos="284"/>
        </w:tabs>
        <w:ind w:left="266" w:hanging="266"/>
        <w:rPr>
          <w:b/>
        </w:rPr>
      </w:pPr>
      <w:r>
        <w:rPr>
          <w:b/>
        </w:rPr>
        <w:t>Coponente:</w:t>
      </w:r>
      <w:r w:rsidR="00E21F22">
        <w:rPr>
          <w:b/>
        </w:rPr>
        <w:tab/>
      </w:r>
      <w:r w:rsidR="00E21F22">
        <w:rPr>
          <w:b/>
        </w:rPr>
        <w:tab/>
      </w:r>
      <w:r>
        <w:t>Gerardo LARGHI (Trabajadores– IT)</w:t>
      </w:r>
    </w:p>
    <w:p w:rsidR="00945FB7" w:rsidRDefault="00945FB7" w:rsidP="00F91D6A">
      <w:pPr>
        <w:tabs>
          <w:tab w:val="center" w:pos="284"/>
        </w:tabs>
        <w:ind w:left="266" w:hanging="266"/>
        <w:rPr>
          <w:b/>
        </w:rPr>
      </w:pPr>
    </w:p>
    <w:p w:rsidR="00F91D6A" w:rsidRDefault="00945FB7" w:rsidP="00F91D6A">
      <w:pPr>
        <w:tabs>
          <w:tab w:val="center" w:pos="284"/>
        </w:tabs>
        <w:ind w:left="266" w:hanging="266"/>
      </w:pPr>
      <w:r>
        <w:rPr>
          <w:b/>
        </w:rPr>
        <w:t>Referencias:</w:t>
      </w:r>
      <w:r w:rsidR="00E21F22">
        <w:rPr>
          <w:b/>
        </w:rPr>
        <w:tab/>
      </w:r>
      <w:r>
        <w:t>COM(2018) 219 final</w:t>
      </w:r>
    </w:p>
    <w:p w:rsidR="00F91D6A" w:rsidRPr="00B2569F" w:rsidRDefault="00F91D6A" w:rsidP="00623A46">
      <w:pPr>
        <w:ind w:left="1701" w:firstLine="18"/>
      </w:pPr>
      <w:r>
        <w:t>EESC-2018-02861-00-01-AC-TRA</w:t>
      </w:r>
    </w:p>
    <w:p w:rsidR="00F91D6A" w:rsidRPr="00B2569F" w:rsidRDefault="00F91D6A" w:rsidP="00F91D6A">
      <w:pPr>
        <w:tabs>
          <w:tab w:val="center" w:pos="284"/>
        </w:tabs>
        <w:ind w:left="266" w:hanging="266"/>
        <w:rPr>
          <w:szCs w:val="20"/>
        </w:rPr>
      </w:pPr>
    </w:p>
    <w:p w:rsidR="00F91D6A" w:rsidRPr="00B2569F" w:rsidRDefault="00945FB7" w:rsidP="00F91D6A">
      <w:pPr>
        <w:tabs>
          <w:tab w:val="center" w:pos="284"/>
        </w:tabs>
        <w:ind w:left="266" w:hanging="266"/>
        <w:rPr>
          <w:b/>
        </w:rPr>
      </w:pPr>
      <w:r>
        <w:rPr>
          <w:b/>
        </w:rPr>
        <w:t>Puntos clave</w:t>
      </w:r>
    </w:p>
    <w:p w:rsidR="001A35F9" w:rsidRDefault="001A35F9" w:rsidP="00F91D6A"/>
    <w:p w:rsidR="00F91D6A" w:rsidRDefault="00F91D6A" w:rsidP="00F91D6A">
      <w:r>
        <w:t>El CESE:</w:t>
      </w:r>
    </w:p>
    <w:p w:rsidR="008030CD" w:rsidRPr="00B2569F" w:rsidRDefault="008030CD" w:rsidP="00F91D6A">
      <w:pPr>
        <w:rPr>
          <w:szCs w:val="20"/>
        </w:rPr>
      </w:pPr>
    </w:p>
    <w:p w:rsidR="00F91D6A" w:rsidRDefault="00F91D6A" w:rsidP="008030CD">
      <w:pPr>
        <w:pStyle w:val="ListParagraph"/>
        <w:numPr>
          <w:ilvl w:val="0"/>
          <w:numId w:val="96"/>
        </w:numPr>
        <w:overflowPunct w:val="0"/>
        <w:autoSpaceDE w:val="0"/>
        <w:autoSpaceDN w:val="0"/>
        <w:adjustRightInd w:val="0"/>
        <w:ind w:left="567" w:hanging="567"/>
      </w:pPr>
      <w:r>
        <w:t>señala que la propuesta de la Comisión se centra demasiado en el «precio» como elemento más interesante para los consumidores, en detrimento de otros aspectos fundamentales como la información, la calidad y la personalización de los productos, la proximidad, la movilidad, la economía circular y la durabilidad, la relación calidad-precio y el servicio recibido antes o después de la compra;</w:t>
      </w:r>
    </w:p>
    <w:p w:rsidR="00270FF0" w:rsidRPr="00270FF0" w:rsidRDefault="00270FF0" w:rsidP="00270FF0">
      <w:pPr>
        <w:overflowPunct w:val="0"/>
        <w:autoSpaceDE w:val="0"/>
        <w:autoSpaceDN w:val="0"/>
        <w:adjustRightInd w:val="0"/>
        <w:rPr>
          <w:lang w:val="fr-FR"/>
        </w:rPr>
      </w:pPr>
    </w:p>
    <w:p w:rsidR="00F91D6A" w:rsidRDefault="00F91D6A" w:rsidP="008030CD">
      <w:pPr>
        <w:pStyle w:val="ListParagraph"/>
        <w:numPr>
          <w:ilvl w:val="0"/>
          <w:numId w:val="96"/>
        </w:numPr>
        <w:overflowPunct w:val="0"/>
        <w:autoSpaceDE w:val="0"/>
        <w:autoSpaceDN w:val="0"/>
        <w:adjustRightInd w:val="0"/>
        <w:ind w:left="567" w:hanging="567"/>
      </w:pPr>
      <w:r>
        <w:t>considera que la creación de un mecanismo de diálogo social eficaz que también incluya a las pequeñas empresas y las microempresas brindaría a los comercios mejores oportunidades de desarrollo y a los trabajadores un mejor sistema de salvaguardias;</w:t>
      </w:r>
    </w:p>
    <w:p w:rsidR="00270FF0" w:rsidRPr="00270FF0" w:rsidRDefault="00270FF0" w:rsidP="00270FF0">
      <w:pPr>
        <w:overflowPunct w:val="0"/>
        <w:autoSpaceDE w:val="0"/>
        <w:autoSpaceDN w:val="0"/>
        <w:adjustRightInd w:val="0"/>
        <w:rPr>
          <w:lang w:val="fr-FR"/>
        </w:rPr>
      </w:pPr>
    </w:p>
    <w:p w:rsidR="00F91D6A" w:rsidRPr="00B2569F" w:rsidRDefault="00F91D6A" w:rsidP="008030CD">
      <w:pPr>
        <w:pStyle w:val="ListParagraph"/>
        <w:keepNext/>
        <w:numPr>
          <w:ilvl w:val="0"/>
          <w:numId w:val="96"/>
        </w:numPr>
        <w:tabs>
          <w:tab w:val="left" w:pos="0"/>
        </w:tabs>
        <w:overflowPunct w:val="0"/>
        <w:autoSpaceDE w:val="0"/>
        <w:autoSpaceDN w:val="0"/>
        <w:adjustRightInd w:val="0"/>
        <w:spacing w:line="240" w:lineRule="auto"/>
        <w:ind w:left="567" w:hanging="567"/>
      </w:pPr>
      <w:r>
        <w:t>apela a las autoridades de todos los niveles para que entablen una estrecha cooperación con todas las partes interesadas con vistas a elaborar un plan de acción específico sobre el futuro del sector minorista europeo en el siglo XXI.</w:t>
      </w:r>
    </w:p>
    <w:p w:rsidR="00F91D6A" w:rsidRPr="00B2569F" w:rsidRDefault="00F91D6A" w:rsidP="00F91D6A">
      <w:pPr>
        <w:rPr>
          <w:b/>
        </w:rPr>
      </w:pPr>
    </w:p>
    <w:p w:rsidR="00F91D6A" w:rsidRPr="00B2569F" w:rsidRDefault="00F91D6A" w:rsidP="008030CD">
      <w:pPr>
        <w:tabs>
          <w:tab w:val="left" w:pos="1701"/>
        </w:tabs>
        <w:rPr>
          <w:i/>
          <w:szCs w:val="20"/>
        </w:rPr>
      </w:pPr>
      <w:r>
        <w:rPr>
          <w:b/>
          <w:i/>
        </w:rPr>
        <w:t>Contacto:</w:t>
      </w:r>
      <w:r>
        <w:tab/>
      </w:r>
      <w:r>
        <w:rPr>
          <w:i/>
        </w:rPr>
        <w:t>Marie-Laurence Drillon</w:t>
      </w:r>
    </w:p>
    <w:p w:rsidR="00F91D6A" w:rsidRPr="00B2569F" w:rsidRDefault="008030CD" w:rsidP="00E21F22">
      <w:pPr>
        <w:tabs>
          <w:tab w:val="left" w:pos="1701"/>
        </w:tabs>
        <w:ind w:left="1701" w:hanging="1701"/>
        <w:rPr>
          <w:i/>
        </w:rPr>
      </w:pPr>
      <w:r>
        <w:rPr>
          <w:i/>
        </w:rPr>
        <w:tab/>
        <w:t xml:space="preserve">(Tel. 00 32 2 546 83 20 – correo electrónico: </w:t>
      </w:r>
      <w:hyperlink r:id="rId22" w:history="1">
        <w:r>
          <w:rPr>
            <w:rStyle w:val="Hyperlink"/>
            <w:i/>
          </w:rPr>
          <w:t>marie-laurence.drillon@eesc.europa.eu</w:t>
        </w:r>
      </w:hyperlink>
      <w:r>
        <w:rPr>
          <w:i/>
        </w:rPr>
        <w:t>)</w:t>
      </w:r>
    </w:p>
    <w:p w:rsidR="001A35F9" w:rsidRPr="001A35F9" w:rsidRDefault="001A35F9" w:rsidP="001A35F9">
      <w:pPr>
        <w:widowControl w:val="0"/>
        <w:overflowPunct w:val="0"/>
        <w:autoSpaceDE w:val="0"/>
        <w:autoSpaceDN w:val="0"/>
        <w:adjustRightInd w:val="0"/>
        <w:ind w:left="567"/>
        <w:rPr>
          <w:i/>
          <w:sz w:val="28"/>
          <w:szCs w:val="28"/>
        </w:rPr>
      </w:pPr>
    </w:p>
    <w:p w:rsidR="00F91D6A" w:rsidRPr="00860B56" w:rsidRDefault="00F91D6A" w:rsidP="007E47DD">
      <w:pPr>
        <w:widowControl w:val="0"/>
        <w:numPr>
          <w:ilvl w:val="0"/>
          <w:numId w:val="25"/>
        </w:numPr>
        <w:overflowPunct w:val="0"/>
        <w:autoSpaceDE w:val="0"/>
        <w:autoSpaceDN w:val="0"/>
        <w:adjustRightInd w:val="0"/>
        <w:ind w:left="567" w:hanging="567"/>
        <w:rPr>
          <w:i/>
          <w:sz w:val="28"/>
          <w:szCs w:val="28"/>
        </w:rPr>
      </w:pPr>
      <w:r>
        <w:rPr>
          <w:b/>
          <w:i/>
          <w:sz w:val="28"/>
          <w:szCs w:val="28"/>
        </w:rPr>
        <w:t>Informe sobre la política de competencia 2017</w:t>
      </w:r>
    </w:p>
    <w:p w:rsidR="00F91D6A" w:rsidRPr="00B2569F" w:rsidRDefault="00F91D6A" w:rsidP="00F91D6A">
      <w:pPr>
        <w:tabs>
          <w:tab w:val="center" w:pos="284"/>
        </w:tabs>
        <w:ind w:left="266" w:hanging="266"/>
        <w:rPr>
          <w:b/>
          <w:szCs w:val="20"/>
        </w:rPr>
      </w:pPr>
    </w:p>
    <w:p w:rsidR="00F91D6A" w:rsidRPr="007B057A" w:rsidRDefault="00F91D6A" w:rsidP="007E47DD">
      <w:pPr>
        <w:tabs>
          <w:tab w:val="left" w:pos="1701"/>
        </w:tabs>
      </w:pPr>
      <w:r>
        <w:rPr>
          <w:b/>
        </w:rPr>
        <w:t>Ponente:</w:t>
      </w:r>
      <w:r>
        <w:t xml:space="preserve"> </w:t>
      </w:r>
      <w:r>
        <w:tab/>
        <w:t>Baiba MILTOVIČA (Diversidad Europa — LV)</w:t>
      </w:r>
    </w:p>
    <w:p w:rsidR="007E47DD" w:rsidRDefault="007E47DD" w:rsidP="00F91D6A">
      <w:pPr>
        <w:tabs>
          <w:tab w:val="center" w:pos="284"/>
        </w:tabs>
        <w:ind w:left="266" w:hanging="266"/>
        <w:rPr>
          <w:b/>
        </w:rPr>
      </w:pPr>
    </w:p>
    <w:p w:rsidR="00F91D6A" w:rsidRDefault="00F91D6A" w:rsidP="00F91D6A">
      <w:pPr>
        <w:tabs>
          <w:tab w:val="center" w:pos="284"/>
        </w:tabs>
        <w:ind w:left="266" w:hanging="266"/>
      </w:pPr>
      <w:r>
        <w:rPr>
          <w:b/>
        </w:rPr>
        <w:t>Referencias:</w:t>
      </w:r>
      <w:r w:rsidR="00E21F22">
        <w:rPr>
          <w:b/>
        </w:rPr>
        <w:tab/>
      </w:r>
      <w:r>
        <w:t>COM(2018) 482 final</w:t>
      </w:r>
    </w:p>
    <w:p w:rsidR="00F91D6A" w:rsidRPr="00B2569F" w:rsidRDefault="00F91D6A" w:rsidP="001A35F9">
      <w:pPr>
        <w:ind w:left="1701" w:firstLine="18"/>
      </w:pPr>
      <w:r>
        <w:t>EESC-2018-04011-00-00-AC-TRA</w:t>
      </w:r>
    </w:p>
    <w:p w:rsidR="00F91D6A" w:rsidRPr="00B2569F" w:rsidRDefault="00F91D6A" w:rsidP="00F91D6A">
      <w:pPr>
        <w:tabs>
          <w:tab w:val="center" w:pos="284"/>
        </w:tabs>
        <w:ind w:left="266" w:hanging="266"/>
        <w:rPr>
          <w:szCs w:val="20"/>
        </w:rPr>
      </w:pPr>
    </w:p>
    <w:p w:rsidR="00F91D6A" w:rsidRPr="00B2569F" w:rsidRDefault="00F91D6A" w:rsidP="00E21F22">
      <w:pPr>
        <w:keepNext/>
        <w:keepLines/>
        <w:tabs>
          <w:tab w:val="center" w:pos="284"/>
        </w:tabs>
        <w:ind w:left="266" w:hanging="266"/>
        <w:rPr>
          <w:b/>
        </w:rPr>
      </w:pPr>
      <w:r>
        <w:rPr>
          <w:b/>
        </w:rPr>
        <w:lastRenderedPageBreak/>
        <w:t>Puntos clave</w:t>
      </w:r>
    </w:p>
    <w:p w:rsidR="001A35F9" w:rsidRDefault="001A35F9" w:rsidP="00E21F22">
      <w:pPr>
        <w:keepNext/>
        <w:keepLines/>
        <w:rPr>
          <w:color w:val="000000"/>
        </w:rPr>
      </w:pPr>
    </w:p>
    <w:p w:rsidR="007E47DD" w:rsidRDefault="00F91D6A" w:rsidP="00E21F22">
      <w:pPr>
        <w:keepNext/>
        <w:keepLines/>
        <w:rPr>
          <w:color w:val="000000"/>
        </w:rPr>
      </w:pPr>
      <w:r>
        <w:rPr>
          <w:color w:val="000000"/>
        </w:rPr>
        <w:t>El CESE:</w:t>
      </w:r>
    </w:p>
    <w:p w:rsidR="00F91D6A" w:rsidRDefault="00F91D6A" w:rsidP="00E21F22">
      <w:pPr>
        <w:keepNext/>
        <w:keepLines/>
        <w:rPr>
          <w:color w:val="000000"/>
        </w:rPr>
      </w:pPr>
      <w:r>
        <w:rPr>
          <w:color w:val="000000"/>
        </w:rPr>
        <w:t xml:space="preserve"> </w:t>
      </w:r>
    </w:p>
    <w:p w:rsidR="00F91D6A" w:rsidRDefault="00F91D6A" w:rsidP="00E21F22">
      <w:pPr>
        <w:pStyle w:val="ListParagraph"/>
        <w:keepNext/>
        <w:keepLines/>
        <w:numPr>
          <w:ilvl w:val="0"/>
          <w:numId w:val="97"/>
        </w:numPr>
        <w:ind w:left="567" w:hanging="567"/>
        <w:rPr>
          <w:color w:val="000000"/>
        </w:rPr>
      </w:pPr>
      <w:r>
        <w:rPr>
          <w:color w:val="000000"/>
        </w:rPr>
        <w:t>considera que el refuerzo de la autonomía de las ANC y la provisión de recursos adecuados resultan de vital importancia. Para que su labor sea eficaz, necesitan verdadera independencia, conocimientos especializados y formación;</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aboga por el cumplimiento de las normas de competencia en el sector privado y por que los ordenamientos jurídicos de todos los Estados miembros faciliten la interposición de demandas colectivas;</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considera que deberían considerarse otras propuestas sobre franquicias, que se incluirán en el Reglamento de exención por categorías para restablecer el equilibrio comercial y contractual entre los franquiciados y el franquiciador;</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estima que, cuando resulten significativas para las actividades paracomerciales desarrolladas por entes locales, deberán analizarse para comprobar si es necesario adaptar las normas sobre ayudas estatales u otros instrumentos;</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pide la inclusión de una disposición específica en el marco financiero plurianual para realizar un seguimiento de prácticas contrarias a la competencia que se están creando en la economía digital.</w:t>
      </w:r>
    </w:p>
    <w:p w:rsidR="00F91D6A" w:rsidRPr="00B2569F" w:rsidRDefault="00F91D6A" w:rsidP="00F91D6A">
      <w:pPr>
        <w:pStyle w:val="ListParagraph"/>
        <w:rPr>
          <w:lang w:val="fr-FR"/>
        </w:rPr>
      </w:pPr>
    </w:p>
    <w:p w:rsidR="00F91D6A" w:rsidRPr="00B2569F" w:rsidRDefault="00F91D6A" w:rsidP="004B5BBE">
      <w:pPr>
        <w:tabs>
          <w:tab w:val="left" w:pos="1701"/>
        </w:tabs>
        <w:rPr>
          <w:i/>
          <w:szCs w:val="20"/>
        </w:rPr>
      </w:pPr>
      <w:r>
        <w:rPr>
          <w:b/>
          <w:i/>
        </w:rPr>
        <w:t>Contacto:</w:t>
      </w:r>
      <w:r>
        <w:tab/>
      </w:r>
      <w:r>
        <w:rPr>
          <w:i/>
        </w:rPr>
        <w:t>Alice Tétu</w:t>
      </w:r>
    </w:p>
    <w:p w:rsidR="00F91D6A" w:rsidRPr="00B2569F" w:rsidRDefault="004B5BBE" w:rsidP="004B5BBE">
      <w:pPr>
        <w:tabs>
          <w:tab w:val="left" w:pos="1701"/>
        </w:tabs>
        <w:rPr>
          <w:i/>
        </w:rPr>
      </w:pPr>
      <w:r>
        <w:rPr>
          <w:i/>
        </w:rPr>
        <w:tab/>
        <w:t xml:space="preserve">(Tel. 00 32 2 546 82 86 – correo electrónico: </w:t>
      </w:r>
      <w:hyperlink r:id="rId23" w:history="1">
        <w:r>
          <w:rPr>
            <w:rStyle w:val="Hyperlink"/>
            <w:i/>
          </w:rPr>
          <w:t>alice.tetu@eesc.europa.eu</w:t>
        </w:r>
      </w:hyperlink>
      <w:r>
        <w:rPr>
          <w:i/>
        </w:rPr>
        <w:t>)</w:t>
      </w:r>
    </w:p>
    <w:p w:rsidR="00F91D6A" w:rsidRPr="00B2569F" w:rsidRDefault="00F91D6A" w:rsidP="00F91D6A"/>
    <w:p w:rsidR="00F91D6A" w:rsidRPr="00860B56" w:rsidRDefault="004B5BBE" w:rsidP="004B5BBE">
      <w:pPr>
        <w:widowControl w:val="0"/>
        <w:numPr>
          <w:ilvl w:val="0"/>
          <w:numId w:val="25"/>
        </w:numPr>
        <w:overflowPunct w:val="0"/>
        <w:autoSpaceDE w:val="0"/>
        <w:autoSpaceDN w:val="0"/>
        <w:adjustRightInd w:val="0"/>
        <w:ind w:left="567" w:hanging="567"/>
        <w:rPr>
          <w:i/>
          <w:sz w:val="28"/>
          <w:szCs w:val="28"/>
        </w:rPr>
      </w:pPr>
      <w:r>
        <w:rPr>
          <w:b/>
          <w:i/>
          <w:sz w:val="28"/>
          <w:szCs w:val="28"/>
        </w:rPr>
        <w:t>Aplicación de los artículos 107 y 108 del TFUE a determinadas categorías de ayudas estatales horizontales</w:t>
      </w:r>
    </w:p>
    <w:p w:rsidR="00F91D6A" w:rsidRPr="00B2569F" w:rsidRDefault="00F91D6A" w:rsidP="00F91D6A">
      <w:pPr>
        <w:tabs>
          <w:tab w:val="center" w:pos="284"/>
        </w:tabs>
        <w:ind w:left="266" w:hanging="266"/>
        <w:rPr>
          <w:b/>
          <w:szCs w:val="20"/>
        </w:rPr>
      </w:pPr>
    </w:p>
    <w:p w:rsidR="00F91D6A" w:rsidRDefault="00F91D6A" w:rsidP="004B5BBE">
      <w:pPr>
        <w:tabs>
          <w:tab w:val="left" w:pos="1701"/>
        </w:tabs>
      </w:pPr>
      <w:r>
        <w:rPr>
          <w:b/>
        </w:rPr>
        <w:t>Ponente:</w:t>
      </w:r>
      <w:r>
        <w:t xml:space="preserve"> </w:t>
      </w:r>
      <w:r>
        <w:tab/>
        <w:t>Jorge PEGADO LIZ (Diversidad Europa – PT)</w:t>
      </w:r>
    </w:p>
    <w:p w:rsidR="004B5BBE" w:rsidRPr="007B057A" w:rsidRDefault="004B5BBE" w:rsidP="004B5BBE">
      <w:pPr>
        <w:tabs>
          <w:tab w:val="left" w:pos="1701"/>
        </w:tabs>
      </w:pPr>
    </w:p>
    <w:p w:rsidR="00F91D6A" w:rsidRDefault="004B5BBE" w:rsidP="00F91D6A">
      <w:pPr>
        <w:tabs>
          <w:tab w:val="center" w:pos="284"/>
        </w:tabs>
        <w:ind w:left="266" w:hanging="266"/>
      </w:pPr>
      <w:r>
        <w:rPr>
          <w:b/>
        </w:rPr>
        <w:t>Referencias:</w:t>
      </w:r>
      <w:r w:rsidR="00E21F22">
        <w:rPr>
          <w:b/>
        </w:rPr>
        <w:tab/>
      </w:r>
      <w:r>
        <w:t>COM(2018) 398 final – 2018/0222 (NLE)</w:t>
      </w:r>
    </w:p>
    <w:p w:rsidR="00F91D6A" w:rsidRPr="00B2569F" w:rsidRDefault="00F91D6A" w:rsidP="001A35F9">
      <w:pPr>
        <w:ind w:left="1701"/>
      </w:pPr>
      <w:r>
        <w:t>EESC-2018-04706-00-00-AC-TRA</w:t>
      </w:r>
    </w:p>
    <w:p w:rsidR="00F91D6A" w:rsidRPr="00B2569F" w:rsidRDefault="00F91D6A" w:rsidP="00F91D6A">
      <w:pPr>
        <w:tabs>
          <w:tab w:val="center" w:pos="284"/>
        </w:tabs>
        <w:ind w:left="266" w:hanging="266"/>
        <w:rPr>
          <w:szCs w:val="20"/>
        </w:rPr>
      </w:pPr>
    </w:p>
    <w:p w:rsidR="00F91D6A" w:rsidRPr="00143791" w:rsidRDefault="004B5BBE" w:rsidP="00F91D6A">
      <w:pPr>
        <w:tabs>
          <w:tab w:val="center" w:pos="284"/>
        </w:tabs>
        <w:ind w:left="266" w:hanging="266"/>
        <w:rPr>
          <w:b/>
        </w:rPr>
      </w:pPr>
      <w:r>
        <w:rPr>
          <w:b/>
        </w:rPr>
        <w:t>Puntos clave</w:t>
      </w:r>
    </w:p>
    <w:p w:rsidR="001A35F9" w:rsidRDefault="001A35F9" w:rsidP="00F91D6A">
      <w:pPr>
        <w:rPr>
          <w:lang w:val="fr-BE"/>
        </w:rPr>
      </w:pPr>
    </w:p>
    <w:p w:rsidR="00F91D6A" w:rsidRDefault="00F91D6A" w:rsidP="001A35F9">
      <w:pPr>
        <w:keepNext/>
      </w:pPr>
      <w:r>
        <w:t>El CESE:</w:t>
      </w:r>
    </w:p>
    <w:p w:rsidR="004B5BBE" w:rsidRPr="00D13809" w:rsidRDefault="004B5BBE" w:rsidP="001A35F9">
      <w:pPr>
        <w:keepNext/>
        <w:rPr>
          <w:lang w:val="fr-BE"/>
        </w:rPr>
      </w:pPr>
    </w:p>
    <w:p w:rsidR="00F91D6A" w:rsidRDefault="00F91D6A" w:rsidP="004B5BBE">
      <w:pPr>
        <w:pStyle w:val="ListParagraph"/>
        <w:numPr>
          <w:ilvl w:val="0"/>
          <w:numId w:val="98"/>
        </w:numPr>
        <w:ind w:left="567" w:hanging="567"/>
      </w:pPr>
      <w:r>
        <w:t>considera que esta propuesta es necesaria y oportuna. Con vistas al próximo marco financiero plurianual, la propuesta contribuye de manera decisiva a que la Comisión desempeñe un papel importante en la selección de los proyectos financiados de conformidad con el interés común de la UE y a que la ayuda pública complemente la inversión privada de forma totalmente transparente.</w:t>
      </w:r>
    </w:p>
    <w:p w:rsidR="00F91D6A" w:rsidRPr="00B2569F" w:rsidRDefault="00F91D6A" w:rsidP="00F91D6A">
      <w:pPr>
        <w:rPr>
          <w:b/>
        </w:rPr>
      </w:pPr>
    </w:p>
    <w:p w:rsidR="00F91D6A" w:rsidRPr="00B2569F" w:rsidRDefault="00F91D6A" w:rsidP="004B5BBE">
      <w:pPr>
        <w:tabs>
          <w:tab w:val="left" w:pos="1701"/>
        </w:tabs>
        <w:rPr>
          <w:i/>
          <w:szCs w:val="20"/>
        </w:rPr>
      </w:pPr>
      <w:r>
        <w:rPr>
          <w:b/>
          <w:i/>
        </w:rPr>
        <w:lastRenderedPageBreak/>
        <w:t>Contacto:</w:t>
      </w:r>
      <w:r>
        <w:tab/>
      </w:r>
      <w:r>
        <w:rPr>
          <w:i/>
        </w:rPr>
        <w:t>Alice Tétu</w:t>
      </w:r>
    </w:p>
    <w:p w:rsidR="00F91D6A" w:rsidRPr="00B2569F" w:rsidRDefault="004B5BBE" w:rsidP="004B5BBE">
      <w:pPr>
        <w:tabs>
          <w:tab w:val="left" w:pos="1701"/>
        </w:tabs>
        <w:rPr>
          <w:i/>
        </w:rPr>
      </w:pPr>
      <w:r>
        <w:rPr>
          <w:i/>
        </w:rPr>
        <w:tab/>
        <w:t xml:space="preserve">(Tel. 00 32 2 546 82 86 – correo electrónico: </w:t>
      </w:r>
      <w:hyperlink r:id="rId24" w:history="1">
        <w:r>
          <w:rPr>
            <w:rStyle w:val="Hyperlink"/>
            <w:i/>
          </w:rPr>
          <w:t>alice.tetu@eesc.europa.eu</w:t>
        </w:r>
      </w:hyperlink>
      <w:r>
        <w:rPr>
          <w:i/>
        </w:rPr>
        <w:t>)</w:t>
      </w:r>
    </w:p>
    <w:p w:rsidR="001A35F9" w:rsidRPr="001A35F9" w:rsidRDefault="001A35F9" w:rsidP="001A35F9">
      <w:pPr>
        <w:pStyle w:val="ListParagraph"/>
        <w:widowControl w:val="0"/>
        <w:overflowPunct w:val="0"/>
        <w:autoSpaceDE w:val="0"/>
        <w:autoSpaceDN w:val="0"/>
        <w:adjustRightInd w:val="0"/>
        <w:ind w:left="567"/>
        <w:rPr>
          <w:i/>
          <w:sz w:val="24"/>
          <w:szCs w:val="24"/>
        </w:rPr>
      </w:pPr>
    </w:p>
    <w:p w:rsidR="00F91D6A" w:rsidRPr="0078748A" w:rsidRDefault="00B227CB" w:rsidP="00EF5BA6">
      <w:pPr>
        <w:pStyle w:val="ListParagraph"/>
        <w:widowControl w:val="0"/>
        <w:numPr>
          <w:ilvl w:val="0"/>
          <w:numId w:val="100"/>
        </w:numPr>
        <w:overflowPunct w:val="0"/>
        <w:autoSpaceDE w:val="0"/>
        <w:autoSpaceDN w:val="0"/>
        <w:adjustRightInd w:val="0"/>
        <w:ind w:left="567" w:hanging="567"/>
        <w:rPr>
          <w:i/>
          <w:sz w:val="24"/>
          <w:szCs w:val="24"/>
        </w:rPr>
      </w:pPr>
      <w:r>
        <w:rPr>
          <w:b/>
          <w:i/>
          <w:sz w:val="28"/>
        </w:rPr>
        <w:t>Denominaciones de origen e indicaciones geográficas</w:t>
      </w:r>
    </w:p>
    <w:p w:rsidR="00F91D6A" w:rsidRPr="004B5FC5" w:rsidRDefault="00F91D6A" w:rsidP="00F91D6A">
      <w:pPr>
        <w:tabs>
          <w:tab w:val="center" w:pos="284"/>
        </w:tabs>
        <w:ind w:left="266" w:hanging="266"/>
        <w:rPr>
          <w:b/>
          <w:szCs w:val="20"/>
        </w:rPr>
      </w:pPr>
    </w:p>
    <w:p w:rsidR="00F91D6A" w:rsidRPr="004B5FC5" w:rsidRDefault="00F91D6A" w:rsidP="00F91D6A">
      <w:r>
        <w:rPr>
          <w:b/>
        </w:rPr>
        <w:t>Ponente:</w:t>
      </w:r>
      <w:r w:rsidR="00E21F22">
        <w:rPr>
          <w:b/>
        </w:rPr>
        <w:tab/>
      </w:r>
      <w:r w:rsidR="00005D1A">
        <w:rPr>
          <w:b/>
        </w:rPr>
        <w:tab/>
      </w:r>
      <w:r>
        <w:t>Arnold PUECH D'ALISSAC (Empresarios – FR)</w:t>
      </w:r>
    </w:p>
    <w:p w:rsidR="00B227CB" w:rsidRDefault="00B227CB" w:rsidP="00F91D6A">
      <w:pPr>
        <w:rPr>
          <w:b/>
        </w:rPr>
      </w:pPr>
    </w:p>
    <w:p w:rsidR="00F91D6A" w:rsidRPr="004B5FC5" w:rsidRDefault="00F91D6A" w:rsidP="001A35F9">
      <w:pPr>
        <w:tabs>
          <w:tab w:val="left" w:pos="1701"/>
        </w:tabs>
      </w:pPr>
      <w:r>
        <w:rPr>
          <w:b/>
        </w:rPr>
        <w:t>Referencias:</w:t>
      </w:r>
      <w:r w:rsidR="00E21F22">
        <w:rPr>
          <w:b/>
        </w:rPr>
        <w:tab/>
      </w:r>
      <w:r>
        <w:t>COM(2018) 365 final – 2018/0189 (COD)</w:t>
      </w:r>
    </w:p>
    <w:p w:rsidR="00F91D6A" w:rsidRPr="004B5FC5" w:rsidRDefault="00F91D6A" w:rsidP="001A35F9">
      <w:pPr>
        <w:ind w:left="1701" w:firstLine="18"/>
      </w:pPr>
      <w:r>
        <w:t>EESC-2018-04958-00-00-AC-TRA</w:t>
      </w:r>
    </w:p>
    <w:p w:rsidR="00F91D6A" w:rsidRPr="004B5FC5" w:rsidRDefault="00F91D6A" w:rsidP="00F91D6A">
      <w:pPr>
        <w:tabs>
          <w:tab w:val="center" w:pos="284"/>
        </w:tabs>
        <w:ind w:left="266" w:hanging="266"/>
        <w:rPr>
          <w:szCs w:val="20"/>
        </w:rPr>
      </w:pPr>
    </w:p>
    <w:p w:rsidR="00F91D6A" w:rsidRDefault="007D5306" w:rsidP="007D5306">
      <w:pPr>
        <w:tabs>
          <w:tab w:val="center" w:pos="284"/>
        </w:tabs>
        <w:ind w:left="266" w:hanging="266"/>
        <w:rPr>
          <w:b/>
        </w:rPr>
      </w:pPr>
      <w:r>
        <w:rPr>
          <w:b/>
        </w:rPr>
        <w:t>Puntos clave</w:t>
      </w:r>
    </w:p>
    <w:p w:rsidR="001A35F9" w:rsidRDefault="001A35F9" w:rsidP="001A35F9">
      <w:pPr>
        <w:pStyle w:val="Heading2"/>
        <w:numPr>
          <w:ilvl w:val="0"/>
          <w:numId w:val="0"/>
        </w:numPr>
        <w:ind w:left="567"/>
      </w:pPr>
    </w:p>
    <w:p w:rsidR="00F91D6A" w:rsidRDefault="00F91D6A" w:rsidP="00B227CB">
      <w:pPr>
        <w:pStyle w:val="Heading2"/>
        <w:numPr>
          <w:ilvl w:val="0"/>
          <w:numId w:val="99"/>
        </w:numPr>
        <w:ind w:left="567" w:hanging="567"/>
      </w:pPr>
      <w:r>
        <w:t>Dada la importancia de las indicaciones geográficas para los productores de la Unión Europea, la Comisión Europea siempre debería actuar en interés de la protección de los modelos de producción y los sistemas de control de calidad reconocidos a nivel mundial por su sostenibilidad, que redunda en beneficio de los consumidores y los productores.</w:t>
      </w:r>
    </w:p>
    <w:p w:rsidR="00270FF0" w:rsidRPr="00270FF0" w:rsidRDefault="00270FF0" w:rsidP="00270FF0"/>
    <w:p w:rsidR="00F91D6A" w:rsidRDefault="00F91D6A" w:rsidP="00543C6C">
      <w:pPr>
        <w:pStyle w:val="ListParagraph"/>
        <w:numPr>
          <w:ilvl w:val="0"/>
          <w:numId w:val="99"/>
        </w:numPr>
        <w:overflowPunct w:val="0"/>
        <w:autoSpaceDE w:val="0"/>
        <w:autoSpaceDN w:val="0"/>
        <w:adjustRightInd w:val="0"/>
        <w:ind w:left="567" w:hanging="567"/>
      </w:pPr>
      <w:r>
        <w:t>El CESE, al tiempo que apoya la propuesta de la Comisión, estima necesario proponer un sistema que garantice un trato equitativo a todos los productores europeos que deseen que su indicación geográfica sea reconocida a nivel internacional. Los derechos adquiridos por estas indicaciones geográficas ya registradas y protegidas a nivel europeo deberían conservarse para evitar penalizaciones y un trato desigual.</w:t>
      </w:r>
    </w:p>
    <w:p w:rsidR="00F91D6A" w:rsidRPr="004B5FC5" w:rsidRDefault="00F91D6A" w:rsidP="00F91D6A">
      <w:pPr>
        <w:rPr>
          <w:b/>
        </w:rPr>
      </w:pPr>
    </w:p>
    <w:p w:rsidR="00F91D6A" w:rsidRPr="004B5FC5" w:rsidRDefault="00F91D6A" w:rsidP="00B227CB">
      <w:pPr>
        <w:tabs>
          <w:tab w:val="left" w:pos="1701"/>
        </w:tabs>
        <w:rPr>
          <w:i/>
          <w:szCs w:val="20"/>
        </w:rPr>
      </w:pPr>
      <w:r>
        <w:rPr>
          <w:b/>
          <w:i/>
        </w:rPr>
        <w:t>Contacto:</w:t>
      </w:r>
      <w:r>
        <w:t xml:space="preserve"> </w:t>
      </w:r>
      <w:r w:rsidR="00E21F22">
        <w:tab/>
      </w:r>
      <w:r>
        <w:rPr>
          <w:i/>
        </w:rPr>
        <w:t>Jean-Pierre Faure</w:t>
      </w:r>
    </w:p>
    <w:p w:rsidR="00F91D6A" w:rsidRPr="004B5FC5" w:rsidRDefault="00B227CB" w:rsidP="00B227CB">
      <w:pPr>
        <w:tabs>
          <w:tab w:val="left" w:pos="1701"/>
        </w:tabs>
        <w:rPr>
          <w:i/>
        </w:rPr>
      </w:pPr>
      <w:r>
        <w:rPr>
          <w:i/>
        </w:rPr>
        <w:tab/>
        <w:t xml:space="preserve">(Tel. 00 32 2 546 96 15 – correo electrónico: </w:t>
      </w:r>
      <w:hyperlink r:id="rId25" w:history="1">
        <w:r>
          <w:rPr>
            <w:rStyle w:val="Hyperlink"/>
            <w:i/>
          </w:rPr>
          <w:t>jean-pierre.faure@eesc.europa.eu</w:t>
        </w:r>
      </w:hyperlink>
      <w:r>
        <w:rPr>
          <w:i/>
        </w:rPr>
        <w:t xml:space="preserve">) </w:t>
      </w:r>
    </w:p>
    <w:p w:rsidR="00F91D6A" w:rsidRDefault="00F91D6A" w:rsidP="00F91D6A"/>
    <w:p w:rsidR="00F2269F" w:rsidRPr="000D77C2" w:rsidRDefault="00F2269F" w:rsidP="000D6B2F">
      <w:pPr>
        <w:pStyle w:val="Heading1"/>
        <w:ind w:left="567" w:hanging="567"/>
        <w:rPr>
          <w:b/>
          <w:caps/>
        </w:rPr>
      </w:pPr>
      <w:bookmarkStart w:id="2" w:name="_Toc535577280"/>
      <w:r>
        <w:rPr>
          <w:b/>
          <w:caps/>
        </w:rPr>
        <w:t>Transportes, Energía, Infraestructuras y Sociedad de la Información</w:t>
      </w:r>
      <w:bookmarkEnd w:id="2"/>
    </w:p>
    <w:p w:rsidR="001A35F9" w:rsidRPr="001A35F9" w:rsidRDefault="001A35F9" w:rsidP="001A35F9">
      <w:pPr>
        <w:widowControl w:val="0"/>
        <w:overflowPunct w:val="0"/>
        <w:autoSpaceDE w:val="0"/>
        <w:autoSpaceDN w:val="0"/>
        <w:adjustRightInd w:val="0"/>
        <w:spacing w:line="240" w:lineRule="auto"/>
        <w:ind w:left="567"/>
        <w:textAlignment w:val="baseline"/>
        <w:rPr>
          <w:bCs/>
          <w:i/>
          <w:lang w:val="en-GB"/>
        </w:rPr>
      </w:pPr>
    </w:p>
    <w:p w:rsidR="00D805CE" w:rsidRPr="006A7E8D" w:rsidRDefault="00D805CE" w:rsidP="001A35F9">
      <w:pPr>
        <w:keepNext/>
        <w:keepLines/>
        <w:widowControl w:val="0"/>
        <w:numPr>
          <w:ilvl w:val="0"/>
          <w:numId w:val="90"/>
        </w:numPr>
        <w:overflowPunct w:val="0"/>
        <w:autoSpaceDE w:val="0"/>
        <w:autoSpaceDN w:val="0"/>
        <w:adjustRightInd w:val="0"/>
        <w:spacing w:line="240" w:lineRule="auto"/>
        <w:ind w:left="567" w:hanging="567"/>
        <w:textAlignment w:val="baseline"/>
        <w:rPr>
          <w:bCs/>
          <w:i/>
        </w:rPr>
      </w:pPr>
      <w:r>
        <w:rPr>
          <w:b/>
          <w:i/>
          <w:sz w:val="28"/>
          <w:szCs w:val="28"/>
        </w:rPr>
        <w:t>Nivel mínimo de formación en las profesiones marítimas</w:t>
      </w:r>
    </w:p>
    <w:p w:rsidR="00D805CE" w:rsidRDefault="00D805CE" w:rsidP="001A35F9">
      <w:pPr>
        <w:keepNext/>
        <w:keepLines/>
        <w:widowControl w:val="0"/>
        <w:spacing w:line="240" w:lineRule="auto"/>
        <w:rPr>
          <w:bCs/>
          <w:highlight w:val="green"/>
          <w:lang w:val="en-GB"/>
        </w:rPr>
      </w:pPr>
    </w:p>
    <w:p w:rsidR="00D805CE" w:rsidRDefault="00D805CE" w:rsidP="00D805CE">
      <w:pPr>
        <w:tabs>
          <w:tab w:val="left" w:pos="1701"/>
        </w:tabs>
      </w:pPr>
      <w:r>
        <w:rPr>
          <w:b/>
        </w:rPr>
        <w:t>Ponente:</w:t>
      </w:r>
      <w:r w:rsidR="00E21F22">
        <w:rPr>
          <w:b/>
        </w:rPr>
        <w:tab/>
      </w:r>
      <w:r>
        <w:t>Tanja BUZEK (Trabajadores – DE)</w:t>
      </w:r>
    </w:p>
    <w:p w:rsidR="00D805CE" w:rsidRDefault="00D805CE" w:rsidP="00D805CE">
      <w:pPr>
        <w:tabs>
          <w:tab w:val="left" w:pos="1701"/>
        </w:tabs>
        <w:rPr>
          <w:lang w:val="en-GB"/>
        </w:rPr>
      </w:pPr>
    </w:p>
    <w:p w:rsidR="006D1FFF" w:rsidRDefault="00D805CE" w:rsidP="00D805CE">
      <w:pPr>
        <w:tabs>
          <w:tab w:val="left" w:pos="567"/>
          <w:tab w:val="left" w:pos="1701"/>
        </w:tabs>
      </w:pPr>
      <w:r>
        <w:rPr>
          <w:b/>
        </w:rPr>
        <w:t>Referencias:</w:t>
      </w:r>
      <w:r>
        <w:t xml:space="preserve"> </w:t>
      </w:r>
      <w:r>
        <w:tab/>
        <w:t>COM(2018) 315 final – 2018/0162 (COD)</w:t>
      </w:r>
    </w:p>
    <w:p w:rsidR="00D805CE" w:rsidRDefault="00D805CE" w:rsidP="00623A46">
      <w:pPr>
        <w:ind w:left="1701" w:firstLine="18"/>
      </w:pPr>
      <w:r>
        <w:t>EESC-2018-04142-00-00-AC-TRA</w:t>
      </w:r>
    </w:p>
    <w:p w:rsidR="00D805CE" w:rsidRPr="00554D34" w:rsidRDefault="00D805CE" w:rsidP="00D805CE">
      <w:pPr>
        <w:tabs>
          <w:tab w:val="num" w:pos="550"/>
        </w:tabs>
        <w:rPr>
          <w:b/>
          <w:highlight w:val="green"/>
          <w:lang w:val="en-GB"/>
        </w:rPr>
      </w:pPr>
    </w:p>
    <w:p w:rsidR="00D805CE" w:rsidRDefault="00D805CE" w:rsidP="00D805CE">
      <w:pPr>
        <w:rPr>
          <w:b/>
        </w:rPr>
      </w:pPr>
      <w:r>
        <w:rPr>
          <w:b/>
        </w:rPr>
        <w:t>Puntos clave</w:t>
      </w:r>
    </w:p>
    <w:p w:rsidR="001A35F9" w:rsidRDefault="001A35F9" w:rsidP="006D1FFF">
      <w:pPr>
        <w:rPr>
          <w:color w:val="000000"/>
        </w:rPr>
      </w:pPr>
    </w:p>
    <w:p w:rsidR="00D805CE" w:rsidRPr="00A8327E" w:rsidRDefault="00D805CE" w:rsidP="006D1FFF">
      <w:pPr>
        <w:rPr>
          <w:color w:val="000000"/>
        </w:rPr>
      </w:pPr>
      <w:r>
        <w:rPr>
          <w:color w:val="000000"/>
        </w:rPr>
        <w:t>En líneas generales, el CESE respalda los objetivos establecidos por la Comisión en su propuesta por la que se modifica la Directiva 2008/106/CE, relativa al nivel mínimo de formación en las profesiones marítimas, y se deroga la Directiva 2005/45/CE sobre el reconocimiento mutuo de los títulos expedidos por los Estados miembros a la gente de mar. El CESE considera los cambios propuestos al marco normativo necesarios, proporcionados y efectivos.</w:t>
      </w:r>
    </w:p>
    <w:p w:rsidR="00D805CE" w:rsidRPr="00A8327E" w:rsidRDefault="00D805CE" w:rsidP="006D1FFF">
      <w:pPr>
        <w:rPr>
          <w:color w:val="000000"/>
        </w:rPr>
      </w:pPr>
    </w:p>
    <w:p w:rsidR="00D805CE" w:rsidRPr="00A8327E" w:rsidRDefault="00D805CE" w:rsidP="006D1FFF">
      <w:pPr>
        <w:rPr>
          <w:color w:val="000000"/>
        </w:rPr>
      </w:pPr>
      <w:r>
        <w:rPr>
          <w:color w:val="000000"/>
        </w:rPr>
        <w:t xml:space="preserve">Aunque reconoce que ambas Directivas han contribuido a la mejora de la enseñanza marítima y la formación de la gente de mar que trabaja a bordo de buques que enarbolan pabellón de la UE y a la </w:t>
      </w:r>
      <w:r>
        <w:rPr>
          <w:color w:val="000000"/>
        </w:rPr>
        <w:lastRenderedPageBreak/>
        <w:t>movilidad profesional de la gente de mar en la UE, el CESE considera conveniente dar un paso más en este sentido. Por lo tanto, el CESE recomienda aprovechar la revisión de la Directiva 2008/106/CE para entablar un debate europeo más amplio, en el que participen la Comisión, los Estados miembros, las instituciones de formación y el sector marítimo, sobre cómo seguir invirtiendo en la base de competencias marítimas europeas a fin de salvaguardar tanto la competitividad de la flota europea como la capacidad del sector para generar empleos de buena calidad para la gente de mar y demás profesionales del sector marítimo.</w:t>
      </w:r>
    </w:p>
    <w:p w:rsidR="00D805CE" w:rsidRPr="00A8327E" w:rsidRDefault="00D805CE" w:rsidP="006D1FFF">
      <w:pPr>
        <w:rPr>
          <w:color w:val="000000"/>
        </w:rPr>
      </w:pPr>
    </w:p>
    <w:p w:rsidR="00D805CE" w:rsidRPr="00A8327E" w:rsidRDefault="00D805CE" w:rsidP="006D1FFF">
      <w:pPr>
        <w:rPr>
          <w:color w:val="000000"/>
        </w:rPr>
      </w:pPr>
      <w:r>
        <w:rPr>
          <w:color w:val="000000"/>
        </w:rPr>
        <w:t>En particular, el CESE recomienda que se trabaje en pro de la creación de un foro de la UE con la participación de las instituciones de formación, el sector marítimo, las agrupaciones marítimas en sentido amplio y las administraciones marítimas nacionales para mejorar la formación de la gente de mar y desarrollar cursos de posgrado marítimos europeos que vayan más allá del nivel mínimo de formación en las profesiones marítimas acordado a escala internacional. Este tipo de formación avanzada permitiría crear una ventaja competitiva para la gente de mar europea al dotarla de competencias superiores a las exigidas en la esfera internacional y aumentar el atractivo de las profesiones marítimas en la UE, especialmente por lo que se refiere a las mujeres y los jóvenes.</w:t>
      </w:r>
    </w:p>
    <w:p w:rsidR="00D805CE" w:rsidRPr="00A8327E" w:rsidRDefault="00D805CE" w:rsidP="006D1FFF">
      <w:pPr>
        <w:rPr>
          <w:color w:val="000000"/>
        </w:rPr>
      </w:pPr>
    </w:p>
    <w:p w:rsidR="00D805CE" w:rsidRPr="00A8327E" w:rsidRDefault="00D805CE" w:rsidP="006D1FFF">
      <w:pPr>
        <w:rPr>
          <w:color w:val="000000"/>
        </w:rPr>
      </w:pPr>
      <w:r>
        <w:rPr>
          <w:color w:val="000000"/>
        </w:rPr>
        <w:t>En cuanto al mecanismo actualizado para el reconocimiento de los títulos expedidos a la gente de mar por terceros países, el CESE considera de suma importancia que el Estado miembro solicitante consulte a las asociaciones de armadores nacionales y las organizaciones sindicales sobre la conveniencia de reconocer a un nuevo tercer país antes de presentar la solicitud a la Comisión. Sin embargo, el CESE desea clarificar que la estimación de cuánta gente de mar podría ser empleada, en los casos en que se disponga de este dato, será solo uno de los criterios utilizados en el proceso decisorio de reconocimiento de un nuevo tercer país, que deberá ser objeto de un seguimiento transparente.</w:t>
      </w:r>
    </w:p>
    <w:p w:rsidR="00D805CE" w:rsidRPr="00A8327E" w:rsidRDefault="00D805CE" w:rsidP="006D1FFF">
      <w:pPr>
        <w:rPr>
          <w:color w:val="000000"/>
        </w:rPr>
      </w:pPr>
    </w:p>
    <w:p w:rsidR="00D805CE" w:rsidRDefault="00D805CE" w:rsidP="006D1FFF">
      <w:pPr>
        <w:rPr>
          <w:b/>
          <w:bCs/>
          <w:highlight w:val="yellow"/>
        </w:rPr>
      </w:pPr>
      <w:r>
        <w:rPr>
          <w:color w:val="000000"/>
        </w:rPr>
        <w:t>Partiendo de la base de que no puede haber componendas en materia de seguridad marítima, el CESE recomienda que no se aplique un sistema de evaluación menos estricto a aquellos terceros países que proporcionan una cantidad limitada de capitanes y oficiales a la flota de la UE.</w:t>
      </w:r>
    </w:p>
    <w:p w:rsidR="00D805CE" w:rsidRDefault="00D805CE" w:rsidP="00D805CE">
      <w:pPr>
        <w:rPr>
          <w:b/>
          <w:bCs/>
          <w:highlight w:val="yellow"/>
          <w:lang w:val="en-GB"/>
        </w:rPr>
      </w:pPr>
    </w:p>
    <w:p w:rsidR="00D805CE" w:rsidRPr="00554D34" w:rsidRDefault="00D805CE" w:rsidP="00D805CE">
      <w:pPr>
        <w:tabs>
          <w:tab w:val="left" w:pos="1701"/>
        </w:tabs>
        <w:rPr>
          <w:i/>
        </w:rPr>
      </w:pPr>
      <w:r>
        <w:rPr>
          <w:b/>
          <w:i/>
        </w:rPr>
        <w:t>Contacto:</w:t>
      </w:r>
      <w:r>
        <w:rPr>
          <w:i/>
        </w:rPr>
        <w:tab/>
        <w:t>Antonio Ribeiro Pereira</w:t>
      </w:r>
    </w:p>
    <w:p w:rsidR="00D805CE" w:rsidRDefault="00D805CE" w:rsidP="00E21F22">
      <w:pPr>
        <w:tabs>
          <w:tab w:val="left" w:pos="1701"/>
        </w:tabs>
        <w:ind w:left="1701" w:hanging="1701"/>
        <w:rPr>
          <w:i/>
        </w:rPr>
      </w:pPr>
      <w:r>
        <w:rPr>
          <w:i/>
        </w:rPr>
        <w:tab/>
        <w:t xml:space="preserve">(Tel. 00 32 2 546 9363 – correo electrónico: </w:t>
      </w:r>
      <w:hyperlink r:id="rId26" w:history="1">
        <w:r>
          <w:rPr>
            <w:rStyle w:val="Hyperlink"/>
            <w:i/>
          </w:rPr>
          <w:t>Antonio.RibeiroPereira@eesc.europa.eu</w:t>
        </w:r>
      </w:hyperlink>
      <w:r>
        <w:rPr>
          <w:i/>
        </w:rPr>
        <w:t>)</w:t>
      </w:r>
    </w:p>
    <w:p w:rsidR="001A35F9" w:rsidRDefault="001A35F9" w:rsidP="001A35F9">
      <w:pPr>
        <w:ind w:left="567"/>
        <w:contextualSpacing/>
        <w:rPr>
          <w:b/>
          <w:bCs/>
          <w:i/>
          <w:iCs/>
          <w:sz w:val="28"/>
          <w:szCs w:val="28"/>
          <w:lang w:val="en-GB" w:eastAsia="en-GB" w:bidi="en-GB"/>
        </w:rPr>
      </w:pPr>
    </w:p>
    <w:p w:rsidR="00D805CE" w:rsidRPr="006A7E8D" w:rsidRDefault="00D805CE" w:rsidP="00D805CE">
      <w:pPr>
        <w:numPr>
          <w:ilvl w:val="0"/>
          <w:numId w:val="101"/>
        </w:numPr>
        <w:ind w:left="567" w:hanging="567"/>
        <w:contextualSpacing/>
        <w:rPr>
          <w:b/>
          <w:bCs/>
          <w:i/>
          <w:iCs/>
          <w:sz w:val="28"/>
          <w:szCs w:val="28"/>
        </w:rPr>
      </w:pPr>
      <w:r>
        <w:rPr>
          <w:b/>
          <w:bCs/>
          <w:i/>
          <w:iCs/>
          <w:sz w:val="28"/>
          <w:szCs w:val="28"/>
        </w:rPr>
        <w:t>EURATOM - Programa de Investigación y Formación de la Comunidad Europea de la Energía Atómica (2021-2025)</w:t>
      </w:r>
    </w:p>
    <w:p w:rsidR="00D805CE" w:rsidRPr="00603489" w:rsidRDefault="00D805CE" w:rsidP="00D805CE">
      <w:pPr>
        <w:rPr>
          <w:lang w:val="en-GB"/>
        </w:rPr>
      </w:pPr>
    </w:p>
    <w:p w:rsidR="00D805CE" w:rsidRDefault="00D805CE" w:rsidP="00D805CE">
      <w:pPr>
        <w:tabs>
          <w:tab w:val="left" w:pos="1701"/>
        </w:tabs>
      </w:pPr>
      <w:r>
        <w:rPr>
          <w:b/>
        </w:rPr>
        <w:t>Ponente:</w:t>
      </w:r>
      <w:r w:rsidR="00E21F22">
        <w:rPr>
          <w:b/>
        </w:rPr>
        <w:tab/>
      </w:r>
      <w:r>
        <w:t>Giulia BARBUCCI (Trabajadores – IT)</w:t>
      </w:r>
    </w:p>
    <w:p w:rsidR="00D805CE" w:rsidRDefault="00D805CE" w:rsidP="00D805CE">
      <w:pPr>
        <w:tabs>
          <w:tab w:val="left" w:pos="1701"/>
        </w:tabs>
      </w:pPr>
    </w:p>
    <w:p w:rsidR="00D805CE" w:rsidRDefault="00F10ED6" w:rsidP="00D805CE">
      <w:pPr>
        <w:tabs>
          <w:tab w:val="left" w:pos="1701"/>
        </w:tabs>
      </w:pPr>
      <w:r>
        <w:rPr>
          <w:b/>
          <w:bCs/>
        </w:rPr>
        <w:t>Referencias:</w:t>
      </w:r>
      <w:r w:rsidR="00E21F22">
        <w:rPr>
          <w:b/>
          <w:bCs/>
        </w:rPr>
        <w:tab/>
      </w:r>
      <w:r>
        <w:t>COM(2018) 437 final – 2018/0226 (NLE)</w:t>
      </w:r>
    </w:p>
    <w:p w:rsidR="00D805CE" w:rsidRPr="00603489" w:rsidRDefault="00D805CE" w:rsidP="00623A46">
      <w:pPr>
        <w:ind w:left="1701" w:firstLine="18"/>
        <w:rPr>
          <w:kern w:val="28"/>
        </w:rPr>
      </w:pPr>
      <w:r>
        <w:t>EESC-2018-04405-00-00-AC-TRA</w:t>
      </w:r>
    </w:p>
    <w:p w:rsidR="00D805CE" w:rsidRPr="00603489" w:rsidRDefault="00D805CE" w:rsidP="00D805CE">
      <w:pPr>
        <w:rPr>
          <w:rFonts w:eastAsia="Calibri"/>
          <w:lang w:val="en-GB"/>
        </w:rPr>
      </w:pPr>
    </w:p>
    <w:p w:rsidR="00D805CE" w:rsidRPr="00603489" w:rsidRDefault="00D805CE" w:rsidP="00E21F22">
      <w:pPr>
        <w:keepNext/>
        <w:keepLines/>
        <w:rPr>
          <w:rFonts w:eastAsia="Calibri"/>
          <w:highlight w:val="yellow"/>
        </w:rPr>
      </w:pPr>
      <w:r>
        <w:rPr>
          <w:b/>
          <w:bCs/>
        </w:rPr>
        <w:lastRenderedPageBreak/>
        <w:t>Puntos clave</w:t>
      </w:r>
    </w:p>
    <w:p w:rsidR="00270FF0" w:rsidRDefault="00270FF0" w:rsidP="00E21F22">
      <w:pPr>
        <w:keepNext/>
        <w:keepLines/>
        <w:rPr>
          <w:lang w:val="en-GB"/>
        </w:rPr>
      </w:pPr>
    </w:p>
    <w:p w:rsidR="00D805CE" w:rsidRDefault="00270FF0" w:rsidP="00E21F22">
      <w:pPr>
        <w:keepNext/>
        <w:keepLines/>
      </w:pPr>
      <w:r>
        <w:t>El CESE:</w:t>
      </w:r>
    </w:p>
    <w:p w:rsidR="00270FF0" w:rsidRPr="009F6C3A" w:rsidRDefault="00270FF0" w:rsidP="00E21F22">
      <w:pPr>
        <w:keepNext/>
        <w:keepLines/>
        <w:rPr>
          <w:lang w:val="en-GB"/>
        </w:rPr>
      </w:pPr>
    </w:p>
    <w:p w:rsidR="00D805CE" w:rsidRPr="00270FF0" w:rsidRDefault="00D805CE" w:rsidP="00543C6C">
      <w:pPr>
        <w:pStyle w:val="ListParagraph"/>
        <w:numPr>
          <w:ilvl w:val="0"/>
          <w:numId w:val="100"/>
        </w:numPr>
        <w:ind w:left="567" w:hanging="567"/>
      </w:pPr>
      <w:r>
        <w:t>acoge con satisfacción la Propuesta de Reglamento sobre el Programa de Investigación y Formación de la Comunidad Europea de la Energía Atómica</w:t>
      </w:r>
      <w:r w:rsidR="008A06A0">
        <w:t xml:space="preserve"> (Euratom) para el período 2021</w:t>
      </w:r>
      <w:r w:rsidR="008A06A0">
        <w:noBreakHyphen/>
      </w:r>
      <w:r>
        <w:t>2025;</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 xml:space="preserve">considera el presupuesto de Euratom adecuado para los objetivos establecidos y cree fundamental mantener esta dotación financiera independientemente de los resultados de la negociación del </w:t>
      </w:r>
      <w:r>
        <w:rPr>
          <w:i/>
        </w:rPr>
        <w:t>Brexit</w:t>
      </w:r>
      <w:r>
        <w:t>. A tal efecto, el Comité considera asimismo crucial gestionar con extrema atención la salida del Reino Unido del programa Euratom, en particular en lo que se refiere a las líneas de investigación ya iniciadas, las infraestructuras compartidas y el impacto social sobre el personal (en lo relativo, por ejemplo, a las condiciones laborales) dentro y fuera del suelo británico;</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considera el proyecto JET («Joint European Taurus») como un factor clave para el desarrollo del proyecto ITER (reactor termonuclear experimental internacional, por sus siglas en inglés), que por otro lado representa la evolución del primero desde el punto de vista científico. Por este motivo, el Comité considera importante que JET siga estando operativo (ya sea como proyecto de la UE o como proyecto compartido entre la UE y el Reino Unido) mientras el proyecto ITER no lo esté;</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considera que la seguridad nuclear debe entenderse como un concepto dinámico, que implica la supervisión y la adecuación constantes de la normativa vigente en base a los descubrimientos y las innovaciones más recientes, cubriendo todo el ciclo de vida de las instalaciones. Debe prestarse especial atención a las instalaciones situadas en la frontera entre países de la Unión, reforzando la coordinación entre las autoridades nacionales y locales y garantizando la implicación efectiva de ciudadanos y trabajadores;</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considera que la educación, ya desde la escuela obligatoria, y la formación, representan un factor esencial para acercar a los jóvenes a las materias científicas y tecnológicas.</w:t>
      </w:r>
    </w:p>
    <w:p w:rsidR="00D805CE" w:rsidRPr="001B3C73" w:rsidRDefault="00D805CE" w:rsidP="00D805CE">
      <w:pPr>
        <w:rPr>
          <w:lang w:val="en-GB"/>
        </w:rPr>
      </w:pPr>
    </w:p>
    <w:p w:rsidR="00D805CE" w:rsidRPr="00554D34" w:rsidRDefault="00D805CE" w:rsidP="00D805CE">
      <w:pPr>
        <w:tabs>
          <w:tab w:val="left" w:pos="1701"/>
        </w:tabs>
        <w:rPr>
          <w:i/>
        </w:rPr>
      </w:pPr>
      <w:r>
        <w:rPr>
          <w:b/>
          <w:i/>
        </w:rPr>
        <w:t>Contacto:</w:t>
      </w:r>
      <w:r>
        <w:rPr>
          <w:i/>
        </w:rPr>
        <w:tab/>
        <w:t>Alessandro Rizzi</w:t>
      </w:r>
    </w:p>
    <w:p w:rsidR="00D805CE" w:rsidRDefault="006D1FFF" w:rsidP="006D1FFF">
      <w:pPr>
        <w:tabs>
          <w:tab w:val="left" w:pos="1701"/>
        </w:tabs>
        <w:rPr>
          <w:i/>
        </w:rPr>
      </w:pPr>
      <w:r>
        <w:rPr>
          <w:i/>
        </w:rPr>
        <w:tab/>
        <w:t xml:space="preserve">(Tel. 00 32 2 546 8679 - correo electrónico: </w:t>
      </w:r>
      <w:hyperlink r:id="rId27" w:history="1">
        <w:r>
          <w:rPr>
            <w:rStyle w:val="Hyperlink"/>
            <w:i/>
          </w:rPr>
          <w:t>Alessandro.Rizzi@eesc.europa.eu</w:t>
        </w:r>
      </w:hyperlink>
      <w:r>
        <w:rPr>
          <w:i/>
        </w:rPr>
        <w:t>)</w:t>
      </w:r>
    </w:p>
    <w:p w:rsidR="001A35F9" w:rsidRPr="001A35F9" w:rsidRDefault="001A35F9" w:rsidP="001A35F9">
      <w:pPr>
        <w:widowControl w:val="0"/>
        <w:overflowPunct w:val="0"/>
        <w:autoSpaceDE w:val="0"/>
        <w:autoSpaceDN w:val="0"/>
        <w:adjustRightInd w:val="0"/>
        <w:spacing w:line="240" w:lineRule="auto"/>
        <w:ind w:left="567"/>
        <w:textAlignment w:val="baseline"/>
        <w:rPr>
          <w:bCs/>
          <w:i/>
          <w:lang w:val="en-GB"/>
        </w:rPr>
      </w:pPr>
    </w:p>
    <w:p w:rsidR="00D805CE" w:rsidRPr="00A21D98" w:rsidRDefault="00D805CE" w:rsidP="00D805CE">
      <w:pPr>
        <w:widowControl w:val="0"/>
        <w:numPr>
          <w:ilvl w:val="0"/>
          <w:numId w:val="90"/>
        </w:numPr>
        <w:overflowPunct w:val="0"/>
        <w:autoSpaceDE w:val="0"/>
        <w:autoSpaceDN w:val="0"/>
        <w:adjustRightInd w:val="0"/>
        <w:spacing w:line="240" w:lineRule="auto"/>
        <w:ind w:left="567" w:hanging="567"/>
        <w:textAlignment w:val="baseline"/>
        <w:rPr>
          <w:bCs/>
          <w:i/>
        </w:rPr>
      </w:pPr>
      <w:r>
        <w:rPr>
          <w:b/>
          <w:i/>
          <w:sz w:val="28"/>
          <w:szCs w:val="28"/>
        </w:rPr>
        <w:t>El MFP y el ITER</w:t>
      </w:r>
    </w:p>
    <w:p w:rsidR="00D805CE" w:rsidRDefault="00D805CE" w:rsidP="00D805CE">
      <w:pPr>
        <w:widowControl w:val="0"/>
        <w:spacing w:line="240" w:lineRule="auto"/>
        <w:rPr>
          <w:bCs/>
          <w:highlight w:val="green"/>
          <w:lang w:val="en-GB"/>
        </w:rPr>
      </w:pPr>
    </w:p>
    <w:p w:rsidR="00D805CE" w:rsidRDefault="00D805CE" w:rsidP="00D805CE">
      <w:pPr>
        <w:tabs>
          <w:tab w:val="left" w:pos="1701"/>
        </w:tabs>
      </w:pPr>
      <w:r>
        <w:rPr>
          <w:b/>
        </w:rPr>
        <w:t>Ponente:</w:t>
      </w:r>
      <w:r w:rsidR="00E21F22">
        <w:rPr>
          <w:b/>
        </w:rPr>
        <w:tab/>
      </w:r>
      <w:r>
        <w:t>Ulrich SAMM (Empresarios – DE)</w:t>
      </w:r>
    </w:p>
    <w:p w:rsidR="00D805CE" w:rsidRDefault="00D805CE" w:rsidP="00D805CE">
      <w:pPr>
        <w:tabs>
          <w:tab w:val="left" w:pos="1701"/>
        </w:tabs>
        <w:rPr>
          <w:lang w:val="en-GB"/>
        </w:rPr>
      </w:pPr>
    </w:p>
    <w:p w:rsidR="00D805CE" w:rsidRDefault="00D805CE" w:rsidP="00D805CE">
      <w:pPr>
        <w:tabs>
          <w:tab w:val="left" w:pos="1701"/>
        </w:tabs>
      </w:pPr>
      <w:r>
        <w:rPr>
          <w:b/>
        </w:rPr>
        <w:t>Referencias:</w:t>
      </w:r>
      <w:r>
        <w:t xml:space="preserve"> </w:t>
      </w:r>
      <w:r>
        <w:tab/>
        <w:t>COM(2018) 445 final – 2018/0235 (NLE)</w:t>
      </w:r>
    </w:p>
    <w:p w:rsidR="00D805CE" w:rsidRDefault="00D805CE" w:rsidP="00623A46">
      <w:pPr>
        <w:ind w:left="1701" w:firstLine="18"/>
      </w:pPr>
      <w:r>
        <w:t>EESC-2018-04675-00-00-AC-TRA</w:t>
      </w:r>
    </w:p>
    <w:p w:rsidR="00D805CE" w:rsidRPr="00554D34" w:rsidRDefault="00D805CE" w:rsidP="00D805CE">
      <w:pPr>
        <w:tabs>
          <w:tab w:val="num" w:pos="550"/>
        </w:tabs>
        <w:rPr>
          <w:b/>
          <w:highlight w:val="green"/>
          <w:lang w:val="en-GB"/>
        </w:rPr>
      </w:pPr>
    </w:p>
    <w:p w:rsidR="00D805CE" w:rsidRDefault="00D805CE" w:rsidP="00E21F22">
      <w:pPr>
        <w:keepNext/>
        <w:keepLines/>
        <w:rPr>
          <w:b/>
        </w:rPr>
      </w:pPr>
      <w:r>
        <w:rPr>
          <w:b/>
        </w:rPr>
        <w:lastRenderedPageBreak/>
        <w:t>Puntos clave</w:t>
      </w:r>
    </w:p>
    <w:p w:rsidR="00D805CE" w:rsidRDefault="00D805CE" w:rsidP="00E21F22">
      <w:pPr>
        <w:keepNext/>
        <w:keepLines/>
      </w:pPr>
    </w:p>
    <w:p w:rsidR="00270FF0" w:rsidRDefault="00270FF0" w:rsidP="00E21F22">
      <w:pPr>
        <w:keepNext/>
        <w:keepLines/>
      </w:pPr>
      <w:r>
        <w:t>El CESE:</w:t>
      </w:r>
    </w:p>
    <w:p w:rsidR="00270FF0" w:rsidRDefault="00270FF0" w:rsidP="00E21F22">
      <w:pPr>
        <w:keepNext/>
        <w:keepLines/>
      </w:pPr>
    </w:p>
    <w:p w:rsidR="00D805CE" w:rsidRDefault="00D805CE" w:rsidP="00543C6C">
      <w:pPr>
        <w:pStyle w:val="ListParagraph"/>
        <w:numPr>
          <w:ilvl w:val="0"/>
          <w:numId w:val="127"/>
        </w:numPr>
        <w:ind w:left="567" w:hanging="567"/>
      </w:pPr>
      <w:r>
        <w:t>observa que la implantación de energías limpias es una prioridad fundamental y que la energía de fusión se considera una posible solución a largo plazo para lograrla, pues Europa encabeza el desarrollo de tecnologías de fusión libres de carbono, sostenibles y que ayudan a garantizar nuestra combinación de suministros de energía;</w:t>
      </w:r>
    </w:p>
    <w:p w:rsidR="00270FF0" w:rsidRDefault="00270FF0" w:rsidP="00270FF0">
      <w:pPr>
        <w:ind w:left="567" w:hanging="567"/>
      </w:pPr>
    </w:p>
    <w:p w:rsidR="00D805CE" w:rsidRPr="00270FF0" w:rsidRDefault="00D805CE" w:rsidP="00543C6C">
      <w:pPr>
        <w:pStyle w:val="ListParagraph"/>
        <w:numPr>
          <w:ilvl w:val="0"/>
          <w:numId w:val="127"/>
        </w:numPr>
        <w:ind w:left="567" w:hanging="567"/>
      </w:pPr>
      <w:r>
        <w:t>destaca que el elevado nivel de inversión a largo plazo que requiere el desarrollo de una central eléctrica de fusión sigue entrañando algún que otro riesgo industrial pero, en caso de éxito, la construcción de una central de estas características también constituiría un nuevo factor que modificaría significativamente el suministro energético actual en forma de innovación disruptiva, ya que el combustible de fusión es abundante y prácticamente inagotable;</w:t>
      </w:r>
    </w:p>
    <w:p w:rsidR="001A35F9" w:rsidRDefault="001A35F9" w:rsidP="001A35F9">
      <w:pPr>
        <w:pStyle w:val="ListParagraph"/>
        <w:ind w:left="567"/>
      </w:pPr>
    </w:p>
    <w:p w:rsidR="00D805CE" w:rsidRDefault="00D805CE" w:rsidP="00543C6C">
      <w:pPr>
        <w:pStyle w:val="ListParagraph"/>
        <w:numPr>
          <w:ilvl w:val="0"/>
          <w:numId w:val="128"/>
        </w:numPr>
        <w:ind w:left="567" w:hanging="567"/>
      </w:pPr>
      <w:r>
        <w:t>la propuesta aborda los principales retos que afronta el próximo MFP para mantener el impulso positivo del proyecto ITER. El CESE valora positivamente el progreso llevado a cabo en estos últimos años, tras haber superado varios problemas gracias a una importante reorganización del proyecto ITER (nuevos directivos y un calendario actualizado de la línea de referencia del ITER);</w:t>
      </w:r>
    </w:p>
    <w:p w:rsidR="001A35F9" w:rsidRDefault="001A35F9" w:rsidP="001A35F9">
      <w:pPr>
        <w:pStyle w:val="ListParagraph"/>
        <w:ind w:left="567"/>
      </w:pPr>
    </w:p>
    <w:p w:rsidR="00D805CE" w:rsidRDefault="00D805CE" w:rsidP="00543C6C">
      <w:pPr>
        <w:pStyle w:val="ListParagraph"/>
        <w:numPr>
          <w:ilvl w:val="0"/>
          <w:numId w:val="128"/>
        </w:numPr>
        <w:ind w:left="567" w:hanging="567"/>
      </w:pPr>
      <w:r>
        <w:t>insta a la Comisión a que haga más hincapié en la importancia de la necesidad de enlazar el proyecto ITER con la investigación europea sobre la fusión organizada por EUROfusion, que se financia con cargo al Programa de Investigación y Formación (Euratom) y opera el Joint European Torus (JET), una importante instalación experimental situada en Culham (Reino Unido);</w:t>
      </w:r>
    </w:p>
    <w:p w:rsidR="001A35F9" w:rsidRPr="001A35F9" w:rsidRDefault="001A35F9" w:rsidP="001A35F9">
      <w:pPr>
        <w:pStyle w:val="ListParagraph"/>
        <w:ind w:left="567"/>
        <w:rPr>
          <w:sz w:val="24"/>
          <w:szCs w:val="24"/>
          <w:lang w:val="fr-BE" w:eastAsia="fr-BE"/>
        </w:rPr>
      </w:pPr>
    </w:p>
    <w:p w:rsidR="00D805CE" w:rsidRPr="00270FF0" w:rsidRDefault="00D805CE" w:rsidP="00543C6C">
      <w:pPr>
        <w:pStyle w:val="ListParagraph"/>
        <w:numPr>
          <w:ilvl w:val="0"/>
          <w:numId w:val="128"/>
        </w:numPr>
        <w:ind w:left="567" w:hanging="567"/>
        <w:rPr>
          <w:sz w:val="24"/>
          <w:szCs w:val="24"/>
        </w:rPr>
      </w:pPr>
      <w:r>
        <w:t xml:space="preserve">entiende que el ITER suscita cuestiones importantes que tan solo pueden solucionarse por medio del JET y, por tanto, se hace eco de la preocupación por el efecto del </w:t>
      </w:r>
      <w:r>
        <w:rPr>
          <w:i/>
        </w:rPr>
        <w:t>Brexit</w:t>
      </w:r>
      <w:r>
        <w:t xml:space="preserve"> en la continuación del JET.</w:t>
      </w:r>
      <w:r>
        <w:rPr>
          <w:rFonts w:ascii="Calibri" w:hAnsi="Calibri"/>
        </w:rPr>
        <w:t xml:space="preserve"> </w:t>
      </w:r>
    </w:p>
    <w:p w:rsidR="00D805CE" w:rsidRDefault="00D805CE" w:rsidP="00D805CE">
      <w:pPr>
        <w:rPr>
          <w:i/>
          <w:lang w:val="en-GB"/>
        </w:rPr>
      </w:pPr>
    </w:p>
    <w:p w:rsidR="00D805CE" w:rsidRPr="00554D34" w:rsidRDefault="00D805CE" w:rsidP="00D805CE">
      <w:pPr>
        <w:tabs>
          <w:tab w:val="left" w:pos="1701"/>
        </w:tabs>
        <w:rPr>
          <w:i/>
        </w:rPr>
      </w:pPr>
      <w:r>
        <w:rPr>
          <w:b/>
          <w:i/>
        </w:rPr>
        <w:t>Contacto:</w:t>
      </w:r>
      <w:r>
        <w:rPr>
          <w:i/>
        </w:rPr>
        <w:tab/>
        <w:t>Kristian Krieger</w:t>
      </w:r>
    </w:p>
    <w:p w:rsidR="00D805CE" w:rsidRPr="00554D34" w:rsidRDefault="00D805CE" w:rsidP="00D805CE">
      <w:pPr>
        <w:tabs>
          <w:tab w:val="left" w:pos="1701"/>
        </w:tabs>
        <w:rPr>
          <w:b/>
          <w:i/>
        </w:rPr>
      </w:pPr>
      <w:r>
        <w:rPr>
          <w:i/>
        </w:rPr>
        <w:tab/>
        <w:t xml:space="preserve">(Tel. 00 32 2 546 8921 – correo electrónico: </w:t>
      </w:r>
      <w:hyperlink r:id="rId28" w:history="1">
        <w:r>
          <w:rPr>
            <w:rStyle w:val="Hyperlink"/>
            <w:i/>
          </w:rPr>
          <w:t>Kristian.Krieger@eesc.europa.eu</w:t>
        </w:r>
      </w:hyperlink>
      <w:r>
        <w:rPr>
          <w:i/>
        </w:rPr>
        <w:t>)</w:t>
      </w:r>
    </w:p>
    <w:p w:rsidR="001A35F9" w:rsidRPr="001A35F9" w:rsidRDefault="001A35F9" w:rsidP="001A35F9">
      <w:pPr>
        <w:widowControl w:val="0"/>
        <w:overflowPunct w:val="0"/>
        <w:autoSpaceDE w:val="0"/>
        <w:autoSpaceDN w:val="0"/>
        <w:adjustRightInd w:val="0"/>
        <w:spacing w:line="240" w:lineRule="auto"/>
        <w:ind w:left="567"/>
        <w:textAlignment w:val="baseline"/>
        <w:rPr>
          <w:bCs/>
          <w:i/>
          <w:lang w:val="en-GB"/>
        </w:rPr>
      </w:pPr>
    </w:p>
    <w:p w:rsidR="00D805CE" w:rsidRPr="00C90013" w:rsidRDefault="00D805CE" w:rsidP="00F10ED6">
      <w:pPr>
        <w:keepNext/>
        <w:widowControl w:val="0"/>
        <w:numPr>
          <w:ilvl w:val="0"/>
          <w:numId w:val="90"/>
        </w:numPr>
        <w:overflowPunct w:val="0"/>
        <w:autoSpaceDE w:val="0"/>
        <w:autoSpaceDN w:val="0"/>
        <w:adjustRightInd w:val="0"/>
        <w:spacing w:line="240" w:lineRule="auto"/>
        <w:ind w:left="567" w:hanging="567"/>
        <w:textAlignment w:val="baseline"/>
        <w:rPr>
          <w:bCs/>
          <w:i/>
        </w:rPr>
      </w:pPr>
      <w:r>
        <w:rPr>
          <w:b/>
          <w:i/>
          <w:sz w:val="28"/>
          <w:szCs w:val="28"/>
        </w:rPr>
        <w:t>El MFP, la clausura de las instalaciones nucleares y los residuos radioactivos</w:t>
      </w:r>
    </w:p>
    <w:p w:rsidR="00D805CE" w:rsidRDefault="00D805CE" w:rsidP="00F10ED6">
      <w:pPr>
        <w:keepNext/>
        <w:widowControl w:val="0"/>
        <w:spacing w:line="240" w:lineRule="auto"/>
        <w:rPr>
          <w:bCs/>
          <w:highlight w:val="green"/>
          <w:lang w:val="en-GB"/>
        </w:rPr>
      </w:pPr>
    </w:p>
    <w:p w:rsidR="00D805CE" w:rsidRDefault="00D805CE" w:rsidP="00D805CE">
      <w:pPr>
        <w:tabs>
          <w:tab w:val="left" w:pos="1701"/>
        </w:tabs>
      </w:pPr>
      <w:r>
        <w:rPr>
          <w:b/>
        </w:rPr>
        <w:t>Ponente:</w:t>
      </w:r>
      <w:r w:rsidR="00E21F22">
        <w:rPr>
          <w:b/>
        </w:rPr>
        <w:tab/>
      </w:r>
      <w:r>
        <w:t>Rudy DE LEEUW (Trabajadores – BE)</w:t>
      </w:r>
    </w:p>
    <w:p w:rsidR="00D805CE" w:rsidRDefault="00D805CE" w:rsidP="00D805CE">
      <w:pPr>
        <w:rPr>
          <w:lang w:val="en-GB"/>
        </w:rPr>
      </w:pPr>
    </w:p>
    <w:p w:rsidR="00D805CE" w:rsidRDefault="00D805CE" w:rsidP="00D805CE">
      <w:pPr>
        <w:tabs>
          <w:tab w:val="left" w:pos="1701"/>
        </w:tabs>
      </w:pPr>
      <w:r>
        <w:rPr>
          <w:b/>
        </w:rPr>
        <w:t>Referencias:</w:t>
      </w:r>
      <w:r>
        <w:t xml:space="preserve"> </w:t>
      </w:r>
      <w:r>
        <w:tab/>
        <w:t>COM(2018) 466 final – 2018/0251 (NLE)</w:t>
      </w:r>
    </w:p>
    <w:p w:rsidR="00D805CE" w:rsidRDefault="00D805CE" w:rsidP="00623A46">
      <w:pPr>
        <w:ind w:left="1701" w:firstLine="18"/>
      </w:pPr>
      <w:r>
        <w:t>COM(2018) 467 final – 2018/0252 (NLE)</w:t>
      </w:r>
    </w:p>
    <w:p w:rsidR="00D805CE" w:rsidRDefault="00D805CE" w:rsidP="00623A46">
      <w:pPr>
        <w:ind w:left="1701" w:firstLine="18"/>
      </w:pPr>
      <w:r>
        <w:t>COM(2018) 468 final</w:t>
      </w:r>
    </w:p>
    <w:p w:rsidR="00D805CE" w:rsidRDefault="00D805CE" w:rsidP="00623A46">
      <w:pPr>
        <w:ind w:left="1701" w:firstLine="18"/>
      </w:pPr>
      <w:r>
        <w:t>EESC-2018-04955-00-00-AC-TRA</w:t>
      </w:r>
    </w:p>
    <w:p w:rsidR="00D805CE" w:rsidRPr="00554D34" w:rsidRDefault="00D805CE" w:rsidP="00D805CE">
      <w:pPr>
        <w:tabs>
          <w:tab w:val="num" w:pos="550"/>
        </w:tabs>
        <w:rPr>
          <w:b/>
          <w:highlight w:val="green"/>
          <w:lang w:val="en-GB"/>
        </w:rPr>
      </w:pPr>
    </w:p>
    <w:p w:rsidR="00D805CE" w:rsidRDefault="00D805CE" w:rsidP="00E21F22">
      <w:pPr>
        <w:keepNext/>
        <w:keepLines/>
        <w:rPr>
          <w:color w:val="000000"/>
        </w:rPr>
      </w:pPr>
      <w:r>
        <w:rPr>
          <w:b/>
        </w:rPr>
        <w:lastRenderedPageBreak/>
        <w:t>Puntos clave</w:t>
      </w:r>
    </w:p>
    <w:p w:rsidR="00D805CE" w:rsidRDefault="00D805CE" w:rsidP="00E21F22">
      <w:pPr>
        <w:keepNext/>
        <w:keepLines/>
      </w:pPr>
    </w:p>
    <w:p w:rsidR="00D67573" w:rsidRDefault="00D67573" w:rsidP="007D5D0A">
      <w:pPr>
        <w:keepNext/>
        <w:keepLines/>
      </w:pPr>
      <w:r>
        <w:t>El CESE:</w:t>
      </w:r>
    </w:p>
    <w:p w:rsidR="00D67573" w:rsidRPr="00F13777" w:rsidRDefault="00D67573" w:rsidP="007D5D0A">
      <w:pPr>
        <w:keepNext/>
        <w:keepLines/>
      </w:pPr>
    </w:p>
    <w:p w:rsidR="00D805CE" w:rsidRPr="00F13777" w:rsidRDefault="00D805CE" w:rsidP="00543C6C">
      <w:pPr>
        <w:pStyle w:val="ListParagraph"/>
        <w:numPr>
          <w:ilvl w:val="0"/>
          <w:numId w:val="128"/>
        </w:numPr>
        <w:ind w:left="567" w:hanging="567"/>
      </w:pPr>
      <w:r>
        <w:t>está de acuerdo con la propuesta de la Comisión y llama la atención sobre las sugerencias de acompañamiento en el futuro formuladas en el cuerpo del dictamen;</w:t>
      </w:r>
    </w:p>
    <w:p w:rsidR="001A35F9" w:rsidRDefault="001A35F9" w:rsidP="001A35F9">
      <w:pPr>
        <w:pStyle w:val="ListParagraph"/>
        <w:ind w:left="567"/>
      </w:pPr>
    </w:p>
    <w:p w:rsidR="00D805CE" w:rsidRPr="00F13777" w:rsidRDefault="00D805CE" w:rsidP="00543C6C">
      <w:pPr>
        <w:pStyle w:val="ListParagraph"/>
        <w:numPr>
          <w:ilvl w:val="0"/>
          <w:numId w:val="128"/>
        </w:numPr>
        <w:ind w:left="567" w:hanging="567"/>
      </w:pPr>
      <w:r>
        <w:t>no propone aportar modificaciones a la propuesta, pero pide que se refuerce el seguimiento de las actividades relativas a determinados aspectos en los que hace hincapié el dictamen, en particular: el desarrollo sostenible orientado hacia la elección de las fuentes de energía; la consideración correcta de la situación específica de Lituania en particular, pero también de otros países afectados, dadas sus circunstancias socioeconómicas; la difusión en toda la UE de los conocimientos adquiridos en materia de desmantelamiento y el reto de la formación de los trabajadores; la gestión segura y sostenible de los residuos nucleares generados de esta manera; y el refuerzo de los indicadores de rendimiento, incluyendo los resultados en materia de protección radiológica de los trabajadores.</w:t>
      </w:r>
    </w:p>
    <w:p w:rsidR="00D805CE" w:rsidRDefault="00D805CE" w:rsidP="00D805CE">
      <w:pPr>
        <w:widowControl w:val="0"/>
        <w:ind w:left="-567"/>
        <w:rPr>
          <w:i/>
          <w:lang w:val="en-GB"/>
        </w:rPr>
      </w:pPr>
    </w:p>
    <w:p w:rsidR="00D805CE" w:rsidRPr="00554D34" w:rsidRDefault="00D805CE" w:rsidP="00D805CE">
      <w:pPr>
        <w:tabs>
          <w:tab w:val="left" w:pos="1701"/>
        </w:tabs>
        <w:rPr>
          <w:i/>
        </w:rPr>
      </w:pPr>
      <w:r>
        <w:rPr>
          <w:b/>
          <w:i/>
        </w:rPr>
        <w:t>Contacto:</w:t>
      </w:r>
      <w:r>
        <w:rPr>
          <w:i/>
        </w:rPr>
        <w:tab/>
        <w:t>Kristian Krieger</w:t>
      </w:r>
    </w:p>
    <w:p w:rsidR="00D805CE" w:rsidRPr="00554D34" w:rsidRDefault="00D805CE" w:rsidP="00D805CE">
      <w:pPr>
        <w:tabs>
          <w:tab w:val="left" w:pos="1701"/>
        </w:tabs>
        <w:rPr>
          <w:b/>
          <w:i/>
        </w:rPr>
      </w:pPr>
      <w:r>
        <w:rPr>
          <w:i/>
        </w:rPr>
        <w:tab/>
        <w:t xml:space="preserve">(Tel. 00 32 2 546 8921 – correo electrónico: </w:t>
      </w:r>
      <w:hyperlink r:id="rId29" w:history="1">
        <w:r>
          <w:rPr>
            <w:rStyle w:val="Hyperlink"/>
            <w:i/>
          </w:rPr>
          <w:t>Kristian.Krieger@eesc.europa.eu</w:t>
        </w:r>
      </w:hyperlink>
      <w:r>
        <w:rPr>
          <w:i/>
        </w:rPr>
        <w:t>)</w:t>
      </w:r>
    </w:p>
    <w:p w:rsidR="00DA2D91" w:rsidRDefault="00DA2D91">
      <w:pPr>
        <w:spacing w:line="240" w:lineRule="auto"/>
        <w:jc w:val="left"/>
        <w:rPr>
          <w:kern w:val="28"/>
          <w:lang w:val="en-GB"/>
        </w:rPr>
      </w:pPr>
    </w:p>
    <w:p w:rsidR="00E46EC4" w:rsidRDefault="00E46EC4" w:rsidP="00E46EC4">
      <w:pPr>
        <w:pStyle w:val="Heading1"/>
        <w:rPr>
          <w:b/>
        </w:rPr>
      </w:pPr>
      <w:r>
        <w:tab/>
      </w:r>
      <w:bookmarkStart w:id="3" w:name="_Toc535577281"/>
      <w:r>
        <w:rPr>
          <w:b/>
        </w:rPr>
        <w:t>RELACIONES EXTERIORES</w:t>
      </w:r>
      <w:bookmarkEnd w:id="3"/>
    </w:p>
    <w:p w:rsidR="00E12477" w:rsidRDefault="00E12477" w:rsidP="00DA2D91">
      <w:pPr>
        <w:rPr>
          <w:lang w:val="en-GB"/>
        </w:rPr>
      </w:pPr>
    </w:p>
    <w:p w:rsidR="00E12477" w:rsidRPr="00E12477" w:rsidRDefault="00E12477" w:rsidP="00E12477">
      <w:pPr>
        <w:pStyle w:val="ListParagraph"/>
        <w:numPr>
          <w:ilvl w:val="0"/>
          <w:numId w:val="100"/>
        </w:numPr>
        <w:ind w:left="567" w:hanging="567"/>
      </w:pPr>
      <w:r>
        <w:rPr>
          <w:b/>
          <w:i/>
          <w:sz w:val="28"/>
          <w:szCs w:val="28"/>
        </w:rPr>
        <w:t>Tribunal multilateral de inversiones</w:t>
      </w:r>
    </w:p>
    <w:p w:rsidR="00E12477" w:rsidRDefault="00E12477" w:rsidP="00E12477">
      <w:pPr>
        <w:rPr>
          <w:lang w:val="en-GB"/>
        </w:rPr>
      </w:pPr>
    </w:p>
    <w:p w:rsidR="00E12477" w:rsidRDefault="00E12477" w:rsidP="00E12477">
      <w:pPr>
        <w:tabs>
          <w:tab w:val="left" w:pos="1701"/>
        </w:tabs>
        <w:rPr>
          <w:bCs/>
        </w:rPr>
      </w:pPr>
      <w:r>
        <w:rPr>
          <w:b/>
        </w:rPr>
        <w:t>Ponente:</w:t>
      </w:r>
      <w:r w:rsidR="00E21F22">
        <w:rPr>
          <w:b/>
        </w:rPr>
        <w:tab/>
      </w:r>
      <w:r>
        <w:t>Philippe DE BUCK (Empresarios – BE)</w:t>
      </w:r>
    </w:p>
    <w:p w:rsidR="00E12477" w:rsidRPr="00671543" w:rsidRDefault="00E12477" w:rsidP="00E12477">
      <w:r>
        <w:rPr>
          <w:b/>
          <w:bCs/>
        </w:rPr>
        <w:t>Coponente:</w:t>
      </w:r>
      <w:r w:rsidR="00E21F22">
        <w:rPr>
          <w:b/>
          <w:bCs/>
        </w:rPr>
        <w:tab/>
      </w:r>
      <w:r w:rsidR="00E21F22">
        <w:rPr>
          <w:b/>
          <w:bCs/>
        </w:rPr>
        <w:tab/>
      </w:r>
      <w:r>
        <w:t>Tanja BUZEK (Trabajadores – DE)</w:t>
      </w:r>
    </w:p>
    <w:p w:rsidR="00E12477" w:rsidRDefault="00E12477" w:rsidP="00E12477">
      <w:pPr>
        <w:rPr>
          <w:b/>
          <w:lang w:val="en-GB"/>
        </w:rPr>
      </w:pPr>
    </w:p>
    <w:p w:rsidR="00E12477" w:rsidRDefault="00E12477" w:rsidP="00E12477">
      <w:pPr>
        <w:rPr>
          <w:bCs/>
        </w:rPr>
      </w:pPr>
      <w:r>
        <w:rPr>
          <w:b/>
        </w:rPr>
        <w:t>Referencias:</w:t>
      </w:r>
      <w:r>
        <w:t xml:space="preserve"> </w:t>
      </w:r>
      <w:r>
        <w:tab/>
        <w:t>COM(2017) 493 final</w:t>
      </w:r>
    </w:p>
    <w:p w:rsidR="00E12477" w:rsidRPr="00E12477" w:rsidRDefault="00E12477" w:rsidP="00623A46">
      <w:pPr>
        <w:ind w:left="1701" w:firstLine="18"/>
      </w:pPr>
      <w:r>
        <w:t>EESC-2017-06154-00-00-AC-TRA-EN</w:t>
      </w:r>
    </w:p>
    <w:p w:rsidR="00E12477" w:rsidRDefault="00E12477">
      <w:pPr>
        <w:spacing w:line="240" w:lineRule="auto"/>
        <w:jc w:val="left"/>
        <w:rPr>
          <w:lang w:val="en-GB"/>
        </w:rPr>
      </w:pPr>
    </w:p>
    <w:p w:rsidR="00E12477" w:rsidRDefault="00E12477">
      <w:pPr>
        <w:spacing w:line="240" w:lineRule="auto"/>
        <w:jc w:val="left"/>
      </w:pPr>
      <w:r>
        <w:rPr>
          <w:b/>
        </w:rPr>
        <w:t>Puntos clave</w:t>
      </w:r>
    </w:p>
    <w:p w:rsidR="00E12477" w:rsidRDefault="00E12477">
      <w:pPr>
        <w:spacing w:line="240" w:lineRule="auto"/>
        <w:jc w:val="left"/>
        <w:rPr>
          <w:lang w:val="en-GB"/>
        </w:rPr>
      </w:pPr>
    </w:p>
    <w:p w:rsidR="00501FA4" w:rsidRDefault="00501FA4" w:rsidP="00E12477">
      <w:pPr>
        <w:outlineLvl w:val="1"/>
      </w:pPr>
      <w:r>
        <w:t>El CESE:</w:t>
      </w:r>
    </w:p>
    <w:p w:rsidR="00501FA4" w:rsidRDefault="00501FA4" w:rsidP="00E12477">
      <w:pPr>
        <w:outlineLvl w:val="1"/>
      </w:pPr>
    </w:p>
    <w:p w:rsidR="00E12477" w:rsidRPr="00165AA3" w:rsidRDefault="00E12477" w:rsidP="00543C6C">
      <w:pPr>
        <w:pStyle w:val="ListParagraph"/>
        <w:numPr>
          <w:ilvl w:val="0"/>
          <w:numId w:val="100"/>
        </w:numPr>
        <w:ind w:left="567" w:hanging="567"/>
        <w:outlineLvl w:val="1"/>
      </w:pPr>
      <w:r>
        <w:t>es plenamente consciente de que el procedimiento de solución de diferencias entre inversores y Estados en los acuerdos comerciales y de inversión resulta cada vez más controvertido para una serie de partes interesadas en razón de consideraciones sobre su legitimidad, coherencia y transparencia. Estas críticas se centran, pero no solo, en cuestiones procedimentales y sustantivas;</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coge con satisfacción los esfuerzos de la Comisión Europea encaminados a una reforma multilateral de la solución de diferencias entre inversores y Estados bajo los auspicios de la CNUDMI y considera fundamental que la UE sigue abierta a todos los enfoques e ideas que han ido surgiendo en torno a la reforma de la solución de diferencias entre inversores y Estados;</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lastRenderedPageBreak/>
        <w:t>apoya en especial el mayor compromiso en favor de la transparencia, permitiendo que las organizaciones no gubernamentales hagan un seguimiento de los debates e incluso participen en ellos;</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considera esencial que el Grupo de Trabajo III de la CNUDMI reciba las contribuciones de todas las partes interesadas en un esfuerzo por incrementar la inclusión y pide que se realice una invitación de las partes interesadas mejor y más equilibrada. Además, el CESE insta a la Comisión a que haga todo lo posible para que el CESE participe activamente en los trabajos del Grupo de Trabajo III;</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siempre ha reconocido que la inversión extranjera directa (IED) es un componente importante del crecimiento económico, y que los inversores extranjeros deben gozar de protección global frente a la expropiación directa, no sufrir discriminación y disfrutar de derechos equivalentes a los de los inversores nacionales;</w:t>
      </w:r>
    </w:p>
    <w:p w:rsidR="00E12477" w:rsidRPr="00165AA3" w:rsidRDefault="00E12477" w:rsidP="00456D45">
      <w:pPr>
        <w:ind w:left="567" w:hanging="567"/>
      </w:pPr>
    </w:p>
    <w:p w:rsidR="00E12477" w:rsidRPr="00165AA3" w:rsidRDefault="00501FA4" w:rsidP="00543C6C">
      <w:pPr>
        <w:pStyle w:val="ListParagraph"/>
        <w:numPr>
          <w:ilvl w:val="0"/>
          <w:numId w:val="100"/>
        </w:numPr>
        <w:ind w:left="567" w:hanging="567"/>
        <w:outlineLvl w:val="1"/>
      </w:pPr>
      <w:r>
        <w:t>sin embargo, del mismo modo, el CESE siempre ha subrayado que el derecho de los Estados miembros a legislar en aras del interés público no debe verse menoscabado;</w:t>
      </w:r>
    </w:p>
    <w:p w:rsidR="00E12477" w:rsidRPr="00165AA3" w:rsidRDefault="00E12477" w:rsidP="00456D45">
      <w:pPr>
        <w:ind w:left="567" w:hanging="567"/>
      </w:pPr>
    </w:p>
    <w:p w:rsidR="00E12477" w:rsidRPr="00165AA3" w:rsidRDefault="00501FA4" w:rsidP="00543C6C">
      <w:pPr>
        <w:pStyle w:val="ListParagraph"/>
        <w:numPr>
          <w:ilvl w:val="0"/>
          <w:numId w:val="100"/>
        </w:numPr>
        <w:ind w:left="567" w:hanging="567"/>
        <w:outlineLvl w:val="1"/>
      </w:pPr>
      <w:r>
        <w:t>en el contexto de la creación de un tribunal multilateral de inversiones, el CESE subraya que hay una serie de cuestiones fundamentales que deben abordarse: el alcance, la protección del interés público, la accesibilidad y las relaciones con los tribunales nacionales.</w:t>
      </w:r>
    </w:p>
    <w:p w:rsidR="00E12477" w:rsidRDefault="00E12477" w:rsidP="00E12477">
      <w:pPr>
        <w:widowControl w:val="0"/>
        <w:rPr>
          <w:lang w:val="en-GB"/>
        </w:rPr>
      </w:pPr>
    </w:p>
    <w:p w:rsidR="00E12477" w:rsidRPr="006F0E33" w:rsidRDefault="00E12477" w:rsidP="00E12477">
      <w:pPr>
        <w:tabs>
          <w:tab w:val="left" w:pos="1701"/>
        </w:tabs>
        <w:rPr>
          <w:i/>
        </w:rPr>
      </w:pPr>
      <w:r>
        <w:rPr>
          <w:b/>
          <w:i/>
        </w:rPr>
        <w:t>Contacto:</w:t>
      </w:r>
      <w:r>
        <w:rPr>
          <w:i/>
        </w:rPr>
        <w:tab/>
        <w:t>Gunilla Fevre-Burdy</w:t>
      </w:r>
    </w:p>
    <w:p w:rsidR="00E12477" w:rsidRDefault="00E12477" w:rsidP="00E12477">
      <w:pPr>
        <w:tabs>
          <w:tab w:val="left" w:pos="1701"/>
        </w:tabs>
        <w:spacing w:line="240" w:lineRule="auto"/>
        <w:jc w:val="left"/>
      </w:pPr>
      <w:r>
        <w:rPr>
          <w:i/>
          <w:iCs/>
        </w:rPr>
        <w:tab/>
        <w:t xml:space="preserve">(Tel. 00 32 2 546 9108 - correo electrónico: </w:t>
      </w:r>
      <w:hyperlink r:id="rId30" w:history="1">
        <w:r>
          <w:rPr>
            <w:rStyle w:val="Hyperlink"/>
            <w:i/>
            <w:iCs/>
          </w:rPr>
          <w:t>gunilla.sandberg@eesc.europa.eu</w:t>
        </w:r>
      </w:hyperlink>
      <w:r>
        <w:rPr>
          <w:i/>
          <w:iCs/>
        </w:rPr>
        <w:t>)</w:t>
      </w:r>
    </w:p>
    <w:p w:rsidR="001A35F9" w:rsidRDefault="001A35F9" w:rsidP="001A35F9">
      <w:pPr>
        <w:widowControl w:val="0"/>
        <w:overflowPunct w:val="0"/>
        <w:autoSpaceDE w:val="0"/>
        <w:autoSpaceDN w:val="0"/>
        <w:adjustRightInd w:val="0"/>
        <w:ind w:left="567"/>
        <w:textAlignment w:val="baseline"/>
        <w:rPr>
          <w:b/>
          <w:i/>
          <w:spacing w:val="-2"/>
          <w:sz w:val="28"/>
          <w:szCs w:val="28"/>
          <w:lang w:val="en-GB"/>
        </w:rPr>
      </w:pPr>
    </w:p>
    <w:p w:rsidR="00AB6BE1" w:rsidRPr="00EF1522" w:rsidRDefault="00AB6BE1" w:rsidP="00AB6BE1">
      <w:pPr>
        <w:widowControl w:val="0"/>
        <w:numPr>
          <w:ilvl w:val="0"/>
          <w:numId w:val="90"/>
        </w:numPr>
        <w:overflowPunct w:val="0"/>
        <w:autoSpaceDE w:val="0"/>
        <w:autoSpaceDN w:val="0"/>
        <w:adjustRightInd w:val="0"/>
        <w:ind w:left="567" w:hanging="567"/>
        <w:textAlignment w:val="baseline"/>
        <w:rPr>
          <w:b/>
          <w:i/>
          <w:spacing w:val="-2"/>
          <w:sz w:val="28"/>
          <w:szCs w:val="28"/>
        </w:rPr>
      </w:pPr>
      <w:r>
        <w:rPr>
          <w:b/>
          <w:i/>
          <w:sz w:val="28"/>
          <w:szCs w:val="28"/>
        </w:rPr>
        <w:t>Instrumento de Ayuda Preadhesión (IAP III)</w:t>
      </w:r>
    </w:p>
    <w:p w:rsidR="00AB6BE1" w:rsidRPr="00EF1522" w:rsidRDefault="00AB6BE1" w:rsidP="00AB6BE1">
      <w:pPr>
        <w:widowControl w:val="0"/>
        <w:rPr>
          <w:lang w:val="en-GB"/>
        </w:rPr>
      </w:pPr>
    </w:p>
    <w:p w:rsidR="00AB6BE1" w:rsidRPr="00EF1522" w:rsidRDefault="00AB6BE1" w:rsidP="00AB6BE1">
      <w:pPr>
        <w:rPr>
          <w:b/>
          <w:i/>
          <w:highlight w:val="yellow"/>
        </w:rPr>
      </w:pPr>
      <w:r>
        <w:rPr>
          <w:b/>
        </w:rPr>
        <w:t>Ponente:</w:t>
      </w:r>
      <w:r w:rsidR="00E21F22">
        <w:rPr>
          <w:b/>
        </w:rPr>
        <w:tab/>
      </w:r>
      <w:r w:rsidR="00E21F22">
        <w:rPr>
          <w:b/>
        </w:rPr>
        <w:tab/>
      </w:r>
      <w:r>
        <w:t>Dimitris DIMITRIADIS (Empresarios – EL)</w:t>
      </w:r>
    </w:p>
    <w:p w:rsidR="00AB6BE1" w:rsidRDefault="00AB6BE1" w:rsidP="00AB6BE1">
      <w:pPr>
        <w:tabs>
          <w:tab w:val="num" w:pos="550"/>
        </w:tabs>
        <w:rPr>
          <w:b/>
          <w:lang w:val="en-GB"/>
        </w:rPr>
      </w:pPr>
    </w:p>
    <w:p w:rsidR="00AB6BE1" w:rsidRDefault="00AB6BE1" w:rsidP="00AB6BE1">
      <w:pPr>
        <w:tabs>
          <w:tab w:val="num" w:pos="550"/>
          <w:tab w:val="left" w:pos="1701"/>
        </w:tabs>
        <w:rPr>
          <w:bCs/>
        </w:rPr>
      </w:pPr>
      <w:r>
        <w:rPr>
          <w:b/>
        </w:rPr>
        <w:t>Referencias:</w:t>
      </w:r>
      <w:r>
        <w:t xml:space="preserve"> </w:t>
      </w:r>
      <w:r>
        <w:tab/>
        <w:t>COM(2018) 465 final – 2018/0247 (COD)</w:t>
      </w:r>
    </w:p>
    <w:p w:rsidR="00AB6BE1" w:rsidRPr="00EF1522" w:rsidRDefault="00AB6BE1" w:rsidP="00623A46">
      <w:pPr>
        <w:ind w:left="1701" w:firstLine="18"/>
        <w:rPr>
          <w:bCs/>
        </w:rPr>
      </w:pPr>
      <w:r>
        <w:t>EESC-2018-04092-00-00-AC-TRA</w:t>
      </w:r>
    </w:p>
    <w:p w:rsidR="00AB6BE1" w:rsidRPr="00EF1522" w:rsidRDefault="00AB6BE1" w:rsidP="00AB6BE1">
      <w:pPr>
        <w:jc w:val="left"/>
        <w:rPr>
          <w:lang w:val="en-GB"/>
        </w:rPr>
      </w:pPr>
    </w:p>
    <w:p w:rsidR="00AB6BE1" w:rsidRDefault="00AB6BE1" w:rsidP="00AB6BE1">
      <w:pPr>
        <w:rPr>
          <w:b/>
        </w:rPr>
      </w:pPr>
      <w:r>
        <w:rPr>
          <w:b/>
        </w:rPr>
        <w:t>Puntos clave</w:t>
      </w:r>
    </w:p>
    <w:p w:rsidR="00AB6BE1" w:rsidRDefault="00AB6BE1" w:rsidP="00AB6BE1">
      <w:pPr>
        <w:rPr>
          <w:b/>
          <w:lang w:val="en-GB"/>
        </w:rPr>
      </w:pPr>
    </w:p>
    <w:p w:rsidR="00501FA4" w:rsidRPr="00543C6C" w:rsidRDefault="00501FA4" w:rsidP="00AB6BE1">
      <w:r>
        <w:t>El CESE:</w:t>
      </w:r>
    </w:p>
    <w:p w:rsidR="00501FA4" w:rsidRPr="00EF1522" w:rsidRDefault="00501FA4" w:rsidP="00AB6BE1">
      <w:pPr>
        <w:rPr>
          <w:lang w:val="en-GB"/>
        </w:rPr>
      </w:pPr>
    </w:p>
    <w:p w:rsidR="00AB6BE1" w:rsidRPr="00501FA4" w:rsidRDefault="00AB6BE1" w:rsidP="00543C6C">
      <w:pPr>
        <w:pStyle w:val="ListParagraph"/>
        <w:widowControl w:val="0"/>
        <w:numPr>
          <w:ilvl w:val="0"/>
          <w:numId w:val="129"/>
        </w:numPr>
        <w:ind w:left="567" w:hanging="567"/>
      </w:pPr>
      <w:r>
        <w:t>acoge favorablemente la propuesta de Reglamento del Parlamento Europeo y del Consejo por el que se establece el Instrumento de Ayuda Preadhesión (IAP III) para el período 2021-2027. Asimismo, el CESE acoge favorablemente la afirmación de que el IAP III debe hacer de los resultados el centro del instrumento, logrando así una mejor orientación de las asignaciones globales de financiación en consonancia con los compromisos de los beneficiarios y de los avances registrados por ellos en las reformas. La utilización de indicadores de rendimiento contribuirá a la evaluación global del IAP III y se ajusta a sus recomendaciones anteriores para el IAP II;</w:t>
      </w:r>
    </w:p>
    <w:p w:rsidR="00AB6BE1" w:rsidRDefault="00AB6BE1" w:rsidP="00501FA4">
      <w:pPr>
        <w:widowControl w:val="0"/>
        <w:ind w:left="567" w:hanging="567"/>
        <w:rPr>
          <w:lang w:val="en-GB"/>
        </w:rPr>
      </w:pPr>
    </w:p>
    <w:p w:rsidR="00AB6BE1" w:rsidRPr="00501FA4" w:rsidRDefault="00AB6BE1" w:rsidP="00543C6C">
      <w:pPr>
        <w:pStyle w:val="ListParagraph"/>
        <w:widowControl w:val="0"/>
        <w:numPr>
          <w:ilvl w:val="0"/>
          <w:numId w:val="129"/>
        </w:numPr>
        <w:ind w:left="567" w:hanging="567"/>
      </w:pPr>
      <w:r>
        <w:lastRenderedPageBreak/>
        <w:t>acoge favorablemente que la referencia financiera prevista en el proyecto de Reglamento sobre el IAP III para el período 2021-2027 sea de aproximadamente 14 500 millones EUR. El CESE acoge favorablemente que el IAP III introduzca mayor flexibilidad, al no establecer desde el primer momento dotaciones definitivas para los socios. El marco de programación del IAP debe basarse en la evolución de las necesidades y garantizar un equilibrio entre la previsibilidad y la financiación en función del rendimiento;</w:t>
      </w:r>
    </w:p>
    <w:p w:rsidR="00AB6BE1" w:rsidRDefault="00AB6BE1" w:rsidP="00501FA4">
      <w:pPr>
        <w:widowControl w:val="0"/>
        <w:ind w:left="567" w:hanging="567"/>
        <w:rPr>
          <w:lang w:val="en-GB"/>
        </w:rPr>
      </w:pPr>
    </w:p>
    <w:p w:rsidR="00AB6BE1" w:rsidRDefault="00AB6BE1" w:rsidP="00543C6C">
      <w:pPr>
        <w:pStyle w:val="ListParagraph"/>
        <w:widowControl w:val="0"/>
        <w:numPr>
          <w:ilvl w:val="0"/>
          <w:numId w:val="129"/>
        </w:numPr>
        <w:ind w:left="567" w:hanging="567"/>
      </w:pPr>
      <w:r>
        <w:t>insiste en la importancia de la Ayuda Preadhesión para impulsar reformas económicas y crear un entorno empresarial favorable y predecible a fin de fomentar el espíritu empresarial, la creación de empresas y el crecimiento de las pymes. El CESE hace hincapié en la importancia de los programas de reforma económica (PRE) y de una participación significativa de los interlocutores sociales y otras organizaciones de la sociedad civil en el proceso de desarrollo y ejecución de estos programas;</w:t>
      </w:r>
    </w:p>
    <w:p w:rsidR="00AB6BE1" w:rsidRDefault="00AB6BE1" w:rsidP="00501FA4">
      <w:pPr>
        <w:widowControl w:val="0"/>
        <w:ind w:left="567" w:hanging="567"/>
      </w:pPr>
    </w:p>
    <w:p w:rsidR="00AB6BE1" w:rsidRPr="00501FA4" w:rsidRDefault="00AB6BE1" w:rsidP="00543C6C">
      <w:pPr>
        <w:pStyle w:val="ListParagraph"/>
        <w:widowControl w:val="0"/>
        <w:numPr>
          <w:ilvl w:val="0"/>
          <w:numId w:val="129"/>
        </w:numPr>
        <w:ind w:left="567" w:hanging="567"/>
      </w:pPr>
      <w:r>
        <w:t>comparte la opinión de que los avances registrados por los beneficiarios del IAP con vistas a las reformas es esencial para la absorción y la explotación de estos fondos, y hace hincapié en la necesidad de consolidar una cultura de cooperación entre los beneficiarios de los Balcanes Occidentales;</w:t>
      </w:r>
    </w:p>
    <w:p w:rsidR="00AB6BE1" w:rsidRDefault="00AB6BE1" w:rsidP="00501FA4">
      <w:pPr>
        <w:widowControl w:val="0"/>
        <w:ind w:left="567" w:hanging="567"/>
        <w:rPr>
          <w:lang w:val="en-GB"/>
        </w:rPr>
      </w:pPr>
    </w:p>
    <w:p w:rsidR="00AB6BE1" w:rsidRPr="00501FA4" w:rsidRDefault="00AB6BE1" w:rsidP="00543C6C">
      <w:pPr>
        <w:pStyle w:val="ListParagraph"/>
        <w:widowControl w:val="0"/>
        <w:numPr>
          <w:ilvl w:val="0"/>
          <w:numId w:val="129"/>
        </w:numPr>
        <w:ind w:left="567" w:hanging="567"/>
      </w:pPr>
      <w:r>
        <w:t>subraya la necesidad de utilizar la Ayuda Preadhesión para aumentar la capacidad de la administración de los países candidatos y candidatos potenciales a fin de prepararlos para la futura utilización de los fondos estructurales y la participación en la política agrícola común de la UE;</w:t>
      </w:r>
    </w:p>
    <w:p w:rsidR="00AB6BE1" w:rsidRDefault="00AB6BE1" w:rsidP="00501FA4">
      <w:pPr>
        <w:widowControl w:val="0"/>
        <w:ind w:left="567" w:hanging="567"/>
        <w:rPr>
          <w:lang w:val="en-GB"/>
        </w:rPr>
      </w:pPr>
    </w:p>
    <w:p w:rsidR="00AB6BE1" w:rsidRPr="00501FA4" w:rsidRDefault="00AB6BE1" w:rsidP="00543C6C">
      <w:pPr>
        <w:pStyle w:val="ListParagraph"/>
        <w:widowControl w:val="0"/>
        <w:numPr>
          <w:ilvl w:val="0"/>
          <w:numId w:val="129"/>
        </w:numPr>
        <w:ind w:left="567" w:hanging="567"/>
      </w:pPr>
      <w:r>
        <w:t>considera que el IAP III debe utilizarse para aumentar la comprensión de los valores fundamentales de la UE, así como para promover el valor añadido de la Ayuda Preadhesión entre la población en general de los países candidatos y candidatos potenciales.</w:t>
      </w:r>
    </w:p>
    <w:p w:rsidR="00AB6BE1" w:rsidRDefault="00AB6BE1" w:rsidP="00AB6BE1">
      <w:pPr>
        <w:widowControl w:val="0"/>
        <w:rPr>
          <w:lang w:val="en-GB"/>
        </w:rPr>
      </w:pPr>
    </w:p>
    <w:p w:rsidR="00AB6BE1" w:rsidRPr="006F0E33" w:rsidRDefault="00AB6BE1" w:rsidP="00AB6BE1">
      <w:pPr>
        <w:ind w:left="1701" w:hanging="1701"/>
        <w:rPr>
          <w:i/>
        </w:rPr>
      </w:pPr>
      <w:r>
        <w:rPr>
          <w:b/>
          <w:i/>
        </w:rPr>
        <w:t>Contacto:</w:t>
      </w:r>
      <w:r>
        <w:rPr>
          <w:i/>
        </w:rPr>
        <w:tab/>
        <w:t>David Hoić</w:t>
      </w:r>
    </w:p>
    <w:p w:rsidR="00AB6BE1" w:rsidRDefault="00A53343" w:rsidP="00A53343">
      <w:pPr>
        <w:tabs>
          <w:tab w:val="left" w:pos="1701"/>
        </w:tabs>
        <w:rPr>
          <w:i/>
          <w:iCs/>
        </w:rPr>
      </w:pPr>
      <w:r>
        <w:rPr>
          <w:i/>
          <w:iCs/>
        </w:rPr>
        <w:tab/>
        <w:t xml:space="preserve">(Tel. 00 32 2 546 9069 - correo electrónico: </w:t>
      </w:r>
      <w:hyperlink r:id="rId31" w:history="1">
        <w:r>
          <w:rPr>
            <w:rStyle w:val="Hyperlink"/>
            <w:i/>
            <w:iCs/>
          </w:rPr>
          <w:t>david.hoic@eesc.europa.eu</w:t>
        </w:r>
      </w:hyperlink>
      <w:r>
        <w:rPr>
          <w:i/>
          <w:iCs/>
        </w:rPr>
        <w:t>)</w:t>
      </w:r>
    </w:p>
    <w:p w:rsidR="001A35F9" w:rsidRPr="001A35F9" w:rsidRDefault="001A35F9" w:rsidP="001A35F9">
      <w:pPr>
        <w:pStyle w:val="ListParagraph"/>
        <w:tabs>
          <w:tab w:val="left" w:pos="1701"/>
        </w:tabs>
        <w:ind w:left="360"/>
        <w:rPr>
          <w:lang w:val="en-GB"/>
        </w:rPr>
      </w:pPr>
    </w:p>
    <w:p w:rsidR="00584150" w:rsidRPr="00584150" w:rsidRDefault="00584150" w:rsidP="00584150">
      <w:pPr>
        <w:pStyle w:val="ListParagraph"/>
        <w:numPr>
          <w:ilvl w:val="0"/>
          <w:numId w:val="101"/>
        </w:numPr>
        <w:tabs>
          <w:tab w:val="left" w:pos="1701"/>
        </w:tabs>
      </w:pPr>
      <w:r>
        <w:rPr>
          <w:b/>
          <w:i/>
          <w:sz w:val="28"/>
          <w:szCs w:val="28"/>
        </w:rPr>
        <w:t>Instrumento de Vecindad, Desarrollo y Cooperación Internacional e Instrumento de Cooperación en materia de Seguridad Nuclear</w:t>
      </w:r>
    </w:p>
    <w:p w:rsidR="00584150" w:rsidRDefault="00584150" w:rsidP="00584150">
      <w:pPr>
        <w:tabs>
          <w:tab w:val="left" w:pos="1701"/>
        </w:tabs>
        <w:rPr>
          <w:lang w:val="en-GB"/>
        </w:rPr>
      </w:pPr>
    </w:p>
    <w:p w:rsidR="00584150" w:rsidRDefault="00584150" w:rsidP="00584150">
      <w:pPr>
        <w:tabs>
          <w:tab w:val="left" w:pos="1701"/>
        </w:tabs>
        <w:rPr>
          <w:bCs/>
        </w:rPr>
      </w:pPr>
      <w:r>
        <w:rPr>
          <w:b/>
        </w:rPr>
        <w:t>Ponente:</w:t>
      </w:r>
      <w:r w:rsidR="00E21F22">
        <w:rPr>
          <w:b/>
        </w:rPr>
        <w:tab/>
      </w:r>
      <w:r>
        <w:t>Cristian PÎRVULESCU (Diversidad Europa – RO)</w:t>
      </w:r>
    </w:p>
    <w:p w:rsidR="00584150" w:rsidRPr="00D31F26" w:rsidRDefault="00584150" w:rsidP="00584150">
      <w:pPr>
        <w:rPr>
          <w:bCs/>
          <w:lang w:val="en-GB"/>
        </w:rPr>
      </w:pPr>
    </w:p>
    <w:p w:rsidR="00584150" w:rsidRDefault="00584150" w:rsidP="00584150">
      <w:pPr>
        <w:tabs>
          <w:tab w:val="left" w:pos="1701"/>
        </w:tabs>
        <w:rPr>
          <w:bCs/>
        </w:rPr>
      </w:pPr>
      <w:r>
        <w:rPr>
          <w:b/>
        </w:rPr>
        <w:t>Referencias:</w:t>
      </w:r>
      <w:r>
        <w:t xml:space="preserve"> </w:t>
      </w:r>
      <w:r>
        <w:tab/>
        <w:t>COM(2018) 460 final – 2018/0243 (COD)</w:t>
      </w:r>
    </w:p>
    <w:p w:rsidR="000A7A22" w:rsidRDefault="000A7A22" w:rsidP="00623A46">
      <w:pPr>
        <w:ind w:left="1701" w:firstLine="18"/>
        <w:rPr>
          <w:bCs/>
        </w:rPr>
      </w:pPr>
      <w:r>
        <w:t>COM(2018) 462 final – 2018/0243 (COD) 2018/0245 (NLE)</w:t>
      </w:r>
    </w:p>
    <w:p w:rsidR="00584150" w:rsidRDefault="00584150" w:rsidP="00623A46">
      <w:pPr>
        <w:ind w:left="1701" w:firstLine="18"/>
      </w:pPr>
      <w:r>
        <w:t>EESC-2018-04060-00-00-AC-TRA</w:t>
      </w:r>
    </w:p>
    <w:p w:rsidR="00584150" w:rsidRDefault="00584150" w:rsidP="00584150">
      <w:pPr>
        <w:tabs>
          <w:tab w:val="left" w:pos="1701"/>
        </w:tabs>
        <w:rPr>
          <w:lang w:val="en-GB"/>
        </w:rPr>
      </w:pPr>
    </w:p>
    <w:p w:rsidR="00584150" w:rsidRDefault="00584150" w:rsidP="00584150">
      <w:pPr>
        <w:tabs>
          <w:tab w:val="left" w:pos="1701"/>
        </w:tabs>
      </w:pPr>
      <w:r>
        <w:rPr>
          <w:b/>
        </w:rPr>
        <w:t>Puntos clave</w:t>
      </w:r>
    </w:p>
    <w:p w:rsidR="001A35F9" w:rsidRDefault="001A35F9" w:rsidP="00584150">
      <w:pPr>
        <w:widowControl w:val="0"/>
        <w:rPr>
          <w:lang w:val="en-GB"/>
        </w:rPr>
      </w:pPr>
    </w:p>
    <w:p w:rsidR="00584150" w:rsidRPr="00D31F26" w:rsidRDefault="00584150" w:rsidP="00584150">
      <w:pPr>
        <w:widowControl w:val="0"/>
      </w:pPr>
      <w:r>
        <w:t xml:space="preserve">El Comité Económico y Social Europeo apoya los objetivos generales y específicos de la propuesta y considera bienvenida y útil la tendencia a racionalizar los instrumentos utilizados en relación con países vecinos y terceros. La UE debe entablar una relación constructiva, realista y pragmática con los </w:t>
      </w:r>
      <w:r>
        <w:lastRenderedPageBreak/>
        <w:t>países vecinos y terceros en la que los valores sigan ocupando un lugar principal.</w:t>
      </w:r>
    </w:p>
    <w:p w:rsidR="00584150" w:rsidRPr="00D31F26" w:rsidRDefault="00584150" w:rsidP="00584150">
      <w:pPr>
        <w:widowControl w:val="0"/>
        <w:rPr>
          <w:lang w:val="en-GB"/>
        </w:rPr>
      </w:pPr>
    </w:p>
    <w:p w:rsidR="00584150" w:rsidRPr="00D31F26" w:rsidRDefault="00584150" w:rsidP="00584150">
      <w:pPr>
        <w:widowControl w:val="0"/>
      </w:pPr>
      <w:r>
        <w:t>El Comité toma nota de la determinación de la Comisión, las demás instituciones europeas y los Estados miembros para apoyar el desarrollo de la sociedad civil, la democracia y los sistemas de protección de los derechos humanos. El funcionamiento del nuevo instrumento consolidado debería estar orientado, en todas sus fases —desde la planificación a la supervisión y la evaluación—, a promover los valores de la UE, entre ellos el Estado de Derecho, la integridad, el pluralismo, la democracia y la protección de los derechos humanos. En este contexto, el Comité exhorta a la Comisión Europea a que incremente significativamente la dotación para los derechos humanos, la democracia y los programas temáticos de la sociedad civil.</w:t>
      </w:r>
    </w:p>
    <w:p w:rsidR="00584150" w:rsidRPr="00D31F26" w:rsidRDefault="00584150" w:rsidP="00584150">
      <w:pPr>
        <w:widowControl w:val="0"/>
        <w:rPr>
          <w:lang w:val="en-GB"/>
        </w:rPr>
      </w:pPr>
    </w:p>
    <w:p w:rsidR="00584150" w:rsidRPr="00D31F26" w:rsidRDefault="00584150" w:rsidP="00584150">
      <w:pPr>
        <w:widowControl w:val="0"/>
      </w:pPr>
      <w:r>
        <w:t>Racionalizar e unificar los instrumentos utilizados constituye un gran paso adelante hacia la acción orientada a la eficiencia y la prioridad en pos de los objetivos propuestos. El Comité celebra la tendencia de esta propuesta a reducir la carga administrativa que pesa sobre las instituciones de la UE y los Estados miembros y a centrarse más en los objetivos políticos y el compromiso con socios externos. El Comité acoge favorablemente y apoya los importantes avances presentados en la propuesta: una mayor simplificación y flexibilidad, así como un mejor seguimiento de los resultados.</w:t>
      </w:r>
    </w:p>
    <w:p w:rsidR="00584150" w:rsidRPr="00D31F26" w:rsidRDefault="00584150" w:rsidP="00584150">
      <w:pPr>
        <w:widowControl w:val="0"/>
        <w:rPr>
          <w:lang w:val="en-GB"/>
        </w:rPr>
      </w:pPr>
    </w:p>
    <w:p w:rsidR="00584150" w:rsidRPr="00D31F26" w:rsidRDefault="00584150" w:rsidP="00584150">
      <w:pPr>
        <w:widowControl w:val="0"/>
      </w:pPr>
      <w:r>
        <w:t>Los países vecinos y terceros afrontan gran número de problemas graves, diversos y solapados entre sí. En la actual situación mundial, en la que parecen haberse estancado las reformas políticas para promover la democratización, la estabilización política y el desarrollo económico, la UE debe redoblar sus esfuerzos en lugar de abandonarlos. Debe mantener un contacto permanente con los gobiernos de los países vecinos y terceros, y animarles a cooperar de manera responsable. Sus relaciones de tipo asociativo con los gobiernos de estos países deben ser sólidas, asertivas y firmemente orientadas hacia la mejora de las condiciones de vida de los habitantes de la zona.</w:t>
      </w:r>
    </w:p>
    <w:p w:rsidR="00584150" w:rsidRPr="00D31F26" w:rsidRDefault="00584150" w:rsidP="00584150">
      <w:pPr>
        <w:widowControl w:val="0"/>
        <w:rPr>
          <w:lang w:val="en-GB"/>
        </w:rPr>
      </w:pPr>
    </w:p>
    <w:p w:rsidR="00584150" w:rsidRPr="00D31F26" w:rsidRDefault="00584150" w:rsidP="00584150">
      <w:pPr>
        <w:widowControl w:val="0"/>
      </w:pPr>
      <w:r>
        <w:t>El Comité anima a la Comisión Europea a que aproveche los logros y avances alcanzados con los instrumentos anteriores, por ejemplo, el Instrumento Europeo para la Democracia y los Derechos Humanos. Se apoyaron organizaciones de la sociedad civil que luchan por la libertad, la democracia, los derechos humanos y la celebración de procesos electorales justos, a pesar de la actitud hostil de algunos gobiernos hacia ellas. Debe mantenerse y avanzarse en este compromiso.</w:t>
      </w:r>
    </w:p>
    <w:p w:rsidR="00584150" w:rsidRPr="00D31F26" w:rsidRDefault="00584150" w:rsidP="00584150">
      <w:pPr>
        <w:widowControl w:val="0"/>
        <w:rPr>
          <w:lang w:val="en-GB"/>
        </w:rPr>
      </w:pPr>
    </w:p>
    <w:p w:rsidR="00584150" w:rsidRPr="00D31F26" w:rsidRDefault="00584150" w:rsidP="00584150">
      <w:pPr>
        <w:widowControl w:val="0"/>
      </w:pPr>
      <w:r>
        <w:t>En cuanto al Instrumento Europeo de Seguridad Nuclear, tras la catástrofe nuclear de Fukushima quedó patente que los problemas y riesgos de la utilización de la energía nuclear son mundiales. Lamentablemente, la propuesta no aporta respuestas de carácter estratégico ni político a la solicitud legítima de planificación a largo plazo de la energía nuclear emitida por los ciudadanos, la sociedad civil y el sector empresarial.</w:t>
      </w:r>
    </w:p>
    <w:p w:rsidR="00584150" w:rsidRPr="00D31F26" w:rsidRDefault="00584150" w:rsidP="00584150">
      <w:pPr>
        <w:widowControl w:val="0"/>
        <w:rPr>
          <w:lang w:val="en-GB"/>
        </w:rPr>
      </w:pPr>
    </w:p>
    <w:p w:rsidR="00584150" w:rsidRPr="00D31F26" w:rsidRDefault="00584150" w:rsidP="00584150">
      <w:pPr>
        <w:widowControl w:val="0"/>
      </w:pPr>
      <w:r>
        <w:t>El Comité acoge con satisfacción la intención de la Comisión de incluir en el ámbito nuclear actividades que estén en consonancia con la política de desarrollo y cooperación internacional respecto de la salud, la agricultura y la industria y los proyectos sociales para afrontar las consecuencias de cualquier accidente nuclear. Sin embargo, no está claro cómo el presupuesto disponible y los marcos institucionales existentes podrán hacer realidad esta intención.</w:t>
      </w:r>
    </w:p>
    <w:p w:rsidR="00584150" w:rsidRPr="00D31F26" w:rsidRDefault="00584150" w:rsidP="00584150">
      <w:pPr>
        <w:widowControl w:val="0"/>
        <w:rPr>
          <w:lang w:val="en-GB"/>
        </w:rPr>
      </w:pPr>
    </w:p>
    <w:p w:rsidR="00584150" w:rsidRDefault="00584150" w:rsidP="00584150">
      <w:pPr>
        <w:widowControl w:val="0"/>
      </w:pPr>
      <w:r>
        <w:t xml:space="preserve">Teniendo en cuenta los principales retos mundiales clave en materia de energía nuclear y la presencia de un número elevado de emplazamientos de producción de energía nuclear en su vecindad, el Comité </w:t>
      </w:r>
      <w:r>
        <w:lastRenderedPageBreak/>
        <w:t>considera muy insuficiente la dotación financiera de 300 millones EUR a precios corrientes para la aplicación de este Reglamento durante el período 2021-2027.</w:t>
      </w:r>
    </w:p>
    <w:p w:rsidR="00584150" w:rsidRDefault="00584150" w:rsidP="00584150">
      <w:pPr>
        <w:widowControl w:val="0"/>
        <w:rPr>
          <w:lang w:val="en-GB"/>
        </w:rPr>
      </w:pPr>
    </w:p>
    <w:p w:rsidR="00584150" w:rsidRPr="006F0E33" w:rsidRDefault="00584150" w:rsidP="00584150">
      <w:pPr>
        <w:tabs>
          <w:tab w:val="left" w:pos="1701"/>
        </w:tabs>
        <w:rPr>
          <w:i/>
        </w:rPr>
      </w:pPr>
      <w:r>
        <w:rPr>
          <w:b/>
          <w:i/>
        </w:rPr>
        <w:t>Contacto:</w:t>
      </w:r>
      <w:r>
        <w:rPr>
          <w:i/>
        </w:rPr>
        <w:tab/>
        <w:t>Lucía Mendez del Rio</w:t>
      </w:r>
    </w:p>
    <w:p w:rsidR="001B3D6A" w:rsidRDefault="00584150" w:rsidP="00E21F22">
      <w:pPr>
        <w:tabs>
          <w:tab w:val="left" w:pos="1701"/>
        </w:tabs>
        <w:ind w:left="1701" w:hanging="1701"/>
        <w:rPr>
          <w:highlight w:val="yellow"/>
        </w:rPr>
      </w:pPr>
      <w:r>
        <w:rPr>
          <w:i/>
          <w:iCs/>
        </w:rPr>
        <w:tab/>
        <w:t xml:space="preserve">(Tel. 00 32 2 546 9345 - correo electrónico: </w:t>
      </w:r>
      <w:hyperlink r:id="rId32" w:history="1">
        <w:r>
          <w:rPr>
            <w:rStyle w:val="Hyperlink"/>
            <w:i/>
            <w:iCs/>
          </w:rPr>
          <w:t>lucia.mendezdelriocabra@eesc.europa.eu</w:t>
        </w:r>
      </w:hyperlink>
      <w:r>
        <w:rPr>
          <w:i/>
          <w:iCs/>
        </w:rPr>
        <w:t>)</w:t>
      </w:r>
    </w:p>
    <w:p w:rsidR="00584150" w:rsidRDefault="00584150" w:rsidP="00843690">
      <w:pPr>
        <w:ind w:left="-567"/>
        <w:rPr>
          <w:highlight w:val="yellow"/>
          <w:lang w:val="en-GB"/>
        </w:rPr>
      </w:pPr>
    </w:p>
    <w:p w:rsidR="00314C5F" w:rsidRDefault="00E46EC4" w:rsidP="00E46EC4">
      <w:pPr>
        <w:pStyle w:val="Heading1"/>
        <w:rPr>
          <w:b/>
        </w:rPr>
      </w:pPr>
      <w:r>
        <w:tab/>
      </w:r>
      <w:bookmarkStart w:id="4" w:name="_Toc535577282"/>
      <w:r>
        <w:rPr>
          <w:b/>
        </w:rPr>
        <w:t>AGRICULTURA, DESARROLLO RURAL Y MEDIO AMBIENTE</w:t>
      </w:r>
      <w:bookmarkEnd w:id="4"/>
    </w:p>
    <w:p w:rsidR="001A35F9" w:rsidRDefault="001A35F9" w:rsidP="001A35F9">
      <w:pPr>
        <w:pStyle w:val="ListParagraph"/>
        <w:ind w:left="360"/>
        <w:rPr>
          <w:b/>
          <w:bCs/>
          <w:i/>
          <w:iCs/>
          <w:sz w:val="28"/>
          <w:szCs w:val="28"/>
          <w:lang w:val="en-GB"/>
        </w:rPr>
      </w:pPr>
    </w:p>
    <w:p w:rsidR="002375A0" w:rsidRPr="0035588E" w:rsidRDefault="002375A0" w:rsidP="001A35F9">
      <w:pPr>
        <w:pStyle w:val="ListParagraph"/>
        <w:keepNext/>
        <w:keepLines/>
        <w:numPr>
          <w:ilvl w:val="0"/>
          <w:numId w:val="64"/>
        </w:numPr>
        <w:rPr>
          <w:b/>
          <w:bCs/>
          <w:i/>
          <w:iCs/>
          <w:sz w:val="28"/>
          <w:szCs w:val="28"/>
        </w:rPr>
      </w:pPr>
      <w:r>
        <w:rPr>
          <w:b/>
          <w:bCs/>
          <w:i/>
          <w:iCs/>
          <w:sz w:val="28"/>
          <w:szCs w:val="28"/>
        </w:rPr>
        <w:t>Reutilización del agua</w:t>
      </w:r>
    </w:p>
    <w:p w:rsidR="002375A0" w:rsidRPr="0035588E" w:rsidRDefault="002375A0" w:rsidP="001A35F9">
      <w:pPr>
        <w:pStyle w:val="ListParagraph"/>
        <w:keepNext/>
        <w:keepLines/>
        <w:ind w:left="567"/>
        <w:rPr>
          <w:b/>
          <w:bCs/>
          <w:i/>
          <w:iCs/>
          <w:sz w:val="28"/>
          <w:szCs w:val="28"/>
          <w:lang w:val="en-GB"/>
        </w:rPr>
      </w:pPr>
    </w:p>
    <w:p w:rsidR="002375A0" w:rsidRPr="0035588E" w:rsidRDefault="002375A0" w:rsidP="002375A0">
      <w:pPr>
        <w:tabs>
          <w:tab w:val="left" w:pos="1701"/>
        </w:tabs>
      </w:pPr>
      <w:r>
        <w:rPr>
          <w:b/>
        </w:rPr>
        <w:t>Ponente:</w:t>
      </w:r>
      <w:r>
        <w:tab/>
        <w:t>Mindaugas MACIULEVIČIUS (Diversidad Europa – LT)</w:t>
      </w:r>
    </w:p>
    <w:p w:rsidR="002375A0" w:rsidRPr="0035588E" w:rsidRDefault="002375A0" w:rsidP="002375A0">
      <w:pPr>
        <w:rPr>
          <w:lang w:val="en-GB"/>
        </w:rPr>
      </w:pPr>
    </w:p>
    <w:p w:rsidR="002375A0" w:rsidRPr="0035588E" w:rsidRDefault="002375A0" w:rsidP="002375A0">
      <w:pPr>
        <w:ind w:left="-5"/>
        <w:rPr>
          <w:b/>
          <w:bCs/>
        </w:rPr>
      </w:pPr>
      <w:r>
        <w:rPr>
          <w:b/>
          <w:bCs/>
        </w:rPr>
        <w:t>Referencias:</w:t>
      </w:r>
      <w:r w:rsidR="00E21F22">
        <w:rPr>
          <w:b/>
          <w:bCs/>
        </w:rPr>
        <w:tab/>
      </w:r>
      <w:r>
        <w:t>COM(2018) 337 final - 2018/0169 (COD)</w:t>
      </w:r>
    </w:p>
    <w:p w:rsidR="002375A0" w:rsidRPr="0035588E" w:rsidRDefault="002375A0" w:rsidP="001A35F9">
      <w:pPr>
        <w:ind w:left="1701"/>
        <w:rPr>
          <w:bCs/>
        </w:rPr>
      </w:pPr>
      <w:r>
        <w:t>EESC-2018-02925-00-00-AC-TRA</w:t>
      </w:r>
    </w:p>
    <w:p w:rsidR="002375A0" w:rsidRPr="0035588E" w:rsidRDefault="002375A0" w:rsidP="002375A0">
      <w:pPr>
        <w:ind w:left="-5"/>
        <w:rPr>
          <w:lang w:val="en-GB"/>
        </w:rPr>
      </w:pPr>
    </w:p>
    <w:p w:rsidR="002375A0" w:rsidRDefault="002375A0" w:rsidP="002375A0">
      <w:pPr>
        <w:spacing w:line="240" w:lineRule="auto"/>
        <w:jc w:val="left"/>
        <w:rPr>
          <w:b/>
        </w:rPr>
      </w:pPr>
      <w:r>
        <w:rPr>
          <w:b/>
        </w:rPr>
        <w:t>Puntos clave</w:t>
      </w:r>
    </w:p>
    <w:p w:rsidR="00520A8A" w:rsidRDefault="00520A8A" w:rsidP="002375A0">
      <w:pPr>
        <w:spacing w:line="240" w:lineRule="auto"/>
        <w:jc w:val="left"/>
        <w:rPr>
          <w:iCs/>
          <w:highlight w:val="yellow"/>
          <w:lang w:val="en-GB"/>
        </w:rPr>
      </w:pPr>
    </w:p>
    <w:p w:rsidR="00520A8A" w:rsidRPr="0035588E" w:rsidRDefault="00520A8A" w:rsidP="00520A8A">
      <w:pPr>
        <w:pStyle w:val="Heading2"/>
        <w:numPr>
          <w:ilvl w:val="0"/>
          <w:numId w:val="0"/>
        </w:numPr>
      </w:pPr>
      <w:r>
        <w:t>El CESE acoge favorablemente esta propuesta de Reglamento como complemento útil para alcanzar los objetivos de la Directiva marco sobre el agua y contribuir al Paquete de medidas sobre la economía circular. La propuesta fomentará un uso más sostenible de los recursos hídricos existentes y aumentará la confianza de los consumidores en la seguridad de los productos agrícolas afectados.</w:t>
      </w:r>
    </w:p>
    <w:p w:rsidR="00520A8A" w:rsidRPr="0035588E" w:rsidRDefault="00520A8A" w:rsidP="00520A8A">
      <w:pPr>
        <w:outlineLvl w:val="1"/>
        <w:rPr>
          <w:lang w:val="en-GB"/>
        </w:rPr>
      </w:pPr>
    </w:p>
    <w:p w:rsidR="00520A8A" w:rsidRPr="0035588E" w:rsidRDefault="00520A8A" w:rsidP="00520A8A">
      <w:pPr>
        <w:pStyle w:val="Heading2"/>
        <w:numPr>
          <w:ilvl w:val="0"/>
          <w:numId w:val="0"/>
        </w:numPr>
      </w:pPr>
      <w:r>
        <w:t>En la actualidad, los consumidores desconocen las divergencias en cuanto a las normas de reutilización del agua. Dado que este Reglamento proporciona un enfoque coherente basado en un sólido asesoramiento científico, puede considerarse un elemento básico necesario en la política de seguridad alimentaria.</w:t>
      </w:r>
    </w:p>
    <w:p w:rsidR="00520A8A" w:rsidRPr="0035588E" w:rsidRDefault="00520A8A" w:rsidP="00520A8A">
      <w:pPr>
        <w:outlineLvl w:val="1"/>
        <w:rPr>
          <w:lang w:val="en-GB"/>
        </w:rPr>
      </w:pPr>
    </w:p>
    <w:p w:rsidR="00520A8A" w:rsidRPr="0035588E" w:rsidRDefault="00520A8A" w:rsidP="00520A8A">
      <w:pPr>
        <w:pStyle w:val="Heading2"/>
        <w:numPr>
          <w:ilvl w:val="0"/>
          <w:numId w:val="0"/>
        </w:numPr>
      </w:pPr>
      <w:r>
        <w:t>Contrariamente a la impresión que puede dar el título general del Reglamento, el contenido real de la propuesta se centra estrictamente en la reutilización de las aguas residuales urbanas para el riego. Se recomienda hacer más hincapié en este punto para aliviar la preocupación de quienes crean que se están obviando las oportunidades de reutilización industrial y doméstica.</w:t>
      </w:r>
    </w:p>
    <w:p w:rsidR="00520A8A" w:rsidRPr="0035588E" w:rsidRDefault="00520A8A" w:rsidP="00520A8A">
      <w:pPr>
        <w:rPr>
          <w:lang w:val="en-GB"/>
        </w:rPr>
      </w:pPr>
    </w:p>
    <w:p w:rsidR="00520A8A" w:rsidRPr="0035588E" w:rsidRDefault="00520A8A" w:rsidP="00520A8A">
      <w:pPr>
        <w:pStyle w:val="Heading2"/>
        <w:numPr>
          <w:ilvl w:val="0"/>
          <w:numId w:val="0"/>
        </w:numPr>
      </w:pPr>
      <w:r>
        <w:t>Aunque la posible reutilización del agua para la recarga de acuíferos no es el objeto del Reglamento, es una cuestión que sigue siendo de interés, por lo que deberían llevarse a cabo nuevos análisis técnicos a fin de resolver los complejos problemas detectados en la evaluación de impacto.</w:t>
      </w:r>
    </w:p>
    <w:p w:rsidR="00520A8A" w:rsidRPr="0035588E" w:rsidRDefault="00520A8A" w:rsidP="00520A8A">
      <w:pPr>
        <w:ind w:left="567"/>
        <w:outlineLvl w:val="1"/>
        <w:rPr>
          <w:lang w:val="en-GB"/>
        </w:rPr>
      </w:pPr>
    </w:p>
    <w:p w:rsidR="00520A8A" w:rsidRPr="0035588E" w:rsidRDefault="00520A8A" w:rsidP="00520A8A">
      <w:pPr>
        <w:pStyle w:val="Heading2"/>
        <w:numPr>
          <w:ilvl w:val="0"/>
          <w:numId w:val="0"/>
        </w:numPr>
      </w:pPr>
      <w:r>
        <w:t>Para que el Reglamento tenga el máximo impacto previsto, el Comité recomienda encarecidamente que todos los Estados miembros efectúen un control eficaz de los recursos hídricos y apliquen un régimen de responsabilidad y ejecución. En particular, hay que hacer respetar de manera más sistemática las prohibiciones relativas a la extracción ilegal de agua.</w:t>
      </w:r>
    </w:p>
    <w:p w:rsidR="00520A8A" w:rsidRPr="0035588E" w:rsidRDefault="00520A8A" w:rsidP="00520A8A">
      <w:pPr>
        <w:rPr>
          <w:lang w:val="en-GB"/>
        </w:rPr>
      </w:pPr>
    </w:p>
    <w:p w:rsidR="002375A0" w:rsidRDefault="00520A8A" w:rsidP="00520A8A">
      <w:r>
        <w:t xml:space="preserve">Aunque se espera que la incidencia en la competencia con las importaciones de terceros países sea neutra, el CESE exhorta a la Comisión a que aproveche esta oportunidad y utilice la elaboración de estas normas a escala de la UE para reforzar la posición en los debates normativos internacionales </w:t>
      </w:r>
      <w:r>
        <w:lastRenderedPageBreak/>
        <w:t>sobre la reutilización del agua, de modo que las importaciones procedentes de terceros países también cumplan las normas. El CESE ha defendido con regularidad la coherencia de las normas agrícolas internacionales y este Reglamento puede establecer una referencia mundial para la reutilización del agua.</w:t>
      </w:r>
    </w:p>
    <w:p w:rsidR="00520A8A" w:rsidRDefault="00520A8A" w:rsidP="00520A8A">
      <w:pPr>
        <w:rPr>
          <w:lang w:val="en-GB"/>
        </w:rPr>
      </w:pPr>
    </w:p>
    <w:p w:rsidR="00520A8A" w:rsidRPr="0035588E" w:rsidRDefault="00520A8A" w:rsidP="00520A8A">
      <w:pPr>
        <w:tabs>
          <w:tab w:val="left" w:pos="1701"/>
        </w:tabs>
        <w:rPr>
          <w:i/>
          <w:iCs/>
        </w:rPr>
      </w:pPr>
      <w:r>
        <w:rPr>
          <w:b/>
          <w:bCs/>
          <w:i/>
          <w:iCs/>
        </w:rPr>
        <w:t>Contacto:</w:t>
      </w:r>
      <w:r w:rsidR="00E21F22">
        <w:rPr>
          <w:b/>
          <w:bCs/>
          <w:i/>
          <w:iCs/>
        </w:rPr>
        <w:tab/>
      </w:r>
      <w:r>
        <w:rPr>
          <w:i/>
        </w:rPr>
        <w:t>Arturo Íñiguez</w:t>
      </w:r>
    </w:p>
    <w:p w:rsidR="00520A8A" w:rsidRDefault="00520A8A" w:rsidP="00520A8A">
      <w:pPr>
        <w:tabs>
          <w:tab w:val="left" w:pos="1701"/>
        </w:tabs>
        <w:rPr>
          <w:i/>
          <w:iCs/>
        </w:rPr>
      </w:pPr>
      <w:r>
        <w:rPr>
          <w:i/>
          <w:iCs/>
        </w:rPr>
        <w:tab/>
        <w:t xml:space="preserve">(Tel. 00 32 2 546 87 68– correo electrónico: </w:t>
      </w:r>
      <w:hyperlink r:id="rId33" w:history="1">
        <w:r>
          <w:rPr>
            <w:rStyle w:val="Hyperlink"/>
            <w:i/>
            <w:iCs/>
          </w:rPr>
          <w:t>Arturo.Iniguez@eesc.europa.eu</w:t>
        </w:r>
      </w:hyperlink>
      <w:r>
        <w:rPr>
          <w:i/>
          <w:iCs/>
        </w:rPr>
        <w:t>)</w:t>
      </w:r>
    </w:p>
    <w:p w:rsidR="001A35F9" w:rsidRDefault="001A35F9" w:rsidP="001A35F9">
      <w:pPr>
        <w:pStyle w:val="ListParagraph"/>
        <w:ind w:left="360"/>
        <w:rPr>
          <w:b/>
          <w:bCs/>
          <w:i/>
          <w:iCs/>
          <w:sz w:val="28"/>
          <w:szCs w:val="28"/>
          <w:lang w:val="en-GB"/>
        </w:rPr>
      </w:pPr>
    </w:p>
    <w:p w:rsidR="004F2115" w:rsidRPr="0035588E" w:rsidRDefault="004F2115" w:rsidP="00F10ED6">
      <w:pPr>
        <w:pStyle w:val="ListParagraph"/>
        <w:keepNext/>
        <w:numPr>
          <w:ilvl w:val="0"/>
          <w:numId w:val="64"/>
        </w:numPr>
        <w:rPr>
          <w:b/>
          <w:bCs/>
          <w:i/>
          <w:iCs/>
          <w:sz w:val="28"/>
          <w:szCs w:val="28"/>
        </w:rPr>
      </w:pPr>
      <w:r>
        <w:rPr>
          <w:b/>
          <w:bCs/>
          <w:i/>
          <w:iCs/>
          <w:sz w:val="28"/>
          <w:szCs w:val="28"/>
        </w:rPr>
        <w:t>Facilitar el acceso a la financiación de la lucha contra el cambio climático para los agentes no estatales</w:t>
      </w:r>
    </w:p>
    <w:p w:rsidR="004F2115" w:rsidRPr="0035588E" w:rsidRDefault="004F2115" w:rsidP="00F10ED6">
      <w:pPr>
        <w:pStyle w:val="ListParagraph"/>
        <w:keepNext/>
        <w:ind w:left="567"/>
        <w:rPr>
          <w:b/>
          <w:bCs/>
          <w:i/>
          <w:iCs/>
          <w:sz w:val="28"/>
          <w:szCs w:val="28"/>
          <w:lang w:val="en-GB"/>
        </w:rPr>
      </w:pPr>
    </w:p>
    <w:p w:rsidR="004F2115" w:rsidRPr="0035588E" w:rsidRDefault="004F2115" w:rsidP="004F2115">
      <w:r>
        <w:rPr>
          <w:b/>
        </w:rPr>
        <w:t>Ponente:</w:t>
      </w:r>
      <w:r>
        <w:tab/>
      </w:r>
      <w:r w:rsidR="00E21F22">
        <w:tab/>
      </w:r>
      <w:r>
        <w:t>Cillian LOHAN (Diversidad Europa – IE)</w:t>
      </w:r>
    </w:p>
    <w:p w:rsidR="004F2115" w:rsidRPr="0035588E" w:rsidRDefault="004F2115" w:rsidP="004F2115">
      <w:pPr>
        <w:rPr>
          <w:lang w:val="en-GB"/>
        </w:rPr>
      </w:pPr>
    </w:p>
    <w:p w:rsidR="004F2115" w:rsidRPr="0035588E" w:rsidRDefault="004F2115" w:rsidP="004F2115">
      <w:pPr>
        <w:ind w:left="-5"/>
        <w:rPr>
          <w:b/>
          <w:bCs/>
        </w:rPr>
      </w:pPr>
      <w:r>
        <w:rPr>
          <w:b/>
          <w:bCs/>
        </w:rPr>
        <w:t>Referencia:</w:t>
      </w:r>
      <w:r w:rsidR="00E21F22">
        <w:rPr>
          <w:b/>
          <w:bCs/>
        </w:rPr>
        <w:tab/>
      </w:r>
      <w:r w:rsidR="00E21F22">
        <w:rPr>
          <w:b/>
          <w:bCs/>
        </w:rPr>
        <w:tab/>
      </w:r>
      <w:r>
        <w:t>Dictamen de iniciativa</w:t>
      </w:r>
    </w:p>
    <w:p w:rsidR="004F2115" w:rsidRPr="0035588E" w:rsidRDefault="004F2115" w:rsidP="001A35F9">
      <w:pPr>
        <w:ind w:left="1701"/>
        <w:rPr>
          <w:bCs/>
        </w:rPr>
      </w:pPr>
      <w:r>
        <w:t>EESC-2018-04425-00-00-AC-TRA</w:t>
      </w:r>
    </w:p>
    <w:p w:rsidR="004F2115" w:rsidRPr="0035588E" w:rsidRDefault="004F2115" w:rsidP="004F2115">
      <w:pPr>
        <w:ind w:left="-5"/>
        <w:rPr>
          <w:lang w:val="en-GB"/>
        </w:rPr>
      </w:pPr>
    </w:p>
    <w:p w:rsidR="004F2115" w:rsidRPr="0035588E" w:rsidRDefault="004F2115" w:rsidP="004F2115">
      <w:pPr>
        <w:rPr>
          <w:b/>
        </w:rPr>
      </w:pPr>
      <w:r>
        <w:rPr>
          <w:b/>
        </w:rPr>
        <w:t>Puntos clave</w:t>
      </w:r>
    </w:p>
    <w:p w:rsidR="00EE4976" w:rsidRPr="00520A8A" w:rsidRDefault="00EE4976" w:rsidP="00520A8A">
      <w:pPr>
        <w:tabs>
          <w:tab w:val="left" w:pos="1701"/>
        </w:tabs>
        <w:rPr>
          <w:iCs/>
          <w:highlight w:val="yellow"/>
          <w:lang w:val="en-GB"/>
        </w:rPr>
      </w:pPr>
    </w:p>
    <w:p w:rsidR="00EE4976" w:rsidRPr="0035588E" w:rsidRDefault="00EE4976" w:rsidP="00EE4976">
      <w:pPr>
        <w:pStyle w:val="Heading2"/>
        <w:numPr>
          <w:ilvl w:val="0"/>
          <w:numId w:val="0"/>
        </w:numPr>
      </w:pPr>
      <w:r>
        <w:t>A pesar de que los pactos de financiación de la lucha contra el cambio climático prometen asignar fondos considerables, el CESE desea llamar la atención sobre el problema del acceso de los agentes climáticos no estatales que operan a pequeña escala a la financiación, a fin de garantizar el apoyo y la realización de iniciativas potencialmente transformadoras.</w:t>
      </w:r>
    </w:p>
    <w:p w:rsidR="00EE4976" w:rsidRPr="0035588E" w:rsidRDefault="00EE4976" w:rsidP="00EE4976">
      <w:pPr>
        <w:ind w:left="567"/>
        <w:rPr>
          <w:lang w:val="en-GB"/>
        </w:rPr>
      </w:pPr>
    </w:p>
    <w:p w:rsidR="00EE4976" w:rsidRPr="0035588E" w:rsidRDefault="00EE4976" w:rsidP="00EE4976">
      <w:pPr>
        <w:pStyle w:val="Heading2"/>
        <w:numPr>
          <w:ilvl w:val="0"/>
          <w:numId w:val="0"/>
        </w:numPr>
      </w:pPr>
      <w:r>
        <w:t>Es necesario supervisar y cartografiar urgentemente los flujos de financiación de la lucha contra el cambio climático en la Unión Europea. De este modo, se facilitará la medición del impacto desde el punto de vista de los agentes climáticos no estatales y se garantizará la posibilidad de evaluar los avances realizados en una transición más amplia de la economía a un modelo hipocarbónico.</w:t>
      </w:r>
    </w:p>
    <w:p w:rsidR="00EE4976" w:rsidRPr="0035588E" w:rsidRDefault="00EE4976" w:rsidP="00EE4976">
      <w:pPr>
        <w:rPr>
          <w:b/>
          <w:kern w:val="28"/>
          <w:lang w:val="en-GB"/>
        </w:rPr>
      </w:pPr>
    </w:p>
    <w:p w:rsidR="00EE4976" w:rsidRPr="0035588E" w:rsidRDefault="00EE4976" w:rsidP="00EE4976">
      <w:pPr>
        <w:pStyle w:val="Heading2"/>
        <w:numPr>
          <w:ilvl w:val="0"/>
          <w:numId w:val="0"/>
        </w:numPr>
      </w:pPr>
      <w:r>
        <w:t>Las fuentes de financiación son tan dispares como las iniciativas ascendentes que necesitan acceder a ellas. No se dispone de mecanismos para hacer frente a esta disparidad. Esta cuestión debería abordarse mediante la creación de un foro integrador para la financiación de la lucha contra el cambio climático a nivel de la UE.</w:t>
      </w:r>
    </w:p>
    <w:p w:rsidR="00EE4976" w:rsidRPr="0035588E" w:rsidRDefault="00EE4976" w:rsidP="00EE4976">
      <w:pPr>
        <w:rPr>
          <w:b/>
          <w:kern w:val="28"/>
          <w:lang w:val="en-GB"/>
        </w:rPr>
      </w:pPr>
    </w:p>
    <w:p w:rsidR="00EE4976" w:rsidRPr="0035588E" w:rsidRDefault="00EE4976" w:rsidP="00EE4976">
      <w:pPr>
        <w:pStyle w:val="Heading2"/>
        <w:numPr>
          <w:ilvl w:val="0"/>
          <w:numId w:val="0"/>
        </w:numPr>
      </w:pPr>
      <w:r>
        <w:t>El CESE propone crear un foro para la financiación de la lucha contra el cambio climático que permita abordar las cuestiones fundamentales, congregando a las principales partes interesadas para detectar los obstáculos, hallar soluciones y determinar los mecanismos más eficientes para mejorar la distribución de la financiación, por ejemplo, un servicio de emparejamiento que establezca vínculos entre los proyectos y las fuentes de financiación adecuadas para la lucha contra el cambio climático.</w:t>
      </w:r>
    </w:p>
    <w:p w:rsidR="00EE4976" w:rsidRPr="0035588E" w:rsidRDefault="00EE4976" w:rsidP="00EE4976">
      <w:pPr>
        <w:rPr>
          <w:lang w:val="en-GB"/>
        </w:rPr>
      </w:pPr>
    </w:p>
    <w:p w:rsidR="00EE4976" w:rsidRPr="0035588E" w:rsidRDefault="00EE4976" w:rsidP="00EE4976">
      <w:pPr>
        <w:pStyle w:val="Heading2"/>
        <w:numPr>
          <w:ilvl w:val="0"/>
          <w:numId w:val="0"/>
        </w:numPr>
      </w:pPr>
      <w:r>
        <w:t>Es necesario crear un mecanismo (y posteriormente darlo a conocer de manera eficaz) que permita llegar a las iniciativas que requieren menor inversión y que se caracterice por:</w:t>
      </w:r>
    </w:p>
    <w:p w:rsidR="00EE4976" w:rsidRPr="0035588E" w:rsidRDefault="00EE4976" w:rsidP="00EE4976">
      <w:pPr>
        <w:rPr>
          <w:lang w:val="en-GB"/>
        </w:rPr>
      </w:pPr>
    </w:p>
    <w:p w:rsidR="00EE4976" w:rsidRPr="0035588E" w:rsidRDefault="00EE4976" w:rsidP="00EE4976">
      <w:pPr>
        <w:pStyle w:val="ListParagraph"/>
        <w:numPr>
          <w:ilvl w:val="1"/>
          <w:numId w:val="119"/>
        </w:numPr>
      </w:pPr>
      <w:r>
        <w:t>un procedimiento de solicitud simplificado;</w:t>
      </w:r>
    </w:p>
    <w:p w:rsidR="00EE4976" w:rsidRPr="0035588E" w:rsidRDefault="00EE4976" w:rsidP="00EE4976">
      <w:pPr>
        <w:pStyle w:val="ListParagraph"/>
        <w:numPr>
          <w:ilvl w:val="1"/>
          <w:numId w:val="119"/>
        </w:numPr>
      </w:pPr>
      <w:r>
        <w:t>requisitos de notificación simplificados;</w:t>
      </w:r>
    </w:p>
    <w:p w:rsidR="00EE4976" w:rsidRPr="0035588E" w:rsidRDefault="00EE4976" w:rsidP="00EE4976">
      <w:pPr>
        <w:pStyle w:val="ListParagraph"/>
        <w:numPr>
          <w:ilvl w:val="1"/>
          <w:numId w:val="119"/>
        </w:numPr>
      </w:pPr>
      <w:r>
        <w:lastRenderedPageBreak/>
        <w:t>financiación complementaria;</w:t>
      </w:r>
    </w:p>
    <w:p w:rsidR="00EE4976" w:rsidRPr="0035588E" w:rsidRDefault="00EE4976" w:rsidP="00EE4976">
      <w:pPr>
        <w:pStyle w:val="ListParagraph"/>
        <w:numPr>
          <w:ilvl w:val="1"/>
          <w:numId w:val="119"/>
        </w:numPr>
      </w:pPr>
      <w:r>
        <w:t>la concesión de ayudas a los proyectos en fase de diseño y la solicitud previa de financiación, y</w:t>
      </w:r>
    </w:p>
    <w:p w:rsidR="00EE4976" w:rsidRPr="0035588E" w:rsidRDefault="00EE4976" w:rsidP="00EE4976">
      <w:pPr>
        <w:pStyle w:val="ListParagraph"/>
        <w:numPr>
          <w:ilvl w:val="1"/>
          <w:numId w:val="119"/>
        </w:numPr>
      </w:pPr>
      <w:r>
        <w:t>la concesión de ayudas al desarrollo de capacidades, la creación de redes, los intercambios y el desarrollo de una plataforma a nivel local, regional, nacional y europeo.</w:t>
      </w:r>
    </w:p>
    <w:p w:rsidR="00EE4976" w:rsidRPr="0035588E" w:rsidRDefault="00EE4976" w:rsidP="00EE4976">
      <w:pPr>
        <w:rPr>
          <w:lang w:val="en-GB"/>
        </w:rPr>
      </w:pPr>
    </w:p>
    <w:p w:rsidR="00EE4976" w:rsidRPr="0035588E" w:rsidRDefault="00EE4976" w:rsidP="00EE4976">
      <w:pPr>
        <w:pStyle w:val="Heading2"/>
        <w:numPr>
          <w:ilvl w:val="0"/>
          <w:numId w:val="0"/>
        </w:numPr>
      </w:pPr>
      <w:r>
        <w:t>No debe ponerse el acento en la financiación de la lucha contra el cambio climático en detrimento de una financiación responsable en otros ámbitos. Todos los instrumentos financieros deben integrar la cuestión del cambio climático a fin de garantizar que los compromisos y objetivos climáticos no se vean perjudicados por los fondos y la financiación movilizados al margen de la financiación específica de lucha contra el cambio climático. Esto debe respetarse en el contexto del artículo 2, apartado1, letra c), del Acuerdo de París, para que los flujos de financiación existentes sean compatibles con una trayectoria que conduzca a un desarrollo resistente al cambio climático y con bajas emisiones de gases de efecto invernadero.</w:t>
      </w:r>
    </w:p>
    <w:p w:rsidR="00EE4976" w:rsidRPr="0035588E" w:rsidRDefault="00EE4976" w:rsidP="00EE4976">
      <w:pPr>
        <w:ind w:left="567"/>
        <w:rPr>
          <w:lang w:val="en-GB"/>
        </w:rPr>
      </w:pPr>
    </w:p>
    <w:p w:rsidR="00EE4976" w:rsidRPr="0035588E" w:rsidRDefault="00EE4976" w:rsidP="00EE4976">
      <w:r>
        <w:t>Es necesario desarrollar un conjunto de instrumentos, con una estrategia de comunicación clara, que permita a los agentes no estatales a todos los niveles comprender y acceder a la financiación de la lucha contra el cambio climático. Este conjunto de instrumentos debería ayudar a los promotores de proyectos a concebir iniciativas que contribuyan a una economía hipocarbónica y resistente al cambio climático.</w:t>
      </w:r>
    </w:p>
    <w:p w:rsidR="00EE4976" w:rsidRPr="0035588E" w:rsidRDefault="00EE4976" w:rsidP="00EE4976">
      <w:pPr>
        <w:rPr>
          <w:b/>
          <w:iCs/>
          <w:highlight w:val="yellow"/>
          <w:u w:val="single"/>
          <w:lang w:val="en-GB"/>
        </w:rPr>
      </w:pPr>
    </w:p>
    <w:p w:rsidR="00EE4976" w:rsidRPr="0035588E" w:rsidRDefault="00EE4976" w:rsidP="00EE4976">
      <w:pPr>
        <w:tabs>
          <w:tab w:val="left" w:pos="1701"/>
        </w:tabs>
        <w:rPr>
          <w:i/>
          <w:iCs/>
        </w:rPr>
      </w:pPr>
      <w:r>
        <w:rPr>
          <w:b/>
          <w:bCs/>
          <w:i/>
          <w:iCs/>
        </w:rPr>
        <w:t>Contacto:</w:t>
      </w:r>
      <w:r w:rsidR="00E21F22">
        <w:rPr>
          <w:b/>
          <w:bCs/>
          <w:i/>
          <w:iCs/>
        </w:rPr>
        <w:tab/>
      </w:r>
      <w:r>
        <w:rPr>
          <w:i/>
        </w:rPr>
        <w:t>Stella Brozek-Everaert</w:t>
      </w:r>
    </w:p>
    <w:p w:rsidR="00520A8A" w:rsidRDefault="00EE4976" w:rsidP="00E21F22">
      <w:pPr>
        <w:tabs>
          <w:tab w:val="left" w:pos="1701"/>
        </w:tabs>
        <w:spacing w:line="240" w:lineRule="auto"/>
        <w:ind w:left="1701" w:hanging="1701"/>
        <w:jc w:val="left"/>
        <w:rPr>
          <w:i/>
          <w:iCs/>
        </w:rPr>
      </w:pPr>
      <w:r>
        <w:rPr>
          <w:i/>
          <w:iCs/>
        </w:rPr>
        <w:tab/>
        <w:t>(Tel. 00 32 2 546 92 02– correo electrónico:</w:t>
      </w:r>
      <w:r w:rsidR="00E21F22">
        <w:rPr>
          <w:i/>
          <w:iCs/>
        </w:rPr>
        <w:t xml:space="preserve"> </w:t>
      </w:r>
      <w:hyperlink r:id="rId34" w:history="1">
        <w:r w:rsidR="00E21F22" w:rsidRPr="003F6048">
          <w:rPr>
            <w:rStyle w:val="Hyperlink"/>
            <w:i/>
            <w:iCs/>
          </w:rPr>
          <w:t>Stella.BrozekEveraert@eesc.europa.eu</w:t>
        </w:r>
      </w:hyperlink>
      <w:r>
        <w:rPr>
          <w:i/>
          <w:iCs/>
        </w:rPr>
        <w:t>)</w:t>
      </w:r>
    </w:p>
    <w:p w:rsidR="001A35F9" w:rsidRPr="001A35F9" w:rsidRDefault="001A35F9" w:rsidP="001A35F9">
      <w:pPr>
        <w:pStyle w:val="ListParagraph"/>
        <w:ind w:left="360"/>
        <w:rPr>
          <w:b/>
          <w:bCs/>
          <w:i/>
          <w:iCs/>
          <w:lang w:val="en-GB"/>
        </w:rPr>
      </w:pPr>
    </w:p>
    <w:p w:rsidR="002E11B9" w:rsidRPr="0035588E" w:rsidRDefault="002E11B9" w:rsidP="002E11B9">
      <w:pPr>
        <w:pStyle w:val="ListParagraph"/>
        <w:numPr>
          <w:ilvl w:val="0"/>
          <w:numId w:val="64"/>
        </w:numPr>
        <w:rPr>
          <w:b/>
          <w:bCs/>
          <w:i/>
          <w:iCs/>
          <w:sz w:val="28"/>
          <w:szCs w:val="28"/>
        </w:rPr>
      </w:pPr>
      <w:r>
        <w:rPr>
          <w:b/>
          <w:bCs/>
          <w:i/>
          <w:iCs/>
          <w:sz w:val="28"/>
          <w:szCs w:val="28"/>
        </w:rPr>
        <w:t>Adaptación de las obligaciones de notificación en materia de medio ambiente</w:t>
      </w:r>
    </w:p>
    <w:p w:rsidR="002E11B9" w:rsidRPr="00456D45" w:rsidRDefault="002E11B9" w:rsidP="002E11B9">
      <w:pPr>
        <w:pStyle w:val="ListParagraph"/>
        <w:ind w:left="567"/>
        <w:rPr>
          <w:b/>
          <w:bCs/>
          <w:i/>
          <w:iCs/>
          <w:lang w:val="en-GB"/>
        </w:rPr>
      </w:pPr>
    </w:p>
    <w:p w:rsidR="002E11B9" w:rsidRPr="0035588E" w:rsidRDefault="002E11B9" w:rsidP="002E11B9">
      <w:r>
        <w:rPr>
          <w:b/>
        </w:rPr>
        <w:t>Ponente:</w:t>
      </w:r>
      <w:r>
        <w:tab/>
      </w:r>
      <w:r w:rsidR="00E21F22">
        <w:tab/>
      </w:r>
      <w:r>
        <w:t>Vladimír NOVOTNÝ (Empresarios – CZ)</w:t>
      </w:r>
    </w:p>
    <w:p w:rsidR="002E11B9" w:rsidRPr="0035588E" w:rsidRDefault="002E11B9" w:rsidP="002E11B9">
      <w:pPr>
        <w:rPr>
          <w:lang w:val="en-GB"/>
        </w:rPr>
      </w:pPr>
    </w:p>
    <w:p w:rsidR="002E11B9" w:rsidRPr="0035588E" w:rsidRDefault="002E11B9" w:rsidP="002E11B9">
      <w:pPr>
        <w:ind w:left="-5"/>
        <w:rPr>
          <w:b/>
          <w:bCs/>
        </w:rPr>
      </w:pPr>
      <w:r>
        <w:rPr>
          <w:b/>
          <w:bCs/>
        </w:rPr>
        <w:t>Referencias:</w:t>
      </w:r>
      <w:r w:rsidR="00E21F22">
        <w:rPr>
          <w:b/>
          <w:bCs/>
        </w:rPr>
        <w:tab/>
      </w:r>
      <w:r>
        <w:t>COM(2018) 381 final – 2018/0205 (COD)</w:t>
      </w:r>
    </w:p>
    <w:p w:rsidR="002E11B9" w:rsidRPr="0035588E" w:rsidRDefault="002E11B9" w:rsidP="001A35F9">
      <w:pPr>
        <w:ind w:left="1701"/>
        <w:rPr>
          <w:bCs/>
        </w:rPr>
      </w:pPr>
      <w:r>
        <w:t>EESC-2018-02960-00-00-AC-TRA</w:t>
      </w:r>
    </w:p>
    <w:p w:rsidR="002E11B9" w:rsidRPr="0035588E" w:rsidRDefault="002E11B9" w:rsidP="002E11B9">
      <w:pPr>
        <w:ind w:left="-5"/>
        <w:rPr>
          <w:lang w:val="en-GB"/>
        </w:rPr>
      </w:pPr>
    </w:p>
    <w:p w:rsidR="002E11B9" w:rsidRPr="002E11B9" w:rsidRDefault="002E11B9" w:rsidP="002E11B9">
      <w:pPr>
        <w:tabs>
          <w:tab w:val="left" w:pos="1701"/>
        </w:tabs>
        <w:spacing w:line="240" w:lineRule="auto"/>
        <w:jc w:val="left"/>
        <w:rPr>
          <w:iCs/>
          <w:highlight w:val="yellow"/>
        </w:rPr>
      </w:pPr>
      <w:r>
        <w:rPr>
          <w:b/>
        </w:rPr>
        <w:t>Puntos clave</w:t>
      </w:r>
    </w:p>
    <w:p w:rsidR="00026FDD" w:rsidRDefault="00026FDD">
      <w:pPr>
        <w:spacing w:line="240" w:lineRule="auto"/>
        <w:jc w:val="left"/>
        <w:rPr>
          <w:iCs/>
          <w:highlight w:val="yellow"/>
          <w:lang w:val="en-GB"/>
        </w:rPr>
      </w:pPr>
    </w:p>
    <w:p w:rsidR="00331515" w:rsidRDefault="00331515">
      <w:pPr>
        <w:spacing w:line="240" w:lineRule="auto"/>
        <w:jc w:val="left"/>
        <w:rPr>
          <w:iCs/>
          <w:highlight w:val="yellow"/>
        </w:rPr>
      </w:pPr>
      <w:r>
        <w:t>El CESE:</w:t>
      </w:r>
    </w:p>
    <w:p w:rsidR="00331515" w:rsidRDefault="00331515">
      <w:pPr>
        <w:spacing w:line="240" w:lineRule="auto"/>
        <w:jc w:val="left"/>
        <w:rPr>
          <w:iCs/>
          <w:highlight w:val="yellow"/>
          <w:lang w:val="en-GB"/>
        </w:rPr>
      </w:pPr>
    </w:p>
    <w:p w:rsidR="00026FDD" w:rsidRPr="0035588E" w:rsidRDefault="00026FDD" w:rsidP="00543C6C">
      <w:pPr>
        <w:pStyle w:val="Heading2"/>
        <w:numPr>
          <w:ilvl w:val="0"/>
          <w:numId w:val="130"/>
        </w:numPr>
        <w:ind w:left="567" w:hanging="567"/>
      </w:pPr>
      <w:r>
        <w:t>acoge favorablemente la propuesta de la Comisión Europea de adaptar las obligaciones de notificación en el ámbito de la política de medio ambiente. Con ello, espera que los informes y su elaboración sean más transparentes, que se cree una base empírica para evaluar la eficacia de las políticas de medio ambiente, que se simplifiquen los procedimientos y que se reduzca la carga administrativa tanto para la Comisión como para los Estados miembros;</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 xml:space="preserve">apoya plenamente el nuevo enfoque de la Comisión Europea respecto de la notificación en el ámbito de la política de medio ambiente, basado en una drástica modernización de los procedimientos de recopilación de datos, notificación y ulterior evaluación medioambiental </w:t>
      </w:r>
      <w:r>
        <w:lastRenderedPageBreak/>
        <w:t>usando los sistemas Inspire y Copernicus, la transmisión de datos en tiempo real y su tratamiento electrónico. El CESE estima que la propuesta de la Comisión Europea es conforme con el enfoque para la mejora de la legislación y con el programa REFIT;</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recomienda que se haga uso de las bases de datos centrales de la Agencia Europea de Medio Ambiente para vincular los datos y la información en materia de medio ambiente con datos geográficos, económicos y sociales a fin de interpretarlos de manera holística;</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reitera que es necesario que las organizaciones de la sociedad civil participen en la elaboración y el debate de informes en materia de medio ambiente en los Estados miembros;</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considera que es mejor adaptarse a los cambios en los requisitos específicos de notificación en materia de medio ambiente que adoptar un enfoque único y rígido, siempre que se mantenga la elevada calidad de los datos e informes medioambientales.</w:t>
      </w:r>
    </w:p>
    <w:p w:rsidR="00026FDD" w:rsidRPr="0035588E" w:rsidRDefault="00026FDD" w:rsidP="00026FDD">
      <w:pPr>
        <w:ind w:left="-567"/>
        <w:rPr>
          <w:b/>
          <w:iCs/>
          <w:highlight w:val="yellow"/>
          <w:u w:val="single"/>
          <w:lang w:val="en-GB"/>
        </w:rPr>
      </w:pPr>
    </w:p>
    <w:p w:rsidR="00026FDD" w:rsidRPr="0035588E" w:rsidRDefault="00026FDD" w:rsidP="00026FDD">
      <w:pPr>
        <w:tabs>
          <w:tab w:val="left" w:pos="1701"/>
        </w:tabs>
        <w:rPr>
          <w:i/>
          <w:iCs/>
        </w:rPr>
      </w:pPr>
      <w:r>
        <w:rPr>
          <w:b/>
          <w:bCs/>
          <w:i/>
          <w:iCs/>
        </w:rPr>
        <w:t>Contacto:</w:t>
      </w:r>
      <w:r w:rsidR="00E21F22">
        <w:rPr>
          <w:b/>
          <w:bCs/>
          <w:i/>
          <w:iCs/>
        </w:rPr>
        <w:tab/>
      </w:r>
      <w:r>
        <w:rPr>
          <w:i/>
        </w:rPr>
        <w:t>Laura Broomfield</w:t>
      </w:r>
    </w:p>
    <w:p w:rsidR="00026FDD" w:rsidRDefault="00026FDD" w:rsidP="00026FDD">
      <w:pPr>
        <w:tabs>
          <w:tab w:val="left" w:pos="1701"/>
        </w:tabs>
        <w:spacing w:line="240" w:lineRule="auto"/>
        <w:jc w:val="left"/>
        <w:rPr>
          <w:i/>
          <w:iCs/>
        </w:rPr>
      </w:pPr>
      <w:r>
        <w:rPr>
          <w:i/>
          <w:iCs/>
        </w:rPr>
        <w:tab/>
        <w:t xml:space="preserve">(Tel. 00 32 2 546 82 58– correo electrónico: </w:t>
      </w:r>
      <w:hyperlink r:id="rId35" w:history="1">
        <w:r>
          <w:rPr>
            <w:rStyle w:val="Hyperlink"/>
            <w:i/>
            <w:iCs/>
          </w:rPr>
          <w:t>Laura.Broomfield@eesc.europa.eu</w:t>
        </w:r>
      </w:hyperlink>
      <w:r>
        <w:rPr>
          <w:i/>
          <w:iCs/>
        </w:rPr>
        <w:t>)</w:t>
      </w:r>
    </w:p>
    <w:p w:rsidR="00334557" w:rsidRDefault="00334557" w:rsidP="00026FDD">
      <w:pPr>
        <w:tabs>
          <w:tab w:val="left" w:pos="1701"/>
        </w:tabs>
        <w:spacing w:line="240" w:lineRule="auto"/>
        <w:jc w:val="left"/>
        <w:rPr>
          <w:iCs/>
          <w:highlight w:val="yellow"/>
          <w:lang w:val="en-GB"/>
        </w:rPr>
      </w:pPr>
    </w:p>
    <w:p w:rsidR="00334557" w:rsidRPr="0035588E" w:rsidRDefault="00334557" w:rsidP="00334557">
      <w:pPr>
        <w:pStyle w:val="ListParagraph"/>
        <w:numPr>
          <w:ilvl w:val="0"/>
          <w:numId w:val="64"/>
        </w:numPr>
        <w:rPr>
          <w:b/>
          <w:bCs/>
          <w:i/>
          <w:iCs/>
          <w:sz w:val="28"/>
          <w:szCs w:val="28"/>
        </w:rPr>
      </w:pPr>
      <w:r>
        <w:rPr>
          <w:b/>
          <w:bCs/>
          <w:i/>
          <w:iCs/>
          <w:sz w:val="28"/>
          <w:szCs w:val="28"/>
        </w:rPr>
        <w:t>Aplicación de la legislación medioambiental de la UE en materia de calidad del aire, agua y residuos</w:t>
      </w:r>
    </w:p>
    <w:p w:rsidR="00334557" w:rsidRPr="00456D45" w:rsidRDefault="00334557" w:rsidP="00334557">
      <w:pPr>
        <w:pStyle w:val="ListParagraph"/>
        <w:ind w:left="567"/>
        <w:rPr>
          <w:b/>
          <w:bCs/>
          <w:i/>
          <w:iCs/>
          <w:lang w:val="en-GB"/>
        </w:rPr>
      </w:pPr>
    </w:p>
    <w:p w:rsidR="00334557" w:rsidRPr="0035588E" w:rsidRDefault="00334557" w:rsidP="00334557">
      <w:r>
        <w:rPr>
          <w:b/>
        </w:rPr>
        <w:t>Ponente:</w:t>
      </w:r>
      <w:r>
        <w:tab/>
      </w:r>
      <w:r w:rsidR="00E21F22">
        <w:tab/>
      </w:r>
      <w:r>
        <w:t>Arnaud SCHWARTZ (Diversidad Europa – FR)</w:t>
      </w:r>
    </w:p>
    <w:p w:rsidR="00334557" w:rsidRPr="0035588E" w:rsidRDefault="00334557" w:rsidP="00334557">
      <w:pPr>
        <w:rPr>
          <w:lang w:val="en-GB"/>
        </w:rPr>
      </w:pPr>
    </w:p>
    <w:p w:rsidR="00334557" w:rsidRPr="0035588E" w:rsidRDefault="00334557" w:rsidP="00623A46">
      <w:pPr>
        <w:tabs>
          <w:tab w:val="left" w:pos="1701"/>
        </w:tabs>
        <w:ind w:left="1701" w:hanging="1706"/>
        <w:rPr>
          <w:bCs/>
        </w:rPr>
      </w:pPr>
      <w:r>
        <w:rPr>
          <w:b/>
          <w:bCs/>
        </w:rPr>
        <w:t>Referencia:</w:t>
      </w:r>
      <w:r w:rsidR="00E21F22">
        <w:rPr>
          <w:b/>
          <w:bCs/>
        </w:rPr>
        <w:tab/>
      </w:r>
      <w:r>
        <w:t>Dictamen exploratorio solicitado por el Parlamento Europeo</w:t>
      </w:r>
      <w:r w:rsidR="00E21F22">
        <w:br/>
      </w:r>
      <w:r>
        <w:t>EESC-2018-02510-00-00-AC-TRA</w:t>
      </w:r>
    </w:p>
    <w:p w:rsidR="00334557" w:rsidRPr="0035588E" w:rsidRDefault="00623A46" w:rsidP="00334557">
      <w:pPr>
        <w:ind w:left="-5"/>
      </w:pPr>
      <w:r>
        <w:tab/>
      </w:r>
    </w:p>
    <w:p w:rsidR="00334557" w:rsidRPr="00334557" w:rsidRDefault="00334557" w:rsidP="00334557">
      <w:pPr>
        <w:tabs>
          <w:tab w:val="left" w:pos="1701"/>
        </w:tabs>
        <w:spacing w:line="240" w:lineRule="auto"/>
        <w:jc w:val="left"/>
        <w:rPr>
          <w:iCs/>
          <w:highlight w:val="yellow"/>
        </w:rPr>
      </w:pPr>
      <w:r>
        <w:rPr>
          <w:b/>
        </w:rPr>
        <w:t>Puntos clave</w:t>
      </w:r>
    </w:p>
    <w:p w:rsidR="00334557" w:rsidRDefault="00334557">
      <w:pPr>
        <w:spacing w:line="240" w:lineRule="auto"/>
        <w:jc w:val="left"/>
        <w:rPr>
          <w:iCs/>
          <w:highlight w:val="yellow"/>
          <w:lang w:val="en-GB"/>
        </w:rPr>
      </w:pPr>
    </w:p>
    <w:p w:rsidR="00334557" w:rsidRPr="0035588E" w:rsidRDefault="00334557" w:rsidP="00334557">
      <w:r>
        <w:t>El CESE acoge con satisfacción el objetivo de la revisión de la aplicación de la política medioambiental (EIR, por sus siglas en inglés) consistente en proporcionar una visión clara de la situación de cada Estado miembro para detectar las principales deficiencias en la aplicación de la legislación medioambiental europea, recomendar medidas correctoras y prestar apoyo a los Estados miembros que se están quedando a la zaga en términos de aplicación, en particular, a través de un nuevo instrumento de asistencia técnica entre pares.</w:t>
      </w:r>
    </w:p>
    <w:p w:rsidR="00334557" w:rsidRPr="0035588E" w:rsidRDefault="00334557" w:rsidP="00334557">
      <w:pPr>
        <w:rPr>
          <w:lang w:val="en-GB"/>
        </w:rPr>
      </w:pPr>
    </w:p>
    <w:p w:rsidR="00334557" w:rsidRPr="0035588E" w:rsidRDefault="00334557" w:rsidP="00334557">
      <w:r>
        <w:t>No obstante, en su dictamen al respecto, el CESE afirma que la EIR de la UE ha puesto de manifiesto que la aplicación deficiente, fragmentada y desigual de la legislación medioambiental europea constituye un grave problema en muchos Estados miembros de la Unión. Hoy como ayer, a las causas profundas de la deficiente aplicación detectadas durante la EIR parecen sumarse la falta de voluntad política por parte de los gobiernos de muchos Estados miembros para hacer de la mejora sustancial de la aplicación una prioridad política y proporcionar recursos suficientes a tal fin (por ejemplo, mediante el marco financiero plurianual – MFP). El CESE recuerda, por tanto, que la adecuada aplicación del acervo medioambiental de la Unión redunda en interés de los ciudadanos europeos y entraña auténticas ventajas económicas y sociales.</w:t>
      </w:r>
    </w:p>
    <w:p w:rsidR="00334557" w:rsidRPr="0035588E" w:rsidRDefault="00334557" w:rsidP="00334557">
      <w:pPr>
        <w:rPr>
          <w:lang w:val="en-GB"/>
        </w:rPr>
      </w:pPr>
    </w:p>
    <w:p w:rsidR="00334557" w:rsidRPr="0035588E" w:rsidRDefault="00334557" w:rsidP="00334557">
      <w:r>
        <w:lastRenderedPageBreak/>
        <w:t>Asimismo, tal como se indica en el dictamen mencionado anteriormente, el CESE insiste en que la aplicación eficaz de las medidas de protección medioambiental depende, en parte, de que se conceda un papel activo a la sociedad civil: empresarios, trabajadores y otros representantes de la sociedad. Por consiguiente, el CESE reitera su llamamiento a favor de una participación reforzada y más estructurada de la sociedad civil, lo que permitiría profundizar en las EIR. Según el CESE, las organizaciones de la sociedad civil a nivel nacional deben tener la oportunidad de aportar su experiencia y sus conocimientos a los informes por país, así como a los diálogos estructurados nacionales y a su seguimiento. Por este motivo, el CESE está dispuesto a facilitar el diálogo de la sociedad civil a escala de la UE en el marco de una economía verdaderamente sostenible y circular.</w:t>
      </w:r>
    </w:p>
    <w:p w:rsidR="00334557" w:rsidRPr="0035588E" w:rsidRDefault="00334557" w:rsidP="00334557">
      <w:pPr>
        <w:rPr>
          <w:lang w:val="en-GB"/>
        </w:rPr>
      </w:pPr>
    </w:p>
    <w:p w:rsidR="00334557" w:rsidRPr="0035588E" w:rsidRDefault="00334557" w:rsidP="00334557">
      <w:r>
        <w:t>El CESE insiste en que, en algunos casos, también son necesarias las inversiones medioambientales, la sensibilización del público o fuertes cadenas de garantía del cumplimiento y que, pese a disponer ya de inspectores medioambientales, la Unión Europea y sus Estados miembros necesitan, además, jueces y fiscales especializados.</w:t>
      </w:r>
    </w:p>
    <w:p w:rsidR="00334557" w:rsidRPr="0035588E" w:rsidRDefault="00334557" w:rsidP="00334557">
      <w:pPr>
        <w:rPr>
          <w:lang w:val="en-GB"/>
        </w:rPr>
      </w:pPr>
    </w:p>
    <w:p w:rsidR="00334557" w:rsidRPr="0035588E" w:rsidRDefault="00334557" w:rsidP="00334557">
      <w:r>
        <w:t>Además, tal como lo demuestran una serie de documentos de la Comisión Europea, numerosas deficiencias se deben a la falta de cooperación entre los distintos niveles de gobernanza (nacional, regional, local) responsables de la aplicación de la legislación medioambiental, por lo que el CESE también hace un llamamiento a la UE para que integre a la sociedad civil en la supervisión y evaluación continuas de la aplicación de esta legislación.</w:t>
      </w:r>
    </w:p>
    <w:p w:rsidR="00334557" w:rsidRPr="0035588E" w:rsidRDefault="00334557" w:rsidP="00334557">
      <w:pPr>
        <w:rPr>
          <w:lang w:val="en-GB"/>
        </w:rPr>
      </w:pPr>
    </w:p>
    <w:p w:rsidR="00334557" w:rsidRPr="0035588E" w:rsidRDefault="00334557" w:rsidP="00334557">
      <w:r>
        <w:t>Los ciudadanos de la Unión Europea consideran que la protección del medio ambiente resulta de vital importancia. Ahora bien, la mayoría de los ciudadanos europeos estiman que la UE y los gobiernos nacionales no están haciendo lo suficiente para proteger el medio ambiente. Por lo tanto, el Consejo, el Parlamento y la Comisión deberían colaborar más estrechamente para responder, con ayuda del CESE, a las expectativas de los ciudadanos. En particular, esta ambición podría traducirse en una solicitud al CESE para que elabore un dictamen exploratorio sobre cómo la sociedad civil podría contribuir más a la elaboración y la aplicación de la legislación medioambiental de la UE.</w:t>
      </w:r>
    </w:p>
    <w:p w:rsidR="00334557" w:rsidRPr="0035588E" w:rsidRDefault="00334557" w:rsidP="00334557">
      <w:pPr>
        <w:rPr>
          <w:lang w:val="en-GB"/>
        </w:rPr>
      </w:pPr>
    </w:p>
    <w:p w:rsidR="00334557" w:rsidRPr="0035588E" w:rsidRDefault="00334557" w:rsidP="00334557">
      <w:r>
        <w:t>El CESE considera que la Comisión debería no solo formular propuestas legislativas, sino también facilitar y apoyar la aplicación de la legislación, y velar también por que los textos vigentes sean más coherentes entre sí y más acordes con el progreso científico y los compromisos internacionales a fin de proteger la salud pública y de restaurar el buen funcionamiento de los ecosistemas, sin los cuales no son posibles ni el desarrollo económico ni la justicia social. En particular, la aplicación de la legislación medioambiental es esencial para la consecución de los objetivos de desarrollo sostenible de las Naciones Unidas y la puesta en la práctica de los acuerdos sobre el clima. Por consiguiente, el CESE llama la atención de las autoridades competentes sobre varios ejemplos de mejora de la legislación medioambiental en materia de calidad del aire, agua y residuos recogidos en el presente dictamen.</w:t>
      </w:r>
    </w:p>
    <w:p w:rsidR="00334557" w:rsidRPr="0035588E" w:rsidRDefault="00334557" w:rsidP="00334557">
      <w:pPr>
        <w:rPr>
          <w:lang w:val="en-GB"/>
        </w:rPr>
      </w:pPr>
    </w:p>
    <w:p w:rsidR="00334557" w:rsidRPr="0035588E" w:rsidRDefault="00334557" w:rsidP="00334557">
      <w:r>
        <w:t xml:space="preserve">Por último, a la luz de la reciente propuesta de Directiva sobre los plásticos de un solo uso, parece demostrado que el elevado nivel de aceptación de las medidas propuestas se debe a las acciones de información y a la labor emprendida a través los medios de comunicación sobre la contaminación por plásticos en los océanos, que han elevado el grado de concienciación de los ciudadanos sobre este problema. El CESE considera que este podría también ser el caso de muchas otras medidas que pueden ofrecer a los ciudadanos de la Unión un entorno de vida saludable, permitir su adaptación al cambio </w:t>
      </w:r>
      <w:r>
        <w:lastRenderedPageBreak/>
        <w:t>climático y poner fin a la destrucción de la biodiversidad. El CESE reafirma en este sentido que es necesario que la sociedad civil participe en aras de una educación cívica y confía en que las autoridades europeas, nacionales y locales redoblen sus esfuerzos para sensibilizar a los ciudadanos, así como a los responsables de la toma de decisiones públicas y privadas (en particular en las pymes y las microempresas) sobre estos grandes desafíos del siglo XXI.</w:t>
      </w:r>
    </w:p>
    <w:p w:rsidR="00334557" w:rsidRPr="0035588E" w:rsidRDefault="00334557" w:rsidP="00334557">
      <w:pPr>
        <w:ind w:left="-567"/>
        <w:rPr>
          <w:b/>
          <w:iCs/>
          <w:highlight w:val="yellow"/>
          <w:u w:val="single"/>
          <w:lang w:val="en-GB"/>
        </w:rPr>
      </w:pPr>
    </w:p>
    <w:p w:rsidR="00334557" w:rsidRPr="0035588E" w:rsidRDefault="00334557" w:rsidP="00334557">
      <w:pPr>
        <w:tabs>
          <w:tab w:val="left" w:pos="1701"/>
        </w:tabs>
        <w:rPr>
          <w:i/>
          <w:iCs/>
        </w:rPr>
      </w:pPr>
      <w:r>
        <w:rPr>
          <w:b/>
          <w:bCs/>
          <w:i/>
          <w:iCs/>
        </w:rPr>
        <w:t>Contacto:</w:t>
      </w:r>
      <w:r w:rsidR="00E21F22">
        <w:rPr>
          <w:b/>
          <w:bCs/>
          <w:i/>
          <w:iCs/>
        </w:rPr>
        <w:tab/>
      </w:r>
      <w:r>
        <w:rPr>
          <w:i/>
        </w:rPr>
        <w:t>Monica Guarinoni</w:t>
      </w:r>
    </w:p>
    <w:p w:rsidR="00334557" w:rsidRDefault="00334557" w:rsidP="00334557">
      <w:pPr>
        <w:tabs>
          <w:tab w:val="left" w:pos="1701"/>
        </w:tabs>
        <w:spacing w:line="240" w:lineRule="auto"/>
        <w:jc w:val="left"/>
        <w:rPr>
          <w:iCs/>
          <w:highlight w:val="yellow"/>
        </w:rPr>
      </w:pPr>
      <w:r>
        <w:rPr>
          <w:i/>
          <w:iCs/>
        </w:rPr>
        <w:tab/>
        <w:t>(Tel. 00 32 2 546 8127 – correo electrónico:</w:t>
      </w:r>
      <w:r>
        <w:t xml:space="preserve"> </w:t>
      </w:r>
      <w:hyperlink r:id="rId36" w:history="1">
        <w:r>
          <w:rPr>
            <w:rStyle w:val="Hyperlink"/>
            <w:i/>
            <w:iCs/>
          </w:rPr>
          <w:t>Monica.Guarinoni@eesc.europa.eu</w:t>
        </w:r>
      </w:hyperlink>
      <w:r>
        <w:rPr>
          <w:i/>
          <w:iCs/>
        </w:rPr>
        <w:t>)</w:t>
      </w:r>
    </w:p>
    <w:p w:rsidR="001A35F9" w:rsidRDefault="001A35F9" w:rsidP="001A35F9">
      <w:pPr>
        <w:pStyle w:val="ListParagraph"/>
        <w:ind w:left="360"/>
        <w:rPr>
          <w:b/>
          <w:bCs/>
          <w:i/>
          <w:iCs/>
          <w:sz w:val="28"/>
          <w:szCs w:val="28"/>
          <w:lang w:val="en-GB"/>
        </w:rPr>
      </w:pPr>
    </w:p>
    <w:p w:rsidR="00D81C22" w:rsidRPr="0035588E" w:rsidRDefault="00D81C22" w:rsidP="00D81C22">
      <w:pPr>
        <w:pStyle w:val="ListParagraph"/>
        <w:numPr>
          <w:ilvl w:val="0"/>
          <w:numId w:val="64"/>
        </w:numPr>
        <w:rPr>
          <w:b/>
          <w:bCs/>
          <w:i/>
          <w:iCs/>
          <w:sz w:val="28"/>
          <w:szCs w:val="28"/>
        </w:rPr>
      </w:pPr>
      <w:r>
        <w:rPr>
          <w:b/>
          <w:bCs/>
          <w:i/>
          <w:iCs/>
          <w:sz w:val="28"/>
          <w:szCs w:val="28"/>
        </w:rPr>
        <w:t>Fondo Europeo Marítimo y de Pesca</w:t>
      </w:r>
    </w:p>
    <w:p w:rsidR="00D81C22" w:rsidRPr="0035588E" w:rsidRDefault="00D81C22" w:rsidP="00D81C22">
      <w:pPr>
        <w:pStyle w:val="ListParagraph"/>
        <w:ind w:left="567"/>
        <w:rPr>
          <w:b/>
          <w:bCs/>
          <w:i/>
          <w:iCs/>
          <w:sz w:val="28"/>
          <w:szCs w:val="28"/>
          <w:lang w:val="en-GB"/>
        </w:rPr>
      </w:pPr>
    </w:p>
    <w:p w:rsidR="00D81C22" w:rsidRPr="0035588E" w:rsidRDefault="00D81C22" w:rsidP="00D81C22">
      <w:pPr>
        <w:tabs>
          <w:tab w:val="left" w:pos="1701"/>
        </w:tabs>
      </w:pPr>
      <w:r>
        <w:rPr>
          <w:b/>
        </w:rPr>
        <w:t>Ponente:</w:t>
      </w:r>
      <w:r>
        <w:tab/>
        <w:t>Brian CURTIS (Trabajadores</w:t>
      </w:r>
      <w:r w:rsidR="00891440">
        <w:t xml:space="preserve"> – </w:t>
      </w:r>
      <w:r>
        <w:t>UK)</w:t>
      </w:r>
    </w:p>
    <w:p w:rsidR="00D81C22" w:rsidRPr="0035588E" w:rsidRDefault="00D81C22" w:rsidP="00D81C22">
      <w:pPr>
        <w:rPr>
          <w:lang w:val="en-GB"/>
        </w:rPr>
      </w:pPr>
    </w:p>
    <w:p w:rsidR="00D81C22" w:rsidRPr="0035588E" w:rsidRDefault="00D81C22" w:rsidP="00D81C22">
      <w:pPr>
        <w:ind w:left="-5"/>
        <w:rPr>
          <w:b/>
          <w:bCs/>
        </w:rPr>
      </w:pPr>
      <w:r>
        <w:rPr>
          <w:b/>
          <w:bCs/>
        </w:rPr>
        <w:t>Referencias:</w:t>
      </w:r>
      <w:r w:rsidR="00E21F22">
        <w:rPr>
          <w:b/>
          <w:bCs/>
        </w:rPr>
        <w:tab/>
      </w:r>
      <w:r>
        <w:t>COM (2018) 390 final – 2018/0210 (COD)</w:t>
      </w:r>
    </w:p>
    <w:p w:rsidR="00D81C22" w:rsidRPr="0035588E" w:rsidRDefault="00D81C22" w:rsidP="001A35F9">
      <w:pPr>
        <w:ind w:left="1701"/>
        <w:rPr>
          <w:bCs/>
        </w:rPr>
      </w:pPr>
      <w:r>
        <w:t>EESC-2018-04062-00-00-AC-TRA</w:t>
      </w:r>
    </w:p>
    <w:p w:rsidR="00D81C22" w:rsidRPr="0035588E" w:rsidRDefault="00D81C22" w:rsidP="00D81C22">
      <w:pPr>
        <w:ind w:left="-5"/>
        <w:rPr>
          <w:lang w:val="en-GB"/>
        </w:rPr>
      </w:pPr>
    </w:p>
    <w:p w:rsidR="0020498A" w:rsidRDefault="00D81C22" w:rsidP="00D81C22">
      <w:pPr>
        <w:spacing w:line="240" w:lineRule="auto"/>
        <w:jc w:val="left"/>
        <w:rPr>
          <w:iCs/>
          <w:highlight w:val="yellow"/>
        </w:rPr>
      </w:pPr>
      <w:r>
        <w:rPr>
          <w:b/>
        </w:rPr>
        <w:t>Puntos clave</w:t>
      </w:r>
    </w:p>
    <w:p w:rsidR="0020498A" w:rsidRDefault="0020498A" w:rsidP="00F10ED6">
      <w:pPr>
        <w:jc w:val="left"/>
        <w:rPr>
          <w:iCs/>
          <w:highlight w:val="yellow"/>
          <w:lang w:val="en-GB"/>
        </w:rPr>
      </w:pPr>
    </w:p>
    <w:p w:rsidR="00331515" w:rsidRDefault="00331515" w:rsidP="00F10ED6">
      <w:pPr>
        <w:jc w:val="left"/>
        <w:rPr>
          <w:iCs/>
          <w:highlight w:val="yellow"/>
        </w:rPr>
      </w:pPr>
      <w:r>
        <w:t>El CESE:</w:t>
      </w:r>
    </w:p>
    <w:p w:rsidR="00331515" w:rsidRDefault="00331515" w:rsidP="00F10ED6">
      <w:pPr>
        <w:jc w:val="left"/>
        <w:rPr>
          <w:iCs/>
          <w:highlight w:val="yellow"/>
          <w:lang w:val="en-GB"/>
        </w:rPr>
      </w:pPr>
    </w:p>
    <w:p w:rsidR="00D81C22" w:rsidRPr="00331515" w:rsidRDefault="00D81C22" w:rsidP="00F10ED6">
      <w:pPr>
        <w:pStyle w:val="ListParagraph"/>
        <w:numPr>
          <w:ilvl w:val="0"/>
          <w:numId w:val="131"/>
        </w:numPr>
        <w:ind w:left="567" w:hanging="567"/>
      </w:pPr>
      <w:r>
        <w:t>acoge favorablemente la propuesta de la Comisión, que proporciona un sistema más flexible para los Estados miembros en consonancia con sus prioridades estratégicas y tiene como objetivo apoyar un modelo de negocio sostenible para los pescadores y mantener la competitividad del sector pesquero. En particular, el CESE pide una aprobación rápida, un mecanismo de financiación más accesible y un sistema de sanciones más proporcionado y armonizado;</w:t>
      </w:r>
    </w:p>
    <w:p w:rsidR="00D81C22" w:rsidRDefault="00D81C22" w:rsidP="00F10ED6">
      <w:pPr>
        <w:ind w:left="567" w:hanging="567"/>
        <w:rPr>
          <w:lang w:val="en-GB"/>
        </w:rPr>
      </w:pPr>
    </w:p>
    <w:p w:rsidR="00D81C22" w:rsidRPr="00331515" w:rsidRDefault="00D81C22" w:rsidP="00F10ED6">
      <w:pPr>
        <w:pStyle w:val="ListParagraph"/>
        <w:numPr>
          <w:ilvl w:val="0"/>
          <w:numId w:val="131"/>
        </w:numPr>
        <w:ind w:left="567" w:hanging="567"/>
      </w:pPr>
      <w:r>
        <w:t>alienta a la Comisión Europea y a los Estados miembros a que adopten medidas más enérgicas para garantizar la plena trazabilidad de las importaciones, tanto desde el punto de vista de la pesca INDNR (pesca ilegal, no declarada y no reglamentada) como de la seguridad alimentaria;</w:t>
      </w:r>
    </w:p>
    <w:p w:rsidR="00D81C22" w:rsidRPr="0035588E" w:rsidRDefault="00D81C22" w:rsidP="00F10ED6">
      <w:pPr>
        <w:ind w:left="567" w:hanging="567"/>
        <w:rPr>
          <w:lang w:val="en-GB"/>
        </w:rPr>
      </w:pPr>
    </w:p>
    <w:p w:rsidR="00D81C22" w:rsidRPr="00331515" w:rsidRDefault="00D81C22" w:rsidP="00F10ED6">
      <w:pPr>
        <w:pStyle w:val="ListParagraph"/>
        <w:numPr>
          <w:ilvl w:val="0"/>
          <w:numId w:val="131"/>
        </w:numPr>
        <w:ind w:left="567" w:hanging="567"/>
      </w:pPr>
      <w:r>
        <w:t>recomienda que se financie la construcción de nuevos buques en sustitución de los antiguos, siempre que la flota en cuestión no presente un exceso de capacidad y que las especies objetivo se pesquen dentro de los niveles de rendimiento máximo sostenible (RMS). Esta medida debería incluir el uso de motores más sostenibles y eficientes para reducir las emisiones de CO</w:t>
      </w:r>
      <w:r>
        <w:rPr>
          <w:vertAlign w:val="subscript"/>
        </w:rPr>
        <w:t>2</w:t>
      </w:r>
      <w:r>
        <w:t xml:space="preserve"> y garantizar la seguridad de la tripulación.</w:t>
      </w:r>
    </w:p>
    <w:p w:rsidR="00D81C22" w:rsidRPr="0035588E" w:rsidRDefault="00D81C22" w:rsidP="00F10ED6">
      <w:pPr>
        <w:ind w:left="-567"/>
        <w:rPr>
          <w:b/>
          <w:iCs/>
          <w:highlight w:val="yellow"/>
          <w:u w:val="single"/>
          <w:lang w:val="en-GB"/>
        </w:rPr>
      </w:pPr>
    </w:p>
    <w:p w:rsidR="00D81C22" w:rsidRPr="0035588E" w:rsidRDefault="00D81C22" w:rsidP="00D81C22">
      <w:pPr>
        <w:tabs>
          <w:tab w:val="left" w:pos="1701"/>
        </w:tabs>
        <w:rPr>
          <w:i/>
          <w:iCs/>
        </w:rPr>
      </w:pPr>
      <w:r>
        <w:rPr>
          <w:b/>
          <w:bCs/>
          <w:i/>
          <w:iCs/>
        </w:rPr>
        <w:t>Contacto:</w:t>
      </w:r>
      <w:r w:rsidR="00E21F22">
        <w:rPr>
          <w:b/>
          <w:bCs/>
          <w:i/>
          <w:iCs/>
        </w:rPr>
        <w:tab/>
      </w:r>
      <w:r>
        <w:rPr>
          <w:i/>
        </w:rPr>
        <w:t>Arturo Íñiguez</w:t>
      </w:r>
    </w:p>
    <w:p w:rsidR="00D81C22" w:rsidRDefault="00D81C22" w:rsidP="00D81C22">
      <w:pPr>
        <w:tabs>
          <w:tab w:val="left" w:pos="1701"/>
        </w:tabs>
        <w:spacing w:line="240" w:lineRule="auto"/>
        <w:jc w:val="left"/>
        <w:rPr>
          <w:i/>
          <w:iCs/>
        </w:rPr>
      </w:pPr>
      <w:r>
        <w:rPr>
          <w:i/>
          <w:iCs/>
        </w:rPr>
        <w:tab/>
        <w:t xml:space="preserve">(Tel. 00 32 2 546 87 68– correo electrónico: </w:t>
      </w:r>
      <w:hyperlink r:id="rId37" w:history="1">
        <w:r>
          <w:rPr>
            <w:rStyle w:val="Hyperlink"/>
            <w:i/>
            <w:iCs/>
          </w:rPr>
          <w:t>Arturo.Iniguez@eesc.europa.eu</w:t>
        </w:r>
      </w:hyperlink>
      <w:r>
        <w:rPr>
          <w:i/>
          <w:iCs/>
        </w:rPr>
        <w:t>)</w:t>
      </w:r>
    </w:p>
    <w:p w:rsidR="00FB1153" w:rsidRDefault="00FB1153" w:rsidP="00D81C22">
      <w:pPr>
        <w:tabs>
          <w:tab w:val="left" w:pos="1701"/>
        </w:tabs>
        <w:spacing w:line="240" w:lineRule="auto"/>
        <w:jc w:val="left"/>
        <w:rPr>
          <w:i/>
          <w:iCs/>
          <w:lang w:val="en-GB"/>
        </w:rPr>
      </w:pPr>
    </w:p>
    <w:p w:rsidR="00FB1153" w:rsidRPr="0035588E" w:rsidRDefault="00FB1153" w:rsidP="00E21F22">
      <w:pPr>
        <w:pStyle w:val="ListParagraph"/>
        <w:keepNext/>
        <w:keepLines/>
        <w:numPr>
          <w:ilvl w:val="0"/>
          <w:numId w:val="64"/>
        </w:numPr>
        <w:rPr>
          <w:b/>
          <w:bCs/>
          <w:i/>
          <w:iCs/>
          <w:sz w:val="28"/>
          <w:szCs w:val="28"/>
        </w:rPr>
      </w:pPr>
      <w:r>
        <w:rPr>
          <w:b/>
          <w:bCs/>
          <w:i/>
          <w:iCs/>
          <w:sz w:val="28"/>
          <w:szCs w:val="28"/>
        </w:rPr>
        <w:lastRenderedPageBreak/>
        <w:t>Aire puro para todos</w:t>
      </w:r>
    </w:p>
    <w:p w:rsidR="00FB1153" w:rsidRPr="0035588E" w:rsidRDefault="00FB1153" w:rsidP="00E21F22">
      <w:pPr>
        <w:pStyle w:val="ListParagraph"/>
        <w:keepNext/>
        <w:keepLines/>
        <w:ind w:left="567"/>
        <w:rPr>
          <w:b/>
          <w:bCs/>
          <w:i/>
          <w:iCs/>
          <w:sz w:val="28"/>
          <w:szCs w:val="28"/>
          <w:lang w:val="en-GB"/>
        </w:rPr>
      </w:pPr>
    </w:p>
    <w:p w:rsidR="00FB1153" w:rsidRPr="0035588E" w:rsidRDefault="00FB1153" w:rsidP="00E21F22">
      <w:pPr>
        <w:keepNext/>
        <w:keepLines/>
        <w:tabs>
          <w:tab w:val="left" w:pos="1701"/>
        </w:tabs>
      </w:pPr>
      <w:r>
        <w:rPr>
          <w:b/>
        </w:rPr>
        <w:t>Ponente:</w:t>
      </w:r>
      <w:r>
        <w:tab/>
        <w:t>Octavian Cătălin ALBU (Empresarios – RO)</w:t>
      </w:r>
    </w:p>
    <w:p w:rsidR="00FB1153" w:rsidRPr="0035588E" w:rsidRDefault="00FB1153" w:rsidP="00E21F22">
      <w:pPr>
        <w:keepNext/>
        <w:keepLines/>
        <w:rPr>
          <w:lang w:val="en-GB"/>
        </w:rPr>
      </w:pPr>
    </w:p>
    <w:p w:rsidR="00FB1153" w:rsidRPr="0035588E" w:rsidRDefault="00FB1153" w:rsidP="00E21F22">
      <w:pPr>
        <w:keepNext/>
        <w:keepLines/>
        <w:ind w:left="-5"/>
        <w:rPr>
          <w:b/>
          <w:bCs/>
        </w:rPr>
      </w:pPr>
      <w:r>
        <w:rPr>
          <w:b/>
          <w:bCs/>
        </w:rPr>
        <w:t>Referencias:</w:t>
      </w:r>
      <w:r w:rsidR="00E21F22">
        <w:rPr>
          <w:b/>
          <w:bCs/>
        </w:rPr>
        <w:tab/>
      </w:r>
      <w:r>
        <w:t>COM (2018) 330 final</w:t>
      </w:r>
    </w:p>
    <w:p w:rsidR="00FB1153" w:rsidRPr="0035588E" w:rsidRDefault="00FB1153" w:rsidP="00E21F22">
      <w:pPr>
        <w:keepNext/>
        <w:keepLines/>
        <w:ind w:left="1701"/>
        <w:rPr>
          <w:bCs/>
        </w:rPr>
      </w:pPr>
      <w:r>
        <w:t>EESC-2018-03845-00-00-AC-TRA</w:t>
      </w:r>
    </w:p>
    <w:p w:rsidR="00FB1153" w:rsidRPr="0035588E" w:rsidRDefault="00FB1153" w:rsidP="00E21F22">
      <w:pPr>
        <w:keepNext/>
        <w:keepLines/>
        <w:ind w:left="-5"/>
        <w:rPr>
          <w:lang w:val="en-GB"/>
        </w:rPr>
      </w:pPr>
    </w:p>
    <w:p w:rsidR="0020498A" w:rsidRDefault="00FB1153" w:rsidP="00E21F22">
      <w:pPr>
        <w:keepNext/>
        <w:keepLines/>
        <w:spacing w:line="240" w:lineRule="auto"/>
        <w:jc w:val="left"/>
        <w:rPr>
          <w:b/>
        </w:rPr>
      </w:pPr>
      <w:r>
        <w:rPr>
          <w:b/>
        </w:rPr>
        <w:t>Puntos clave</w:t>
      </w:r>
    </w:p>
    <w:p w:rsidR="001A35F9" w:rsidRDefault="001A35F9" w:rsidP="00954C6C">
      <w:pPr>
        <w:rPr>
          <w:lang w:val="en-GB"/>
        </w:rPr>
      </w:pPr>
    </w:p>
    <w:p w:rsidR="00954C6C" w:rsidRDefault="00954C6C" w:rsidP="00954C6C">
      <w:r>
        <w:t>El CESE considera imperativo que empresas, instituciones, hogares y el sector de los transportes reduzcan la contaminación. En este sentido, las instituciones y los Estados miembros deben dar ejemplo. Por su parte, los ciudadanos necesitan más programas de apoyo en la transición hacia fuentes de calefacción limpias, modernas y más eficientes desde el punto de vista energético.</w:t>
      </w:r>
    </w:p>
    <w:p w:rsidR="00954C6C" w:rsidRPr="00067CE3" w:rsidRDefault="00954C6C" w:rsidP="00954C6C">
      <w:pPr>
        <w:rPr>
          <w:lang w:val="en-GB"/>
        </w:rPr>
      </w:pPr>
    </w:p>
    <w:p w:rsidR="00954C6C" w:rsidRDefault="00954C6C" w:rsidP="00954C6C">
      <w:r>
        <w:t>Las medidas legislativas adicionales que la Comisión Europea ha propuesto para resolver determinados problemas, como el caso «Dieselgate», o las que ha adoptado contra los Estados miembros que no cumplan las normas en vigor en materia de contaminación atmosférica representan un paso en la buena dirección, un enfoque que el CESE apoya.</w:t>
      </w:r>
    </w:p>
    <w:p w:rsidR="00954C6C" w:rsidRPr="00067CE3" w:rsidRDefault="00954C6C" w:rsidP="00954C6C">
      <w:pPr>
        <w:rPr>
          <w:lang w:val="en-GB"/>
        </w:rPr>
      </w:pPr>
    </w:p>
    <w:p w:rsidR="00954C6C" w:rsidRPr="00067CE3" w:rsidRDefault="00954C6C" w:rsidP="00954C6C">
      <w:r>
        <w:t>El CESE está firmemente convencido de que la nueva legislación medioambiental, así como en el ámbito del transporte, debe ir acompañada de medidas de apoyo económico que fomenten la innovación y el desarrollo de nuevas tecnologías limpias, como las pilas, los coches eléctricos o los sistemas de calefacción y ventilación alternativos.</w:t>
      </w:r>
    </w:p>
    <w:p w:rsidR="00FB29D6" w:rsidRDefault="00FB29D6" w:rsidP="00954C6C">
      <w:pPr>
        <w:rPr>
          <w:lang w:val="en-GB"/>
        </w:rPr>
      </w:pPr>
    </w:p>
    <w:p w:rsidR="00954C6C" w:rsidRPr="00067CE3" w:rsidRDefault="00954C6C" w:rsidP="00954C6C">
      <w:r>
        <w:t>La cooperación internacional es fundamental en la lucha contra la contaminación y el cambio climático. El CESE acoge favorablemente el amplio consenso de los Estados miembros en la consecución de los objetivos del Acuerdo de París. El intercambio de buenas prácticas en este ámbito y la Red de Diplomacia Verde son especialmente importantes. Por otra parte, se necesitan medidas concretas para reducir las emisiones contaminantes en los Estados miembros a fin de alcanzar los objetivos de este acuerdo.</w:t>
      </w:r>
    </w:p>
    <w:p w:rsidR="00954C6C" w:rsidRPr="0035588E" w:rsidRDefault="00954C6C" w:rsidP="00954C6C">
      <w:pPr>
        <w:ind w:left="-567"/>
        <w:rPr>
          <w:b/>
          <w:iCs/>
          <w:highlight w:val="yellow"/>
          <w:u w:val="single"/>
          <w:lang w:val="en-GB"/>
        </w:rPr>
      </w:pPr>
    </w:p>
    <w:p w:rsidR="00954C6C" w:rsidRPr="0035588E" w:rsidRDefault="00954C6C" w:rsidP="00954C6C">
      <w:pPr>
        <w:tabs>
          <w:tab w:val="left" w:pos="770"/>
          <w:tab w:val="left" w:pos="1701"/>
        </w:tabs>
        <w:ind w:left="1430" w:hanging="1430"/>
        <w:rPr>
          <w:i/>
          <w:iCs/>
        </w:rPr>
      </w:pPr>
      <w:r>
        <w:rPr>
          <w:b/>
          <w:bCs/>
          <w:i/>
          <w:iCs/>
        </w:rPr>
        <w:t>Contacto:</w:t>
      </w:r>
      <w:r w:rsidR="000925F3">
        <w:rPr>
          <w:b/>
          <w:bCs/>
          <w:i/>
          <w:iCs/>
        </w:rPr>
        <w:tab/>
      </w:r>
      <w:r w:rsidR="000925F3">
        <w:rPr>
          <w:b/>
          <w:bCs/>
          <w:i/>
          <w:iCs/>
        </w:rPr>
        <w:tab/>
      </w:r>
      <w:r>
        <w:rPr>
          <w:bCs/>
          <w:i/>
          <w:iCs/>
        </w:rPr>
        <w:t>Conrad Ganslandt</w:t>
      </w:r>
    </w:p>
    <w:p w:rsidR="00FB1153" w:rsidRDefault="00954C6C" w:rsidP="00954C6C">
      <w:pPr>
        <w:tabs>
          <w:tab w:val="left" w:pos="1701"/>
        </w:tabs>
        <w:spacing w:line="240" w:lineRule="auto"/>
        <w:jc w:val="left"/>
        <w:rPr>
          <w:iCs/>
          <w:highlight w:val="yellow"/>
        </w:rPr>
      </w:pPr>
      <w:r>
        <w:rPr>
          <w:i/>
          <w:iCs/>
        </w:rPr>
        <w:tab/>
        <w:t xml:space="preserve">(Tel. 00 32 2 546 82 75 – correo electrónico: </w:t>
      </w:r>
      <w:hyperlink r:id="rId38" w:history="1">
        <w:r>
          <w:rPr>
            <w:rStyle w:val="Hyperlink"/>
            <w:i/>
            <w:iCs/>
          </w:rPr>
          <w:t>Conrad.Ganslandt@eesc.europa.eu</w:t>
        </w:r>
      </w:hyperlink>
      <w:r>
        <w:rPr>
          <w:i/>
          <w:iCs/>
        </w:rPr>
        <w:t>)</w:t>
      </w:r>
    </w:p>
    <w:p w:rsidR="00954C6C" w:rsidRDefault="00954C6C">
      <w:pPr>
        <w:spacing w:line="240" w:lineRule="auto"/>
        <w:jc w:val="left"/>
        <w:rPr>
          <w:iCs/>
          <w:highlight w:val="yellow"/>
          <w:lang w:val="en-GB"/>
        </w:rPr>
      </w:pPr>
    </w:p>
    <w:p w:rsidR="00954C6C" w:rsidRPr="0035588E" w:rsidRDefault="00954C6C" w:rsidP="00954C6C">
      <w:pPr>
        <w:pStyle w:val="ListParagraph"/>
        <w:numPr>
          <w:ilvl w:val="0"/>
          <w:numId w:val="64"/>
        </w:numPr>
        <w:rPr>
          <w:b/>
          <w:bCs/>
          <w:i/>
          <w:iCs/>
          <w:sz w:val="28"/>
          <w:szCs w:val="28"/>
        </w:rPr>
      </w:pPr>
      <w:r>
        <w:rPr>
          <w:b/>
          <w:bCs/>
          <w:i/>
          <w:iCs/>
          <w:sz w:val="28"/>
          <w:szCs w:val="28"/>
        </w:rPr>
        <w:t>Control de la pesca</w:t>
      </w:r>
    </w:p>
    <w:p w:rsidR="00954C6C" w:rsidRPr="007F58F1" w:rsidRDefault="00954C6C" w:rsidP="00954C6C">
      <w:pPr>
        <w:pStyle w:val="ListParagraph"/>
        <w:ind w:left="567"/>
        <w:rPr>
          <w:b/>
          <w:bCs/>
          <w:i/>
          <w:iCs/>
          <w:lang w:val="en-GB"/>
        </w:rPr>
      </w:pPr>
    </w:p>
    <w:p w:rsidR="00954C6C" w:rsidRPr="0035588E" w:rsidRDefault="00954C6C" w:rsidP="00954C6C">
      <w:r>
        <w:rPr>
          <w:b/>
        </w:rPr>
        <w:t>Ponente:</w:t>
      </w:r>
      <w:r>
        <w:tab/>
      </w:r>
      <w:r w:rsidR="000925F3">
        <w:tab/>
      </w:r>
      <w:r>
        <w:t>Emilio FATOVIC (Trabajadores – IT)</w:t>
      </w:r>
    </w:p>
    <w:p w:rsidR="00954C6C" w:rsidRPr="0035588E" w:rsidRDefault="00954C6C" w:rsidP="00954C6C">
      <w:pPr>
        <w:rPr>
          <w:lang w:val="en-GB"/>
        </w:rPr>
      </w:pPr>
    </w:p>
    <w:p w:rsidR="00954C6C" w:rsidRPr="0035588E" w:rsidRDefault="00954C6C" w:rsidP="00954C6C">
      <w:pPr>
        <w:ind w:left="-5"/>
        <w:rPr>
          <w:b/>
          <w:bCs/>
        </w:rPr>
      </w:pPr>
      <w:r>
        <w:rPr>
          <w:b/>
          <w:bCs/>
        </w:rPr>
        <w:t>Referencias:</w:t>
      </w:r>
      <w:r w:rsidR="000925F3">
        <w:rPr>
          <w:b/>
          <w:bCs/>
        </w:rPr>
        <w:tab/>
      </w:r>
      <w:r>
        <w:t>COM (2018) 368 final – 2018/0193 (COD)</w:t>
      </w:r>
    </w:p>
    <w:p w:rsidR="00954C6C" w:rsidRPr="0035588E" w:rsidRDefault="00954C6C" w:rsidP="00623A46">
      <w:pPr>
        <w:ind w:left="1701"/>
        <w:rPr>
          <w:bCs/>
        </w:rPr>
      </w:pPr>
      <w:r>
        <w:t>EESC-2018-04143-00-00-AC-TRA</w:t>
      </w:r>
    </w:p>
    <w:p w:rsidR="00954C6C" w:rsidRPr="0035588E" w:rsidRDefault="00623A46" w:rsidP="00954C6C">
      <w:pPr>
        <w:ind w:left="-5"/>
      </w:pPr>
      <w:r>
        <w:tab/>
      </w:r>
    </w:p>
    <w:p w:rsidR="00954C6C" w:rsidRDefault="00954C6C" w:rsidP="00954C6C">
      <w:pPr>
        <w:spacing w:line="240" w:lineRule="auto"/>
        <w:jc w:val="left"/>
        <w:rPr>
          <w:b/>
        </w:rPr>
      </w:pPr>
      <w:r>
        <w:rPr>
          <w:b/>
        </w:rPr>
        <w:t>Puntos clave</w:t>
      </w:r>
    </w:p>
    <w:p w:rsidR="00954C6C" w:rsidRDefault="00954C6C" w:rsidP="00954C6C">
      <w:pPr>
        <w:spacing w:line="240" w:lineRule="auto"/>
        <w:jc w:val="left"/>
        <w:rPr>
          <w:iCs/>
          <w:highlight w:val="yellow"/>
          <w:lang w:val="en-GB"/>
        </w:rPr>
      </w:pPr>
    </w:p>
    <w:p w:rsidR="00954C6C" w:rsidRPr="0035588E" w:rsidRDefault="00954C6C" w:rsidP="00954C6C">
      <w:r>
        <w:t>El CESE comparte en líneas generales la propuesta de la Comisión sobre el control de la pesca. Sin embargo, algunos problemas no han encontrado una respuesta adecuada o una solución clara.</w:t>
      </w:r>
    </w:p>
    <w:p w:rsidR="00954C6C" w:rsidRPr="0035588E" w:rsidRDefault="00954C6C" w:rsidP="00954C6C">
      <w:pPr>
        <w:rPr>
          <w:lang w:val="en-GB"/>
        </w:rPr>
      </w:pPr>
    </w:p>
    <w:p w:rsidR="00954C6C" w:rsidRPr="0035588E" w:rsidRDefault="00954C6C" w:rsidP="00954C6C">
      <w:r>
        <w:lastRenderedPageBreak/>
        <w:t>El CESE es contrario a la obligación indiscriminada de instalar sistemas de videovigilancia o circuito cerrado de televisión (CCTV) en las embarcaciones y, por tanto, propone que los Estados miembros lleven a cabo evaluaciones de riesgo en determinados segmentos de la flota que cuenten con un nivel elevado y generalizado de infracciones graves y, a continuación, en función del historial de incumplimiento, las autoridades de control exijan a los buques correspondientes la instalación de sistemas de CCTV.</w:t>
      </w:r>
    </w:p>
    <w:p w:rsidR="00954C6C" w:rsidRPr="0035588E" w:rsidRDefault="00954C6C" w:rsidP="00954C6C">
      <w:pPr>
        <w:rPr>
          <w:lang w:val="en-GB"/>
        </w:rPr>
      </w:pPr>
    </w:p>
    <w:p w:rsidR="00954C6C" w:rsidRPr="0035588E" w:rsidRDefault="00954C6C" w:rsidP="00954C6C">
      <w:r>
        <w:t>El nuevo Fondo Europeo Marítimo y de Pesca 2021-2027 desempeñará un papel clave para que las embarcaciones europeas puedan adaptarse a las nuevas disposiciones normativas. Resulta fundamental que los fondos sean fácilmente accesibles a escala nacional para todos aquellos que los soliciten. En particular, el Comité se opone a la introducción de normas retroactivas que, por una sola infracción grave, obliguen al armador a devolver posibles financiaciones recibidas con anterioridad y correctamente justificadas.</w:t>
      </w:r>
    </w:p>
    <w:p w:rsidR="00954C6C" w:rsidRPr="0035588E" w:rsidRDefault="00954C6C" w:rsidP="00954C6C">
      <w:pPr>
        <w:rPr>
          <w:lang w:val="en-GB"/>
        </w:rPr>
      </w:pPr>
    </w:p>
    <w:p w:rsidR="00954C6C" w:rsidRPr="0035588E" w:rsidRDefault="00954C6C" w:rsidP="00954C6C">
      <w:r>
        <w:t>El CESE recuerda que, aunque en los terceros países se registran los mayores casos de fraude e inobservancia de las normas, el pescado fruto de estas prácticas ilegales sigue llegando con relativa facilidad a las mesas de los ciudadanos europeos. Es importante que los nuevos sistemas de trazabilidad aborden estos problemas mediante el control de toda la cadena de suministro.</w:t>
      </w:r>
    </w:p>
    <w:p w:rsidR="00954C6C" w:rsidRPr="0035588E" w:rsidRDefault="00954C6C" w:rsidP="00954C6C">
      <w:pPr>
        <w:rPr>
          <w:lang w:val="en-GB"/>
        </w:rPr>
      </w:pPr>
    </w:p>
    <w:p w:rsidR="00954C6C" w:rsidRPr="0035588E" w:rsidRDefault="00954C6C" w:rsidP="00954C6C">
      <w:r>
        <w:t xml:space="preserve">El CESE señala que los modelos ofrecidos por los planes plurianuales que hayan resultado acertados para la pesca de una sola especie son difícilmente adaptables a la pesca mixta, pudiendo causar además un grave impacto en el medio ambiente y la economía. Por este motivo, el Comité recomienda un sistema de recopilación de datos sobre las poblaciones más minucioso a fin de elaborar estrategias </w:t>
      </w:r>
      <w:r>
        <w:rPr>
          <w:i/>
        </w:rPr>
        <w:t>ad hoc</w:t>
      </w:r>
      <w:r>
        <w:t>, capaces de proteger mejor la biodiversidad sin perjudicar excesivamente al sector de la pesca.</w:t>
      </w:r>
    </w:p>
    <w:p w:rsidR="00954C6C" w:rsidRPr="0035588E" w:rsidRDefault="00954C6C" w:rsidP="00954C6C">
      <w:pPr>
        <w:ind w:left="-567"/>
        <w:rPr>
          <w:b/>
          <w:iCs/>
          <w:highlight w:val="yellow"/>
          <w:u w:val="single"/>
          <w:lang w:val="en-GB"/>
        </w:rPr>
      </w:pPr>
    </w:p>
    <w:p w:rsidR="00954C6C" w:rsidRPr="0035588E" w:rsidRDefault="00954C6C" w:rsidP="00954C6C">
      <w:pPr>
        <w:tabs>
          <w:tab w:val="left" w:pos="1701"/>
        </w:tabs>
        <w:rPr>
          <w:i/>
          <w:iCs/>
        </w:rPr>
      </w:pPr>
      <w:r>
        <w:rPr>
          <w:b/>
          <w:bCs/>
          <w:i/>
          <w:iCs/>
        </w:rPr>
        <w:t>Contacto:</w:t>
      </w:r>
      <w:r w:rsidR="000925F3">
        <w:rPr>
          <w:b/>
          <w:bCs/>
          <w:i/>
          <w:iCs/>
        </w:rPr>
        <w:tab/>
      </w:r>
      <w:r>
        <w:rPr>
          <w:i/>
        </w:rPr>
        <w:t>Arturo Íñiguez</w:t>
      </w:r>
    </w:p>
    <w:p w:rsidR="00954C6C" w:rsidRDefault="00954C6C" w:rsidP="00954C6C">
      <w:pPr>
        <w:tabs>
          <w:tab w:val="left" w:pos="1701"/>
        </w:tabs>
        <w:spacing w:line="240" w:lineRule="auto"/>
        <w:jc w:val="left"/>
        <w:rPr>
          <w:i/>
          <w:iCs/>
        </w:rPr>
      </w:pPr>
      <w:r>
        <w:rPr>
          <w:i/>
          <w:iCs/>
        </w:rPr>
        <w:tab/>
        <w:t>(Tel. 00 32 2 546 87 68</w:t>
      </w:r>
      <w:r w:rsidR="00AA604B">
        <w:rPr>
          <w:i/>
          <w:iCs/>
        </w:rPr>
        <w:t xml:space="preserve"> </w:t>
      </w:r>
      <w:bookmarkStart w:id="5" w:name="_GoBack"/>
      <w:bookmarkEnd w:id="5"/>
      <w:r>
        <w:rPr>
          <w:i/>
          <w:iCs/>
        </w:rPr>
        <w:t xml:space="preserve">– correo electrónico: </w:t>
      </w:r>
      <w:hyperlink r:id="rId39" w:history="1">
        <w:r>
          <w:rPr>
            <w:rStyle w:val="Hyperlink"/>
            <w:i/>
            <w:iCs/>
          </w:rPr>
          <w:t>Arturo.Iniguez@eesc.europa.eu</w:t>
        </w:r>
      </w:hyperlink>
      <w:r>
        <w:rPr>
          <w:i/>
          <w:iCs/>
        </w:rPr>
        <w:t>)</w:t>
      </w:r>
    </w:p>
    <w:p w:rsidR="00954C6C" w:rsidRPr="00954C6C" w:rsidRDefault="00954C6C" w:rsidP="00954C6C">
      <w:pPr>
        <w:tabs>
          <w:tab w:val="left" w:pos="1701"/>
        </w:tabs>
        <w:spacing w:line="240" w:lineRule="auto"/>
        <w:jc w:val="left"/>
        <w:rPr>
          <w:iCs/>
          <w:highlight w:val="yellow"/>
          <w:lang w:val="en-GB"/>
        </w:rPr>
      </w:pPr>
    </w:p>
    <w:p w:rsidR="00954C6C" w:rsidRDefault="00954C6C">
      <w:pPr>
        <w:spacing w:line="240" w:lineRule="auto"/>
        <w:jc w:val="left"/>
        <w:rPr>
          <w:iCs/>
          <w:highlight w:val="yellow"/>
          <w:lang w:val="en-GB"/>
        </w:rPr>
      </w:pPr>
    </w:p>
    <w:p w:rsidR="00387229" w:rsidRDefault="00E46EC4" w:rsidP="00E46EC4">
      <w:pPr>
        <w:pStyle w:val="Heading1"/>
        <w:rPr>
          <w:b/>
        </w:rPr>
      </w:pPr>
      <w:bookmarkStart w:id="6" w:name="_Toc514234507"/>
      <w:bookmarkStart w:id="7" w:name="_Toc514234754"/>
      <w:bookmarkStart w:id="8" w:name="_Toc514235001"/>
      <w:bookmarkStart w:id="9" w:name="_Toc514235125"/>
      <w:bookmarkStart w:id="10" w:name="_Toc514235248"/>
      <w:bookmarkStart w:id="11" w:name="_Toc514235368"/>
      <w:bookmarkStart w:id="12" w:name="_Toc514235486"/>
      <w:bookmarkStart w:id="13" w:name="_Toc514235604"/>
      <w:bookmarkStart w:id="14" w:name="_Toc514235720"/>
      <w:bookmarkStart w:id="15" w:name="_Toc514234508"/>
      <w:bookmarkStart w:id="16" w:name="_Toc514234755"/>
      <w:bookmarkStart w:id="17" w:name="_Toc514235002"/>
      <w:bookmarkStart w:id="18" w:name="_Toc514235126"/>
      <w:bookmarkStart w:id="19" w:name="_Toc514235249"/>
      <w:bookmarkStart w:id="20" w:name="_Toc514235369"/>
      <w:bookmarkStart w:id="21" w:name="_Toc514235487"/>
      <w:bookmarkStart w:id="22" w:name="_Toc514235605"/>
      <w:bookmarkStart w:id="23" w:name="_Toc514235721"/>
      <w:bookmarkStart w:id="24" w:name="_Toc514234509"/>
      <w:bookmarkStart w:id="25" w:name="_Toc514234756"/>
      <w:bookmarkStart w:id="26" w:name="_Toc514235003"/>
      <w:bookmarkStart w:id="27" w:name="_Toc514235127"/>
      <w:bookmarkStart w:id="28" w:name="_Toc514235250"/>
      <w:bookmarkStart w:id="29" w:name="_Toc514235370"/>
      <w:bookmarkStart w:id="30" w:name="_Toc514235488"/>
      <w:bookmarkStart w:id="31" w:name="_Toc514235606"/>
      <w:bookmarkStart w:id="32" w:name="_Toc514235722"/>
      <w:bookmarkStart w:id="33" w:name="_Toc514234510"/>
      <w:bookmarkStart w:id="34" w:name="_Toc514234757"/>
      <w:bookmarkStart w:id="35" w:name="_Toc514235004"/>
      <w:bookmarkStart w:id="36" w:name="_Toc514235128"/>
      <w:bookmarkStart w:id="37" w:name="_Toc514235251"/>
      <w:bookmarkStart w:id="38" w:name="_Toc514235371"/>
      <w:bookmarkStart w:id="39" w:name="_Toc514235489"/>
      <w:bookmarkStart w:id="40" w:name="_Toc514235607"/>
      <w:bookmarkStart w:id="41" w:name="_Toc514235723"/>
      <w:bookmarkStart w:id="42" w:name="_Toc514234511"/>
      <w:bookmarkStart w:id="43" w:name="_Toc514234758"/>
      <w:bookmarkStart w:id="44" w:name="_Toc514235005"/>
      <w:bookmarkStart w:id="45" w:name="_Toc514235129"/>
      <w:bookmarkStart w:id="46" w:name="_Toc514235252"/>
      <w:bookmarkStart w:id="47" w:name="_Toc514235372"/>
      <w:bookmarkStart w:id="48" w:name="_Toc514235490"/>
      <w:bookmarkStart w:id="49" w:name="_Toc514235608"/>
      <w:bookmarkStart w:id="50" w:name="_Toc514235724"/>
      <w:bookmarkStart w:id="51" w:name="_Toc514234512"/>
      <w:bookmarkStart w:id="52" w:name="_Toc514234759"/>
      <w:bookmarkStart w:id="53" w:name="_Toc514235006"/>
      <w:bookmarkStart w:id="54" w:name="_Toc514235130"/>
      <w:bookmarkStart w:id="55" w:name="_Toc514235253"/>
      <w:bookmarkStart w:id="56" w:name="_Toc514235373"/>
      <w:bookmarkStart w:id="57" w:name="_Toc514235491"/>
      <w:bookmarkStart w:id="58" w:name="_Toc514235609"/>
      <w:bookmarkStart w:id="59" w:name="_Toc514235725"/>
      <w:bookmarkStart w:id="60" w:name="_Toc514234513"/>
      <w:bookmarkStart w:id="61" w:name="_Toc514234760"/>
      <w:bookmarkStart w:id="62" w:name="_Toc514235007"/>
      <w:bookmarkStart w:id="63" w:name="_Toc514235131"/>
      <w:bookmarkStart w:id="64" w:name="_Toc514235254"/>
      <w:bookmarkStart w:id="65" w:name="_Toc514235374"/>
      <w:bookmarkStart w:id="66" w:name="_Toc514235492"/>
      <w:bookmarkStart w:id="67" w:name="_Toc514235610"/>
      <w:bookmarkStart w:id="68" w:name="_Toc514235726"/>
      <w:bookmarkStart w:id="69" w:name="_Toc514234514"/>
      <w:bookmarkStart w:id="70" w:name="_Toc514234761"/>
      <w:bookmarkStart w:id="71" w:name="_Toc514235008"/>
      <w:bookmarkStart w:id="72" w:name="_Toc514235132"/>
      <w:bookmarkStart w:id="73" w:name="_Toc514235255"/>
      <w:bookmarkStart w:id="74" w:name="_Toc514235375"/>
      <w:bookmarkStart w:id="75" w:name="_Toc514235493"/>
      <w:bookmarkStart w:id="76" w:name="_Toc514235611"/>
      <w:bookmarkStart w:id="77" w:name="_Toc514235727"/>
      <w:bookmarkStart w:id="78" w:name="_Toc514234515"/>
      <w:bookmarkStart w:id="79" w:name="_Toc514234762"/>
      <w:bookmarkStart w:id="80" w:name="_Toc514235009"/>
      <w:bookmarkStart w:id="81" w:name="_Toc514235133"/>
      <w:bookmarkStart w:id="82" w:name="_Toc514235256"/>
      <w:bookmarkStart w:id="83" w:name="_Toc514235376"/>
      <w:bookmarkStart w:id="84" w:name="_Toc514235494"/>
      <w:bookmarkStart w:id="85" w:name="_Toc514235612"/>
      <w:bookmarkStart w:id="86" w:name="_Toc514235728"/>
      <w:bookmarkStart w:id="87" w:name="_Toc514234516"/>
      <w:bookmarkStart w:id="88" w:name="_Toc514234763"/>
      <w:bookmarkStart w:id="89" w:name="_Toc514235010"/>
      <w:bookmarkStart w:id="90" w:name="_Toc514235134"/>
      <w:bookmarkStart w:id="91" w:name="_Toc514235257"/>
      <w:bookmarkStart w:id="92" w:name="_Toc514235377"/>
      <w:bookmarkStart w:id="93" w:name="_Toc514235495"/>
      <w:bookmarkStart w:id="94" w:name="_Toc514235613"/>
      <w:bookmarkStart w:id="95" w:name="_Toc514235729"/>
      <w:bookmarkStart w:id="96" w:name="_Toc514234517"/>
      <w:bookmarkStart w:id="97" w:name="_Toc514234764"/>
      <w:bookmarkStart w:id="98" w:name="_Toc514235011"/>
      <w:bookmarkStart w:id="99" w:name="_Toc514235135"/>
      <w:bookmarkStart w:id="100" w:name="_Toc514235258"/>
      <w:bookmarkStart w:id="101" w:name="_Toc514235378"/>
      <w:bookmarkStart w:id="102" w:name="_Toc514235496"/>
      <w:bookmarkStart w:id="103" w:name="_Toc514235614"/>
      <w:bookmarkStart w:id="104" w:name="_Toc514235730"/>
      <w:bookmarkStart w:id="105" w:name="_Toc514234518"/>
      <w:bookmarkStart w:id="106" w:name="_Toc514234765"/>
      <w:bookmarkStart w:id="107" w:name="_Toc514235012"/>
      <w:bookmarkStart w:id="108" w:name="_Toc514235136"/>
      <w:bookmarkStart w:id="109" w:name="_Toc514235259"/>
      <w:bookmarkStart w:id="110" w:name="_Toc514235379"/>
      <w:bookmarkStart w:id="111" w:name="_Toc514235497"/>
      <w:bookmarkStart w:id="112" w:name="_Toc514235615"/>
      <w:bookmarkStart w:id="113" w:name="_Toc514235731"/>
      <w:bookmarkStart w:id="114" w:name="_Toc514234519"/>
      <w:bookmarkStart w:id="115" w:name="_Toc514234766"/>
      <w:bookmarkStart w:id="116" w:name="_Toc514235013"/>
      <w:bookmarkStart w:id="117" w:name="_Toc514235137"/>
      <w:bookmarkStart w:id="118" w:name="_Toc514235260"/>
      <w:bookmarkStart w:id="119" w:name="_Toc514235380"/>
      <w:bookmarkStart w:id="120" w:name="_Toc514235498"/>
      <w:bookmarkStart w:id="121" w:name="_Toc514235616"/>
      <w:bookmarkStart w:id="122" w:name="_Toc514235732"/>
      <w:bookmarkStart w:id="123" w:name="_Toc514234520"/>
      <w:bookmarkStart w:id="124" w:name="_Toc514234767"/>
      <w:bookmarkStart w:id="125" w:name="_Toc514235014"/>
      <w:bookmarkStart w:id="126" w:name="_Toc514235138"/>
      <w:bookmarkStart w:id="127" w:name="_Toc514235261"/>
      <w:bookmarkStart w:id="128" w:name="_Toc514235381"/>
      <w:bookmarkStart w:id="129" w:name="_Toc514235499"/>
      <w:bookmarkStart w:id="130" w:name="_Toc514235617"/>
      <w:bookmarkStart w:id="131" w:name="_Toc514235733"/>
      <w:bookmarkStart w:id="132" w:name="_Toc514234521"/>
      <w:bookmarkStart w:id="133" w:name="_Toc514234768"/>
      <w:bookmarkStart w:id="134" w:name="_Toc514235015"/>
      <w:bookmarkStart w:id="135" w:name="_Toc514235139"/>
      <w:bookmarkStart w:id="136" w:name="_Toc514235262"/>
      <w:bookmarkStart w:id="137" w:name="_Toc514235382"/>
      <w:bookmarkStart w:id="138" w:name="_Toc514235500"/>
      <w:bookmarkStart w:id="139" w:name="_Toc514235618"/>
      <w:bookmarkStart w:id="140" w:name="_Toc514235734"/>
      <w:bookmarkStart w:id="141" w:name="_Toc514234522"/>
      <w:bookmarkStart w:id="142" w:name="_Toc514234769"/>
      <w:bookmarkStart w:id="143" w:name="_Toc514235016"/>
      <w:bookmarkStart w:id="144" w:name="_Toc514235140"/>
      <w:bookmarkStart w:id="145" w:name="_Toc514235263"/>
      <w:bookmarkStart w:id="146" w:name="_Toc514235383"/>
      <w:bookmarkStart w:id="147" w:name="_Toc514235501"/>
      <w:bookmarkStart w:id="148" w:name="_Toc514235619"/>
      <w:bookmarkStart w:id="149" w:name="_Toc514235735"/>
      <w:bookmarkStart w:id="150" w:name="_Toc514234523"/>
      <w:bookmarkStart w:id="151" w:name="_Toc514234770"/>
      <w:bookmarkStart w:id="152" w:name="_Toc514235017"/>
      <w:bookmarkStart w:id="153" w:name="_Toc514235141"/>
      <w:bookmarkStart w:id="154" w:name="_Toc514235264"/>
      <w:bookmarkStart w:id="155" w:name="_Toc514235384"/>
      <w:bookmarkStart w:id="156" w:name="_Toc514235502"/>
      <w:bookmarkStart w:id="157" w:name="_Toc514235620"/>
      <w:bookmarkStart w:id="158" w:name="_Toc514235736"/>
      <w:bookmarkStart w:id="159" w:name="_Toc514234524"/>
      <w:bookmarkStart w:id="160" w:name="_Toc514234771"/>
      <w:bookmarkStart w:id="161" w:name="_Toc514235018"/>
      <w:bookmarkStart w:id="162" w:name="_Toc514235142"/>
      <w:bookmarkStart w:id="163" w:name="_Toc514235265"/>
      <w:bookmarkStart w:id="164" w:name="_Toc514235385"/>
      <w:bookmarkStart w:id="165" w:name="_Toc514235503"/>
      <w:bookmarkStart w:id="166" w:name="_Toc514235621"/>
      <w:bookmarkStart w:id="167" w:name="_Toc51423573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ab/>
      </w:r>
      <w:bookmarkStart w:id="168" w:name="_Toc535577283"/>
      <w:r>
        <w:rPr>
          <w:b/>
        </w:rPr>
        <w:t>EMPLEO, ASUNTOS SOCIALES Y CIUDADANÍA</w:t>
      </w:r>
      <w:bookmarkEnd w:id="168"/>
    </w:p>
    <w:p w:rsidR="007267B9" w:rsidRPr="00721879" w:rsidRDefault="007267B9" w:rsidP="007267B9">
      <w:pPr>
        <w:widowControl w:val="0"/>
        <w:overflowPunct w:val="0"/>
        <w:autoSpaceDE w:val="0"/>
        <w:autoSpaceDN w:val="0"/>
        <w:adjustRightInd w:val="0"/>
        <w:textAlignment w:val="baseline"/>
        <w:rPr>
          <w:b/>
          <w:bCs/>
          <w:i/>
          <w:iCs/>
        </w:rPr>
      </w:pPr>
    </w:p>
    <w:p w:rsidR="0062300F" w:rsidRPr="00F46203" w:rsidRDefault="0062300F" w:rsidP="007267B9">
      <w:pPr>
        <w:widowControl w:val="0"/>
        <w:numPr>
          <w:ilvl w:val="0"/>
          <w:numId w:val="109"/>
        </w:numPr>
        <w:overflowPunct w:val="0"/>
        <w:autoSpaceDE w:val="0"/>
        <w:autoSpaceDN w:val="0"/>
        <w:adjustRightInd w:val="0"/>
        <w:ind w:left="567" w:hanging="567"/>
        <w:textAlignment w:val="baseline"/>
        <w:rPr>
          <w:b/>
          <w:bCs/>
          <w:i/>
          <w:iCs/>
          <w:sz w:val="28"/>
          <w:szCs w:val="28"/>
        </w:rPr>
      </w:pPr>
      <w:r>
        <w:rPr>
          <w:b/>
          <w:bCs/>
          <w:i/>
          <w:iCs/>
          <w:sz w:val="28"/>
          <w:szCs w:val="28"/>
        </w:rPr>
        <w:t>Los costes de la no inmigración y la no integración</w:t>
      </w:r>
    </w:p>
    <w:p w:rsidR="0062300F" w:rsidRPr="00F201AA" w:rsidRDefault="0062300F" w:rsidP="0062300F">
      <w:pPr>
        <w:ind w:left="-567" w:firstLine="17"/>
        <w:rPr>
          <w:highlight w:val="yellow"/>
          <w:lang w:val="fr-BE"/>
        </w:rPr>
      </w:pPr>
    </w:p>
    <w:p w:rsidR="0062300F" w:rsidRDefault="0062300F" w:rsidP="0062300F">
      <w:pPr>
        <w:tabs>
          <w:tab w:val="left" w:pos="1701"/>
        </w:tabs>
      </w:pPr>
      <w:r>
        <w:rPr>
          <w:b/>
        </w:rPr>
        <w:t>Ponente:</w:t>
      </w:r>
      <w:r>
        <w:t xml:space="preserve"> </w:t>
      </w:r>
      <w:r>
        <w:tab/>
        <w:t>Pavel TRANTINA (Diversidad Europa – CZ)</w:t>
      </w:r>
    </w:p>
    <w:p w:rsidR="0062300F" w:rsidRDefault="0062300F" w:rsidP="0062300F">
      <w:pPr>
        <w:tabs>
          <w:tab w:val="left" w:pos="1701"/>
        </w:tabs>
      </w:pPr>
      <w:r>
        <w:rPr>
          <w:b/>
        </w:rPr>
        <w:t>Coponente:</w:t>
      </w:r>
      <w:r>
        <w:t xml:space="preserve"> </w:t>
      </w:r>
      <w:r>
        <w:tab/>
        <w:t>José Antonio MORENO DÍAZ (Trabajadores-ES)</w:t>
      </w:r>
    </w:p>
    <w:p w:rsidR="0062300F" w:rsidRDefault="0062300F" w:rsidP="0062300F">
      <w:pPr>
        <w:ind w:left="-5"/>
        <w:rPr>
          <w:b/>
          <w:bCs/>
        </w:rPr>
      </w:pPr>
    </w:p>
    <w:p w:rsidR="000A63F9" w:rsidRPr="000A63F9" w:rsidRDefault="0062300F" w:rsidP="0062300F">
      <w:pPr>
        <w:tabs>
          <w:tab w:val="left" w:pos="1701"/>
        </w:tabs>
        <w:ind w:left="-5"/>
        <w:rPr>
          <w:bCs/>
        </w:rPr>
      </w:pPr>
      <w:r>
        <w:rPr>
          <w:b/>
          <w:bCs/>
        </w:rPr>
        <w:t>Referencia:</w:t>
      </w:r>
      <w:r w:rsidR="000925F3">
        <w:rPr>
          <w:b/>
          <w:bCs/>
        </w:rPr>
        <w:tab/>
      </w:r>
      <w:r>
        <w:t>Dictamen de iniciativa</w:t>
      </w:r>
    </w:p>
    <w:p w:rsidR="0062300F" w:rsidRPr="00427F2D" w:rsidRDefault="0062300F" w:rsidP="00623A46">
      <w:pPr>
        <w:ind w:left="1701"/>
      </w:pPr>
      <w:r>
        <w:t>EESC-2018-02459-00-00-AC-TRA</w:t>
      </w:r>
    </w:p>
    <w:p w:rsidR="0062300F" w:rsidRPr="00427F2D" w:rsidRDefault="0062300F" w:rsidP="0062300F">
      <w:pPr>
        <w:tabs>
          <w:tab w:val="left" w:pos="0"/>
        </w:tabs>
        <w:ind w:left="364" w:hanging="369"/>
      </w:pPr>
    </w:p>
    <w:p w:rsidR="0062300F" w:rsidRDefault="0062300F" w:rsidP="0062300F">
      <w:pPr>
        <w:ind w:left="-5"/>
        <w:rPr>
          <w:b/>
        </w:rPr>
      </w:pPr>
      <w:r>
        <w:rPr>
          <w:b/>
        </w:rPr>
        <w:t>Puntos clave</w:t>
      </w:r>
    </w:p>
    <w:p w:rsidR="001A35F9" w:rsidRDefault="001A35F9" w:rsidP="0062300F"/>
    <w:p w:rsidR="0062300F" w:rsidRDefault="0062300F" w:rsidP="00F10ED6">
      <w:pPr>
        <w:keepNext/>
      </w:pPr>
      <w:r>
        <w:t>El CESE:</w:t>
      </w:r>
    </w:p>
    <w:p w:rsidR="0062300F" w:rsidRDefault="0062300F" w:rsidP="00F10ED6">
      <w:pPr>
        <w:keepNext/>
      </w:pPr>
    </w:p>
    <w:p w:rsidR="0062300F" w:rsidRDefault="0062300F" w:rsidP="0062300F">
      <w:pPr>
        <w:numPr>
          <w:ilvl w:val="0"/>
          <w:numId w:val="84"/>
        </w:numPr>
        <w:overflowPunct w:val="0"/>
        <w:autoSpaceDE w:val="0"/>
        <w:autoSpaceDN w:val="0"/>
        <w:adjustRightInd w:val="0"/>
        <w:ind w:left="567" w:hanging="567"/>
        <w:textAlignment w:val="baseline"/>
      </w:pPr>
      <w:r>
        <w:t>considera que la inmigración tiene una influencia positiva en el crecimiento de la población y la población activa. Si el crecimiento demográfico natural se vuelve negativo, la inmigración puede ayudar a mantener constante la población total y la población activa;</w:t>
      </w:r>
    </w:p>
    <w:p w:rsidR="00C363DF" w:rsidRDefault="00C363DF" w:rsidP="00C363DF">
      <w:pPr>
        <w:overflowPunct w:val="0"/>
        <w:autoSpaceDE w:val="0"/>
        <w:autoSpaceDN w:val="0"/>
        <w:adjustRightInd w:val="0"/>
        <w:textAlignment w:val="baseline"/>
      </w:pPr>
    </w:p>
    <w:p w:rsidR="0062300F" w:rsidRDefault="0062300F" w:rsidP="0062300F">
      <w:pPr>
        <w:numPr>
          <w:ilvl w:val="0"/>
          <w:numId w:val="84"/>
        </w:numPr>
        <w:overflowPunct w:val="0"/>
        <w:autoSpaceDE w:val="0"/>
        <w:autoSpaceDN w:val="0"/>
        <w:adjustRightInd w:val="0"/>
        <w:ind w:left="567" w:hanging="567"/>
        <w:textAlignment w:val="baseline"/>
      </w:pPr>
      <w:r>
        <w:t>señala que un escenario de no inmigración en Europa significaría que:</w:t>
      </w:r>
    </w:p>
    <w:p w:rsidR="0062300F" w:rsidRDefault="0062300F" w:rsidP="0062300F">
      <w:pPr>
        <w:numPr>
          <w:ilvl w:val="1"/>
          <w:numId w:val="84"/>
        </w:numPr>
        <w:overflowPunct w:val="0"/>
        <w:autoSpaceDE w:val="0"/>
        <w:autoSpaceDN w:val="0"/>
        <w:adjustRightInd w:val="0"/>
        <w:ind w:left="993" w:hanging="426"/>
        <w:textAlignment w:val="baseline"/>
      </w:pPr>
      <w:r>
        <w:t>las economías de los Estados miembros se verían sustancialmente afectadas; los mercados de trabajo se verían sometidos a una presión posiblemente insostenible, muchos sectores industriales quebrarían, disminuiría la producción agrícola y la construcción no podría satisfacer la demanda;</w:t>
      </w:r>
    </w:p>
    <w:p w:rsidR="0062300F" w:rsidRDefault="0062300F" w:rsidP="0062300F">
      <w:pPr>
        <w:numPr>
          <w:ilvl w:val="1"/>
          <w:numId w:val="84"/>
        </w:numPr>
        <w:overflowPunct w:val="0"/>
        <w:autoSpaceDE w:val="0"/>
        <w:autoSpaceDN w:val="0"/>
        <w:adjustRightInd w:val="0"/>
        <w:ind w:left="993" w:hanging="426"/>
        <w:textAlignment w:val="baseline"/>
      </w:pPr>
      <w:r>
        <w:t>se agravarían los retos demográficos; los sistemas de pensiones no serían sostenibles, el sector de la salud y los cuidados podría derrumbarse, determinadas zonas se despoblarían a un ritmo muy rápido;</w:t>
      </w:r>
    </w:p>
    <w:p w:rsidR="0062300F" w:rsidRDefault="0062300F" w:rsidP="0062300F">
      <w:pPr>
        <w:numPr>
          <w:ilvl w:val="1"/>
          <w:numId w:val="84"/>
        </w:numPr>
        <w:overflowPunct w:val="0"/>
        <w:autoSpaceDE w:val="0"/>
        <w:autoSpaceDN w:val="0"/>
        <w:adjustRightInd w:val="0"/>
        <w:ind w:left="993" w:hanging="426"/>
        <w:textAlignment w:val="baseline"/>
      </w:pPr>
      <w:r>
        <w:t>el racismo y la xenofobia prosperarían aún más que en la actualidad;</w:t>
      </w:r>
    </w:p>
    <w:p w:rsidR="00C363DF" w:rsidRDefault="00C363DF" w:rsidP="00C363DF">
      <w:pPr>
        <w:overflowPunct w:val="0"/>
        <w:autoSpaceDE w:val="0"/>
        <w:autoSpaceDN w:val="0"/>
        <w:adjustRightInd w:val="0"/>
        <w:ind w:left="567"/>
        <w:textAlignment w:val="baseline"/>
      </w:pPr>
    </w:p>
    <w:p w:rsidR="0062300F" w:rsidRDefault="0062300F" w:rsidP="00721879">
      <w:pPr>
        <w:numPr>
          <w:ilvl w:val="0"/>
          <w:numId w:val="84"/>
        </w:numPr>
        <w:overflowPunct w:val="0"/>
        <w:autoSpaceDE w:val="0"/>
        <w:autoSpaceDN w:val="0"/>
        <w:adjustRightInd w:val="0"/>
        <w:ind w:left="567" w:hanging="567"/>
        <w:textAlignment w:val="baseline"/>
      </w:pPr>
      <w:r>
        <w:t>hace hincapié, en cambio, en las siguientes posibilidades de la migración en los países de acogida: pueden cubrirse las vacantes de trabajo y los déficits de capacidades, el crecimiento económico puede ser sostenido y pueden mantenerse los servicios prestados a la población que envejece cuando no hay suficientes jóvenes en el ámbito local, etc. Los países de origen se benefician de las remesas, que superan la ayuda exterior. Los migrantes que retornan se llevan consigo ahorros, capacidades y contactos internacionales;</w:t>
      </w:r>
    </w:p>
    <w:p w:rsidR="00C363DF" w:rsidRDefault="00C363DF" w:rsidP="00C363DF">
      <w:pPr>
        <w:overflowPunct w:val="0"/>
        <w:autoSpaceDE w:val="0"/>
        <w:autoSpaceDN w:val="0"/>
        <w:adjustRightInd w:val="0"/>
        <w:textAlignment w:val="baseline"/>
      </w:pPr>
    </w:p>
    <w:p w:rsidR="0062300F" w:rsidRDefault="0062300F" w:rsidP="00721879">
      <w:pPr>
        <w:numPr>
          <w:ilvl w:val="0"/>
          <w:numId w:val="84"/>
        </w:numPr>
        <w:overflowPunct w:val="0"/>
        <w:autoSpaceDE w:val="0"/>
        <w:autoSpaceDN w:val="0"/>
        <w:adjustRightInd w:val="0"/>
        <w:ind w:left="567" w:hanging="567"/>
        <w:textAlignment w:val="baseline"/>
      </w:pPr>
      <w:r>
        <w:t>destaca que la no integración entraña riesgos y costes económicos, socioculturales y políticos. De ahí que la inversión en la integración de los migrantes sea la mejor póliza de seguro contra posibles costes, problemas y tensiones futuros;</w:t>
      </w:r>
    </w:p>
    <w:p w:rsidR="00C363DF" w:rsidRDefault="00C363DF" w:rsidP="00C363DF">
      <w:pPr>
        <w:overflowPunct w:val="0"/>
        <w:autoSpaceDE w:val="0"/>
        <w:autoSpaceDN w:val="0"/>
        <w:adjustRightInd w:val="0"/>
        <w:textAlignment w:val="baseline"/>
      </w:pPr>
    </w:p>
    <w:p w:rsidR="0062300F" w:rsidRDefault="0062300F" w:rsidP="00721879">
      <w:pPr>
        <w:numPr>
          <w:ilvl w:val="0"/>
          <w:numId w:val="84"/>
        </w:numPr>
        <w:overflowPunct w:val="0"/>
        <w:autoSpaceDE w:val="0"/>
        <w:autoSpaceDN w:val="0"/>
        <w:adjustRightInd w:val="0"/>
        <w:ind w:left="567" w:hanging="567"/>
        <w:textAlignment w:val="baseline"/>
      </w:pPr>
      <w:r>
        <w:t>señala que el fomento de la integración es esencial para reforzar los valores y principios fundamentales de la UE, entre los cuales la diversidad, la igualdad y la no discriminación son cruciales. Es imperativo que los Estados miembros de la UE aprendan unos de otros y se esfuercen sinceramente por fomentar un entorno en el que la integración de los migrantes sea viable y se eviten los riesgos.</w:t>
      </w:r>
    </w:p>
    <w:p w:rsidR="0062300F" w:rsidRDefault="0062300F" w:rsidP="0062300F">
      <w:pPr>
        <w:tabs>
          <w:tab w:val="left" w:pos="770"/>
        </w:tabs>
        <w:ind w:left="1430" w:hanging="1430"/>
        <w:rPr>
          <w:rStyle w:val="normal--char"/>
          <w:b/>
          <w:bCs/>
          <w:i/>
          <w:iCs/>
          <w:lang w:val="fr-BE"/>
        </w:rPr>
      </w:pPr>
    </w:p>
    <w:p w:rsidR="0062300F" w:rsidRDefault="0062300F" w:rsidP="0062300F">
      <w:pPr>
        <w:tabs>
          <w:tab w:val="left" w:pos="770"/>
        </w:tabs>
        <w:ind w:left="1430" w:hanging="1430"/>
        <w:rPr>
          <w:rStyle w:val="normal--char"/>
          <w:i/>
          <w:iCs/>
        </w:rPr>
      </w:pPr>
      <w:r>
        <w:rPr>
          <w:rStyle w:val="normal--char"/>
          <w:b/>
          <w:bCs/>
          <w:i/>
          <w:iCs/>
        </w:rPr>
        <w:t>Contacto:</w:t>
      </w:r>
      <w:r w:rsidR="000925F3">
        <w:rPr>
          <w:rStyle w:val="normal--char"/>
          <w:b/>
          <w:bCs/>
          <w:i/>
          <w:iCs/>
        </w:rPr>
        <w:tab/>
      </w:r>
      <w:r>
        <w:rPr>
          <w:rStyle w:val="normal--char"/>
          <w:bCs/>
          <w:i/>
          <w:iCs/>
        </w:rPr>
        <w:t>Triin Aasmaa</w:t>
      </w:r>
    </w:p>
    <w:p w:rsidR="0062300F" w:rsidRDefault="00291033" w:rsidP="00291033">
      <w:pPr>
        <w:tabs>
          <w:tab w:val="left" w:pos="1418"/>
        </w:tabs>
      </w:pPr>
      <w:r>
        <w:rPr>
          <w:rStyle w:val="normal--char"/>
          <w:i/>
          <w:iCs/>
        </w:rPr>
        <w:tab/>
        <w:t xml:space="preserve">(Tel. 0032 2 546 9524 – correo electrónico: </w:t>
      </w:r>
      <w:hyperlink r:id="rId40" w:history="1">
        <w:r>
          <w:rPr>
            <w:rStyle w:val="Hyperlink"/>
            <w:i/>
            <w:iCs/>
          </w:rPr>
          <w:t>Triin.Aasmaa@eesc.europa.eu</w:t>
        </w:r>
      </w:hyperlink>
      <w:r>
        <w:t>)</w:t>
      </w:r>
    </w:p>
    <w:p w:rsidR="009D234D" w:rsidRDefault="009D234D" w:rsidP="009D234D">
      <w:pPr>
        <w:ind w:left="-567"/>
        <w:rPr>
          <w:b/>
          <w:iCs/>
          <w:highlight w:val="yellow"/>
          <w:u w:val="single"/>
          <w:lang w:val="fr-FR"/>
        </w:rPr>
      </w:pPr>
    </w:p>
    <w:p w:rsidR="009D234D" w:rsidRPr="00F46203" w:rsidRDefault="009D234D" w:rsidP="007267B9">
      <w:pPr>
        <w:widowControl w:val="0"/>
        <w:numPr>
          <w:ilvl w:val="0"/>
          <w:numId w:val="109"/>
        </w:numPr>
        <w:overflowPunct w:val="0"/>
        <w:autoSpaceDE w:val="0"/>
        <w:autoSpaceDN w:val="0"/>
        <w:adjustRightInd w:val="0"/>
        <w:ind w:hanging="567"/>
        <w:textAlignment w:val="baseline"/>
        <w:rPr>
          <w:b/>
          <w:bCs/>
          <w:i/>
          <w:iCs/>
          <w:sz w:val="28"/>
          <w:szCs w:val="28"/>
        </w:rPr>
      </w:pPr>
      <w:r>
        <w:rPr>
          <w:b/>
          <w:bCs/>
          <w:i/>
          <w:iCs/>
          <w:sz w:val="28"/>
          <w:szCs w:val="28"/>
        </w:rPr>
        <w:t>La situación de las mujeres gitanas</w:t>
      </w:r>
    </w:p>
    <w:p w:rsidR="009D234D" w:rsidRPr="00F201AA" w:rsidRDefault="009D234D" w:rsidP="009D234D">
      <w:pPr>
        <w:tabs>
          <w:tab w:val="left" w:pos="1701"/>
        </w:tabs>
        <w:ind w:left="-567" w:firstLine="17"/>
        <w:rPr>
          <w:highlight w:val="yellow"/>
          <w:lang w:val="fr-BE"/>
        </w:rPr>
      </w:pPr>
    </w:p>
    <w:p w:rsidR="009D234D" w:rsidRDefault="009D234D" w:rsidP="009D234D">
      <w:pPr>
        <w:tabs>
          <w:tab w:val="left" w:pos="1701"/>
        </w:tabs>
      </w:pPr>
      <w:r>
        <w:rPr>
          <w:b/>
        </w:rPr>
        <w:t>Ponente:</w:t>
      </w:r>
      <w:r>
        <w:t xml:space="preserve"> </w:t>
      </w:r>
      <w:r>
        <w:tab/>
        <w:t>Ákos TOPOLÁNSZKY (Diversidad Europa – HU)</w:t>
      </w:r>
    </w:p>
    <w:p w:rsidR="009D234D" w:rsidRDefault="009D234D" w:rsidP="009D234D">
      <w:pPr>
        <w:rPr>
          <w:b/>
          <w:bCs/>
        </w:rPr>
      </w:pPr>
    </w:p>
    <w:p w:rsidR="000A63F9" w:rsidRPr="000A63F9" w:rsidRDefault="009D234D" w:rsidP="009D234D">
      <w:pPr>
        <w:tabs>
          <w:tab w:val="left" w:pos="1701"/>
        </w:tabs>
        <w:ind w:left="-5"/>
        <w:rPr>
          <w:bCs/>
        </w:rPr>
      </w:pPr>
      <w:r>
        <w:rPr>
          <w:b/>
          <w:bCs/>
        </w:rPr>
        <w:t>Referencia:</w:t>
      </w:r>
      <w:r w:rsidR="000925F3">
        <w:rPr>
          <w:b/>
          <w:bCs/>
        </w:rPr>
        <w:tab/>
      </w:r>
      <w:r>
        <w:t>Dictamen exploratorio solicitado por el Parlamento Europeo</w:t>
      </w:r>
    </w:p>
    <w:p w:rsidR="009D234D" w:rsidRPr="00427F2D" w:rsidRDefault="009D234D" w:rsidP="00623A46">
      <w:pPr>
        <w:ind w:left="1701"/>
      </w:pPr>
      <w:r>
        <w:t>EESC-2018-03068-00-00-AC-TRA</w:t>
      </w:r>
    </w:p>
    <w:p w:rsidR="009D234D" w:rsidRPr="00427F2D" w:rsidRDefault="009D234D" w:rsidP="009D234D">
      <w:pPr>
        <w:tabs>
          <w:tab w:val="left" w:pos="0"/>
        </w:tabs>
        <w:ind w:left="364" w:hanging="369"/>
      </w:pPr>
    </w:p>
    <w:p w:rsidR="009D234D" w:rsidRDefault="009D234D" w:rsidP="009D234D">
      <w:pPr>
        <w:ind w:left="-5"/>
        <w:rPr>
          <w:b/>
        </w:rPr>
      </w:pPr>
      <w:r>
        <w:rPr>
          <w:b/>
        </w:rPr>
        <w:t>Puntos clave</w:t>
      </w:r>
    </w:p>
    <w:p w:rsidR="009D234D" w:rsidRPr="001A35F9" w:rsidRDefault="009D234D" w:rsidP="009D234D">
      <w:pPr>
        <w:spacing w:line="240" w:lineRule="auto"/>
        <w:jc w:val="left"/>
        <w:rPr>
          <w:lang w:eastAsia="en-GB"/>
        </w:rPr>
      </w:pPr>
    </w:p>
    <w:p w:rsidR="009D234D" w:rsidRDefault="009D234D" w:rsidP="009D234D">
      <w:r>
        <w:t>El CESE:</w:t>
      </w:r>
    </w:p>
    <w:p w:rsidR="009D234D" w:rsidRPr="00501BE9" w:rsidRDefault="009D234D" w:rsidP="009D234D"/>
    <w:p w:rsidR="009D234D" w:rsidRPr="00501BE9" w:rsidRDefault="009D234D" w:rsidP="009D234D">
      <w:pPr>
        <w:pStyle w:val="ListParagraph"/>
        <w:numPr>
          <w:ilvl w:val="0"/>
          <w:numId w:val="103"/>
        </w:numPr>
        <w:spacing w:after="200" w:line="276" w:lineRule="auto"/>
        <w:ind w:left="567" w:hanging="567"/>
      </w:pPr>
      <w:r>
        <w:t>subraya la importancia de implicar a las mujeres gitanas en las políticas que más les preocupan;</w:t>
      </w:r>
    </w:p>
    <w:p w:rsidR="009D234D" w:rsidRDefault="009D234D" w:rsidP="00C363DF">
      <w:pPr>
        <w:pStyle w:val="ListParagraph"/>
        <w:numPr>
          <w:ilvl w:val="0"/>
          <w:numId w:val="103"/>
        </w:numPr>
        <w:ind w:left="567" w:hanging="567"/>
      </w:pPr>
      <w:r>
        <w:t>propone que, en la planificación y ejecución de los programas dirigidos a las mujeres gitanas, participe la mayoría de las mujeres gitanas;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pide que se ponga fin a la educación segregada y que se establezcan programas de formación para las mujeres gitanas, con el fin de ayudarlas a obtener mejores oportunidades de empleo;</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aboga por la abolición de las prácticas sanitarias que infringen las normas éticas; pide mediadores sanitarios, puntos de información sanitaria e iniciativas de salud pública como medio para trabajar en favor del derecho de los gitanos a la salud y llegar a los gitanos que viven en guetos;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propone que se amplíe o suprima el plazo de prescripción para la persecución de las esterilizaciones forzadas;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fomenta la promoción de empresas de la economía social y el apoyo a la creación de empresas para facilitar la autonomía económica de las mujeres gitanas como medio para luchar contra la pobreza y la exclusión social;</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hace hincapié en que es preciso poner fin a los procedimientos de expulsión injustificados e ilegales;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propone la catalogación de las violaciones sistemáticas de los derechos de las mujeres gitanas mediante la elaboración de «libros blancos», con la ayuda de organizaciones de la comunidad gitana independientes;</w:t>
      </w:r>
    </w:p>
    <w:p w:rsidR="00C363DF" w:rsidRPr="00C363DF" w:rsidRDefault="00C363DF" w:rsidP="00C363DF">
      <w:pPr>
        <w:rPr>
          <w:lang w:val="en-GB"/>
        </w:rPr>
      </w:pPr>
    </w:p>
    <w:p w:rsidR="009D234D" w:rsidRPr="00501BE9" w:rsidRDefault="009D234D" w:rsidP="00C363DF">
      <w:pPr>
        <w:pStyle w:val="ListParagraph"/>
        <w:numPr>
          <w:ilvl w:val="0"/>
          <w:numId w:val="103"/>
        </w:numPr>
        <w:ind w:left="567" w:hanging="567"/>
        <w:jc w:val="left"/>
        <w:rPr>
          <w:u w:val="single"/>
        </w:rPr>
      </w:pPr>
      <w:r>
        <w:t>pide a todos los Estados miembros la ratificación y aplicación del Convenio de Estambul, especialmente teniendo en cuenta la vulnerabilidad de las mujeres y niñas gitanas de ser víctimas de violencia.</w:t>
      </w:r>
    </w:p>
    <w:p w:rsidR="009D234D" w:rsidRPr="0086242E" w:rsidRDefault="009D234D" w:rsidP="009D234D">
      <w:pPr>
        <w:ind w:left="567" w:hanging="567"/>
        <w:rPr>
          <w:rFonts w:ascii="Calibri" w:eastAsia="Calibri" w:hAnsi="Calibri" w:cs="Calibri"/>
          <w:lang w:eastAsia="en-IE"/>
        </w:rPr>
      </w:pPr>
    </w:p>
    <w:p w:rsidR="009D234D" w:rsidRDefault="009D234D" w:rsidP="009D234D">
      <w:pPr>
        <w:tabs>
          <w:tab w:val="left" w:pos="770"/>
        </w:tabs>
        <w:ind w:left="1701" w:hanging="1701"/>
        <w:rPr>
          <w:rStyle w:val="normal--char"/>
          <w:i/>
          <w:iCs/>
        </w:rPr>
      </w:pPr>
      <w:r>
        <w:rPr>
          <w:rStyle w:val="normal--char"/>
          <w:b/>
          <w:bCs/>
          <w:i/>
          <w:iCs/>
        </w:rPr>
        <w:t>Contacto:</w:t>
      </w:r>
      <w:r w:rsidR="000925F3">
        <w:rPr>
          <w:rStyle w:val="normal--char"/>
          <w:b/>
          <w:bCs/>
          <w:i/>
          <w:iCs/>
        </w:rPr>
        <w:tab/>
      </w:r>
      <w:r>
        <w:rPr>
          <w:rStyle w:val="normal--char"/>
          <w:bCs/>
          <w:i/>
          <w:iCs/>
        </w:rPr>
        <w:t>Sabrina Borg</w:t>
      </w:r>
    </w:p>
    <w:p w:rsidR="009D234D" w:rsidRPr="001A6912" w:rsidRDefault="009D234D" w:rsidP="009D234D">
      <w:pPr>
        <w:tabs>
          <w:tab w:val="left" w:pos="1701"/>
        </w:tabs>
        <w:rPr>
          <w:i/>
          <w:iCs/>
        </w:rPr>
      </w:pPr>
      <w:r>
        <w:rPr>
          <w:rStyle w:val="normal--char"/>
          <w:i/>
          <w:iCs/>
        </w:rPr>
        <w:tab/>
        <w:t xml:space="preserve">(Tel. 00 32 2 546 9727 – correo electrónico: </w:t>
      </w:r>
      <w:hyperlink r:id="rId41" w:history="1">
        <w:r>
          <w:rPr>
            <w:rStyle w:val="Hyperlink"/>
            <w:i/>
            <w:iCs/>
          </w:rPr>
          <w:t>sabrina.borg@eesc.europa.eu</w:t>
        </w:r>
      </w:hyperlink>
      <w:r>
        <w:rPr>
          <w:i/>
        </w:rPr>
        <w:t>)</w:t>
      </w:r>
    </w:p>
    <w:p w:rsidR="001B10E9" w:rsidRPr="008B4546" w:rsidRDefault="001B10E9" w:rsidP="001B10E9">
      <w:pPr>
        <w:rPr>
          <w:b/>
          <w:u w:val="single"/>
          <w:lang w:val="fr-BE"/>
        </w:rPr>
      </w:pPr>
    </w:p>
    <w:p w:rsidR="001B10E9" w:rsidRPr="00632968" w:rsidRDefault="001B10E9" w:rsidP="001B10E9">
      <w:pPr>
        <w:pStyle w:val="ListParagraph"/>
        <w:numPr>
          <w:ilvl w:val="0"/>
          <w:numId w:val="104"/>
        </w:numPr>
        <w:ind w:left="567" w:hanging="567"/>
        <w:rPr>
          <w:b/>
          <w:i/>
          <w:sz w:val="28"/>
          <w:szCs w:val="28"/>
        </w:rPr>
      </w:pPr>
      <w:r>
        <w:rPr>
          <w:b/>
          <w:i/>
          <w:sz w:val="28"/>
          <w:szCs w:val="28"/>
        </w:rPr>
        <w:t>La igualdad de género en los mercados laborales europeos</w:t>
      </w:r>
    </w:p>
    <w:p w:rsidR="001B10E9" w:rsidRDefault="001B10E9" w:rsidP="001B10E9">
      <w:pPr>
        <w:rPr>
          <w:lang w:val="fr-BE"/>
        </w:rPr>
      </w:pPr>
    </w:p>
    <w:p w:rsidR="001B10E9" w:rsidRDefault="001B10E9" w:rsidP="001B10E9">
      <w:pPr>
        <w:tabs>
          <w:tab w:val="left" w:pos="1701"/>
        </w:tabs>
        <w:overflowPunct w:val="0"/>
        <w:autoSpaceDE w:val="0"/>
        <w:autoSpaceDN w:val="0"/>
        <w:adjustRightInd w:val="0"/>
        <w:textAlignment w:val="baseline"/>
        <w:rPr>
          <w:b/>
          <w:szCs w:val="20"/>
        </w:rPr>
      </w:pPr>
      <w:r>
        <w:rPr>
          <w:b/>
          <w:szCs w:val="20"/>
        </w:rPr>
        <w:t>Ponente:</w:t>
      </w:r>
      <w:r w:rsidR="000925F3">
        <w:rPr>
          <w:b/>
          <w:szCs w:val="20"/>
        </w:rPr>
        <w:tab/>
      </w:r>
      <w:r>
        <w:t>Helena DE FELIPE LEHTONEN (Empresarios – ES)</w:t>
      </w:r>
    </w:p>
    <w:p w:rsidR="001B10E9" w:rsidRDefault="001B10E9" w:rsidP="001B10E9">
      <w:pPr>
        <w:overflowPunct w:val="0"/>
        <w:autoSpaceDE w:val="0"/>
        <w:autoSpaceDN w:val="0"/>
        <w:adjustRightInd w:val="0"/>
        <w:textAlignment w:val="baseline"/>
        <w:rPr>
          <w:b/>
          <w:szCs w:val="20"/>
          <w:lang w:val="en-GB"/>
        </w:rPr>
      </w:pPr>
    </w:p>
    <w:p w:rsidR="004D6922" w:rsidRDefault="001B10E9" w:rsidP="001B10E9">
      <w:pPr>
        <w:tabs>
          <w:tab w:val="left" w:pos="1701"/>
        </w:tabs>
        <w:overflowPunct w:val="0"/>
        <w:autoSpaceDE w:val="0"/>
        <w:autoSpaceDN w:val="0"/>
        <w:adjustRightInd w:val="0"/>
        <w:textAlignment w:val="baseline"/>
        <w:rPr>
          <w:b/>
          <w:szCs w:val="20"/>
        </w:rPr>
      </w:pPr>
      <w:r>
        <w:rPr>
          <w:b/>
          <w:szCs w:val="20"/>
        </w:rPr>
        <w:t>Referencias:</w:t>
      </w:r>
      <w:r w:rsidR="000925F3">
        <w:rPr>
          <w:b/>
          <w:szCs w:val="20"/>
        </w:rPr>
        <w:tab/>
      </w:r>
      <w:r>
        <w:t>Dictamen exploratorio solicitado por el Parlamento Europeo</w:t>
      </w:r>
    </w:p>
    <w:p w:rsidR="001B10E9" w:rsidRPr="008B4546" w:rsidRDefault="001B10E9" w:rsidP="00623A46">
      <w:pPr>
        <w:ind w:left="1701"/>
        <w:rPr>
          <w:b/>
          <w:szCs w:val="20"/>
        </w:rPr>
      </w:pPr>
      <w:r>
        <w:t>EESC-2018-02567-00-00-AC-TRA</w:t>
      </w:r>
    </w:p>
    <w:p w:rsidR="001B10E9" w:rsidRDefault="001B10E9" w:rsidP="001B10E9"/>
    <w:p w:rsidR="00B01C44" w:rsidRDefault="00B01C44" w:rsidP="001B10E9">
      <w:r>
        <w:t>El CESE:</w:t>
      </w:r>
    </w:p>
    <w:p w:rsidR="00B01C44" w:rsidRDefault="00B01C44" w:rsidP="001B10E9"/>
    <w:p w:rsidR="001B10E9" w:rsidRPr="00B12BD4" w:rsidRDefault="001B10E9" w:rsidP="001B10E9">
      <w:pPr>
        <w:pStyle w:val="ListParagraph"/>
        <w:numPr>
          <w:ilvl w:val="0"/>
          <w:numId w:val="105"/>
        </w:numPr>
        <w:ind w:left="567" w:hanging="567"/>
        <w:rPr>
          <w:rFonts w:eastAsiaTheme="minorHAnsi"/>
        </w:rPr>
      </w:pPr>
      <w:r>
        <w:t>considera necesario elaborar una estrategia europea integrada y ambiciosa para abordar los obstáculos sistémicos y estructurales y formular políticas adecuadas con el fin de reforzar la igualdad entre mujeres y hombres y contribuir a la aplicación del pilar europeo de derechos sociales;</w:t>
      </w:r>
    </w:p>
    <w:p w:rsidR="00252542" w:rsidRPr="00252542" w:rsidRDefault="00252542" w:rsidP="00252542">
      <w:pPr>
        <w:rPr>
          <w:rFonts w:eastAsiaTheme="minorHAnsi"/>
          <w:bCs/>
          <w:color w:val="000000"/>
        </w:rPr>
      </w:pPr>
    </w:p>
    <w:p w:rsidR="001B10E9" w:rsidRPr="00B12BD4" w:rsidRDefault="001B10E9" w:rsidP="001B10E9">
      <w:pPr>
        <w:pStyle w:val="ListParagraph"/>
        <w:numPr>
          <w:ilvl w:val="0"/>
          <w:numId w:val="105"/>
        </w:numPr>
        <w:ind w:left="567" w:hanging="567"/>
      </w:pPr>
      <w:r>
        <w:lastRenderedPageBreak/>
        <w:t>reitera la necesidad de seguir abordando algunos retos bien establecidos, como la brecha salarial entre hombres y mujeres y el equilibrio entre la vida profesional y la vida privada, sobre los cuales el CESE ya ha emitido dictámenes;</w:t>
      </w:r>
    </w:p>
    <w:p w:rsidR="00252542" w:rsidRDefault="00252542" w:rsidP="00252542"/>
    <w:p w:rsidR="001B10E9" w:rsidRPr="00B12BD4" w:rsidRDefault="001B10E9" w:rsidP="001B10E9">
      <w:pPr>
        <w:pStyle w:val="ListParagraph"/>
        <w:numPr>
          <w:ilvl w:val="0"/>
          <w:numId w:val="105"/>
        </w:numPr>
        <w:ind w:left="567" w:hanging="567"/>
      </w:pPr>
      <w:r>
        <w:t>insta a los Estados miembros y a la UE a aplicar cuanto antes la Recomendación de la Comisión de 2014 sobre la transparencia salarial, recomienda la adopción de sistemas salariales neutros y respalda plenamente los objetivos de la Coalición Internacional para la Igualdad Salarial para reducir las diferencias salariales entre mujeres hombres de aquí a 2030;</w:t>
      </w:r>
    </w:p>
    <w:p w:rsidR="00252542" w:rsidRDefault="00252542" w:rsidP="00252542"/>
    <w:p w:rsidR="001B10E9" w:rsidRDefault="00543C6C" w:rsidP="001B10E9">
      <w:pPr>
        <w:pStyle w:val="ListParagraph"/>
        <w:numPr>
          <w:ilvl w:val="0"/>
          <w:numId w:val="105"/>
        </w:numPr>
        <w:ind w:left="567" w:hanging="567"/>
      </w:pPr>
      <w:r>
        <w:t>está plenamente de acuerdo en reforzar las medidas destinadas a reducir la segregación de género en la educación, la formación y el mercado laboral;</w:t>
      </w:r>
    </w:p>
    <w:p w:rsidR="00252542" w:rsidRPr="00C0673E" w:rsidRDefault="00252542" w:rsidP="00252542"/>
    <w:p w:rsidR="001B10E9" w:rsidRDefault="001B10E9" w:rsidP="001B10E9">
      <w:pPr>
        <w:pStyle w:val="ListParagraph"/>
        <w:numPr>
          <w:ilvl w:val="0"/>
          <w:numId w:val="105"/>
        </w:numPr>
        <w:ind w:left="567" w:hanging="567"/>
      </w:pPr>
      <w:r>
        <w:t>pide que se dediquen más esfuerzos a la integración en el mercado laboral y al empoderamiento de las mujeres pertenecientes a grupos vulnerables, teniendo en cuenta un enfoque intersectorial;</w:t>
      </w:r>
    </w:p>
    <w:p w:rsidR="00252542" w:rsidRDefault="00252542" w:rsidP="00252542"/>
    <w:p w:rsidR="001B10E9" w:rsidRPr="00252542" w:rsidRDefault="001B10E9" w:rsidP="001B10E9">
      <w:pPr>
        <w:pStyle w:val="ListParagraph"/>
        <w:numPr>
          <w:ilvl w:val="0"/>
          <w:numId w:val="105"/>
        </w:numPr>
        <w:ind w:left="567" w:hanging="567"/>
        <w:rPr>
          <w:rFonts w:eastAsiaTheme="minorHAnsi"/>
        </w:rPr>
      </w:pPr>
      <w:r>
        <w:rPr>
          <w:bCs/>
          <w:color w:val="000000"/>
        </w:rPr>
        <w:t>recomienda que los Estados miembros adapten sus sistemas fiscales y de prestaciones para que sean neutros en materia de género y no creen desincentivos para la segunda fuente de ingresos familiares que quiera aceptar un empleo o trabajar más;</w:t>
      </w:r>
    </w:p>
    <w:p w:rsidR="00252542" w:rsidRPr="00252542" w:rsidRDefault="00252542" w:rsidP="00252542">
      <w:pPr>
        <w:rPr>
          <w:rFonts w:eastAsiaTheme="minorHAnsi"/>
        </w:rPr>
      </w:pPr>
    </w:p>
    <w:p w:rsidR="001B10E9" w:rsidRPr="00252542" w:rsidRDefault="001B10E9" w:rsidP="001B10E9">
      <w:pPr>
        <w:pStyle w:val="ListParagraph"/>
        <w:numPr>
          <w:ilvl w:val="0"/>
          <w:numId w:val="105"/>
        </w:numPr>
        <w:ind w:left="567" w:hanging="567"/>
      </w:pPr>
      <w:r>
        <w:t>pide una nueva reflexión con los Estados miembros sobre los objetivos de Barcelona 2002 en materia de atención a la infancia, con el fin de lograr que los objetivos sean más ambiciosos y ampliarlos para que abarquen el cuidado de otras personas a cargo;</w:t>
      </w:r>
    </w:p>
    <w:p w:rsidR="00252542" w:rsidRPr="00EA3788" w:rsidRDefault="00252542" w:rsidP="00252542"/>
    <w:p w:rsidR="001B10E9" w:rsidRPr="00252542" w:rsidRDefault="001B10E9" w:rsidP="001B10E9">
      <w:pPr>
        <w:pStyle w:val="ListParagraph"/>
        <w:numPr>
          <w:ilvl w:val="0"/>
          <w:numId w:val="105"/>
        </w:numPr>
        <w:ind w:left="567" w:hanging="567"/>
        <w:rPr>
          <w:rFonts w:eastAsiaTheme="minorHAnsi"/>
          <w:bCs/>
          <w:color w:val="000000"/>
        </w:rPr>
      </w:pPr>
      <w:r>
        <w:t>insta al Parlamento y al Consejo a que introduzcan indicadores nuevos y adecuados en los Fondos Estructurales europeos futuros, para supervisar mejor la contribución financiera de la UE a los servicios asistenciales y la igualdad de género;</w:t>
      </w:r>
    </w:p>
    <w:p w:rsidR="00252542" w:rsidRPr="00252542" w:rsidRDefault="00252542" w:rsidP="00252542">
      <w:pPr>
        <w:rPr>
          <w:rFonts w:eastAsiaTheme="minorHAnsi"/>
          <w:bCs/>
          <w:color w:val="000000"/>
        </w:rPr>
      </w:pPr>
    </w:p>
    <w:p w:rsidR="001B10E9" w:rsidRDefault="001B10E9" w:rsidP="001B10E9">
      <w:pPr>
        <w:pStyle w:val="ListParagraph"/>
        <w:numPr>
          <w:ilvl w:val="0"/>
          <w:numId w:val="105"/>
        </w:numPr>
        <w:ind w:left="567" w:hanging="567"/>
      </w:pPr>
      <w:r>
        <w:t>hace un llamamiento al Parlamento y al Consejo para que apoyen firmemente el programa InvestEU para 2021-2027, que prevé inversiones en infraestructuras sociales, para acometer las inversiones que resulten necesarias en materia de atención a la infancia (y asistencia posescolar), y</w:t>
      </w:r>
    </w:p>
    <w:p w:rsidR="00252542" w:rsidRDefault="00252542" w:rsidP="00252542"/>
    <w:p w:rsidR="001B10E9" w:rsidRDefault="001B10E9" w:rsidP="001B10E9">
      <w:pPr>
        <w:pStyle w:val="ListParagraph"/>
        <w:numPr>
          <w:ilvl w:val="0"/>
          <w:numId w:val="105"/>
        </w:numPr>
        <w:ind w:left="567" w:hanging="567"/>
        <w:rPr>
          <w:rFonts w:eastAsiaTheme="minorHAnsi"/>
          <w:bCs/>
          <w:color w:val="000000"/>
        </w:rPr>
      </w:pPr>
      <w:r>
        <w:rPr>
          <w:bCs/>
          <w:color w:val="000000"/>
        </w:rPr>
        <w:t>considera que es necesario fomentar el emprendimiento femenino para aprovechar el enorme potencial de la economía digital y las innovaciones tecnológicas, y aboga por que se mejore el acceso de las empresas dirigidas por mujeres a la financiación;</w:t>
      </w:r>
    </w:p>
    <w:p w:rsidR="00543C6C" w:rsidRPr="001F6063" w:rsidRDefault="00543C6C" w:rsidP="001F6063">
      <w:pPr>
        <w:rPr>
          <w:rFonts w:eastAsiaTheme="minorHAnsi"/>
          <w:bCs/>
          <w:color w:val="000000"/>
        </w:rPr>
      </w:pPr>
    </w:p>
    <w:p w:rsidR="00543C6C" w:rsidRPr="00EA3788" w:rsidRDefault="00543C6C" w:rsidP="001B10E9">
      <w:pPr>
        <w:pStyle w:val="ListParagraph"/>
        <w:numPr>
          <w:ilvl w:val="0"/>
          <w:numId w:val="105"/>
        </w:numPr>
        <w:ind w:left="567" w:hanging="567"/>
        <w:rPr>
          <w:rFonts w:eastAsiaTheme="minorHAnsi"/>
          <w:bCs/>
          <w:color w:val="000000"/>
        </w:rPr>
      </w:pPr>
      <w:r>
        <w:t>considera que la financiación de la UE debería asignarse teniendo más en cuenta la dimensión de género y que la igualdad de género debería fijarse como un objetivo independiente.</w:t>
      </w:r>
    </w:p>
    <w:p w:rsidR="0077423A" w:rsidRDefault="0077423A">
      <w:pPr>
        <w:spacing w:line="240" w:lineRule="auto"/>
        <w:jc w:val="left"/>
        <w:rPr>
          <w:b/>
          <w:i/>
          <w:szCs w:val="20"/>
          <w:lang w:val="en-GB"/>
        </w:rPr>
      </w:pPr>
    </w:p>
    <w:p w:rsidR="001B10E9" w:rsidRPr="00856D9E" w:rsidRDefault="001B10E9" w:rsidP="001B10E9">
      <w:pPr>
        <w:overflowPunct w:val="0"/>
        <w:autoSpaceDE w:val="0"/>
        <w:autoSpaceDN w:val="0"/>
        <w:adjustRightInd w:val="0"/>
        <w:spacing w:line="240" w:lineRule="exact"/>
        <w:ind w:left="1701" w:hanging="1701"/>
        <w:textAlignment w:val="baseline"/>
        <w:rPr>
          <w:i/>
          <w:szCs w:val="20"/>
        </w:rPr>
      </w:pPr>
      <w:r>
        <w:rPr>
          <w:b/>
          <w:i/>
          <w:szCs w:val="20"/>
        </w:rPr>
        <w:t>Contacto:</w:t>
      </w:r>
      <w:r>
        <w:rPr>
          <w:i/>
          <w:szCs w:val="20"/>
        </w:rPr>
        <w:t xml:space="preserve"> </w:t>
      </w:r>
      <w:r>
        <w:rPr>
          <w:i/>
          <w:szCs w:val="20"/>
        </w:rPr>
        <w:tab/>
        <w:t>Judite Berkemeier</w:t>
      </w:r>
    </w:p>
    <w:p w:rsidR="001B10E9" w:rsidRDefault="001B10E9" w:rsidP="000925F3">
      <w:pPr>
        <w:tabs>
          <w:tab w:val="left" w:pos="1701"/>
        </w:tabs>
        <w:ind w:left="1701" w:hanging="1701"/>
      </w:pPr>
      <w:r>
        <w:rPr>
          <w:i/>
          <w:szCs w:val="20"/>
        </w:rPr>
        <w:tab/>
        <w:t xml:space="preserve">(Tel. 00 0032 2 546 9897 – correo electrónico: </w:t>
      </w:r>
      <w:hyperlink r:id="rId42" w:history="1">
        <w:r>
          <w:rPr>
            <w:rStyle w:val="Hyperlink"/>
            <w:i/>
            <w:szCs w:val="20"/>
          </w:rPr>
          <w:t>mariajudite.Berkemeier@eesc.europa.eu</w:t>
        </w:r>
      </w:hyperlink>
      <w:r>
        <w:t>)</w:t>
      </w:r>
    </w:p>
    <w:p w:rsidR="00623A46" w:rsidRPr="00623A46" w:rsidRDefault="00623A46" w:rsidP="00623A46">
      <w:pPr>
        <w:widowControl w:val="0"/>
        <w:tabs>
          <w:tab w:val="left" w:pos="567"/>
        </w:tabs>
        <w:overflowPunct w:val="0"/>
        <w:autoSpaceDE w:val="0"/>
        <w:autoSpaceDN w:val="0"/>
        <w:adjustRightInd w:val="0"/>
        <w:ind w:left="77"/>
        <w:textAlignment w:val="baseline"/>
        <w:rPr>
          <w:b/>
          <w:bCs/>
          <w:i/>
          <w:iCs/>
        </w:rPr>
      </w:pPr>
    </w:p>
    <w:p w:rsidR="00045B31" w:rsidRPr="00F46203" w:rsidRDefault="00045B31" w:rsidP="000925F3">
      <w:pPr>
        <w:keepNext/>
        <w:keepLines/>
        <w:widowControl w:val="0"/>
        <w:numPr>
          <w:ilvl w:val="0"/>
          <w:numId w:val="109"/>
        </w:numPr>
        <w:tabs>
          <w:tab w:val="left" w:pos="567"/>
        </w:tabs>
        <w:overflowPunct w:val="0"/>
        <w:autoSpaceDE w:val="0"/>
        <w:autoSpaceDN w:val="0"/>
        <w:adjustRightInd w:val="0"/>
        <w:ind w:hanging="567"/>
        <w:textAlignment w:val="baseline"/>
        <w:rPr>
          <w:b/>
          <w:bCs/>
          <w:i/>
          <w:iCs/>
          <w:sz w:val="28"/>
          <w:szCs w:val="28"/>
        </w:rPr>
      </w:pPr>
      <w:r>
        <w:rPr>
          <w:b/>
          <w:bCs/>
          <w:i/>
          <w:iCs/>
          <w:sz w:val="28"/>
          <w:szCs w:val="28"/>
        </w:rPr>
        <w:lastRenderedPageBreak/>
        <w:t>Guardia Europea de Fronteras y Costas</w:t>
      </w:r>
    </w:p>
    <w:p w:rsidR="00045B31" w:rsidRPr="00F201AA" w:rsidRDefault="00045B31" w:rsidP="000925F3">
      <w:pPr>
        <w:keepNext/>
        <w:keepLines/>
        <w:ind w:left="-567" w:firstLine="17"/>
        <w:rPr>
          <w:highlight w:val="yellow"/>
          <w:lang w:val="fr-BE"/>
        </w:rPr>
      </w:pPr>
    </w:p>
    <w:p w:rsidR="00045B31" w:rsidRPr="004138FC" w:rsidRDefault="00045B31" w:rsidP="000925F3">
      <w:pPr>
        <w:keepNext/>
        <w:keepLines/>
      </w:pPr>
      <w:r>
        <w:rPr>
          <w:b/>
        </w:rPr>
        <w:t>Ponente general:</w:t>
      </w:r>
      <w:r>
        <w:t xml:space="preserve"> </w:t>
      </w:r>
      <w:r>
        <w:tab/>
        <w:t>Antonello PEZZINI (Empresarios – IT)</w:t>
      </w:r>
    </w:p>
    <w:p w:rsidR="00045B31" w:rsidRDefault="00045B31" w:rsidP="00045B31">
      <w:pPr>
        <w:rPr>
          <w:b/>
          <w:bCs/>
        </w:rPr>
      </w:pPr>
    </w:p>
    <w:p w:rsidR="00532E20" w:rsidRDefault="00045B31" w:rsidP="00045B31">
      <w:pPr>
        <w:tabs>
          <w:tab w:val="left" w:pos="1701"/>
        </w:tabs>
        <w:ind w:left="-5"/>
        <w:rPr>
          <w:b/>
          <w:bCs/>
        </w:rPr>
      </w:pPr>
      <w:r>
        <w:rPr>
          <w:b/>
          <w:bCs/>
        </w:rPr>
        <w:t>Referencias:</w:t>
      </w:r>
      <w:r w:rsidR="000925F3">
        <w:rPr>
          <w:b/>
          <w:bCs/>
        </w:rPr>
        <w:tab/>
      </w:r>
      <w:r>
        <w:t>COM(2018) 631 final – 2018/0330 (COD)</w:t>
      </w:r>
    </w:p>
    <w:p w:rsidR="00045B31" w:rsidRPr="006522A0" w:rsidRDefault="00045B31" w:rsidP="00543C6C">
      <w:pPr>
        <w:tabs>
          <w:tab w:val="left" w:pos="1701"/>
        </w:tabs>
        <w:ind w:left="1701"/>
      </w:pPr>
      <w:r>
        <w:t>EESC-2018-04848-00-01-AC-TRA</w:t>
      </w:r>
    </w:p>
    <w:p w:rsidR="00045B31" w:rsidRPr="00427F2D" w:rsidRDefault="00045B31" w:rsidP="00045B31">
      <w:pPr>
        <w:tabs>
          <w:tab w:val="left" w:pos="0"/>
        </w:tabs>
        <w:ind w:left="364" w:hanging="369"/>
      </w:pPr>
    </w:p>
    <w:p w:rsidR="00045B31" w:rsidRDefault="00045B31" w:rsidP="00045B31">
      <w:pPr>
        <w:ind w:left="-5"/>
        <w:rPr>
          <w:b/>
        </w:rPr>
      </w:pPr>
      <w:r>
        <w:rPr>
          <w:b/>
        </w:rPr>
        <w:t>Puntos clave</w:t>
      </w:r>
    </w:p>
    <w:p w:rsidR="006522A0" w:rsidRDefault="006522A0" w:rsidP="00045B31"/>
    <w:p w:rsidR="00045B31" w:rsidRDefault="00045B31" w:rsidP="00F10ED6">
      <w:pPr>
        <w:keepNext/>
      </w:pPr>
      <w:r>
        <w:t>El CESE:</w:t>
      </w:r>
    </w:p>
    <w:p w:rsidR="00045B31" w:rsidRDefault="00045B31" w:rsidP="00F10ED6">
      <w:pPr>
        <w:keepNext/>
      </w:pPr>
    </w:p>
    <w:p w:rsidR="00045B31" w:rsidRDefault="00045B31" w:rsidP="00045B31">
      <w:pPr>
        <w:numPr>
          <w:ilvl w:val="0"/>
          <w:numId w:val="106"/>
        </w:numPr>
        <w:overflowPunct w:val="0"/>
        <w:autoSpaceDE w:val="0"/>
        <w:autoSpaceDN w:val="0"/>
        <w:adjustRightInd w:val="0"/>
        <w:ind w:left="567" w:hanging="567"/>
        <w:textAlignment w:val="baseline"/>
      </w:pPr>
      <w:r>
        <w:t>apoya resueltamente la propuesta de dotar a la Agencia de un brazo operativo permanente, integrado por 10 000 personas, de modo que pueda disponer, en cooperación con los Estados miembros, de las capacidades necesarias para proteger sus fronteras exteriores, prevenir los movimientos irregulares, gestionar las migraciones legales y aplicar efectivamente los retornos de los migrantes irregulares;</w:t>
      </w:r>
    </w:p>
    <w:p w:rsidR="00D30D29" w:rsidRDefault="00D30D29" w:rsidP="00D30D29">
      <w:pPr>
        <w:overflowPunct w:val="0"/>
        <w:autoSpaceDE w:val="0"/>
        <w:autoSpaceDN w:val="0"/>
        <w:adjustRightInd w:val="0"/>
        <w:textAlignment w:val="baseline"/>
      </w:pPr>
    </w:p>
    <w:p w:rsidR="00045B31" w:rsidRDefault="00045B31" w:rsidP="00045B31">
      <w:pPr>
        <w:numPr>
          <w:ilvl w:val="0"/>
          <w:numId w:val="106"/>
        </w:numPr>
        <w:overflowPunct w:val="0"/>
        <w:autoSpaceDE w:val="0"/>
        <w:autoSpaceDN w:val="0"/>
        <w:adjustRightInd w:val="0"/>
        <w:ind w:left="567" w:hanging="567"/>
        <w:textAlignment w:val="baseline"/>
      </w:pPr>
      <w:r>
        <w:t>recomienda que la cooperación entre la Agencia y las administraciones nacionales, que tradicionalmente son responsables del control de las fronteras, se defina y organice en el nivel europeo;</w:t>
      </w:r>
    </w:p>
    <w:p w:rsidR="00D30D29" w:rsidRDefault="00D30D29" w:rsidP="00D30D29">
      <w:pPr>
        <w:overflowPunct w:val="0"/>
        <w:autoSpaceDE w:val="0"/>
        <w:autoSpaceDN w:val="0"/>
        <w:adjustRightInd w:val="0"/>
        <w:textAlignment w:val="baseline"/>
      </w:pPr>
    </w:p>
    <w:p w:rsidR="00045B31" w:rsidRDefault="00045B31" w:rsidP="00045B31">
      <w:pPr>
        <w:numPr>
          <w:ilvl w:val="0"/>
          <w:numId w:val="106"/>
        </w:numPr>
        <w:overflowPunct w:val="0"/>
        <w:autoSpaceDE w:val="0"/>
        <w:autoSpaceDN w:val="0"/>
        <w:adjustRightInd w:val="0"/>
        <w:ind w:left="567" w:hanging="567"/>
        <w:textAlignment w:val="baseline"/>
      </w:pPr>
      <w:r>
        <w:t>considera que una visión clara y ampliamente aceptada de las misiones de la Agencia evitará duplicaciones y conflictos de competencias, y pide que la cadena de mando entre los agentes autorizados por la Agencia y los funcionarios nacionales se establezca de manera clara y transparente;</w:t>
      </w:r>
    </w:p>
    <w:p w:rsidR="00D30D29" w:rsidRDefault="00D30D29" w:rsidP="00D30D29">
      <w:pPr>
        <w:overflowPunct w:val="0"/>
        <w:autoSpaceDE w:val="0"/>
        <w:autoSpaceDN w:val="0"/>
        <w:adjustRightInd w:val="0"/>
        <w:textAlignment w:val="baseline"/>
      </w:pPr>
    </w:p>
    <w:p w:rsidR="00045B31" w:rsidRDefault="00045B31" w:rsidP="00045B31">
      <w:pPr>
        <w:numPr>
          <w:ilvl w:val="0"/>
          <w:numId w:val="106"/>
        </w:numPr>
        <w:overflowPunct w:val="0"/>
        <w:autoSpaceDE w:val="0"/>
        <w:autoSpaceDN w:val="0"/>
        <w:adjustRightInd w:val="0"/>
        <w:ind w:left="567" w:hanging="567"/>
        <w:textAlignment w:val="baseline"/>
      </w:pPr>
      <w:r>
        <w:t>recomienda que, en caso de retos específicos y desproporcionados en las fronteras exteriores, la Agencia tenga la potestad de intervenir, a petición y en coordinación con el Estado miembro afectado, organizando y coordinando intervenciones rápidas en las fronteras, con el envío de equipos del cuerpo permanente, dotados de su propio equipamiento moderno;</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respalda las recomendaciones destinadas al personal de la Agencia, en lo que atañe al respeto de la vida humana, a las limitaciones en la utilización de armas de fuego y a la denegación o la concesión de visados en la frontera, ya que se trata de prerrogativas importantes de las administraciones responsables del orden público en los Estados miembros;</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recomienda encarecidamente que se profundicen los mecanismos de control contemplados en el anexo V, punto 3, de la propuesta, en caso de la comisión de infracciones por parte del personal. Los mecanismos deberían prever el traslado a los órganos jurisdiccionales de la Unión;</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recomienda que, habida cuenta del papel que se asignaría a la Agencia, en caso de internamiento de personas y su posible retorno a los países de origen, se garanticen al personal estatutario módulos formativos centrados en el respeto de los derechos fundamentales;</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solicita que la sociedad civil organizada participe, a través del CESE, en el foro consultivo.</w:t>
      </w:r>
    </w:p>
    <w:p w:rsidR="00045B31" w:rsidRDefault="00045B31" w:rsidP="00045B31"/>
    <w:p w:rsidR="00045B31" w:rsidRDefault="00045B31" w:rsidP="00045B31">
      <w:pPr>
        <w:tabs>
          <w:tab w:val="left" w:pos="770"/>
        </w:tabs>
        <w:ind w:left="1701" w:hanging="1701"/>
        <w:rPr>
          <w:rStyle w:val="normal--char"/>
          <w:i/>
          <w:iCs/>
        </w:rPr>
      </w:pPr>
      <w:r>
        <w:rPr>
          <w:rStyle w:val="normal--char"/>
          <w:b/>
          <w:bCs/>
          <w:i/>
          <w:iCs/>
        </w:rPr>
        <w:t>Contacto:</w:t>
      </w:r>
      <w:r w:rsidR="000925F3">
        <w:rPr>
          <w:rStyle w:val="normal--char"/>
          <w:b/>
          <w:bCs/>
          <w:i/>
          <w:iCs/>
        </w:rPr>
        <w:tab/>
      </w:r>
      <w:r>
        <w:rPr>
          <w:rStyle w:val="normal--char"/>
          <w:bCs/>
          <w:i/>
          <w:iCs/>
        </w:rPr>
        <w:t>Annemarie Wiersma</w:t>
      </w:r>
    </w:p>
    <w:p w:rsidR="00045B31" w:rsidRDefault="00045B31" w:rsidP="000925F3">
      <w:pPr>
        <w:tabs>
          <w:tab w:val="left" w:pos="1701"/>
        </w:tabs>
        <w:ind w:left="1701" w:hanging="1701"/>
        <w:rPr>
          <w:rStyle w:val="normal--char"/>
          <w:i/>
          <w:iCs/>
        </w:rPr>
      </w:pPr>
      <w:r>
        <w:rPr>
          <w:rStyle w:val="normal--char"/>
          <w:i/>
          <w:iCs/>
        </w:rPr>
        <w:tab/>
        <w:t>(Tel. 0032 2 546 9376 – correo electrónico:</w:t>
      </w:r>
      <w:hyperlink r:id="rId43" w:history="1">
        <w:r>
          <w:rPr>
            <w:rStyle w:val="Hyperlink"/>
          </w:rPr>
          <w:t xml:space="preserve"> </w:t>
        </w:r>
        <w:r>
          <w:rPr>
            <w:rStyle w:val="Hyperlink"/>
            <w:i/>
            <w:iCs/>
          </w:rPr>
          <w:t>annemarie.wiersma@eesc.europa.eu</w:t>
        </w:r>
      </w:hyperlink>
      <w:r>
        <w:rPr>
          <w:i/>
        </w:rPr>
        <w:t>)</w:t>
      </w:r>
    </w:p>
    <w:p w:rsidR="0083038A" w:rsidRDefault="0083038A" w:rsidP="00045B31">
      <w:pPr>
        <w:rPr>
          <w:lang w:val="en-GB"/>
        </w:rPr>
      </w:pPr>
    </w:p>
    <w:p w:rsidR="00F02CF8" w:rsidRPr="00F02CF8" w:rsidRDefault="00F02CF8" w:rsidP="00F02CF8">
      <w:pPr>
        <w:pStyle w:val="ListParagraph"/>
        <w:numPr>
          <w:ilvl w:val="0"/>
          <w:numId w:val="107"/>
        </w:numPr>
        <w:ind w:left="567" w:hanging="567"/>
      </w:pPr>
      <w:r>
        <w:rPr>
          <w:b/>
          <w:bCs/>
          <w:i/>
          <w:iCs/>
          <w:sz w:val="28"/>
          <w:szCs w:val="28"/>
        </w:rPr>
        <w:t>Prevención de la difusión de contenidos de carácter terrorista en línea</w:t>
      </w:r>
    </w:p>
    <w:p w:rsidR="00F02CF8" w:rsidRDefault="00F02CF8" w:rsidP="00F02CF8">
      <w:pPr>
        <w:rPr>
          <w:lang w:val="en-GB"/>
        </w:rPr>
      </w:pPr>
    </w:p>
    <w:p w:rsidR="00F02CF8" w:rsidRDefault="00F02CF8" w:rsidP="00F02CF8">
      <w:pPr>
        <w:tabs>
          <w:tab w:val="left" w:pos="1701"/>
        </w:tabs>
        <w:rPr>
          <w:bCs/>
        </w:rPr>
      </w:pPr>
      <w:r>
        <w:rPr>
          <w:b/>
        </w:rPr>
        <w:t>Ponente:</w:t>
      </w:r>
      <w:r>
        <w:t xml:space="preserve"> </w:t>
      </w:r>
      <w:r>
        <w:tab/>
        <w:t>José Antonio MORENO DÍAZ (Trabajadores-ES)</w:t>
      </w:r>
    </w:p>
    <w:p w:rsidR="00F02CF8" w:rsidRDefault="00F02CF8" w:rsidP="00F02CF8">
      <w:pPr>
        <w:rPr>
          <w:b/>
          <w:bCs/>
        </w:rPr>
      </w:pPr>
    </w:p>
    <w:p w:rsidR="007267B9" w:rsidRPr="007267B9" w:rsidRDefault="00F02CF8" w:rsidP="00F02CF8">
      <w:pPr>
        <w:tabs>
          <w:tab w:val="left" w:pos="1701"/>
        </w:tabs>
        <w:ind w:left="-5"/>
        <w:rPr>
          <w:bCs/>
        </w:rPr>
      </w:pPr>
      <w:r>
        <w:rPr>
          <w:b/>
          <w:bCs/>
        </w:rPr>
        <w:t>Referencias:</w:t>
      </w:r>
      <w:r w:rsidR="000925F3">
        <w:rPr>
          <w:b/>
          <w:bCs/>
        </w:rPr>
        <w:tab/>
      </w:r>
      <w:r>
        <w:t>COM(2018) 640 final – 2018/0331 (COD)</w:t>
      </w:r>
    </w:p>
    <w:p w:rsidR="00F02CF8" w:rsidRPr="00427F2D" w:rsidRDefault="00F02CF8" w:rsidP="00623A46">
      <w:pPr>
        <w:ind w:left="1701"/>
      </w:pPr>
      <w:r>
        <w:t>EESC-2018-04761-00-01-AC-TRA</w:t>
      </w:r>
    </w:p>
    <w:p w:rsidR="00F02CF8" w:rsidRPr="00427F2D" w:rsidRDefault="00F02CF8" w:rsidP="00F02CF8">
      <w:pPr>
        <w:tabs>
          <w:tab w:val="left" w:pos="0"/>
        </w:tabs>
        <w:ind w:left="364" w:hanging="369"/>
      </w:pPr>
    </w:p>
    <w:p w:rsidR="00F02CF8" w:rsidRDefault="00F02CF8" w:rsidP="00F02CF8">
      <w:pPr>
        <w:ind w:left="-5"/>
        <w:rPr>
          <w:b/>
        </w:rPr>
      </w:pPr>
      <w:r>
        <w:rPr>
          <w:b/>
        </w:rPr>
        <w:t>Puntos clave</w:t>
      </w:r>
    </w:p>
    <w:p w:rsidR="006522A0" w:rsidRDefault="006522A0" w:rsidP="00F02CF8">
      <w:pPr>
        <w:pStyle w:val="NormalWeb"/>
        <w:spacing w:before="0" w:beforeAutospacing="0" w:after="0" w:afterAutospacing="0"/>
        <w:jc w:val="both"/>
        <w:rPr>
          <w:sz w:val="22"/>
          <w:szCs w:val="22"/>
          <w:lang w:eastAsia="en-US"/>
        </w:rPr>
      </w:pPr>
    </w:p>
    <w:p w:rsidR="00F02CF8" w:rsidRDefault="002E1245" w:rsidP="00F02CF8">
      <w:pPr>
        <w:pStyle w:val="NormalWeb"/>
        <w:spacing w:before="0" w:beforeAutospacing="0" w:after="0" w:afterAutospacing="0"/>
        <w:jc w:val="both"/>
        <w:rPr>
          <w:sz w:val="22"/>
          <w:szCs w:val="22"/>
        </w:rPr>
      </w:pPr>
      <w:r>
        <w:rPr>
          <w:sz w:val="22"/>
          <w:szCs w:val="22"/>
        </w:rPr>
        <w:t>El CESE:</w:t>
      </w:r>
    </w:p>
    <w:p w:rsidR="00F02CF8" w:rsidRDefault="00F02CF8" w:rsidP="00742957">
      <w:pPr>
        <w:pStyle w:val="NormalWeb"/>
        <w:spacing w:before="0" w:beforeAutospacing="0" w:after="0" w:afterAutospacing="0" w:line="288" w:lineRule="auto"/>
        <w:ind w:left="567"/>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acoge con satisfacción la propuesta de la Comisión sobre la prevención de la difusión de contenidos de carácter terrorista en línea, en pos de una mayor seguridad de los habitantes de la UE;</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reitera la importancia de la libertad de expresión, la libertad de acceso a la información y a la comunicación así como el secreto de las comunicaciones;</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considera que las medidas reglamentarias propuestas para proteger internet y garantizar la protección de la población en general deben estar estrictamente reguladas por la ley;</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insiste en que se recuerden claramente a los usuarios las normas nacionales sobre la producción de contenido terrorista;</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solicita que se pueda garantizar el derecho de apelación de la decisión administrativa mediante una explicación clara de este derecho y las herramientas en línea para ejercer este derecho;</w:t>
      </w:r>
    </w:p>
    <w:p w:rsidR="00742957" w:rsidRPr="00447AC2" w:rsidRDefault="00742957" w:rsidP="00742957">
      <w:pPr>
        <w:pStyle w:val="NormalWeb"/>
        <w:spacing w:before="0" w:beforeAutospacing="0" w:after="0" w:afterAutospacing="0" w:line="288" w:lineRule="auto"/>
        <w:jc w:val="both"/>
        <w:rPr>
          <w:sz w:val="22"/>
          <w:szCs w:val="22"/>
          <w:lang w:eastAsia="en-US"/>
        </w:rPr>
      </w:pPr>
    </w:p>
    <w:p w:rsidR="00F02CF8" w:rsidRDefault="00F02CF8" w:rsidP="007C610D">
      <w:pPr>
        <w:pStyle w:val="NormalWeb"/>
        <w:numPr>
          <w:ilvl w:val="0"/>
          <w:numId w:val="108"/>
        </w:numPr>
        <w:spacing w:before="0" w:beforeAutospacing="0" w:after="0" w:afterAutospacing="0" w:line="288" w:lineRule="auto"/>
        <w:ind w:left="567" w:hanging="567"/>
        <w:jc w:val="both"/>
        <w:rPr>
          <w:sz w:val="22"/>
          <w:szCs w:val="22"/>
        </w:rPr>
      </w:pPr>
      <w:r>
        <w:rPr>
          <w:sz w:val="22"/>
          <w:szCs w:val="22"/>
        </w:rPr>
        <w:t>solicita que se concreten de la manera más precisa posible los criterios para definir conceptos jurídicos indeterminados como «información terrorista, actos terroristas, grupos terroristas o apología del terrorismo»;</w:t>
      </w:r>
    </w:p>
    <w:p w:rsidR="00742957" w:rsidRDefault="00742957" w:rsidP="007C610D">
      <w:pPr>
        <w:pStyle w:val="NormalWeb"/>
        <w:spacing w:before="0" w:beforeAutospacing="0" w:after="0" w:afterAutospacing="0" w:line="288" w:lineRule="auto"/>
        <w:jc w:val="both"/>
        <w:rPr>
          <w:sz w:val="22"/>
          <w:szCs w:val="22"/>
          <w:lang w:eastAsia="en-US"/>
        </w:rPr>
      </w:pPr>
    </w:p>
    <w:p w:rsidR="00F02CF8" w:rsidRDefault="00F02CF8" w:rsidP="007C610D">
      <w:pPr>
        <w:pStyle w:val="NormalWeb"/>
        <w:numPr>
          <w:ilvl w:val="0"/>
          <w:numId w:val="108"/>
        </w:numPr>
        <w:spacing w:before="0" w:beforeAutospacing="0" w:after="0" w:afterAutospacing="0" w:line="288" w:lineRule="auto"/>
        <w:ind w:left="567" w:hanging="567"/>
        <w:jc w:val="both"/>
        <w:rPr>
          <w:sz w:val="22"/>
          <w:szCs w:val="22"/>
        </w:rPr>
      </w:pPr>
      <w:r>
        <w:rPr>
          <w:sz w:val="22"/>
          <w:szCs w:val="22"/>
        </w:rPr>
        <w:t>considera esencial la intervención del factor humano como mediador e intermediador en la valoración de los contenidos en línea, reconociendo al mismo tiempo que la detección automatizada (parámetros automatizados, algoritmos, buscadores, etc.) es muy útil;</w:t>
      </w:r>
    </w:p>
    <w:p w:rsidR="00742957" w:rsidRDefault="00742957" w:rsidP="007C610D">
      <w:pPr>
        <w:pStyle w:val="NormalWeb"/>
        <w:spacing w:before="0" w:beforeAutospacing="0" w:after="0" w:afterAutospacing="0" w:line="288" w:lineRule="auto"/>
        <w:jc w:val="both"/>
        <w:rPr>
          <w:sz w:val="22"/>
          <w:szCs w:val="22"/>
          <w:lang w:eastAsia="en-US"/>
        </w:rPr>
      </w:pPr>
    </w:p>
    <w:p w:rsidR="00F02CF8" w:rsidRDefault="00F02CF8" w:rsidP="007C610D">
      <w:pPr>
        <w:pStyle w:val="NormalWeb"/>
        <w:numPr>
          <w:ilvl w:val="0"/>
          <w:numId w:val="108"/>
        </w:numPr>
        <w:spacing w:before="0" w:beforeAutospacing="0" w:after="0" w:afterAutospacing="0" w:line="288" w:lineRule="auto"/>
        <w:ind w:left="567" w:hanging="567"/>
        <w:jc w:val="both"/>
        <w:rPr>
          <w:sz w:val="22"/>
          <w:szCs w:val="22"/>
        </w:rPr>
      </w:pPr>
      <w:r>
        <w:rPr>
          <w:sz w:val="22"/>
          <w:szCs w:val="22"/>
        </w:rPr>
        <w:t>advierte del riesgo que suponen la censura o la autocensura impuesta en internet;</w:t>
      </w:r>
    </w:p>
    <w:p w:rsidR="00742957" w:rsidRDefault="00742957" w:rsidP="007C610D">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rPr>
          <w:sz w:val="22"/>
          <w:szCs w:val="22"/>
        </w:rPr>
      </w:pPr>
      <w:r>
        <w:rPr>
          <w:sz w:val="22"/>
          <w:szCs w:val="22"/>
        </w:rPr>
        <w:t>está convencido de que las medidas propuestas deberían contribuir a mejorar la confianza en internet y, por lo tanto, garantizar el desarrollo económico de esta rama de la economía;</w:t>
      </w:r>
    </w:p>
    <w:p w:rsidR="00742957" w:rsidRDefault="00742957" w:rsidP="00742957">
      <w:pPr>
        <w:pStyle w:val="NormalWeb"/>
        <w:spacing w:before="0" w:beforeAutospacing="0" w:after="0" w:afterAutospacing="0" w:line="288" w:lineRule="auto"/>
        <w:rPr>
          <w:sz w:val="22"/>
          <w:szCs w:val="22"/>
          <w:lang w:eastAsia="en-US"/>
        </w:rPr>
      </w:pPr>
    </w:p>
    <w:p w:rsidR="00F02CF8" w:rsidRDefault="00F02CF8" w:rsidP="00742957">
      <w:pPr>
        <w:numPr>
          <w:ilvl w:val="0"/>
          <w:numId w:val="108"/>
        </w:numPr>
        <w:overflowPunct w:val="0"/>
        <w:autoSpaceDE w:val="0"/>
        <w:autoSpaceDN w:val="0"/>
        <w:adjustRightInd w:val="0"/>
        <w:ind w:left="567" w:hanging="567"/>
        <w:textAlignment w:val="baseline"/>
      </w:pPr>
      <w:r>
        <w:lastRenderedPageBreak/>
        <w:t>pone de manifiesto la necesidad de valorar los efectos de la aplicación de esta propuesta sobre las pequeñas y medianas empresas, así como la posibilidad de una aplicación transitoria que facilite la adaptación de las mismas y unas condiciones equitativas.</w:t>
      </w:r>
    </w:p>
    <w:p w:rsidR="00F02CF8" w:rsidRDefault="00F02CF8" w:rsidP="00F02CF8"/>
    <w:p w:rsidR="00F02CF8" w:rsidRDefault="00F02CF8" w:rsidP="007267B9">
      <w:pPr>
        <w:tabs>
          <w:tab w:val="left" w:pos="770"/>
        </w:tabs>
        <w:ind w:left="1701" w:hanging="1701"/>
        <w:rPr>
          <w:rStyle w:val="normal--char"/>
          <w:i/>
          <w:iCs/>
        </w:rPr>
      </w:pPr>
      <w:r>
        <w:rPr>
          <w:rStyle w:val="normal--char"/>
          <w:b/>
          <w:bCs/>
          <w:i/>
          <w:iCs/>
        </w:rPr>
        <w:t>Contacto:</w:t>
      </w:r>
      <w:r w:rsidR="000925F3">
        <w:rPr>
          <w:rStyle w:val="normal--char"/>
          <w:b/>
          <w:bCs/>
          <w:i/>
          <w:iCs/>
        </w:rPr>
        <w:tab/>
      </w:r>
      <w:r>
        <w:rPr>
          <w:rStyle w:val="normal--char"/>
          <w:bCs/>
          <w:i/>
          <w:iCs/>
        </w:rPr>
        <w:t>Annemarie Wiersma</w:t>
      </w:r>
    </w:p>
    <w:p w:rsidR="00F02CF8" w:rsidRPr="00B01C44" w:rsidRDefault="007267B9" w:rsidP="000925F3">
      <w:pPr>
        <w:tabs>
          <w:tab w:val="left" w:pos="1701"/>
        </w:tabs>
        <w:ind w:left="1701" w:hanging="1701"/>
      </w:pPr>
      <w:r>
        <w:rPr>
          <w:rStyle w:val="normal--char"/>
          <w:i/>
          <w:iCs/>
        </w:rPr>
        <w:tab/>
        <w:t>(Tel. 0032 2 546 9376 – correo electrónico:</w:t>
      </w:r>
      <w:hyperlink r:id="rId44" w:history="1">
        <w:r>
          <w:rPr>
            <w:rStyle w:val="Hyperlink"/>
          </w:rPr>
          <w:t xml:space="preserve"> </w:t>
        </w:r>
        <w:r>
          <w:rPr>
            <w:rStyle w:val="Hyperlink"/>
            <w:i/>
            <w:iCs/>
          </w:rPr>
          <w:t>annemarie.wiersma @eesc.europa.eu</w:t>
        </w:r>
      </w:hyperlink>
      <w:r>
        <w:rPr>
          <w:i/>
        </w:rPr>
        <w:t>)</w:t>
      </w:r>
    </w:p>
    <w:p w:rsidR="006522A0" w:rsidRPr="006522A0" w:rsidRDefault="006522A0" w:rsidP="006522A0">
      <w:pPr>
        <w:pStyle w:val="ListParagraph"/>
        <w:tabs>
          <w:tab w:val="left" w:pos="1701"/>
        </w:tabs>
        <w:ind w:left="567"/>
        <w:rPr>
          <w:lang w:val="en-GB"/>
        </w:rPr>
      </w:pPr>
    </w:p>
    <w:p w:rsidR="00D621E6" w:rsidRPr="00D621E6" w:rsidRDefault="00D621E6" w:rsidP="00D621E6">
      <w:pPr>
        <w:pStyle w:val="ListParagraph"/>
        <w:numPr>
          <w:ilvl w:val="0"/>
          <w:numId w:val="107"/>
        </w:numPr>
        <w:tabs>
          <w:tab w:val="left" w:pos="1701"/>
        </w:tabs>
        <w:ind w:left="567" w:hanging="567"/>
      </w:pPr>
      <w:r>
        <w:rPr>
          <w:b/>
          <w:bCs/>
          <w:i/>
          <w:iCs/>
          <w:sz w:val="28"/>
          <w:szCs w:val="28"/>
        </w:rPr>
        <w:t>Protección de los datos personales en el contexto de las elecciones al Parlamento Europeo</w:t>
      </w:r>
    </w:p>
    <w:p w:rsidR="00D621E6" w:rsidRDefault="00D621E6" w:rsidP="00D621E6">
      <w:pPr>
        <w:tabs>
          <w:tab w:val="left" w:pos="1701"/>
        </w:tabs>
        <w:rPr>
          <w:lang w:val="en-GB"/>
        </w:rPr>
      </w:pPr>
    </w:p>
    <w:p w:rsidR="00D621E6" w:rsidRPr="004138FC" w:rsidRDefault="00D621E6" w:rsidP="00D621E6">
      <w:r>
        <w:rPr>
          <w:b/>
        </w:rPr>
        <w:t>Ponente:</w:t>
      </w:r>
      <w:r>
        <w:t xml:space="preserve"> </w:t>
      </w:r>
      <w:r>
        <w:tab/>
      </w:r>
      <w:r w:rsidR="000925F3">
        <w:tab/>
      </w:r>
      <w:r>
        <w:t>Marina YANNAKOUDAKIS (Diversidad Europa – UK)</w:t>
      </w:r>
    </w:p>
    <w:p w:rsidR="00D621E6" w:rsidRDefault="00D621E6" w:rsidP="00D621E6">
      <w:pPr>
        <w:rPr>
          <w:b/>
          <w:bCs/>
        </w:rPr>
      </w:pPr>
    </w:p>
    <w:p w:rsidR="008762A0" w:rsidRPr="008762A0" w:rsidRDefault="00D621E6" w:rsidP="00D621E6">
      <w:pPr>
        <w:tabs>
          <w:tab w:val="left" w:pos="1701"/>
        </w:tabs>
        <w:rPr>
          <w:bCs/>
        </w:rPr>
      </w:pPr>
      <w:r>
        <w:rPr>
          <w:b/>
          <w:bCs/>
        </w:rPr>
        <w:t>Referencias:</w:t>
      </w:r>
      <w:r w:rsidR="000925F3">
        <w:rPr>
          <w:b/>
          <w:bCs/>
        </w:rPr>
        <w:tab/>
      </w:r>
      <w:r>
        <w:t>COM(2018) 636 final – 2018/0328 (COD)</w:t>
      </w:r>
    </w:p>
    <w:p w:rsidR="00D621E6" w:rsidRDefault="00D621E6" w:rsidP="00623A46">
      <w:pPr>
        <w:ind w:left="1701"/>
        <w:rPr>
          <w:bCs/>
        </w:rPr>
      </w:pPr>
      <w:r>
        <w:t>EESC-2018-05208-00-00-AC-TRA</w:t>
      </w:r>
    </w:p>
    <w:p w:rsidR="00D621E6" w:rsidRDefault="00D621E6" w:rsidP="00D621E6">
      <w:pPr>
        <w:tabs>
          <w:tab w:val="left" w:pos="1701"/>
        </w:tabs>
        <w:rPr>
          <w:bCs/>
        </w:rPr>
      </w:pPr>
    </w:p>
    <w:p w:rsidR="00D621E6" w:rsidRDefault="008762A0" w:rsidP="00F10ED6">
      <w:pPr>
        <w:keepNext/>
        <w:tabs>
          <w:tab w:val="left" w:pos="1701"/>
        </w:tabs>
        <w:rPr>
          <w:bCs/>
        </w:rPr>
      </w:pPr>
      <w:r>
        <w:rPr>
          <w:b/>
          <w:bCs/>
        </w:rPr>
        <w:t>Puntos clave</w:t>
      </w:r>
    </w:p>
    <w:p w:rsidR="008762A0" w:rsidRDefault="008762A0" w:rsidP="00F10ED6">
      <w:pPr>
        <w:keepNext/>
        <w:tabs>
          <w:tab w:val="left" w:pos="1701"/>
        </w:tabs>
        <w:rPr>
          <w:bCs/>
        </w:rPr>
      </w:pPr>
    </w:p>
    <w:p w:rsidR="000444BB" w:rsidRDefault="008762A0" w:rsidP="008762A0">
      <w:pPr>
        <w:numPr>
          <w:ilvl w:val="0"/>
          <w:numId w:val="118"/>
        </w:numPr>
        <w:overflowPunct w:val="0"/>
        <w:autoSpaceDE w:val="0"/>
        <w:autoSpaceDN w:val="0"/>
        <w:adjustRightInd w:val="0"/>
        <w:ind w:left="426"/>
        <w:textAlignment w:val="baseline"/>
      </w:pPr>
      <w:r>
        <w:t>Teniendo en cuenta los acontecimientos de 2018 en torno al caso Facebook/Cambridge Analytica sobre el presunto procesamiento ilegal de información personal, el CESE apoya los objetivos de la propuesta de la Comisión y está de acuerdo en que la democracia es uno de los valores fundamentales en los que se basa la UE.</w:t>
      </w:r>
    </w:p>
    <w:p w:rsidR="008762A0" w:rsidRPr="0082602E" w:rsidRDefault="008762A0" w:rsidP="000444BB">
      <w:pPr>
        <w:overflowPunct w:val="0"/>
        <w:autoSpaceDE w:val="0"/>
        <w:autoSpaceDN w:val="0"/>
        <w:adjustRightInd w:val="0"/>
        <w:ind w:left="66"/>
        <w:textAlignment w:val="baseline"/>
      </w:pPr>
      <w:r>
        <w:t xml:space="preserve"> </w:t>
      </w:r>
    </w:p>
    <w:p w:rsidR="008762A0" w:rsidRDefault="008762A0" w:rsidP="008762A0">
      <w:pPr>
        <w:numPr>
          <w:ilvl w:val="0"/>
          <w:numId w:val="118"/>
        </w:numPr>
        <w:overflowPunct w:val="0"/>
        <w:autoSpaceDE w:val="0"/>
        <w:autoSpaceDN w:val="0"/>
        <w:adjustRightInd w:val="0"/>
        <w:ind w:left="426"/>
        <w:textAlignment w:val="baseline"/>
      </w:pPr>
      <w:r>
        <w:t>El CESE reconoce que, en el mundo actual, la evolución de la tecnología, las redes sociales y el almacenamiento de datos personales por parte de las empresas en toda la UE son hechos consumados y pide que se actúe para proteger a los ciudadanos de la UE y garantizar la transparencia y la protección de los derechos humanos fundamentales de los ciudadanos.</w:t>
      </w:r>
    </w:p>
    <w:p w:rsidR="000444BB" w:rsidRPr="0082602E" w:rsidRDefault="000444BB" w:rsidP="000444BB">
      <w:pPr>
        <w:overflowPunct w:val="0"/>
        <w:autoSpaceDE w:val="0"/>
        <w:autoSpaceDN w:val="0"/>
        <w:adjustRightInd w:val="0"/>
        <w:ind w:left="66"/>
        <w:textAlignment w:val="baseline"/>
      </w:pPr>
    </w:p>
    <w:p w:rsidR="008762A0" w:rsidRDefault="008762A0" w:rsidP="008762A0">
      <w:pPr>
        <w:numPr>
          <w:ilvl w:val="0"/>
          <w:numId w:val="118"/>
        </w:numPr>
        <w:overflowPunct w:val="0"/>
        <w:autoSpaceDE w:val="0"/>
        <w:autoSpaceDN w:val="0"/>
        <w:adjustRightInd w:val="0"/>
        <w:ind w:left="426"/>
        <w:textAlignment w:val="baseline"/>
      </w:pPr>
      <w:r>
        <w:t>Permitir que la Autoridad para los partidos políticos europeos y las fundaciones políticas europeas (en lo sucesivo, «la Autoridad») pueda imponer sanciones es una forma de garantizar que los datos personales están protegidos y no se usan indebidamente para obtener beneficios políticos. La prioridad es garantizar que las elecciones se celebren en igualdad de condiciones y que ningún grupo pueda beneficiarse de las ventajas derivadas de la utilización de los datos.</w:t>
      </w:r>
    </w:p>
    <w:p w:rsidR="000444BB" w:rsidRPr="0082602E" w:rsidRDefault="000444BB" w:rsidP="000444BB">
      <w:pPr>
        <w:overflowPunct w:val="0"/>
        <w:autoSpaceDE w:val="0"/>
        <w:autoSpaceDN w:val="0"/>
        <w:adjustRightInd w:val="0"/>
        <w:ind w:left="66"/>
        <w:textAlignment w:val="baseline"/>
      </w:pPr>
    </w:p>
    <w:p w:rsidR="008762A0" w:rsidRDefault="008762A0" w:rsidP="008762A0">
      <w:pPr>
        <w:numPr>
          <w:ilvl w:val="0"/>
          <w:numId w:val="118"/>
        </w:numPr>
        <w:overflowPunct w:val="0"/>
        <w:autoSpaceDE w:val="0"/>
        <w:autoSpaceDN w:val="0"/>
        <w:adjustRightInd w:val="0"/>
        <w:ind w:left="426"/>
        <w:textAlignment w:val="baseline"/>
      </w:pPr>
      <w:r>
        <w:t>El CESE espera que la Autoridad investigue ámbitos en los que pueden tener lugar infracciones y proponga métodos para ponerles fin y establecer controles adecuados que garanticen una protección de datos y un uso de los datos dentro de parámetros bien definidos.</w:t>
      </w:r>
    </w:p>
    <w:p w:rsidR="000444BB" w:rsidRPr="0082602E" w:rsidRDefault="000444BB" w:rsidP="000444BB">
      <w:pPr>
        <w:overflowPunct w:val="0"/>
        <w:autoSpaceDE w:val="0"/>
        <w:autoSpaceDN w:val="0"/>
        <w:adjustRightInd w:val="0"/>
        <w:ind w:left="66"/>
        <w:textAlignment w:val="baseline"/>
      </w:pPr>
    </w:p>
    <w:p w:rsidR="008762A0" w:rsidRDefault="008762A0" w:rsidP="008762A0">
      <w:pPr>
        <w:numPr>
          <w:ilvl w:val="0"/>
          <w:numId w:val="118"/>
        </w:numPr>
        <w:overflowPunct w:val="0"/>
        <w:autoSpaceDE w:val="0"/>
        <w:autoSpaceDN w:val="0"/>
        <w:adjustRightInd w:val="0"/>
        <w:ind w:left="426"/>
        <w:textAlignment w:val="baseline"/>
      </w:pPr>
      <w:r>
        <w:t>Para asegurarse de que la Autoridad funciona correctamente, ha de contarse con parámetros seguros en lo que respecta a sus atribuciones y competencias. En la actualidad, las autoridades de protección de datos de los Estados miembros actúan para garantizar que los partidos políticos no hagan un mal uso de los datos. Las condiciones de la cooperación entre la Autoridad y las autoridades nacionales de protección de datos deberán definirse de forma adecuada.</w:t>
      </w:r>
    </w:p>
    <w:p w:rsidR="000444BB" w:rsidRPr="0082602E" w:rsidRDefault="000444BB" w:rsidP="000444BB">
      <w:pPr>
        <w:overflowPunct w:val="0"/>
        <w:autoSpaceDE w:val="0"/>
        <w:autoSpaceDN w:val="0"/>
        <w:adjustRightInd w:val="0"/>
        <w:ind w:left="66"/>
        <w:textAlignment w:val="baseline"/>
      </w:pPr>
    </w:p>
    <w:p w:rsidR="000444BB" w:rsidRDefault="008762A0" w:rsidP="008762A0">
      <w:pPr>
        <w:numPr>
          <w:ilvl w:val="0"/>
          <w:numId w:val="118"/>
        </w:numPr>
        <w:overflowPunct w:val="0"/>
        <w:autoSpaceDE w:val="0"/>
        <w:autoSpaceDN w:val="0"/>
        <w:adjustRightInd w:val="0"/>
        <w:ind w:left="426"/>
        <w:textAlignment w:val="baseline"/>
      </w:pPr>
      <w:r>
        <w:lastRenderedPageBreak/>
        <w:t>Las autoridades de protección de datos de muchos Estados miembros disponen de recursos limitados y la Comisión debería sopesar su financiación para permitirles colaborar con la Autoridad.</w:t>
      </w:r>
    </w:p>
    <w:p w:rsidR="008762A0" w:rsidRPr="0082602E" w:rsidRDefault="008762A0" w:rsidP="000444BB">
      <w:pPr>
        <w:overflowPunct w:val="0"/>
        <w:autoSpaceDE w:val="0"/>
        <w:autoSpaceDN w:val="0"/>
        <w:adjustRightInd w:val="0"/>
        <w:ind w:left="66"/>
        <w:textAlignment w:val="baseline"/>
      </w:pPr>
      <w:r>
        <w:t xml:space="preserve"> </w:t>
      </w:r>
    </w:p>
    <w:p w:rsidR="008762A0" w:rsidRDefault="008762A0" w:rsidP="008762A0">
      <w:pPr>
        <w:numPr>
          <w:ilvl w:val="0"/>
          <w:numId w:val="118"/>
        </w:numPr>
        <w:overflowPunct w:val="0"/>
        <w:autoSpaceDE w:val="0"/>
        <w:autoSpaceDN w:val="0"/>
        <w:adjustRightInd w:val="0"/>
        <w:ind w:left="426"/>
        <w:textAlignment w:val="baseline"/>
      </w:pPr>
      <w:r>
        <w:t>El CESE apoya el aumento de efectivos de la Autoridad, por considerar que este personal estará en mejores condiciones de cooperar con las autoridades nacionales de protección de datos para garantizar que las infracciones se investiguen debidamente y que, cuando se detecten, se apliquen sanciones.</w:t>
      </w:r>
    </w:p>
    <w:p w:rsidR="000444BB" w:rsidRPr="0082602E" w:rsidRDefault="000444BB" w:rsidP="000444BB">
      <w:pPr>
        <w:overflowPunct w:val="0"/>
        <w:autoSpaceDE w:val="0"/>
        <w:autoSpaceDN w:val="0"/>
        <w:adjustRightInd w:val="0"/>
        <w:ind w:left="66"/>
        <w:textAlignment w:val="baseline"/>
      </w:pPr>
    </w:p>
    <w:p w:rsidR="008762A0" w:rsidRPr="008762A0" w:rsidRDefault="008762A0" w:rsidP="008762A0">
      <w:pPr>
        <w:pStyle w:val="ListParagraph"/>
        <w:numPr>
          <w:ilvl w:val="0"/>
          <w:numId w:val="118"/>
        </w:numPr>
        <w:tabs>
          <w:tab w:val="left" w:pos="1701"/>
        </w:tabs>
        <w:ind w:left="426"/>
        <w:rPr>
          <w:bCs/>
        </w:rPr>
      </w:pPr>
      <w:r>
        <w:t>El CESE reconoce que los procedimientos para las elecciones al Parlamento Europeo están regulados por cada Estado miembro en el marco de la UE. El CESE confía asimismo en que las infracciones de las normas de protección de datos sean puestas en conocimiento de la Autoridad por las autoridades nacionales de protección de datos o por partes interesadas.</w:t>
      </w:r>
    </w:p>
    <w:p w:rsidR="00D621E6" w:rsidRDefault="00D621E6" w:rsidP="00D621E6">
      <w:pPr>
        <w:tabs>
          <w:tab w:val="left" w:pos="1701"/>
        </w:tabs>
        <w:rPr>
          <w:bCs/>
        </w:rPr>
      </w:pPr>
    </w:p>
    <w:p w:rsidR="008762A0" w:rsidRDefault="008762A0" w:rsidP="008762A0">
      <w:pPr>
        <w:tabs>
          <w:tab w:val="left" w:pos="770"/>
          <w:tab w:val="left" w:pos="1701"/>
        </w:tabs>
        <w:ind w:left="1430" w:hanging="1430"/>
        <w:rPr>
          <w:rStyle w:val="normal--char"/>
          <w:i/>
          <w:iCs/>
        </w:rPr>
      </w:pPr>
      <w:r>
        <w:rPr>
          <w:rStyle w:val="normal--char"/>
          <w:b/>
          <w:bCs/>
          <w:i/>
          <w:iCs/>
        </w:rPr>
        <w:t>Contacto:</w:t>
      </w:r>
      <w:r w:rsidR="000925F3">
        <w:rPr>
          <w:rStyle w:val="normal--char"/>
          <w:b/>
          <w:bCs/>
          <w:i/>
          <w:iCs/>
        </w:rPr>
        <w:tab/>
      </w:r>
      <w:r>
        <w:rPr>
          <w:rStyle w:val="normal--char"/>
          <w:bCs/>
          <w:i/>
          <w:iCs/>
        </w:rPr>
        <w:t>Annemarie Wiersma</w:t>
      </w:r>
    </w:p>
    <w:p w:rsidR="008762A0" w:rsidRDefault="008762A0" w:rsidP="000925F3">
      <w:pPr>
        <w:tabs>
          <w:tab w:val="left" w:pos="770"/>
          <w:tab w:val="left" w:pos="1701"/>
        </w:tabs>
        <w:ind w:left="1430" w:hanging="1430"/>
        <w:rPr>
          <w:bCs/>
        </w:rPr>
      </w:pPr>
      <w:r>
        <w:rPr>
          <w:rStyle w:val="normal--char"/>
          <w:i/>
          <w:iCs/>
        </w:rPr>
        <w:tab/>
      </w:r>
      <w:r w:rsidR="000925F3">
        <w:rPr>
          <w:rStyle w:val="normal--char"/>
          <w:i/>
          <w:iCs/>
        </w:rPr>
        <w:tab/>
      </w:r>
      <w:r>
        <w:rPr>
          <w:rStyle w:val="normal--char"/>
          <w:i/>
          <w:iCs/>
        </w:rPr>
        <w:t>(Tel. 0032 2 546 9376 – correo electrónico:</w:t>
      </w:r>
      <w:hyperlink r:id="rId45" w:history="1">
        <w:r>
          <w:rPr>
            <w:rStyle w:val="Hyperlink"/>
          </w:rPr>
          <w:t xml:space="preserve"> </w:t>
        </w:r>
        <w:r>
          <w:rPr>
            <w:rStyle w:val="Hyperlink"/>
            <w:i/>
            <w:iCs/>
          </w:rPr>
          <w:t>annemarie.wiersma @eesc.europa.eu</w:t>
        </w:r>
      </w:hyperlink>
      <w:r>
        <w:rPr>
          <w:i/>
        </w:rPr>
        <w:t>)</w:t>
      </w:r>
    </w:p>
    <w:p w:rsidR="00395C7C" w:rsidRDefault="00395C7C" w:rsidP="00E4661C">
      <w:pPr>
        <w:ind w:firstLine="567"/>
      </w:pPr>
    </w:p>
    <w:p w:rsidR="008E0E0E" w:rsidRDefault="00EC7796" w:rsidP="00EC7796">
      <w:pPr>
        <w:pStyle w:val="Heading1"/>
        <w:rPr>
          <w:b/>
        </w:rPr>
      </w:pPr>
      <w:r>
        <w:tab/>
      </w:r>
      <w:bookmarkStart w:id="169" w:name="_Toc535577284"/>
      <w:r>
        <w:rPr>
          <w:b/>
        </w:rPr>
        <w:t>COMISIÓN CONSULTIVA DE LAS TRANSFORMACIONES INDUSTRIALES</w:t>
      </w:r>
      <w:bookmarkEnd w:id="169"/>
    </w:p>
    <w:p w:rsidR="00A53343" w:rsidRDefault="00A53343" w:rsidP="00A53343"/>
    <w:p w:rsidR="00A53343" w:rsidRPr="00A53343" w:rsidRDefault="00A53343" w:rsidP="00A53343">
      <w:pPr>
        <w:pStyle w:val="ListParagraph"/>
        <w:numPr>
          <w:ilvl w:val="0"/>
          <w:numId w:val="107"/>
        </w:numPr>
        <w:ind w:left="567" w:hanging="567"/>
        <w:jc w:val="left"/>
      </w:pPr>
      <w:r>
        <w:rPr>
          <w:b/>
          <w:i/>
          <w:color w:val="000000"/>
          <w:sz w:val="28"/>
          <w:szCs w:val="28"/>
        </w:rPr>
        <w:t>Factores de competitividad del sector europeo de la madera</w:t>
      </w:r>
    </w:p>
    <w:p w:rsidR="00A53343" w:rsidRDefault="00A53343" w:rsidP="00A53343">
      <w:pPr>
        <w:jc w:val="left"/>
        <w:rPr>
          <w:lang w:val="fr-FR"/>
        </w:rPr>
      </w:pPr>
    </w:p>
    <w:p w:rsidR="00A53343" w:rsidRPr="00185E03" w:rsidRDefault="00A53343" w:rsidP="00A53343">
      <w:pPr>
        <w:tabs>
          <w:tab w:val="left" w:pos="1701"/>
        </w:tabs>
        <w:overflowPunct w:val="0"/>
        <w:autoSpaceDE w:val="0"/>
        <w:autoSpaceDN w:val="0"/>
        <w:adjustRightInd w:val="0"/>
        <w:ind w:left="-39"/>
        <w:textAlignment w:val="baseline"/>
        <w:rPr>
          <w:szCs w:val="20"/>
        </w:rPr>
      </w:pPr>
      <w:r>
        <w:rPr>
          <w:b/>
          <w:szCs w:val="20"/>
        </w:rPr>
        <w:t>Ponente</w:t>
      </w:r>
      <w:r w:rsidR="000925F3">
        <w:rPr>
          <w:b/>
          <w:szCs w:val="20"/>
        </w:rPr>
        <w:t>:</w:t>
      </w:r>
      <w:r w:rsidR="000925F3">
        <w:rPr>
          <w:b/>
          <w:szCs w:val="20"/>
        </w:rPr>
        <w:tab/>
      </w:r>
      <w:r>
        <w:t>Marian KRZAKLEWSKI (Trabajadores – PL)</w:t>
      </w:r>
    </w:p>
    <w:p w:rsidR="00A53343" w:rsidRPr="00185E03" w:rsidRDefault="00A53343" w:rsidP="00A53343">
      <w:pPr>
        <w:tabs>
          <w:tab w:val="left" w:pos="1701"/>
        </w:tabs>
        <w:overflowPunct w:val="0"/>
        <w:autoSpaceDE w:val="0"/>
        <w:autoSpaceDN w:val="0"/>
        <w:adjustRightInd w:val="0"/>
        <w:ind w:left="-39"/>
        <w:textAlignment w:val="baseline"/>
        <w:rPr>
          <w:szCs w:val="20"/>
        </w:rPr>
      </w:pPr>
      <w:r>
        <w:rPr>
          <w:b/>
          <w:bCs/>
          <w:szCs w:val="20"/>
        </w:rPr>
        <w:t>Coponente:</w:t>
      </w:r>
      <w:r>
        <w:t xml:space="preserve"> </w:t>
      </w:r>
      <w:r>
        <w:tab/>
        <w:t>Patrizio PESCI (Cat. 1 – IT)</w:t>
      </w:r>
    </w:p>
    <w:p w:rsidR="00A53343" w:rsidRDefault="00A53343" w:rsidP="00A53343">
      <w:pPr>
        <w:overflowPunct w:val="0"/>
        <w:autoSpaceDE w:val="0"/>
        <w:autoSpaceDN w:val="0"/>
        <w:adjustRightInd w:val="0"/>
        <w:ind w:left="-39"/>
        <w:textAlignment w:val="baseline"/>
        <w:rPr>
          <w:b/>
          <w:bCs/>
          <w:szCs w:val="20"/>
          <w:lang w:val="en-GB"/>
        </w:rPr>
      </w:pPr>
    </w:p>
    <w:p w:rsidR="00F622A7" w:rsidRPr="00F622A7" w:rsidRDefault="00A53343" w:rsidP="00FE15E3">
      <w:pPr>
        <w:tabs>
          <w:tab w:val="left" w:pos="1701"/>
        </w:tabs>
        <w:overflowPunct w:val="0"/>
        <w:autoSpaceDE w:val="0"/>
        <w:autoSpaceDN w:val="0"/>
        <w:adjustRightInd w:val="0"/>
        <w:ind w:left="-39"/>
        <w:textAlignment w:val="baseline"/>
        <w:rPr>
          <w:szCs w:val="20"/>
        </w:rPr>
      </w:pPr>
      <w:r>
        <w:rPr>
          <w:b/>
        </w:rPr>
        <w:t>Referencia:</w:t>
      </w:r>
      <w:r>
        <w:rPr>
          <w:b/>
          <w:szCs w:val="20"/>
        </w:rPr>
        <w:tab/>
      </w:r>
      <w:r>
        <w:t>Documento informativo</w:t>
      </w:r>
    </w:p>
    <w:p w:rsidR="00A53343" w:rsidRDefault="00A53343" w:rsidP="00623A46">
      <w:pPr>
        <w:ind w:left="1701"/>
        <w:rPr>
          <w:szCs w:val="20"/>
        </w:rPr>
      </w:pPr>
      <w:r>
        <w:t>EESC-2018-01043-00-01-RI-TRA</w:t>
      </w:r>
    </w:p>
    <w:p w:rsidR="00A53343" w:rsidRDefault="00A53343" w:rsidP="00A53343">
      <w:pPr>
        <w:overflowPunct w:val="0"/>
        <w:autoSpaceDE w:val="0"/>
        <w:autoSpaceDN w:val="0"/>
        <w:adjustRightInd w:val="0"/>
        <w:ind w:left="-39"/>
        <w:textAlignment w:val="baseline"/>
        <w:rPr>
          <w:b/>
          <w:szCs w:val="20"/>
        </w:rPr>
      </w:pPr>
    </w:p>
    <w:p w:rsidR="00A53343" w:rsidRDefault="00A53343" w:rsidP="00A53343">
      <w:pPr>
        <w:overflowPunct w:val="0"/>
        <w:autoSpaceDE w:val="0"/>
        <w:autoSpaceDN w:val="0"/>
        <w:adjustRightInd w:val="0"/>
        <w:ind w:left="-39"/>
        <w:textAlignment w:val="baseline"/>
        <w:rPr>
          <w:b/>
          <w:szCs w:val="20"/>
        </w:rPr>
      </w:pPr>
      <w:r>
        <w:rPr>
          <w:b/>
          <w:szCs w:val="20"/>
        </w:rPr>
        <w:t>Puntos clave</w:t>
      </w:r>
    </w:p>
    <w:p w:rsidR="00A53343" w:rsidRDefault="00A53343" w:rsidP="00A53343">
      <w:pPr>
        <w:overflowPunct w:val="0"/>
        <w:autoSpaceDE w:val="0"/>
        <w:autoSpaceDN w:val="0"/>
        <w:adjustRightInd w:val="0"/>
        <w:ind w:left="-39"/>
        <w:textAlignment w:val="baseline"/>
        <w:rPr>
          <w:szCs w:val="20"/>
        </w:rPr>
      </w:pPr>
    </w:p>
    <w:p w:rsidR="00A53343" w:rsidRPr="00A53343" w:rsidRDefault="00A53343" w:rsidP="00A53343">
      <w:pPr>
        <w:pStyle w:val="ListParagraph"/>
        <w:numPr>
          <w:ilvl w:val="0"/>
          <w:numId w:val="107"/>
        </w:numPr>
        <w:overflowPunct w:val="0"/>
        <w:autoSpaceDE w:val="0"/>
        <w:autoSpaceDN w:val="0"/>
        <w:adjustRightInd w:val="0"/>
        <w:ind w:left="567" w:hanging="567"/>
        <w:textAlignment w:val="baseline"/>
        <w:rPr>
          <w:szCs w:val="20"/>
        </w:rPr>
      </w:pPr>
      <w:r>
        <w:t>El Comité recomienda que los Estados miembros deberían crear un entorno legislativo favorable que fomente el uso de productos de la madera sabiendo que los materiales de madera pueden sustituir a materiales más intensivos en términos de emisiones de gases de efecto invernadero y pueden desempeñar un papel decisivo en el ciclo mundial del carbono y la lucha contra el cambio climático.</w:t>
      </w:r>
    </w:p>
    <w:p w:rsidR="00A53343" w:rsidRDefault="00A53343" w:rsidP="00A53343">
      <w:pPr>
        <w:overflowPunct w:val="0"/>
        <w:autoSpaceDE w:val="0"/>
        <w:autoSpaceDN w:val="0"/>
        <w:adjustRightInd w:val="0"/>
        <w:textAlignment w:val="baseline"/>
        <w:rPr>
          <w:szCs w:val="20"/>
        </w:rPr>
      </w:pPr>
    </w:p>
    <w:p w:rsidR="00A53343" w:rsidRPr="00A53343" w:rsidRDefault="00A53343" w:rsidP="00A53343">
      <w:pPr>
        <w:pStyle w:val="ListParagraph"/>
        <w:numPr>
          <w:ilvl w:val="0"/>
          <w:numId w:val="107"/>
        </w:numPr>
        <w:overflowPunct w:val="0"/>
        <w:autoSpaceDE w:val="0"/>
        <w:autoSpaceDN w:val="0"/>
        <w:adjustRightInd w:val="0"/>
        <w:ind w:left="567" w:hanging="567"/>
        <w:textAlignment w:val="baseline"/>
        <w:rPr>
          <w:szCs w:val="20"/>
        </w:rPr>
      </w:pPr>
      <w:r>
        <w:t>El CESE considera que toda la madera que entre en Europa debe estar certificada al tiempo que es necesario introducir otras innovaciones en el abastecimiento de materias primas de la madera y que los fondos europeos de I+D deben encauzarse para apoyar aplicaciones nuevas e innovadoras de las especies de madera dura, por ejemplo, aumentando el uso de la madera en edificios residenciales y no residenciales para impulsar la competitividad del sector maderero.</w:t>
      </w:r>
    </w:p>
    <w:p w:rsidR="00A53343" w:rsidRDefault="00A53343" w:rsidP="00A53343">
      <w:pPr>
        <w:overflowPunct w:val="0"/>
        <w:autoSpaceDE w:val="0"/>
        <w:autoSpaceDN w:val="0"/>
        <w:adjustRightInd w:val="0"/>
        <w:textAlignment w:val="baseline"/>
        <w:rPr>
          <w:szCs w:val="20"/>
        </w:rPr>
      </w:pPr>
    </w:p>
    <w:p w:rsidR="00A53343" w:rsidRPr="00A53343" w:rsidRDefault="00A53343" w:rsidP="00A53343">
      <w:pPr>
        <w:pStyle w:val="ListParagraph"/>
        <w:numPr>
          <w:ilvl w:val="0"/>
          <w:numId w:val="110"/>
        </w:numPr>
        <w:overflowPunct w:val="0"/>
        <w:autoSpaceDE w:val="0"/>
        <w:autoSpaceDN w:val="0"/>
        <w:adjustRightInd w:val="0"/>
        <w:ind w:left="567" w:hanging="567"/>
        <w:textAlignment w:val="baseline"/>
        <w:rPr>
          <w:szCs w:val="20"/>
        </w:rPr>
      </w:pPr>
      <w:r>
        <w:t xml:space="preserve">A fin de responder a la falta de mano de obra cualificada en el sector del aprovechamiento forestal que está repercutiendo negativamente en la disponibilidad de madera, la DG competente de la Comisión Europea debería encargar un estudio de la UE sobre el tema «Determinación del crecimiento actual y futuro del empleo y del sector y determinación de las necesidades actuales </w:t>
      </w:r>
      <w:r>
        <w:lastRenderedPageBreak/>
        <w:t>y futuras de recursos humanos, desarrollo de capacidades y requisitos de formación en las industrias de la madera».</w:t>
      </w:r>
    </w:p>
    <w:p w:rsidR="00A53343" w:rsidRDefault="00A53343" w:rsidP="00A53343">
      <w:pPr>
        <w:overflowPunct w:val="0"/>
        <w:autoSpaceDE w:val="0"/>
        <w:autoSpaceDN w:val="0"/>
        <w:adjustRightInd w:val="0"/>
        <w:textAlignment w:val="baseline"/>
        <w:rPr>
          <w:szCs w:val="20"/>
        </w:rPr>
      </w:pPr>
    </w:p>
    <w:p w:rsidR="00A53343" w:rsidRPr="00A53343" w:rsidRDefault="00A53343" w:rsidP="00A53343">
      <w:pPr>
        <w:pStyle w:val="ListParagraph"/>
        <w:numPr>
          <w:ilvl w:val="0"/>
          <w:numId w:val="110"/>
        </w:numPr>
        <w:tabs>
          <w:tab w:val="left" w:pos="567"/>
        </w:tabs>
        <w:overflowPunct w:val="0"/>
        <w:autoSpaceDE w:val="0"/>
        <w:autoSpaceDN w:val="0"/>
        <w:adjustRightInd w:val="0"/>
        <w:ind w:left="567" w:hanging="567"/>
        <w:textAlignment w:val="baseline"/>
        <w:rPr>
          <w:szCs w:val="20"/>
        </w:rPr>
      </w:pPr>
      <w:r>
        <w:t>Los Estados miembros y las comunidades locales deberían colaborar con las industrias de la madera y deberían garantizar programas de educación, formación y cualificación adecuados, que permitan impartir las competencias profesionales mínimas y las normas en materia de salud y seguridad vinculadas a la explotación maderera, en particular en el ámbito del aprovechamiento de los bosques. Los gobiernos deberían prestar apoyo financiero a los programas de aprendizaje permanente.</w:t>
      </w:r>
    </w:p>
    <w:p w:rsidR="00A53343" w:rsidRDefault="00A53343" w:rsidP="00A53343">
      <w:pPr>
        <w:tabs>
          <w:tab w:val="left" w:pos="567"/>
        </w:tabs>
        <w:overflowPunct w:val="0"/>
        <w:autoSpaceDE w:val="0"/>
        <w:autoSpaceDN w:val="0"/>
        <w:adjustRightInd w:val="0"/>
        <w:textAlignment w:val="baseline"/>
        <w:rPr>
          <w:szCs w:val="20"/>
        </w:rPr>
      </w:pPr>
    </w:p>
    <w:p w:rsidR="00A53343" w:rsidRPr="00A53343" w:rsidRDefault="00A53343" w:rsidP="00A53343">
      <w:pPr>
        <w:pStyle w:val="ListParagraph"/>
        <w:numPr>
          <w:ilvl w:val="0"/>
          <w:numId w:val="111"/>
        </w:numPr>
        <w:tabs>
          <w:tab w:val="left" w:pos="567"/>
        </w:tabs>
        <w:overflowPunct w:val="0"/>
        <w:autoSpaceDE w:val="0"/>
        <w:autoSpaceDN w:val="0"/>
        <w:adjustRightInd w:val="0"/>
        <w:ind w:left="567" w:hanging="567"/>
        <w:textAlignment w:val="baseline"/>
        <w:rPr>
          <w:szCs w:val="20"/>
        </w:rPr>
      </w:pPr>
      <w:r>
        <w:t>Se pide a la Comisión Europea que elabore un estudio sobre los beneficios climáticos, económicos y sociales de la utilización de productos madereros de origen local incluida la gestión forestal.</w:t>
      </w:r>
    </w:p>
    <w:p w:rsidR="00A53343" w:rsidRDefault="00A53343" w:rsidP="00A53343">
      <w:pPr>
        <w:tabs>
          <w:tab w:val="left" w:pos="567"/>
        </w:tabs>
        <w:overflowPunct w:val="0"/>
        <w:autoSpaceDE w:val="0"/>
        <w:autoSpaceDN w:val="0"/>
        <w:adjustRightInd w:val="0"/>
        <w:textAlignment w:val="baseline"/>
        <w:rPr>
          <w:szCs w:val="20"/>
        </w:rPr>
      </w:pPr>
    </w:p>
    <w:p w:rsidR="00A53343" w:rsidRPr="00A53343" w:rsidRDefault="00A53343" w:rsidP="00A53343">
      <w:pPr>
        <w:tabs>
          <w:tab w:val="left" w:pos="1701"/>
        </w:tabs>
        <w:overflowPunct w:val="0"/>
        <w:autoSpaceDE w:val="0"/>
        <w:autoSpaceDN w:val="0"/>
        <w:adjustRightInd w:val="0"/>
        <w:textAlignment w:val="baseline"/>
        <w:rPr>
          <w:i/>
          <w:szCs w:val="20"/>
        </w:rPr>
      </w:pPr>
      <w:r>
        <w:rPr>
          <w:b/>
          <w:i/>
          <w:szCs w:val="20"/>
        </w:rPr>
        <w:t>Contacto:</w:t>
      </w:r>
      <w:r>
        <w:rPr>
          <w:i/>
          <w:szCs w:val="20"/>
        </w:rPr>
        <w:tab/>
        <w:t>Christophe Lesniak</w:t>
      </w:r>
    </w:p>
    <w:p w:rsidR="00A53343" w:rsidRDefault="00A53343" w:rsidP="00A53343">
      <w:pPr>
        <w:tabs>
          <w:tab w:val="left" w:pos="567"/>
          <w:tab w:val="left" w:pos="1701"/>
        </w:tabs>
        <w:overflowPunct w:val="0"/>
        <w:autoSpaceDE w:val="0"/>
        <w:autoSpaceDN w:val="0"/>
        <w:adjustRightInd w:val="0"/>
        <w:textAlignment w:val="baseline"/>
        <w:rPr>
          <w:i/>
          <w:szCs w:val="20"/>
        </w:rPr>
      </w:pPr>
      <w:r>
        <w:rPr>
          <w:i/>
          <w:szCs w:val="20"/>
        </w:rPr>
        <w:tab/>
      </w:r>
      <w:r>
        <w:rPr>
          <w:i/>
          <w:szCs w:val="20"/>
        </w:rPr>
        <w:tab/>
        <w:t xml:space="preserve">(Tel. 00 32 2 546 8215 - correo electrónico: </w:t>
      </w:r>
      <w:hyperlink r:id="rId46" w:history="1">
        <w:r>
          <w:rPr>
            <w:rStyle w:val="Hyperlink"/>
            <w:i/>
            <w:szCs w:val="20"/>
          </w:rPr>
          <w:t>Christophe.Lesniak@eesc.europa.eu</w:t>
        </w:r>
      </w:hyperlink>
      <w:r>
        <w:rPr>
          <w:i/>
          <w:szCs w:val="20"/>
        </w:rPr>
        <w:t>)</w:t>
      </w:r>
    </w:p>
    <w:p w:rsidR="00A53343" w:rsidRDefault="00A53343" w:rsidP="00A53343">
      <w:pPr>
        <w:tabs>
          <w:tab w:val="left" w:pos="567"/>
          <w:tab w:val="left" w:pos="1701"/>
        </w:tabs>
        <w:overflowPunct w:val="0"/>
        <w:autoSpaceDE w:val="0"/>
        <w:autoSpaceDN w:val="0"/>
        <w:adjustRightInd w:val="0"/>
        <w:textAlignment w:val="baseline"/>
        <w:rPr>
          <w:szCs w:val="20"/>
          <w:lang w:val="fr-FR"/>
        </w:rPr>
      </w:pPr>
    </w:p>
    <w:p w:rsidR="00234D89" w:rsidRPr="00234D89" w:rsidRDefault="00234D89" w:rsidP="00234D89">
      <w:pPr>
        <w:pStyle w:val="ListParagraph"/>
        <w:numPr>
          <w:ilvl w:val="0"/>
          <w:numId w:val="111"/>
        </w:numPr>
        <w:tabs>
          <w:tab w:val="left" w:pos="567"/>
          <w:tab w:val="left" w:pos="1701"/>
        </w:tabs>
        <w:overflowPunct w:val="0"/>
        <w:autoSpaceDE w:val="0"/>
        <w:autoSpaceDN w:val="0"/>
        <w:adjustRightInd w:val="0"/>
        <w:ind w:left="567" w:hanging="567"/>
        <w:textAlignment w:val="baseline"/>
        <w:rPr>
          <w:szCs w:val="20"/>
        </w:rPr>
      </w:pPr>
      <w:r>
        <w:rPr>
          <w:b/>
          <w:i/>
          <w:sz w:val="28"/>
          <w:szCs w:val="28"/>
        </w:rPr>
        <w:t>Una bioeconomía sostenible e inclusiva: nuevas oportunidades para la economía europea</w:t>
      </w:r>
    </w:p>
    <w:p w:rsidR="00234D89" w:rsidRDefault="00234D89" w:rsidP="00234D89">
      <w:pPr>
        <w:tabs>
          <w:tab w:val="left" w:pos="567"/>
          <w:tab w:val="left" w:pos="1701"/>
        </w:tabs>
        <w:overflowPunct w:val="0"/>
        <w:autoSpaceDE w:val="0"/>
        <w:autoSpaceDN w:val="0"/>
        <w:adjustRightInd w:val="0"/>
        <w:textAlignment w:val="baseline"/>
        <w:rPr>
          <w:szCs w:val="20"/>
          <w:lang w:val="fr-FR"/>
        </w:rPr>
      </w:pPr>
    </w:p>
    <w:p w:rsidR="00234D89" w:rsidRDefault="00234D89" w:rsidP="00234D89">
      <w:pPr>
        <w:tabs>
          <w:tab w:val="left" w:pos="1701"/>
        </w:tabs>
        <w:ind w:left="-39"/>
      </w:pPr>
      <w:r>
        <w:rPr>
          <w:b/>
        </w:rPr>
        <w:t>Ponente:</w:t>
      </w:r>
      <w:r w:rsidR="000925F3">
        <w:rPr>
          <w:b/>
        </w:rPr>
        <w:tab/>
      </w:r>
      <w:r>
        <w:t>Mindaugas MACIULEVIČIUS (Diversidad Europa – LT)</w:t>
      </w:r>
    </w:p>
    <w:p w:rsidR="00234D89" w:rsidRPr="00F420D8" w:rsidRDefault="00234D89" w:rsidP="00234D89">
      <w:pPr>
        <w:ind w:left="-39"/>
        <w:rPr>
          <w:b/>
        </w:rPr>
      </w:pPr>
      <w:r>
        <w:rPr>
          <w:b/>
          <w:bCs/>
        </w:rPr>
        <w:t>Coponente:</w:t>
      </w:r>
      <w:r>
        <w:t xml:space="preserve"> </w:t>
      </w:r>
      <w:r>
        <w:tab/>
      </w:r>
      <w:r w:rsidR="000925F3">
        <w:tab/>
      </w:r>
      <w:r>
        <w:t>Estelle BRENTNALL (Cat. 2 – BE)</w:t>
      </w:r>
    </w:p>
    <w:p w:rsidR="00234D89" w:rsidRDefault="00234D89" w:rsidP="00234D89">
      <w:pPr>
        <w:ind w:left="-39"/>
        <w:rPr>
          <w:b/>
          <w:bCs/>
        </w:rPr>
      </w:pPr>
    </w:p>
    <w:p w:rsidR="003A29B6" w:rsidRPr="003A29B6" w:rsidRDefault="00234D89" w:rsidP="00234D89">
      <w:pPr>
        <w:ind w:left="-39"/>
      </w:pPr>
      <w:r>
        <w:rPr>
          <w:b/>
        </w:rPr>
        <w:t>Referencia:</w:t>
      </w:r>
      <w:r w:rsidR="000925F3">
        <w:rPr>
          <w:b/>
        </w:rPr>
        <w:tab/>
      </w:r>
      <w:r w:rsidR="000925F3">
        <w:rPr>
          <w:b/>
        </w:rPr>
        <w:tab/>
      </w:r>
      <w:r>
        <w:t>Dictamen de iniciativa</w:t>
      </w:r>
    </w:p>
    <w:p w:rsidR="00234D89" w:rsidRDefault="00234D89" w:rsidP="00623A46">
      <w:pPr>
        <w:ind w:left="1701"/>
      </w:pPr>
      <w:r>
        <w:t>EESC-2018-01021-00-00-AC-TRA</w:t>
      </w:r>
    </w:p>
    <w:p w:rsidR="00234D89" w:rsidRDefault="00234D89" w:rsidP="00234D89">
      <w:pPr>
        <w:ind w:left="-39"/>
        <w:rPr>
          <w:b/>
        </w:rPr>
      </w:pPr>
    </w:p>
    <w:p w:rsidR="00234D89" w:rsidRDefault="00234D89" w:rsidP="00234D89">
      <w:pPr>
        <w:ind w:left="-39"/>
        <w:rPr>
          <w:b/>
        </w:rPr>
      </w:pPr>
      <w:r>
        <w:rPr>
          <w:b/>
        </w:rPr>
        <w:t>Puntos clave</w:t>
      </w:r>
    </w:p>
    <w:p w:rsidR="00234D89" w:rsidRDefault="00234D89" w:rsidP="00234D89">
      <w:pPr>
        <w:ind w:left="-39"/>
        <w:rPr>
          <w:bCs/>
          <w:kern w:val="28"/>
        </w:rPr>
      </w:pPr>
    </w:p>
    <w:p w:rsidR="00234D89" w:rsidRDefault="00234D89" w:rsidP="00543C6C">
      <w:pPr>
        <w:pStyle w:val="ListParagraph"/>
        <w:numPr>
          <w:ilvl w:val="0"/>
          <w:numId w:val="111"/>
        </w:numPr>
        <w:ind w:left="567" w:hanging="567"/>
      </w:pPr>
      <w:r>
        <w:t>Introducir un marco político y de medidas incentivadoras a largo plazo, coherente y transparente para fomentar la bioeconomía.</w:t>
      </w:r>
    </w:p>
    <w:p w:rsidR="00234D89" w:rsidRPr="00234D89" w:rsidRDefault="00234D89" w:rsidP="00234D89">
      <w:pPr>
        <w:ind w:left="567"/>
      </w:pPr>
    </w:p>
    <w:p w:rsidR="00234D89" w:rsidRPr="00234D89" w:rsidRDefault="00234D89" w:rsidP="00543C6C">
      <w:pPr>
        <w:pStyle w:val="Heading2"/>
        <w:numPr>
          <w:ilvl w:val="0"/>
          <w:numId w:val="111"/>
        </w:numPr>
        <w:ind w:left="567" w:hanging="567"/>
        <w:rPr>
          <w:bCs/>
        </w:rPr>
      </w:pPr>
      <w:r>
        <w:t>El papel de los agricultores, los propietarios forestales y sus cooperativas es crucial para garantizar un uso eficiente de los recursos naturales y contribuir a la bioeconomía circular.</w:t>
      </w:r>
    </w:p>
    <w:p w:rsidR="00234D89" w:rsidRPr="00234D89" w:rsidRDefault="00234D89" w:rsidP="00234D89">
      <w:pPr>
        <w:ind w:left="567" w:hanging="567"/>
      </w:pPr>
    </w:p>
    <w:p w:rsidR="00234D89" w:rsidRPr="00234D89" w:rsidRDefault="00234D89" w:rsidP="00543C6C">
      <w:pPr>
        <w:pStyle w:val="Heading2"/>
        <w:numPr>
          <w:ilvl w:val="0"/>
          <w:numId w:val="111"/>
        </w:numPr>
        <w:ind w:left="567" w:hanging="567"/>
        <w:rPr>
          <w:bCs/>
        </w:rPr>
      </w:pPr>
      <w:r>
        <w:t>Apoyar la creación de mercados y ayudar a los consumidores y a los ciudadanos a decidir con conocimiento de causa acerca de los productos e industrias que respaldan gracias a sus compras cotidianas.</w:t>
      </w:r>
    </w:p>
    <w:p w:rsidR="00234D89" w:rsidRPr="00234D89" w:rsidRDefault="00234D89" w:rsidP="00234D89">
      <w:pPr>
        <w:ind w:left="567" w:hanging="567"/>
      </w:pPr>
    </w:p>
    <w:p w:rsidR="00234D89" w:rsidRDefault="00234D89" w:rsidP="00543C6C">
      <w:pPr>
        <w:pStyle w:val="ListParagraph"/>
        <w:numPr>
          <w:ilvl w:val="0"/>
          <w:numId w:val="111"/>
        </w:numPr>
        <w:ind w:left="567" w:hanging="567"/>
      </w:pPr>
      <w:r>
        <w:t>Ofrecer un rendimiento financiero sostenible de las inversiones a través de un fondo de ventanilla única.</w:t>
      </w:r>
    </w:p>
    <w:p w:rsidR="00234D89" w:rsidRDefault="00234D89" w:rsidP="00234D89">
      <w:pPr>
        <w:ind w:hanging="567"/>
      </w:pPr>
    </w:p>
    <w:p w:rsidR="00234D89" w:rsidRPr="00234D89" w:rsidRDefault="00234D89" w:rsidP="00543C6C">
      <w:pPr>
        <w:pStyle w:val="ListParagraph"/>
        <w:numPr>
          <w:ilvl w:val="0"/>
          <w:numId w:val="111"/>
        </w:numPr>
        <w:ind w:left="567" w:hanging="567"/>
      </w:pPr>
      <w:r>
        <w:t>La política de desarrollo regional de la UE posterior a 2020 debe facilitar fondos suficientes para seguir desarrollando las zonas rurales.</w:t>
      </w:r>
    </w:p>
    <w:p w:rsidR="00234D89" w:rsidRDefault="00234D89" w:rsidP="00234D89"/>
    <w:p w:rsidR="00234D89" w:rsidRPr="00036ED6" w:rsidRDefault="00234D89" w:rsidP="00543C6C">
      <w:pPr>
        <w:pStyle w:val="ListParagraph"/>
        <w:numPr>
          <w:ilvl w:val="0"/>
          <w:numId w:val="111"/>
        </w:numPr>
        <w:ind w:left="567" w:hanging="567"/>
      </w:pPr>
      <w:r>
        <w:lastRenderedPageBreak/>
        <w:t>Aprovechar las oportunidades científicas y respaldar la aceptación de innovaciones por medio de un marco jurídico flexible, proporcionado y robusto.</w:t>
      </w:r>
    </w:p>
    <w:p w:rsidR="00036ED6" w:rsidRDefault="00036ED6" w:rsidP="00036ED6"/>
    <w:p w:rsidR="00036ED6" w:rsidRPr="00234D89" w:rsidRDefault="00DD655B" w:rsidP="00543C6C">
      <w:pPr>
        <w:pStyle w:val="ListParagraph"/>
        <w:numPr>
          <w:ilvl w:val="0"/>
          <w:numId w:val="111"/>
        </w:numPr>
        <w:ind w:left="567" w:hanging="567"/>
      </w:pPr>
      <w:r>
        <w:t>Mejorar los programas de educación, formación profesional y capacitación profesional para los nuevos talentos y los trabajadores actuales.</w:t>
      </w:r>
    </w:p>
    <w:p w:rsidR="00234D89" w:rsidRDefault="00234D89" w:rsidP="00234D89"/>
    <w:p w:rsidR="00234D89" w:rsidRPr="002F1623" w:rsidRDefault="00234D89" w:rsidP="00543C6C">
      <w:pPr>
        <w:pStyle w:val="ListParagraph"/>
        <w:numPr>
          <w:ilvl w:val="0"/>
          <w:numId w:val="111"/>
        </w:numPr>
        <w:ind w:left="567" w:hanging="567"/>
      </w:pPr>
      <w:r>
        <w:t>Analizar el uso de la biomasa. Un uso más eficiente del suministro de biomasa existente debe ser una prioridad para satisfacer la creciente demanda de materia prima.</w:t>
      </w:r>
    </w:p>
    <w:p w:rsidR="002F1623" w:rsidRDefault="002F1623" w:rsidP="002F1623"/>
    <w:p w:rsidR="002F1623" w:rsidRPr="002F1623" w:rsidRDefault="002F1623" w:rsidP="00543C6C">
      <w:pPr>
        <w:tabs>
          <w:tab w:val="left" w:pos="1701"/>
        </w:tabs>
        <w:rPr>
          <w:i/>
        </w:rPr>
      </w:pPr>
      <w:r>
        <w:rPr>
          <w:b/>
          <w:i/>
        </w:rPr>
        <w:t>Contacto:</w:t>
      </w:r>
      <w:r w:rsidR="000925F3">
        <w:rPr>
          <w:b/>
          <w:i/>
        </w:rPr>
        <w:tab/>
      </w:r>
      <w:r>
        <w:rPr>
          <w:i/>
        </w:rPr>
        <w:t>Adam Plezer</w:t>
      </w:r>
    </w:p>
    <w:p w:rsidR="002F1623" w:rsidRDefault="002F1623" w:rsidP="002F1623">
      <w:pPr>
        <w:tabs>
          <w:tab w:val="left" w:pos="1701"/>
        </w:tabs>
        <w:rPr>
          <w:i/>
        </w:rPr>
      </w:pPr>
      <w:r>
        <w:rPr>
          <w:i/>
        </w:rPr>
        <w:tab/>
        <w:t xml:space="preserve">(Tel. 00 32 2 546 86 8628 – correo electrónico: </w:t>
      </w:r>
      <w:hyperlink r:id="rId47" w:history="1">
        <w:r>
          <w:rPr>
            <w:rStyle w:val="Hyperlink"/>
            <w:i/>
          </w:rPr>
          <w:t>Adam.Plezer@eesc.europa.eu</w:t>
        </w:r>
      </w:hyperlink>
      <w:r>
        <w:t>)</w:t>
      </w:r>
    </w:p>
    <w:p w:rsidR="00484993" w:rsidRDefault="00484993" w:rsidP="002F1623">
      <w:pPr>
        <w:tabs>
          <w:tab w:val="left" w:pos="1701"/>
        </w:tabs>
      </w:pPr>
    </w:p>
    <w:p w:rsidR="00484993" w:rsidRPr="00484993" w:rsidRDefault="00484993" w:rsidP="00484993">
      <w:pPr>
        <w:pStyle w:val="ListParagraph"/>
        <w:numPr>
          <w:ilvl w:val="0"/>
          <w:numId w:val="114"/>
        </w:numPr>
        <w:tabs>
          <w:tab w:val="left" w:pos="1701"/>
        </w:tabs>
        <w:ind w:left="567" w:hanging="567"/>
      </w:pPr>
      <w:r>
        <w:rPr>
          <w:b/>
          <w:i/>
          <w:sz w:val="28"/>
          <w:szCs w:val="28"/>
        </w:rPr>
        <w:t>Fondo Europeo de Defensa</w:t>
      </w:r>
    </w:p>
    <w:p w:rsidR="00484993" w:rsidRDefault="00484993" w:rsidP="00484993">
      <w:pPr>
        <w:tabs>
          <w:tab w:val="left" w:pos="1701"/>
        </w:tabs>
      </w:pPr>
    </w:p>
    <w:p w:rsidR="00484993" w:rsidRDefault="00484993" w:rsidP="00484993">
      <w:pPr>
        <w:tabs>
          <w:tab w:val="left" w:pos="1701"/>
        </w:tabs>
        <w:ind w:left="-39"/>
      </w:pPr>
      <w:r>
        <w:rPr>
          <w:b/>
        </w:rPr>
        <w:t>Ponente:</w:t>
      </w:r>
      <w:r w:rsidR="000925F3">
        <w:rPr>
          <w:b/>
        </w:rPr>
        <w:tab/>
      </w:r>
      <w:r>
        <w:t>Aurel Laurenţiu PLOSCEANU (Empresarios – RO)</w:t>
      </w:r>
    </w:p>
    <w:p w:rsidR="00484993" w:rsidRDefault="00484993" w:rsidP="00484993">
      <w:pPr>
        <w:tabs>
          <w:tab w:val="left" w:pos="1701"/>
        </w:tabs>
        <w:ind w:left="-39"/>
        <w:rPr>
          <w:b/>
          <w:color w:val="000000"/>
        </w:rPr>
      </w:pPr>
      <w:r>
        <w:rPr>
          <w:b/>
          <w:bCs/>
        </w:rPr>
        <w:t>Coponente</w:t>
      </w:r>
      <w:r>
        <w:t xml:space="preserve"> </w:t>
      </w:r>
      <w:r>
        <w:tab/>
        <w:t>Eric BRUNE (Cat. 2 – FR)</w:t>
      </w:r>
    </w:p>
    <w:p w:rsidR="00484993" w:rsidRPr="007137EC" w:rsidRDefault="00484993" w:rsidP="00484993">
      <w:pPr>
        <w:tabs>
          <w:tab w:val="left" w:pos="1701"/>
        </w:tabs>
        <w:ind w:left="-39"/>
      </w:pPr>
    </w:p>
    <w:p w:rsidR="00DD7B37" w:rsidRDefault="00484993" w:rsidP="00484993">
      <w:pPr>
        <w:tabs>
          <w:tab w:val="left" w:pos="1701"/>
        </w:tabs>
        <w:ind w:left="-39"/>
        <w:rPr>
          <w:b/>
        </w:rPr>
      </w:pPr>
      <w:r>
        <w:rPr>
          <w:b/>
        </w:rPr>
        <w:t>Referencias:</w:t>
      </w:r>
      <w:r w:rsidR="000925F3">
        <w:rPr>
          <w:b/>
        </w:rPr>
        <w:tab/>
      </w:r>
      <w:r>
        <w:t>COM(2018) 476 final</w:t>
      </w:r>
    </w:p>
    <w:p w:rsidR="00484993" w:rsidRDefault="00484993" w:rsidP="00623A46">
      <w:pPr>
        <w:ind w:left="1701"/>
      </w:pPr>
      <w:r>
        <w:t>EESC-2018-03920-00-00-AC-TRA</w:t>
      </w:r>
    </w:p>
    <w:p w:rsidR="00484993" w:rsidRDefault="00484993" w:rsidP="00484993">
      <w:pPr>
        <w:ind w:left="-39"/>
        <w:rPr>
          <w:b/>
        </w:rPr>
      </w:pPr>
    </w:p>
    <w:p w:rsidR="00484993" w:rsidRDefault="00484993" w:rsidP="00484993">
      <w:pPr>
        <w:ind w:left="-39"/>
        <w:rPr>
          <w:b/>
        </w:rPr>
      </w:pPr>
      <w:r>
        <w:rPr>
          <w:b/>
        </w:rPr>
        <w:t>Puntos clave</w:t>
      </w:r>
    </w:p>
    <w:p w:rsidR="00484993" w:rsidRDefault="00484993" w:rsidP="00484993">
      <w:pPr>
        <w:ind w:left="-39"/>
      </w:pPr>
    </w:p>
    <w:p w:rsidR="00DD7B37" w:rsidRDefault="00DD7B37" w:rsidP="00543C6C">
      <w:pPr>
        <w:pStyle w:val="ListParagraph"/>
        <w:numPr>
          <w:ilvl w:val="0"/>
          <w:numId w:val="114"/>
        </w:numPr>
        <w:ind w:left="567" w:hanging="567"/>
      </w:pPr>
      <w:r>
        <w:t>El CESE pide que se realicen progresos cualitativos de peso en la cooperación europea para la defensa. En efecto, una cooperación reducida entre los Estados miembros en el ámbito de la defensa genera duplicaciones y da como resultado una industria de la defensa muy fragmentada.</w:t>
      </w:r>
    </w:p>
    <w:p w:rsidR="00DD7B37" w:rsidRDefault="00DD7B37" w:rsidP="00DD7B37"/>
    <w:p w:rsidR="00C5106A" w:rsidRDefault="00DD7B37" w:rsidP="00543C6C">
      <w:pPr>
        <w:pStyle w:val="Heading2"/>
        <w:numPr>
          <w:ilvl w:val="0"/>
          <w:numId w:val="114"/>
        </w:numPr>
        <w:ind w:left="567" w:hanging="567"/>
      </w:pPr>
      <w:r>
        <w:t>El CESE apoya el objetivo de la autonomía estratégica, con el desarrollo de tecnologías clave en áreas críticas y capacidades estratégicas.</w:t>
      </w:r>
    </w:p>
    <w:p w:rsidR="00C5106A" w:rsidRDefault="00C5106A" w:rsidP="00C5106A"/>
    <w:p w:rsidR="00C5106A" w:rsidRDefault="00C5106A" w:rsidP="00543C6C">
      <w:pPr>
        <w:pStyle w:val="ListParagraph"/>
        <w:numPr>
          <w:ilvl w:val="0"/>
          <w:numId w:val="114"/>
        </w:numPr>
        <w:ind w:left="567" w:hanging="567"/>
      </w:pPr>
      <w:r>
        <w:t>El fortalecimiento de la base industrial y tecnológica de la defensa europea es una condición indispensable para el desarrollo de unas capacidades de defensa comunes.</w:t>
      </w:r>
    </w:p>
    <w:p w:rsidR="00C5106A" w:rsidRDefault="00C5106A" w:rsidP="00C5106A"/>
    <w:p w:rsidR="00C5106A" w:rsidRPr="00C5106A" w:rsidRDefault="00C5106A" w:rsidP="00543C6C">
      <w:pPr>
        <w:pStyle w:val="ListParagraph"/>
        <w:numPr>
          <w:ilvl w:val="0"/>
          <w:numId w:val="114"/>
        </w:numPr>
        <w:ind w:left="567" w:hanging="567"/>
      </w:pPr>
      <w:r>
        <w:t>La Unión Europea necesita invertir esfuerzos en mantener, renovar y desarrollar una mano de obra altamente cualificada y proporcionar a los trabajadores dicha cualificación.</w:t>
      </w:r>
    </w:p>
    <w:p w:rsidR="00DD7B37" w:rsidRDefault="00DD7B37" w:rsidP="00DD7B37"/>
    <w:p w:rsidR="00C5106A" w:rsidRPr="00DD7B37" w:rsidRDefault="00C5106A" w:rsidP="00543C6C">
      <w:pPr>
        <w:pStyle w:val="ListParagraph"/>
        <w:numPr>
          <w:ilvl w:val="0"/>
          <w:numId w:val="114"/>
        </w:numPr>
        <w:ind w:left="567" w:hanging="567"/>
      </w:pPr>
      <w:r>
        <w:t>El CESE está totalmente de acuerdo en que es necesario prestar especial atención a las pymes, así como a las empresas emergentes, también en el ámbito de la investigación y el desarrollo con fines de defensa.</w:t>
      </w:r>
    </w:p>
    <w:p w:rsidR="00C5106A" w:rsidRDefault="00C5106A" w:rsidP="000D6B2F">
      <w:pPr>
        <w:jc w:val="center"/>
        <w:rPr>
          <w:lang w:val="fr-FR"/>
        </w:rPr>
      </w:pPr>
    </w:p>
    <w:p w:rsidR="00703845" w:rsidRPr="00703845" w:rsidRDefault="00703845" w:rsidP="00543C6C">
      <w:pPr>
        <w:pStyle w:val="ListParagraph"/>
        <w:numPr>
          <w:ilvl w:val="0"/>
          <w:numId w:val="114"/>
        </w:numPr>
        <w:ind w:left="567" w:hanging="567"/>
        <w:jc w:val="left"/>
      </w:pPr>
      <w:r>
        <w:t>El CESE defiende que el presupuesto de la UE para las actividades de defensa no debe sustituir el gasto nacional en defensa, sino más bien impulsar y acelerar una cooperación más amplia y apropiada en materia de defensa.</w:t>
      </w:r>
    </w:p>
    <w:p w:rsidR="00C5106A" w:rsidRDefault="00C5106A" w:rsidP="00C5106A">
      <w:pPr>
        <w:jc w:val="left"/>
        <w:rPr>
          <w:lang w:val="fr-FR"/>
        </w:rPr>
      </w:pPr>
    </w:p>
    <w:p w:rsidR="00CB1363" w:rsidRPr="00CB1363" w:rsidRDefault="00CB1363" w:rsidP="00543C6C">
      <w:pPr>
        <w:pStyle w:val="ListParagraph"/>
        <w:numPr>
          <w:ilvl w:val="0"/>
          <w:numId w:val="114"/>
        </w:numPr>
        <w:ind w:left="567" w:hanging="567"/>
        <w:jc w:val="left"/>
      </w:pPr>
      <w:r>
        <w:lastRenderedPageBreak/>
        <w:t xml:space="preserve">Al CESE le preocupa el futuro de la cooperación con el Reino Unido después del </w:t>
      </w:r>
      <w:r>
        <w:rPr>
          <w:i/>
        </w:rPr>
        <w:t>Brexit</w:t>
      </w:r>
      <w:r>
        <w:t>, y aboga por una seguridad y una defensa sólidas que incluyan la asociación del Reino Unido con el FED.</w:t>
      </w:r>
    </w:p>
    <w:p w:rsidR="00514E2E" w:rsidRDefault="00514E2E" w:rsidP="000D6B2F">
      <w:pPr>
        <w:jc w:val="center"/>
        <w:rPr>
          <w:lang w:val="fr-FR"/>
        </w:rPr>
      </w:pPr>
    </w:p>
    <w:p w:rsidR="00514E2E" w:rsidRPr="00514E2E" w:rsidRDefault="00514E2E" w:rsidP="00514E2E">
      <w:pPr>
        <w:tabs>
          <w:tab w:val="left" w:pos="1701"/>
        </w:tabs>
        <w:rPr>
          <w:i/>
        </w:rPr>
      </w:pPr>
      <w:r>
        <w:rPr>
          <w:b/>
          <w:i/>
        </w:rPr>
        <w:t>Contacto:</w:t>
      </w:r>
      <w:r w:rsidR="000925F3">
        <w:rPr>
          <w:b/>
          <w:i/>
        </w:rPr>
        <w:tab/>
      </w:r>
      <w:r>
        <w:rPr>
          <w:i/>
        </w:rPr>
        <w:t>Adam Plezer</w:t>
      </w:r>
    </w:p>
    <w:p w:rsidR="00514E2E" w:rsidRDefault="00514E2E" w:rsidP="00514E2E">
      <w:pPr>
        <w:tabs>
          <w:tab w:val="left" w:pos="1701"/>
        </w:tabs>
        <w:jc w:val="left"/>
      </w:pPr>
      <w:r>
        <w:rPr>
          <w:i/>
        </w:rPr>
        <w:tab/>
        <w:t xml:space="preserve">(Tel. 00 32 2 546 86 8628 – correo electrónico: </w:t>
      </w:r>
      <w:hyperlink r:id="rId48" w:history="1">
        <w:r>
          <w:rPr>
            <w:rStyle w:val="Hyperlink"/>
            <w:i/>
          </w:rPr>
          <w:t>Adam.Plezer@eesc.europa.eu</w:t>
        </w:r>
      </w:hyperlink>
      <w:r>
        <w:t>)</w:t>
      </w:r>
    </w:p>
    <w:p w:rsidR="00514E2E" w:rsidRDefault="00514E2E" w:rsidP="00886AB3">
      <w:pPr>
        <w:jc w:val="left"/>
        <w:rPr>
          <w:lang w:val="fr-FR"/>
        </w:rPr>
      </w:pPr>
    </w:p>
    <w:p w:rsidR="00514E2E" w:rsidRPr="006A5519" w:rsidRDefault="00886AB3" w:rsidP="006A5519">
      <w:pPr>
        <w:pStyle w:val="ListParagraph"/>
        <w:numPr>
          <w:ilvl w:val="0"/>
          <w:numId w:val="115"/>
        </w:numPr>
        <w:ind w:left="567" w:hanging="567"/>
        <w:jc w:val="left"/>
      </w:pPr>
      <w:r>
        <w:rPr>
          <w:b/>
          <w:i/>
          <w:sz w:val="28"/>
          <w:szCs w:val="28"/>
        </w:rPr>
        <w:t>Fondo Europeo de Adaptación a la Globalización</w:t>
      </w:r>
    </w:p>
    <w:p w:rsidR="006A5519" w:rsidRDefault="006A5519" w:rsidP="006A5519">
      <w:pPr>
        <w:jc w:val="left"/>
        <w:rPr>
          <w:lang w:val="fr-FR"/>
        </w:rPr>
      </w:pPr>
    </w:p>
    <w:p w:rsidR="006A5519" w:rsidRDefault="006A5519" w:rsidP="006A5519">
      <w:pPr>
        <w:ind w:left="-39"/>
      </w:pPr>
      <w:r>
        <w:rPr>
          <w:b/>
        </w:rPr>
        <w:t>Ponente:</w:t>
      </w:r>
      <w:r w:rsidR="000925F3">
        <w:rPr>
          <w:b/>
        </w:rPr>
        <w:tab/>
      </w:r>
      <w:r w:rsidR="000925F3">
        <w:rPr>
          <w:b/>
        </w:rPr>
        <w:tab/>
      </w:r>
      <w:r>
        <w:t>Vladimír NOVOTNÝ (Empresarios – CZ)</w:t>
      </w:r>
    </w:p>
    <w:p w:rsidR="006A5519" w:rsidRPr="007137EC" w:rsidRDefault="006A5519" w:rsidP="006A5519">
      <w:pPr>
        <w:tabs>
          <w:tab w:val="left" w:pos="1701"/>
        </w:tabs>
        <w:ind w:left="-39"/>
      </w:pPr>
      <w:r>
        <w:rPr>
          <w:b/>
          <w:bCs/>
        </w:rPr>
        <w:t>Coponente:</w:t>
      </w:r>
      <w:r>
        <w:t xml:space="preserve"> </w:t>
      </w:r>
      <w:r>
        <w:tab/>
        <w:t>Pierre GENDRE (Cat. 2 – FR)</w:t>
      </w:r>
    </w:p>
    <w:p w:rsidR="006A5519" w:rsidRDefault="006A5519" w:rsidP="006A5519">
      <w:pPr>
        <w:tabs>
          <w:tab w:val="left" w:pos="1701"/>
        </w:tabs>
        <w:ind w:left="-39"/>
        <w:rPr>
          <w:b/>
          <w:bCs/>
        </w:rPr>
      </w:pPr>
    </w:p>
    <w:p w:rsidR="006A5519" w:rsidRDefault="006A5519" w:rsidP="006A5519">
      <w:pPr>
        <w:tabs>
          <w:tab w:val="left" w:pos="1701"/>
        </w:tabs>
        <w:ind w:left="-39"/>
        <w:rPr>
          <w:b/>
        </w:rPr>
      </w:pPr>
      <w:r>
        <w:rPr>
          <w:b/>
        </w:rPr>
        <w:t>Referencias:</w:t>
      </w:r>
      <w:r w:rsidR="000925F3">
        <w:rPr>
          <w:b/>
        </w:rPr>
        <w:tab/>
      </w:r>
      <w:r>
        <w:t>COM(2018) 380 final</w:t>
      </w:r>
    </w:p>
    <w:p w:rsidR="006A5519" w:rsidRDefault="006A5519" w:rsidP="00623A46">
      <w:pPr>
        <w:ind w:left="1701"/>
      </w:pPr>
      <w:r>
        <w:t>EESC-2018-03907-00-00-AC-TRA</w:t>
      </w:r>
    </w:p>
    <w:p w:rsidR="006A5519" w:rsidRDefault="006A5519" w:rsidP="006A5519">
      <w:pPr>
        <w:tabs>
          <w:tab w:val="left" w:pos="1701"/>
        </w:tabs>
        <w:ind w:left="-39"/>
        <w:rPr>
          <w:b/>
        </w:rPr>
      </w:pPr>
    </w:p>
    <w:p w:rsidR="006A5519" w:rsidRDefault="006A5519" w:rsidP="006A5519">
      <w:pPr>
        <w:tabs>
          <w:tab w:val="left" w:pos="1701"/>
        </w:tabs>
        <w:ind w:left="-39"/>
        <w:rPr>
          <w:b/>
        </w:rPr>
      </w:pPr>
      <w:r>
        <w:rPr>
          <w:b/>
        </w:rPr>
        <w:t>Puntos clave</w:t>
      </w:r>
    </w:p>
    <w:p w:rsidR="009A0B29" w:rsidRDefault="009A0B29" w:rsidP="006A5519">
      <w:pPr>
        <w:tabs>
          <w:tab w:val="left" w:pos="1701"/>
        </w:tabs>
        <w:ind w:left="-39"/>
        <w:rPr>
          <w:b/>
        </w:rPr>
      </w:pPr>
    </w:p>
    <w:p w:rsidR="009A0B29" w:rsidRDefault="009A0B29" w:rsidP="009A0B29">
      <w:pPr>
        <w:pStyle w:val="ListParagraph"/>
        <w:numPr>
          <w:ilvl w:val="0"/>
          <w:numId w:val="115"/>
        </w:numPr>
        <w:overflowPunct w:val="0"/>
        <w:autoSpaceDE w:val="0"/>
        <w:autoSpaceDN w:val="0"/>
        <w:adjustRightInd w:val="0"/>
        <w:ind w:left="567" w:hanging="567"/>
        <w:textAlignment w:val="baseline"/>
      </w:pPr>
      <w:r>
        <w:t>El dictamen se congratula por la nueva propuesta de la Comisión, que permitirá que el FEAG siga funcionando después de 2020 y acoge con especial satisfacción la ampliación del ámbito de aplicación del Fondo para incluir los riesgos en el mercado de trabajo derivados de los cambios estructurales causados por otros factores como la digitalización y la evolución en el ámbito de la descarbonización.</w:t>
      </w:r>
    </w:p>
    <w:p w:rsidR="009A0B29" w:rsidRDefault="009A0B29" w:rsidP="009A0B29">
      <w:pPr>
        <w:ind w:left="567" w:hanging="567"/>
      </w:pPr>
    </w:p>
    <w:p w:rsidR="006A5519" w:rsidRDefault="009A0B29" w:rsidP="009A0B29">
      <w:pPr>
        <w:pStyle w:val="ListParagraph"/>
        <w:numPr>
          <w:ilvl w:val="0"/>
          <w:numId w:val="115"/>
        </w:numPr>
        <w:tabs>
          <w:tab w:val="left" w:pos="1701"/>
        </w:tabs>
        <w:ind w:left="567" w:hanging="567"/>
      </w:pPr>
      <w:r>
        <w:t>También acoge con satisfacción la ampliación de los criterios de admisibilidad (principalmente la disminución del número de trabajadores afectados hasta 250), las normas de cofinanciación y procedimiento de movilización y el aumento del umbral presupuestario (hasta 1 600 millones de euros en el período 2021-2027, una media de 225 millones de euros al año — en la actualidad, 170 millones de euros al año).</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Subraya que conviene armonizar mejor el FEAG con las demás políticas de la UE y detallar en mayor medida las modalidades de acción conjunta del FEAG con otros fondos y programas (como por ejemplo el FEAD, el FSE, el EaSI, el programa de Salud de la UE), así como su interacción.</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Sugiere que habida cuenta de la contradicción entre la denominación actual del Fondo y sus objetivos, el CESE propone sustituir su denominación por otra similar que permita mantener el acrónimo «FEAG» («EGF» en inglés).</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Subraya que los Estados miembros y todas las instituciones de la Unión involucradas reduzcan el tiempo de tramitación y simplifiquen los procedimientos con objeto de garantizar una toma de decisiones rápida.</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Señala que acoge favorablemente la propuesta de la Comisión de que los trabajadores despedidos y los trabajadores por cuenta propia que cesan en su actividad laboral tengan igual acceso al FEAG con independencia del tipo de relación laboral o de contrato de trabajo.</w:t>
      </w:r>
    </w:p>
    <w:p w:rsidR="009A0B29" w:rsidRDefault="009A0B29" w:rsidP="009A0B29">
      <w:pPr>
        <w:tabs>
          <w:tab w:val="left" w:pos="1701"/>
        </w:tabs>
      </w:pPr>
    </w:p>
    <w:p w:rsidR="009A0B29" w:rsidRPr="009A0B29" w:rsidRDefault="009A0B29" w:rsidP="009A0B29">
      <w:pPr>
        <w:tabs>
          <w:tab w:val="left" w:pos="1701"/>
        </w:tabs>
        <w:rPr>
          <w:i/>
        </w:rPr>
      </w:pPr>
      <w:r>
        <w:rPr>
          <w:b/>
          <w:i/>
        </w:rPr>
        <w:t>Contacto:</w:t>
      </w:r>
      <w:r w:rsidR="000925F3">
        <w:rPr>
          <w:b/>
          <w:i/>
        </w:rPr>
        <w:tab/>
      </w:r>
      <w:r>
        <w:rPr>
          <w:i/>
        </w:rPr>
        <w:t>Amélia Muñoz Cabezón</w:t>
      </w:r>
    </w:p>
    <w:p w:rsidR="009A0B29" w:rsidRDefault="009A0B29" w:rsidP="000925F3">
      <w:pPr>
        <w:tabs>
          <w:tab w:val="left" w:pos="1701"/>
        </w:tabs>
        <w:ind w:left="1701" w:hanging="1701"/>
        <w:rPr>
          <w:i/>
        </w:rPr>
      </w:pPr>
      <w:r>
        <w:rPr>
          <w:i/>
        </w:rPr>
        <w:tab/>
        <w:t xml:space="preserve">(Tel. 00 32 2 546 8373 - correo electrónico: </w:t>
      </w:r>
      <w:hyperlink r:id="rId49" w:history="1">
        <w:r>
          <w:rPr>
            <w:rStyle w:val="Hyperlink"/>
            <w:i/>
          </w:rPr>
          <w:t>Amelia.MunozCabezon@eesc.europa.eu</w:t>
        </w:r>
      </w:hyperlink>
      <w:r>
        <w:rPr>
          <w:i/>
        </w:rPr>
        <w:t>)</w:t>
      </w:r>
    </w:p>
    <w:p w:rsidR="006402C6" w:rsidRDefault="006402C6" w:rsidP="009A0B29">
      <w:pPr>
        <w:tabs>
          <w:tab w:val="left" w:pos="1701"/>
        </w:tabs>
      </w:pPr>
    </w:p>
    <w:p w:rsidR="006402C6" w:rsidRPr="00C160D0" w:rsidRDefault="006402C6" w:rsidP="00C160D0">
      <w:pPr>
        <w:pStyle w:val="ListParagraph"/>
        <w:numPr>
          <w:ilvl w:val="0"/>
          <w:numId w:val="117"/>
        </w:numPr>
        <w:tabs>
          <w:tab w:val="left" w:pos="1701"/>
        </w:tabs>
        <w:ind w:left="567" w:hanging="567"/>
        <w:rPr>
          <w:b/>
        </w:rPr>
      </w:pPr>
      <w:r>
        <w:rPr>
          <w:b/>
          <w:i/>
          <w:sz w:val="28"/>
          <w:szCs w:val="28"/>
        </w:rPr>
        <w:t>Europa Creativa</w:t>
      </w:r>
    </w:p>
    <w:p w:rsidR="00C160D0" w:rsidRDefault="00C160D0" w:rsidP="00C160D0">
      <w:pPr>
        <w:tabs>
          <w:tab w:val="left" w:pos="1701"/>
        </w:tabs>
        <w:rPr>
          <w:b/>
        </w:rPr>
      </w:pPr>
    </w:p>
    <w:p w:rsidR="00C160D0" w:rsidRDefault="00C160D0" w:rsidP="00C160D0">
      <w:pPr>
        <w:ind w:left="-39"/>
      </w:pPr>
      <w:r>
        <w:rPr>
          <w:b/>
        </w:rPr>
        <w:t>Ponente:</w:t>
      </w:r>
      <w:r w:rsidR="00E57B17">
        <w:rPr>
          <w:b/>
        </w:rPr>
        <w:tab/>
      </w:r>
      <w:r w:rsidR="00E57B17">
        <w:rPr>
          <w:b/>
        </w:rPr>
        <w:tab/>
      </w:r>
      <w:r>
        <w:t>Emmanuelle BUTAUD-STUBBS (Empresarios – FR)</w:t>
      </w:r>
    </w:p>
    <w:p w:rsidR="00C160D0" w:rsidRPr="00F420D8" w:rsidRDefault="00C160D0" w:rsidP="00C160D0">
      <w:pPr>
        <w:tabs>
          <w:tab w:val="left" w:pos="1701"/>
        </w:tabs>
        <w:ind w:left="-39"/>
        <w:rPr>
          <w:b/>
        </w:rPr>
      </w:pPr>
      <w:r>
        <w:rPr>
          <w:b/>
          <w:bCs/>
        </w:rPr>
        <w:t>Coponente:</w:t>
      </w:r>
      <w:r>
        <w:t xml:space="preserve"> </w:t>
      </w:r>
      <w:r>
        <w:tab/>
        <w:t>Zbigniew KOTOWSKI (Cat. 3 – PL)</w:t>
      </w:r>
    </w:p>
    <w:p w:rsidR="00C160D0" w:rsidRPr="00B12BD4" w:rsidRDefault="00C160D0" w:rsidP="00C160D0">
      <w:pPr>
        <w:ind w:left="-39"/>
      </w:pPr>
    </w:p>
    <w:p w:rsidR="00C160D0" w:rsidRDefault="00C160D0" w:rsidP="00C160D0">
      <w:pPr>
        <w:tabs>
          <w:tab w:val="left" w:pos="1701"/>
        </w:tabs>
        <w:ind w:left="-39"/>
      </w:pPr>
      <w:r>
        <w:rPr>
          <w:b/>
        </w:rPr>
        <w:t>Referencia:</w:t>
      </w:r>
      <w:r w:rsidR="00E57B17">
        <w:rPr>
          <w:b/>
        </w:rPr>
        <w:tab/>
      </w:r>
      <w:r>
        <w:t>EESC-2018-03933-00-00-AC-TRA</w:t>
      </w:r>
    </w:p>
    <w:p w:rsidR="00C160D0" w:rsidRDefault="00C160D0" w:rsidP="00C160D0">
      <w:pPr>
        <w:tabs>
          <w:tab w:val="left" w:pos="1701"/>
        </w:tabs>
        <w:ind w:left="-39"/>
        <w:rPr>
          <w:b/>
        </w:rPr>
      </w:pPr>
    </w:p>
    <w:p w:rsidR="00C160D0" w:rsidRPr="00C160D0" w:rsidRDefault="00C160D0" w:rsidP="00C160D0">
      <w:pPr>
        <w:tabs>
          <w:tab w:val="left" w:pos="1701"/>
        </w:tabs>
        <w:ind w:left="-39"/>
      </w:pPr>
      <w:r>
        <w:rPr>
          <w:b/>
        </w:rPr>
        <w:t>Puntos clave:</w:t>
      </w:r>
    </w:p>
    <w:p w:rsidR="00C160D0" w:rsidRDefault="00C160D0" w:rsidP="009A0B29">
      <w:pPr>
        <w:tabs>
          <w:tab w:val="left" w:pos="1701"/>
        </w:tabs>
      </w:pPr>
    </w:p>
    <w:p w:rsidR="00C160D0" w:rsidRDefault="00297AF8" w:rsidP="00297AF8">
      <w:pPr>
        <w:pStyle w:val="ListParagraph"/>
        <w:numPr>
          <w:ilvl w:val="0"/>
          <w:numId w:val="117"/>
        </w:numPr>
        <w:tabs>
          <w:tab w:val="left" w:pos="1701"/>
        </w:tabs>
        <w:ind w:left="567" w:hanging="567"/>
      </w:pPr>
      <w:r>
        <w:t>Dado que los actos y procesos creativos no siempre entran claramente dentro del marco general del Derecho laboral, el CESE considera importante abordar los desafíos sociales relacionados con la mejora de las condiciones laborales, las horas no remuneradas, las diferencias de género, el trabajo digno, las condiciones de salud y seguridad, la movilidad, las personas con discapacidad, el acoso sexual, etc.</w:t>
      </w:r>
    </w:p>
    <w:p w:rsidR="00297AF8" w:rsidRDefault="00297AF8" w:rsidP="00297AF8">
      <w:pPr>
        <w:tabs>
          <w:tab w:val="left" w:pos="1701"/>
        </w:tabs>
      </w:pPr>
    </w:p>
    <w:p w:rsidR="00297AF8" w:rsidRDefault="00297AF8" w:rsidP="00297AF8">
      <w:pPr>
        <w:pStyle w:val="ListParagraph"/>
        <w:numPr>
          <w:ilvl w:val="0"/>
          <w:numId w:val="117"/>
        </w:numPr>
        <w:tabs>
          <w:tab w:val="left" w:pos="1701"/>
        </w:tabs>
        <w:ind w:left="567" w:hanging="567"/>
      </w:pPr>
      <w:r>
        <w:t>El CESE considera que el presupuesto previsto de 1 800 millones EUR no es suficiente para cumplir los ambiciosos objetivos del programa Europa Creativa 2021-2027, por ello el CESE pide un presupuesto mayor.</w:t>
      </w:r>
    </w:p>
    <w:p w:rsidR="00297AF8" w:rsidRDefault="00297AF8" w:rsidP="00297AF8">
      <w:pPr>
        <w:tabs>
          <w:tab w:val="left" w:pos="1701"/>
        </w:tabs>
      </w:pPr>
    </w:p>
    <w:p w:rsidR="00297AF8" w:rsidRDefault="00297AF8" w:rsidP="00644B34">
      <w:pPr>
        <w:pStyle w:val="ListParagraph"/>
        <w:numPr>
          <w:ilvl w:val="0"/>
          <w:numId w:val="117"/>
        </w:numPr>
        <w:tabs>
          <w:tab w:val="left" w:pos="1701"/>
        </w:tabs>
        <w:ind w:left="567" w:hanging="567"/>
      </w:pPr>
      <w:r>
        <w:t>El CESE cree que es necesario invertir en herramientas jurídicas y técnicas para luchar contra la violencia y la discriminación, especialmente en la producción de videojuegos en línea para niños y jóvenes.</w:t>
      </w:r>
    </w:p>
    <w:p w:rsidR="00297AF8" w:rsidRDefault="00297AF8" w:rsidP="00644B34">
      <w:pPr>
        <w:tabs>
          <w:tab w:val="left" w:pos="1701"/>
        </w:tabs>
        <w:ind w:left="567" w:hanging="567"/>
      </w:pPr>
    </w:p>
    <w:p w:rsidR="00297AF8" w:rsidRDefault="00297AF8" w:rsidP="00644B34">
      <w:pPr>
        <w:pStyle w:val="ListParagraph"/>
        <w:numPr>
          <w:ilvl w:val="0"/>
          <w:numId w:val="117"/>
        </w:numPr>
        <w:tabs>
          <w:tab w:val="left" w:pos="1701"/>
        </w:tabs>
        <w:ind w:left="567" w:hanging="567"/>
      </w:pPr>
      <w:r>
        <w:t>El CESE apoya la inclusión de una dimensión creativa y cultural en la política exterior de la UE.</w:t>
      </w:r>
    </w:p>
    <w:p w:rsidR="00297AF8" w:rsidRDefault="00297AF8" w:rsidP="00644B34">
      <w:pPr>
        <w:tabs>
          <w:tab w:val="left" w:pos="1701"/>
        </w:tabs>
        <w:ind w:left="567" w:hanging="567"/>
      </w:pPr>
    </w:p>
    <w:p w:rsidR="00297AF8" w:rsidRDefault="00297AF8" w:rsidP="00644B34">
      <w:pPr>
        <w:pStyle w:val="ListParagraph"/>
        <w:numPr>
          <w:ilvl w:val="0"/>
          <w:numId w:val="117"/>
        </w:numPr>
        <w:tabs>
          <w:tab w:val="left" w:pos="1701"/>
        </w:tabs>
        <w:ind w:left="567" w:hanging="567"/>
      </w:pPr>
      <w:r>
        <w:t>El CESE pide a la Comisión Europea que convoque una licitación para la elaboración de un informe de inteligencia empresarial previsto en 2019 sobre las principales tendencias económicas y tecnológicas en Estados Unidos que afectan a los medios de comunicación, el cine y el sector audiovisual, y sus consecuencias probables en sus homólogos en la UE en el ámbito de la producción, el consumo y la distribución.</w:t>
      </w:r>
    </w:p>
    <w:p w:rsidR="00297AF8" w:rsidRDefault="00297AF8" w:rsidP="00644B34">
      <w:pPr>
        <w:tabs>
          <w:tab w:val="left" w:pos="1701"/>
        </w:tabs>
        <w:ind w:left="567" w:hanging="567"/>
      </w:pPr>
    </w:p>
    <w:p w:rsidR="00297AF8" w:rsidRDefault="00297AF8" w:rsidP="00644B34">
      <w:pPr>
        <w:pStyle w:val="ListParagraph"/>
        <w:numPr>
          <w:ilvl w:val="0"/>
          <w:numId w:val="117"/>
        </w:numPr>
        <w:tabs>
          <w:tab w:val="left" w:pos="1701"/>
        </w:tabs>
        <w:ind w:left="567" w:hanging="567"/>
      </w:pPr>
      <w:r>
        <w:t>Habida cuenta de que el Reino Unido es un importante agente en estas industrias, el CESE pide a la Comisión Europea que apoye el diálogo bilateral entre gobiernos y redes.</w:t>
      </w:r>
    </w:p>
    <w:p w:rsidR="00297AF8" w:rsidRPr="006A5519" w:rsidRDefault="00297AF8" w:rsidP="00297AF8">
      <w:pPr>
        <w:tabs>
          <w:tab w:val="left" w:pos="1701"/>
        </w:tabs>
      </w:pPr>
    </w:p>
    <w:p w:rsidR="00297AF8" w:rsidRPr="00EA6EA0" w:rsidRDefault="00297AF8" w:rsidP="00297AF8">
      <w:pPr>
        <w:tabs>
          <w:tab w:val="left" w:pos="1701"/>
        </w:tabs>
        <w:rPr>
          <w:i/>
        </w:rPr>
      </w:pPr>
      <w:r>
        <w:rPr>
          <w:b/>
          <w:i/>
        </w:rPr>
        <w:t>Contacto:</w:t>
      </w:r>
      <w:r w:rsidR="00E57B17">
        <w:rPr>
          <w:b/>
          <w:i/>
        </w:rPr>
        <w:tab/>
      </w:r>
      <w:r>
        <w:rPr>
          <w:i/>
        </w:rPr>
        <w:t>Aleksandra Wieczorek</w:t>
      </w:r>
    </w:p>
    <w:p w:rsidR="00297AF8" w:rsidRDefault="00297AF8" w:rsidP="00E57B17">
      <w:pPr>
        <w:tabs>
          <w:tab w:val="left" w:pos="1701"/>
        </w:tabs>
        <w:ind w:left="1701" w:hanging="1701"/>
        <w:rPr>
          <w:b/>
          <w:i/>
        </w:rPr>
      </w:pPr>
      <w:r>
        <w:rPr>
          <w:i/>
        </w:rPr>
        <w:tab/>
        <w:t xml:space="preserve">(Tel. 00 32 2 546 9389 - correo electrónico: </w:t>
      </w:r>
      <w:hyperlink r:id="rId50" w:history="1">
        <w:r>
          <w:rPr>
            <w:rStyle w:val="Hyperlink"/>
            <w:i/>
          </w:rPr>
          <w:t>Aleksandra.Wieczorek@eesc.europa.eu</w:t>
        </w:r>
      </w:hyperlink>
      <w:r>
        <w:rPr>
          <w:i/>
        </w:rPr>
        <w:t>)</w:t>
      </w:r>
    </w:p>
    <w:p w:rsidR="00297AF8" w:rsidRDefault="00297AF8" w:rsidP="00297AF8">
      <w:pPr>
        <w:jc w:val="left"/>
        <w:rPr>
          <w:lang w:val="fr-FR"/>
        </w:rPr>
      </w:pPr>
    </w:p>
    <w:p w:rsidR="009A288E" w:rsidRPr="00AB524F" w:rsidRDefault="009A288E" w:rsidP="000D6B2F">
      <w:pPr>
        <w:jc w:val="center"/>
      </w:pPr>
      <w:r>
        <w:t>_____________</w:t>
      </w:r>
    </w:p>
    <w:sectPr w:rsidR="009A288E" w:rsidRPr="00AB524F" w:rsidSect="00623A46">
      <w:headerReference w:type="even" r:id="rId51"/>
      <w:headerReference w:type="default" r:id="rId52"/>
      <w:footerReference w:type="even" r:id="rId53"/>
      <w:footerReference w:type="default" r:id="rId54"/>
      <w:headerReference w:type="first" r:id="rId55"/>
      <w:footerReference w:type="first" r:id="rId5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F22" w:rsidRDefault="00E21F22" w:rsidP="003B283B">
      <w:pPr>
        <w:spacing w:line="240" w:lineRule="auto"/>
      </w:pPr>
      <w:r>
        <w:separator/>
      </w:r>
    </w:p>
  </w:endnote>
  <w:endnote w:type="continuationSeparator" w:id="0">
    <w:p w:rsidR="00E21F22" w:rsidRDefault="00E21F22" w:rsidP="003B283B">
      <w:pPr>
        <w:spacing w:line="240" w:lineRule="auto"/>
      </w:pPr>
      <w:r>
        <w:continuationSeparator/>
      </w:r>
    </w:p>
  </w:endnote>
  <w:endnote w:type="continuationNotice" w:id="1">
    <w:p w:rsidR="00E21F22" w:rsidRDefault="00E21F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Footer"/>
    </w:pPr>
    <w:r>
      <w:t xml:space="preserve">EESC-2018-05296-00-01-TCD-TRA (EN/FR) </w:t>
    </w:r>
    <w:r>
      <w:fldChar w:fldCharType="begin"/>
    </w:r>
    <w:r>
      <w:instrText xml:space="preserve"> PAGE  \* Arabic  \* MERGEFORMAT </w:instrText>
    </w:r>
    <w:r>
      <w:fldChar w:fldCharType="separate"/>
    </w:r>
    <w:r w:rsidR="00AA604B">
      <w:rPr>
        <w:noProof/>
      </w:rPr>
      <w:t>1</w:t>
    </w:r>
    <w:r>
      <w:fldChar w:fldCharType="end"/>
    </w:r>
    <w:r>
      <w:t>/</w:t>
    </w:r>
    <w:fldSimple w:instr=" NUMPAGES ">
      <w:r w:rsidR="00AA604B">
        <w:rPr>
          <w:noProof/>
        </w:rPr>
        <w:t>32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Footer"/>
    </w:pPr>
    <w:r>
      <w:t xml:space="preserve">EESC-2018-05296-00-01-TCD-TRA (EN/FR) </w:t>
    </w:r>
    <w:r>
      <w:fldChar w:fldCharType="begin"/>
    </w:r>
    <w:r>
      <w:instrText xml:space="preserve"> PAGE  \* Arabic  \* MERGEFORMAT </w:instrText>
    </w:r>
    <w:r>
      <w:fldChar w:fldCharType="separate"/>
    </w:r>
    <w:r w:rsidR="00AA604B">
      <w:rPr>
        <w:noProof/>
      </w:rPr>
      <w:t>21</w:t>
    </w:r>
    <w:r>
      <w:fldChar w:fldCharType="end"/>
    </w:r>
    <w:r>
      <w:t>/</w:t>
    </w:r>
    <w:fldSimple w:instr=" NUMPAGES ">
      <w:r w:rsidR="00AA604B">
        <w:rPr>
          <w:noProof/>
        </w:rPr>
        <w:t>32</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F22" w:rsidRDefault="00E21F22" w:rsidP="003B283B">
      <w:pPr>
        <w:spacing w:line="240" w:lineRule="auto"/>
      </w:pPr>
      <w:r>
        <w:separator/>
      </w:r>
    </w:p>
  </w:footnote>
  <w:footnote w:type="continuationSeparator" w:id="0">
    <w:p w:rsidR="00E21F22" w:rsidRDefault="00E21F22" w:rsidP="003B283B">
      <w:pPr>
        <w:spacing w:line="240" w:lineRule="auto"/>
      </w:pPr>
      <w:r>
        <w:continuationSeparator/>
      </w:r>
    </w:p>
  </w:footnote>
  <w:footnote w:type="continuationNotice" w:id="1">
    <w:p w:rsidR="00E21F22" w:rsidRPr="00377A77" w:rsidRDefault="00E21F22">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22" w:rsidRPr="00623A46" w:rsidRDefault="00E21F22" w:rsidP="0062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CC4480"/>
    <w:multiLevelType w:val="hybridMultilevel"/>
    <w:tmpl w:val="546059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2B879EC"/>
    <w:multiLevelType w:val="hybridMultilevel"/>
    <w:tmpl w:val="86E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9388E"/>
    <w:multiLevelType w:val="hybridMultilevel"/>
    <w:tmpl w:val="739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631E5"/>
    <w:multiLevelType w:val="hybridMultilevel"/>
    <w:tmpl w:val="B37ACFEE"/>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6" w15:restartNumberingAfterBreak="0">
    <w:nsid w:val="06615E57"/>
    <w:multiLevelType w:val="hybridMultilevel"/>
    <w:tmpl w:val="E310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1671F9"/>
    <w:multiLevelType w:val="hybridMultilevel"/>
    <w:tmpl w:val="9F5E7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86706AE"/>
    <w:multiLevelType w:val="hybridMultilevel"/>
    <w:tmpl w:val="E5F0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C77283"/>
    <w:multiLevelType w:val="hybridMultilevel"/>
    <w:tmpl w:val="83C0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6E5E52"/>
    <w:multiLevelType w:val="hybridMultilevel"/>
    <w:tmpl w:val="755CA54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B6A06CE"/>
    <w:multiLevelType w:val="hybridMultilevel"/>
    <w:tmpl w:val="BC9A141E"/>
    <w:lvl w:ilvl="0" w:tplc="2D6E35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34465B"/>
    <w:multiLevelType w:val="hybridMultilevel"/>
    <w:tmpl w:val="1D8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2405F"/>
    <w:multiLevelType w:val="hybridMultilevel"/>
    <w:tmpl w:val="6E029D0E"/>
    <w:lvl w:ilvl="0" w:tplc="D39E0C5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0DAC2FCC"/>
    <w:multiLevelType w:val="hybridMultilevel"/>
    <w:tmpl w:val="5810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10528"/>
    <w:multiLevelType w:val="hybridMultilevel"/>
    <w:tmpl w:val="CB9A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4031BB"/>
    <w:multiLevelType w:val="hybridMultilevel"/>
    <w:tmpl w:val="0D1428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45657C6"/>
    <w:multiLevelType w:val="hybridMultilevel"/>
    <w:tmpl w:val="C5666EE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182A3721"/>
    <w:multiLevelType w:val="hybridMultilevel"/>
    <w:tmpl w:val="703C25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A427E3B"/>
    <w:multiLevelType w:val="hybridMultilevel"/>
    <w:tmpl w:val="E5128D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1CC43020"/>
    <w:multiLevelType w:val="hybridMultilevel"/>
    <w:tmpl w:val="FD184F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FE543F4"/>
    <w:multiLevelType w:val="hybridMultilevel"/>
    <w:tmpl w:val="550C11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063216E"/>
    <w:multiLevelType w:val="hybridMultilevel"/>
    <w:tmpl w:val="5C34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D42458"/>
    <w:multiLevelType w:val="hybridMultilevel"/>
    <w:tmpl w:val="90D23E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1C3724C"/>
    <w:multiLevelType w:val="hybridMultilevel"/>
    <w:tmpl w:val="CC1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A03E6"/>
    <w:multiLevelType w:val="hybridMultilevel"/>
    <w:tmpl w:val="E65CD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28573E5"/>
    <w:multiLevelType w:val="multilevel"/>
    <w:tmpl w:val="080C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8" w15:restartNumberingAfterBreak="0">
    <w:nsid w:val="247C569F"/>
    <w:multiLevelType w:val="hybridMultilevel"/>
    <w:tmpl w:val="4516E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48666E7"/>
    <w:multiLevelType w:val="hybridMultilevel"/>
    <w:tmpl w:val="1D28D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56958C1"/>
    <w:multiLevelType w:val="hybridMultilevel"/>
    <w:tmpl w:val="4C2EDE74"/>
    <w:lvl w:ilvl="0" w:tplc="04090001">
      <w:start w:val="1"/>
      <w:numFmt w:val="bullet"/>
      <w:lvlText w:val=""/>
      <w:lvlJc w:val="left"/>
      <w:pPr>
        <w:ind w:left="720" w:hanging="360"/>
      </w:pPr>
      <w:rPr>
        <w:rFonts w:ascii="Symbol" w:hAnsi="Symbol" w:hint="default"/>
      </w:rPr>
    </w:lvl>
    <w:lvl w:ilvl="1" w:tplc="D39E0C5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F60D66"/>
    <w:multiLevelType w:val="hybridMultilevel"/>
    <w:tmpl w:val="E8FE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3195D"/>
    <w:multiLevelType w:val="hybridMultilevel"/>
    <w:tmpl w:val="5332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4D723E"/>
    <w:multiLevelType w:val="singleLevel"/>
    <w:tmpl w:val="04090001"/>
    <w:lvl w:ilvl="0">
      <w:start w:val="1"/>
      <w:numFmt w:val="bullet"/>
      <w:lvlText w:val=""/>
      <w:lvlJc w:val="left"/>
      <w:pPr>
        <w:ind w:left="360" w:hanging="360"/>
      </w:pPr>
      <w:rPr>
        <w:rFonts w:ascii="Symbol" w:hAnsi="Symbol" w:hint="default"/>
      </w:rPr>
    </w:lvl>
  </w:abstractNum>
  <w:abstractNum w:abstractNumId="34" w15:restartNumberingAfterBreak="0">
    <w:nsid w:val="27A8217C"/>
    <w:multiLevelType w:val="hybridMultilevel"/>
    <w:tmpl w:val="F79CB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A379CF"/>
    <w:multiLevelType w:val="hybridMultilevel"/>
    <w:tmpl w:val="E66A0D04"/>
    <w:lvl w:ilvl="0" w:tplc="3F6C8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2127E"/>
    <w:multiLevelType w:val="hybridMultilevel"/>
    <w:tmpl w:val="271A9E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300A1974"/>
    <w:multiLevelType w:val="hybridMultilevel"/>
    <w:tmpl w:val="5F8CDD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15:restartNumberingAfterBreak="0">
    <w:nsid w:val="30340337"/>
    <w:multiLevelType w:val="hybridMultilevel"/>
    <w:tmpl w:val="E89A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B67E7A"/>
    <w:multiLevelType w:val="hybridMultilevel"/>
    <w:tmpl w:val="E658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31150E4"/>
    <w:multiLevelType w:val="hybridMultilevel"/>
    <w:tmpl w:val="B0EE32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431724A"/>
    <w:multiLevelType w:val="hybridMultilevel"/>
    <w:tmpl w:val="D1229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4777FDA"/>
    <w:multiLevelType w:val="hybridMultilevel"/>
    <w:tmpl w:val="4D1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2E5F96"/>
    <w:multiLevelType w:val="hybridMultilevel"/>
    <w:tmpl w:val="AA7CFAAE"/>
    <w:lvl w:ilvl="0" w:tplc="3F6C8E8C">
      <w:start w:val="1"/>
      <w:numFmt w:val="bullet"/>
      <w:lvlText w:val=""/>
      <w:lvlJc w:val="left"/>
      <w:pPr>
        <w:ind w:left="1068" w:hanging="360"/>
      </w:pPr>
      <w:rPr>
        <w:rFonts w:ascii="Symbol" w:hAnsi="Symbol" w:hint="default"/>
      </w:rPr>
    </w:lvl>
    <w:lvl w:ilvl="1" w:tplc="3F6C8E8C">
      <w:start w:val="1"/>
      <w:numFmt w:val="bullet"/>
      <w:lvlText w:val=""/>
      <w:lvlJc w:val="left"/>
      <w:pPr>
        <w:ind w:left="1788" w:hanging="360"/>
      </w:pPr>
      <w:rPr>
        <w:rFonts w:ascii="Symbol" w:hAnsi="Symbol"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4" w15:restartNumberingAfterBreak="0">
    <w:nsid w:val="35721DD2"/>
    <w:multiLevelType w:val="hybridMultilevel"/>
    <w:tmpl w:val="878EE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58619B9"/>
    <w:multiLevelType w:val="hybridMultilevel"/>
    <w:tmpl w:val="F01870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608016A"/>
    <w:multiLevelType w:val="hybridMultilevel"/>
    <w:tmpl w:val="FC003E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362F63E4"/>
    <w:multiLevelType w:val="hybridMultilevel"/>
    <w:tmpl w:val="C4C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A46F5A"/>
    <w:multiLevelType w:val="hybridMultilevel"/>
    <w:tmpl w:val="2C8679E8"/>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9" w15:restartNumberingAfterBreak="0">
    <w:nsid w:val="37516398"/>
    <w:multiLevelType w:val="hybridMultilevel"/>
    <w:tmpl w:val="363C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9C2701"/>
    <w:multiLevelType w:val="hybridMultilevel"/>
    <w:tmpl w:val="3B36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D00328"/>
    <w:multiLevelType w:val="hybridMultilevel"/>
    <w:tmpl w:val="10166624"/>
    <w:lvl w:ilvl="0" w:tplc="4398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25013E"/>
    <w:multiLevelType w:val="hybridMultilevel"/>
    <w:tmpl w:val="523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913592"/>
    <w:multiLevelType w:val="hybridMultilevel"/>
    <w:tmpl w:val="C138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9A306A"/>
    <w:multiLevelType w:val="hybridMultilevel"/>
    <w:tmpl w:val="149A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5E0D62"/>
    <w:multiLevelType w:val="hybridMultilevel"/>
    <w:tmpl w:val="EE90C048"/>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6" w15:restartNumberingAfterBreak="0">
    <w:nsid w:val="42660CFE"/>
    <w:multiLevelType w:val="hybridMultilevel"/>
    <w:tmpl w:val="194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FA2001"/>
    <w:multiLevelType w:val="hybridMultilevel"/>
    <w:tmpl w:val="83A4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7809B8"/>
    <w:multiLevelType w:val="hybridMultilevel"/>
    <w:tmpl w:val="498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7815A3"/>
    <w:multiLevelType w:val="hybridMultilevel"/>
    <w:tmpl w:val="8E142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437942AD"/>
    <w:multiLevelType w:val="hybridMultilevel"/>
    <w:tmpl w:val="0FBC00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44C03C39"/>
    <w:multiLevelType w:val="hybridMultilevel"/>
    <w:tmpl w:val="601A4978"/>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851389"/>
    <w:multiLevelType w:val="hybridMultilevel"/>
    <w:tmpl w:val="31E0C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D35801"/>
    <w:multiLevelType w:val="hybridMultilevel"/>
    <w:tmpl w:val="B580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D20334"/>
    <w:multiLevelType w:val="hybridMultilevel"/>
    <w:tmpl w:val="129C3AC4"/>
    <w:lvl w:ilvl="0" w:tplc="3F6C8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6E765F"/>
    <w:multiLevelType w:val="hybridMultilevel"/>
    <w:tmpl w:val="E7DA3F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495F73BA"/>
    <w:multiLevelType w:val="hybridMultilevel"/>
    <w:tmpl w:val="C89E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9D5D17"/>
    <w:multiLevelType w:val="hybridMultilevel"/>
    <w:tmpl w:val="058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AA7F0F"/>
    <w:multiLevelType w:val="hybridMultilevel"/>
    <w:tmpl w:val="F10AB1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4E7777FE"/>
    <w:multiLevelType w:val="hybridMultilevel"/>
    <w:tmpl w:val="537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C5252B"/>
    <w:multiLevelType w:val="hybridMultilevel"/>
    <w:tmpl w:val="3D46FC1A"/>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EF73CC"/>
    <w:multiLevelType w:val="hybridMultilevel"/>
    <w:tmpl w:val="5C4A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0A5EB9"/>
    <w:multiLevelType w:val="hybridMultilevel"/>
    <w:tmpl w:val="6754768E"/>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73" w15:restartNumberingAfterBreak="0">
    <w:nsid w:val="53D26C97"/>
    <w:multiLevelType w:val="hybridMultilevel"/>
    <w:tmpl w:val="046E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3EF51B6"/>
    <w:multiLevelType w:val="hybridMultilevel"/>
    <w:tmpl w:val="CE9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76" w15:restartNumberingAfterBreak="0">
    <w:nsid w:val="56802486"/>
    <w:multiLevelType w:val="hybridMultilevel"/>
    <w:tmpl w:val="46F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15B67"/>
    <w:multiLevelType w:val="hybridMultilevel"/>
    <w:tmpl w:val="787463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5B7843E4"/>
    <w:multiLevelType w:val="hybridMultilevel"/>
    <w:tmpl w:val="CC2EAC06"/>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BE06E76"/>
    <w:multiLevelType w:val="hybridMultilevel"/>
    <w:tmpl w:val="3D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1D63C5"/>
    <w:multiLevelType w:val="hybridMultilevel"/>
    <w:tmpl w:val="0C18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F132E06"/>
    <w:multiLevelType w:val="hybridMultilevel"/>
    <w:tmpl w:val="242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6A3C23"/>
    <w:multiLevelType w:val="hybridMultilevel"/>
    <w:tmpl w:val="5E7C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F8374D8"/>
    <w:multiLevelType w:val="hybridMultilevel"/>
    <w:tmpl w:val="28FA6856"/>
    <w:lvl w:ilvl="0" w:tplc="D39E0C5E">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4" w15:restartNumberingAfterBreak="0">
    <w:nsid w:val="5F85421D"/>
    <w:multiLevelType w:val="hybridMultilevel"/>
    <w:tmpl w:val="2A7AD264"/>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85" w15:restartNumberingAfterBreak="0">
    <w:nsid w:val="60724ED4"/>
    <w:multiLevelType w:val="singleLevel"/>
    <w:tmpl w:val="A6CEB27A"/>
    <w:lvl w:ilvl="0">
      <w:start w:val="1"/>
      <w:numFmt w:val="bullet"/>
      <w:lvlText w:val=""/>
      <w:lvlJc w:val="left"/>
      <w:pPr>
        <w:ind w:left="720" w:hanging="360"/>
      </w:pPr>
      <w:rPr>
        <w:rFonts w:ascii="Symbol" w:hAnsi="Symbol" w:hint="default"/>
      </w:rPr>
    </w:lvl>
  </w:abstractNum>
  <w:abstractNum w:abstractNumId="86" w15:restartNumberingAfterBreak="0">
    <w:nsid w:val="62756E8B"/>
    <w:multiLevelType w:val="hybridMultilevel"/>
    <w:tmpl w:val="1616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E8229C"/>
    <w:multiLevelType w:val="hybridMultilevel"/>
    <w:tmpl w:val="0C3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2F80651"/>
    <w:multiLevelType w:val="hybridMultilevel"/>
    <w:tmpl w:val="8A86AF48"/>
    <w:lvl w:ilvl="0" w:tplc="080C0001">
      <w:start w:val="1"/>
      <w:numFmt w:val="bullet"/>
      <w:lvlText w:val=""/>
      <w:lvlJc w:val="left"/>
      <w:pPr>
        <w:ind w:left="720" w:hanging="360"/>
      </w:pPr>
      <w:rPr>
        <w:rFonts w:ascii="Symbol" w:hAnsi="Symbol" w:hint="default"/>
      </w:rPr>
    </w:lvl>
    <w:lvl w:ilvl="1" w:tplc="C83C454C">
      <w:start w:val="1"/>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63A864F4"/>
    <w:multiLevelType w:val="hybridMultilevel"/>
    <w:tmpl w:val="6C6A7BC6"/>
    <w:lvl w:ilvl="0" w:tplc="439893AE">
      <w:numFmt w:val="bullet"/>
      <w:lvlText w:val="•"/>
      <w:lvlJc w:val="left"/>
      <w:pPr>
        <w:ind w:left="720" w:hanging="360"/>
      </w:pPr>
      <w:rPr>
        <w:rFonts w:ascii="Times New Roman" w:eastAsia="Times New Roman" w:hAnsi="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4A67527"/>
    <w:multiLevelType w:val="hybridMultilevel"/>
    <w:tmpl w:val="734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E03FBB"/>
    <w:multiLevelType w:val="singleLevel"/>
    <w:tmpl w:val="ACD4CDB0"/>
    <w:lvl w:ilvl="0">
      <w:numFmt w:val="decimal"/>
      <w:lvlText w:val="*"/>
      <w:lvlJc w:val="left"/>
      <w:rPr>
        <w:rFonts w:cs="Times New Roman"/>
      </w:rPr>
    </w:lvl>
  </w:abstractNum>
  <w:abstractNum w:abstractNumId="92" w15:restartNumberingAfterBreak="0">
    <w:nsid w:val="672C3F30"/>
    <w:multiLevelType w:val="hybridMultilevel"/>
    <w:tmpl w:val="48E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3E0093"/>
    <w:multiLevelType w:val="hybridMultilevel"/>
    <w:tmpl w:val="662C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AC7EB4"/>
    <w:multiLevelType w:val="hybridMultilevel"/>
    <w:tmpl w:val="E69EC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5" w15:restartNumberingAfterBreak="0">
    <w:nsid w:val="67B27247"/>
    <w:multiLevelType w:val="multilevel"/>
    <w:tmpl w:val="C3E48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7EB6049"/>
    <w:multiLevelType w:val="hybridMultilevel"/>
    <w:tmpl w:val="51720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6904041B"/>
    <w:multiLevelType w:val="hybridMultilevel"/>
    <w:tmpl w:val="96A6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9D02644"/>
    <w:multiLevelType w:val="hybridMultilevel"/>
    <w:tmpl w:val="8B84E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A0E73F1"/>
    <w:multiLevelType w:val="hybridMultilevel"/>
    <w:tmpl w:val="36CC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A383A60"/>
    <w:multiLevelType w:val="hybridMultilevel"/>
    <w:tmpl w:val="8E96A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6B7D610E"/>
    <w:multiLevelType w:val="hybridMultilevel"/>
    <w:tmpl w:val="21480D94"/>
    <w:lvl w:ilvl="0" w:tplc="3F6C8E8C">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2" w15:restartNumberingAfterBreak="0">
    <w:nsid w:val="6BB54B07"/>
    <w:multiLevelType w:val="hybridMultilevel"/>
    <w:tmpl w:val="F62C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F01368"/>
    <w:multiLevelType w:val="hybridMultilevel"/>
    <w:tmpl w:val="09EC1F0C"/>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BFE35FA"/>
    <w:multiLevelType w:val="hybridMultilevel"/>
    <w:tmpl w:val="FF1A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7B7DB1"/>
    <w:multiLevelType w:val="hybridMultilevel"/>
    <w:tmpl w:val="9CD63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6" w15:restartNumberingAfterBreak="0">
    <w:nsid w:val="6CC46E96"/>
    <w:multiLevelType w:val="hybridMultilevel"/>
    <w:tmpl w:val="5F98AA9E"/>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07" w15:restartNumberingAfterBreak="0">
    <w:nsid w:val="6DF94B03"/>
    <w:multiLevelType w:val="hybridMultilevel"/>
    <w:tmpl w:val="A026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AD3C0F"/>
    <w:multiLevelType w:val="hybridMultilevel"/>
    <w:tmpl w:val="73ECC694"/>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0E40C4"/>
    <w:multiLevelType w:val="hybridMultilevel"/>
    <w:tmpl w:val="E76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950604"/>
    <w:multiLevelType w:val="hybridMultilevel"/>
    <w:tmpl w:val="FF34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2B7682"/>
    <w:multiLevelType w:val="hybridMultilevel"/>
    <w:tmpl w:val="9BFA489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11F0BD8"/>
    <w:multiLevelType w:val="hybridMultilevel"/>
    <w:tmpl w:val="BBB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48377B"/>
    <w:multiLevelType w:val="hybridMultilevel"/>
    <w:tmpl w:val="560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1D1877"/>
    <w:multiLevelType w:val="hybridMultilevel"/>
    <w:tmpl w:val="7696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87A3F00"/>
    <w:multiLevelType w:val="hybridMultilevel"/>
    <w:tmpl w:val="5D82D1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15:restartNumberingAfterBreak="0">
    <w:nsid w:val="79517306"/>
    <w:multiLevelType w:val="hybridMultilevel"/>
    <w:tmpl w:val="BB82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9" w15:restartNumberingAfterBreak="0">
    <w:nsid w:val="795876D6"/>
    <w:multiLevelType w:val="hybridMultilevel"/>
    <w:tmpl w:val="A8EAAB6C"/>
    <w:lvl w:ilvl="0" w:tplc="080C0001">
      <w:start w:val="1"/>
      <w:numFmt w:val="bullet"/>
      <w:lvlText w:val=""/>
      <w:lvlJc w:val="left"/>
      <w:pPr>
        <w:ind w:left="720" w:hanging="360"/>
      </w:pPr>
      <w:rPr>
        <w:rFonts w:ascii="Symbol" w:hAnsi="Symbol" w:hint="default"/>
      </w:rPr>
    </w:lvl>
    <w:lvl w:ilvl="1" w:tplc="3F6C8E8C">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7AA13E87"/>
    <w:multiLevelType w:val="hybridMultilevel"/>
    <w:tmpl w:val="201C20AC"/>
    <w:lvl w:ilvl="0" w:tplc="D39E0C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B0D0410"/>
    <w:multiLevelType w:val="hybridMultilevel"/>
    <w:tmpl w:val="F69C8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15:restartNumberingAfterBreak="0">
    <w:nsid w:val="7BA4042A"/>
    <w:multiLevelType w:val="hybridMultilevel"/>
    <w:tmpl w:val="E12005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BA95951"/>
    <w:multiLevelType w:val="hybridMultilevel"/>
    <w:tmpl w:val="5EBCB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C6A2F2E"/>
    <w:multiLevelType w:val="hybridMultilevel"/>
    <w:tmpl w:val="7FFE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DCA76EE"/>
    <w:multiLevelType w:val="hybridMultilevel"/>
    <w:tmpl w:val="C25E18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6" w15:restartNumberingAfterBreak="0">
    <w:nsid w:val="7DDF150E"/>
    <w:multiLevelType w:val="hybridMultilevel"/>
    <w:tmpl w:val="4AC85E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7" w15:restartNumberingAfterBreak="0">
    <w:nsid w:val="7E7D5784"/>
    <w:multiLevelType w:val="multilevel"/>
    <w:tmpl w:val="6346DFA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FB63AFC"/>
    <w:multiLevelType w:val="hybridMultilevel"/>
    <w:tmpl w:val="3D1CA696"/>
    <w:lvl w:ilvl="0" w:tplc="080C0001">
      <w:start w:val="1"/>
      <w:numFmt w:val="bullet"/>
      <w:lvlText w:val=""/>
      <w:lvlJc w:val="left"/>
      <w:pPr>
        <w:ind w:left="720" w:hanging="360"/>
      </w:pPr>
      <w:rPr>
        <w:rFonts w:ascii="Symbol" w:hAnsi="Symbol" w:hint="default"/>
      </w:rPr>
    </w:lvl>
    <w:lvl w:ilvl="1" w:tplc="D39E0C5E">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vlJc w:val="left"/>
        <w:pPr>
          <w:ind w:left="720" w:hanging="360"/>
        </w:pPr>
        <w:rPr>
          <w:rFonts w:ascii="Symbol" w:hAnsi="Symbol" w:hint="default"/>
        </w:rPr>
      </w:lvl>
    </w:lvlOverride>
  </w:num>
  <w:num w:numId="3">
    <w:abstractNumId w:val="80"/>
  </w:num>
  <w:num w:numId="4">
    <w:abstractNumId w:val="38"/>
  </w:num>
  <w:num w:numId="5">
    <w:abstractNumId w:val="86"/>
  </w:num>
  <w:num w:numId="6">
    <w:abstractNumId w:val="6"/>
  </w:num>
  <w:num w:numId="7">
    <w:abstractNumId w:val="42"/>
  </w:num>
  <w:num w:numId="8">
    <w:abstractNumId w:val="104"/>
  </w:num>
  <w:num w:numId="9">
    <w:abstractNumId w:val="109"/>
  </w:num>
  <w:num w:numId="10">
    <w:abstractNumId w:val="87"/>
  </w:num>
  <w:num w:numId="11">
    <w:abstractNumId w:val="46"/>
  </w:num>
  <w:num w:numId="12">
    <w:abstractNumId w:val="53"/>
  </w:num>
  <w:num w:numId="13">
    <w:abstractNumId w:val="100"/>
  </w:num>
  <w:num w:numId="14">
    <w:abstractNumId w:val="105"/>
  </w:num>
  <w:num w:numId="15">
    <w:abstractNumId w:val="48"/>
  </w:num>
  <w:num w:numId="16">
    <w:abstractNumId w:val="55"/>
  </w:num>
  <w:num w:numId="17">
    <w:abstractNumId w:val="101"/>
  </w:num>
  <w:num w:numId="18">
    <w:abstractNumId w:val="18"/>
  </w:num>
  <w:num w:numId="19">
    <w:abstractNumId w:val="22"/>
  </w:num>
  <w:num w:numId="20">
    <w:abstractNumId w:val="33"/>
  </w:num>
  <w:num w:numId="21">
    <w:abstractNumId w:val="25"/>
  </w:num>
  <w:num w:numId="22">
    <w:abstractNumId w:val="119"/>
  </w:num>
  <w:num w:numId="23">
    <w:abstractNumId w:val="88"/>
  </w:num>
  <w:num w:numId="24">
    <w:abstractNumId w:val="60"/>
  </w:num>
  <w:num w:numId="25">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26">
    <w:abstractNumId w:val="17"/>
  </w:num>
  <w:num w:numId="27">
    <w:abstractNumId w:val="96"/>
  </w:num>
  <w:num w:numId="28">
    <w:abstractNumId w:val="23"/>
  </w:num>
  <w:num w:numId="29">
    <w:abstractNumId w:val="40"/>
  </w:num>
  <w:num w:numId="30">
    <w:abstractNumId w:val="52"/>
  </w:num>
  <w:num w:numId="31">
    <w:abstractNumId w:val="29"/>
  </w:num>
  <w:num w:numId="32">
    <w:abstractNumId w:val="117"/>
  </w:num>
  <w:num w:numId="33">
    <w:abstractNumId w:val="118"/>
  </w:num>
  <w:num w:numId="34">
    <w:abstractNumId w:val="41"/>
  </w:num>
  <w:num w:numId="35">
    <w:abstractNumId w:val="79"/>
  </w:num>
  <w:num w:numId="36">
    <w:abstractNumId w:val="74"/>
  </w:num>
  <w:num w:numId="37">
    <w:abstractNumId w:val="92"/>
  </w:num>
  <w:num w:numId="38">
    <w:abstractNumId w:val="58"/>
  </w:num>
  <w:num w:numId="39">
    <w:abstractNumId w:val="45"/>
  </w:num>
  <w:num w:numId="40">
    <w:abstractNumId w:val="111"/>
  </w:num>
  <w:num w:numId="41">
    <w:abstractNumId w:val="44"/>
  </w:num>
  <w:num w:numId="42">
    <w:abstractNumId w:val="59"/>
  </w:num>
  <w:num w:numId="43">
    <w:abstractNumId w:val="71"/>
  </w:num>
  <w:num w:numId="44">
    <w:abstractNumId w:val="110"/>
  </w:num>
  <w:num w:numId="45">
    <w:abstractNumId w:val="2"/>
  </w:num>
  <w:num w:numId="46">
    <w:abstractNumId w:val="126"/>
  </w:num>
  <w:num w:numId="47">
    <w:abstractNumId w:val="13"/>
  </w:num>
  <w:num w:numId="48">
    <w:abstractNumId w:val="107"/>
  </w:num>
  <w:num w:numId="49">
    <w:abstractNumId w:val="81"/>
  </w:num>
  <w:num w:numId="50">
    <w:abstractNumId w:val="97"/>
  </w:num>
  <w:num w:numId="51">
    <w:abstractNumId w:val="69"/>
  </w:num>
  <w:num w:numId="52">
    <w:abstractNumId w:val="30"/>
  </w:num>
  <w:num w:numId="53">
    <w:abstractNumId w:val="93"/>
  </w:num>
  <w:num w:numId="54">
    <w:abstractNumId w:val="3"/>
  </w:num>
  <w:num w:numId="55">
    <w:abstractNumId w:val="63"/>
  </w:num>
  <w:num w:numId="56">
    <w:abstractNumId w:val="128"/>
  </w:num>
  <w:num w:numId="57">
    <w:abstractNumId w:val="37"/>
  </w:num>
  <w:num w:numId="58">
    <w:abstractNumId w:val="9"/>
  </w:num>
  <w:num w:numId="59">
    <w:abstractNumId w:val="90"/>
  </w:num>
  <w:num w:numId="60">
    <w:abstractNumId w:val="84"/>
  </w:num>
  <w:num w:numId="61">
    <w:abstractNumId w:val="66"/>
  </w:num>
  <w:num w:numId="62">
    <w:abstractNumId w:val="32"/>
  </w:num>
  <w:num w:numId="63">
    <w:abstractNumId w:val="34"/>
  </w:num>
  <w:num w:numId="64">
    <w:abstractNumId w:val="73"/>
  </w:num>
  <w:num w:numId="65">
    <w:abstractNumId w:val="77"/>
  </w:num>
  <w:num w:numId="66">
    <w:abstractNumId w:val="124"/>
  </w:num>
  <w:num w:numId="67">
    <w:abstractNumId w:val="51"/>
  </w:num>
  <w:num w:numId="68">
    <w:abstractNumId w:val="89"/>
  </w:num>
  <w:num w:numId="69">
    <w:abstractNumId w:val="14"/>
  </w:num>
  <w:num w:numId="70">
    <w:abstractNumId w:val="115"/>
  </w:num>
  <w:num w:numId="71">
    <w:abstractNumId w:val="28"/>
  </w:num>
  <w:num w:numId="72">
    <w:abstractNumId w:val="83"/>
  </w:num>
  <w:num w:numId="73">
    <w:abstractNumId w:val="123"/>
  </w:num>
  <w:num w:numId="74">
    <w:abstractNumId w:val="120"/>
  </w:num>
  <w:num w:numId="75">
    <w:abstractNumId w:val="116"/>
  </w:num>
  <w:num w:numId="76">
    <w:abstractNumId w:val="121"/>
  </w:num>
  <w:num w:numId="77">
    <w:abstractNumId w:val="12"/>
  </w:num>
  <w:num w:numId="78">
    <w:abstractNumId w:val="67"/>
  </w:num>
  <w:num w:numId="79">
    <w:abstractNumId w:val="8"/>
  </w:num>
  <w:num w:numId="80">
    <w:abstractNumId w:val="26"/>
  </w:num>
  <w:num w:numId="81">
    <w:abstractNumId w:val="75"/>
  </w:num>
  <w:num w:numId="82">
    <w:abstractNumId w:val="114"/>
  </w:num>
  <w:num w:numId="83">
    <w:abstractNumId w:val="68"/>
  </w:num>
  <w:num w:numId="84">
    <w:abstractNumId w:val="62"/>
  </w:num>
  <w:num w:numId="85">
    <w:abstractNumId w:val="31"/>
  </w:num>
  <w:num w:numId="86">
    <w:abstractNumId w:val="7"/>
  </w:num>
  <w:num w:numId="87">
    <w:abstractNumId w:val="27"/>
  </w:num>
  <w:num w:numId="88">
    <w:abstractNumId w:val="95"/>
  </w:num>
  <w:num w:numId="89">
    <w:abstractNumId w:val="54"/>
  </w:num>
  <w:num w:numId="90">
    <w:abstractNumId w:val="85"/>
  </w:num>
  <w:num w:numId="91">
    <w:abstractNumId w:val="91"/>
  </w:num>
  <w:num w:numId="92">
    <w:abstractNumId w:val="20"/>
  </w:num>
  <w:num w:numId="93">
    <w:abstractNumId w:val="39"/>
  </w:num>
  <w:num w:numId="94">
    <w:abstractNumId w:val="50"/>
  </w:num>
  <w:num w:numId="95">
    <w:abstractNumId w:val="56"/>
  </w:num>
  <w:num w:numId="96">
    <w:abstractNumId w:val="94"/>
  </w:num>
  <w:num w:numId="97">
    <w:abstractNumId w:val="72"/>
  </w:num>
  <w:num w:numId="98">
    <w:abstractNumId w:val="5"/>
  </w:num>
  <w:num w:numId="99">
    <w:abstractNumId w:val="125"/>
  </w:num>
  <w:num w:numId="100">
    <w:abstractNumId w:val="19"/>
  </w:num>
  <w:num w:numId="101">
    <w:abstractNumId w:val="36"/>
  </w:num>
  <w:num w:numId="10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03">
    <w:abstractNumId w:val="10"/>
  </w:num>
  <w:num w:numId="104">
    <w:abstractNumId w:val="112"/>
  </w:num>
  <w:num w:numId="105">
    <w:abstractNumId w:val="49"/>
  </w:num>
  <w:num w:numId="106">
    <w:abstractNumId w:val="106"/>
  </w:num>
  <w:num w:numId="107">
    <w:abstractNumId w:val="16"/>
  </w:num>
  <w:num w:numId="108">
    <w:abstractNumId w:val="99"/>
  </w:num>
  <w:num w:numId="109">
    <w:abstractNumId w:val="21"/>
  </w:num>
  <w:num w:numId="110">
    <w:abstractNumId w:val="15"/>
  </w:num>
  <w:num w:numId="111">
    <w:abstractNumId w:val="102"/>
  </w:num>
  <w:num w:numId="112">
    <w:abstractNumId w:val="98"/>
  </w:num>
  <w:num w:numId="113">
    <w:abstractNumId w:val="127"/>
  </w:num>
  <w:num w:numId="114">
    <w:abstractNumId w:val="4"/>
  </w:num>
  <w:num w:numId="115">
    <w:abstractNumId w:val="113"/>
  </w:num>
  <w:num w:numId="116">
    <w:abstractNumId w:val="57"/>
  </w:num>
  <w:num w:numId="117">
    <w:abstractNumId w:val="82"/>
  </w:num>
  <w:num w:numId="118">
    <w:abstractNumId w:val="24"/>
  </w:num>
  <w:num w:numId="119">
    <w:abstractNumId w:val="122"/>
  </w:num>
  <w:num w:numId="120">
    <w:abstractNumId w:val="76"/>
  </w:num>
  <w:num w:numId="121">
    <w:abstractNumId w:val="11"/>
  </w:num>
  <w:num w:numId="122">
    <w:abstractNumId w:val="65"/>
  </w:num>
  <w:num w:numId="123">
    <w:abstractNumId w:val="43"/>
  </w:num>
  <w:num w:numId="124">
    <w:abstractNumId w:val="35"/>
  </w:num>
  <w:num w:numId="125">
    <w:abstractNumId w:val="64"/>
  </w:num>
  <w:num w:numId="126">
    <w:abstractNumId w:val="47"/>
  </w:num>
  <w:num w:numId="127">
    <w:abstractNumId w:val="108"/>
  </w:num>
  <w:num w:numId="128">
    <w:abstractNumId w:val="78"/>
  </w:num>
  <w:num w:numId="129">
    <w:abstractNumId w:val="61"/>
  </w:num>
  <w:num w:numId="130">
    <w:abstractNumId w:val="70"/>
  </w:num>
  <w:num w:numId="131">
    <w:abstractNumId w:val="10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11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5D1A"/>
    <w:rsid w:val="00007617"/>
    <w:rsid w:val="00007B94"/>
    <w:rsid w:val="000104CB"/>
    <w:rsid w:val="000115A9"/>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62B"/>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C28"/>
    <w:rsid w:val="00070DC9"/>
    <w:rsid w:val="000714D6"/>
    <w:rsid w:val="00071E53"/>
    <w:rsid w:val="00072772"/>
    <w:rsid w:val="0007365D"/>
    <w:rsid w:val="00073A46"/>
    <w:rsid w:val="000742C2"/>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5F3"/>
    <w:rsid w:val="00092CB2"/>
    <w:rsid w:val="00093786"/>
    <w:rsid w:val="00094645"/>
    <w:rsid w:val="000967CA"/>
    <w:rsid w:val="00096999"/>
    <w:rsid w:val="000974BF"/>
    <w:rsid w:val="00097F0D"/>
    <w:rsid w:val="000A2809"/>
    <w:rsid w:val="000A4202"/>
    <w:rsid w:val="000A62E2"/>
    <w:rsid w:val="000A63F9"/>
    <w:rsid w:val="000A7A22"/>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381"/>
    <w:rsid w:val="000F558D"/>
    <w:rsid w:val="000F55B5"/>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57F4"/>
    <w:rsid w:val="00166FCB"/>
    <w:rsid w:val="0017001D"/>
    <w:rsid w:val="0017241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78A"/>
    <w:rsid w:val="001D4E3C"/>
    <w:rsid w:val="001D52CB"/>
    <w:rsid w:val="001D69DD"/>
    <w:rsid w:val="001D6C48"/>
    <w:rsid w:val="001D74DC"/>
    <w:rsid w:val="001E0C2F"/>
    <w:rsid w:val="001E0E97"/>
    <w:rsid w:val="001E17D8"/>
    <w:rsid w:val="001E2338"/>
    <w:rsid w:val="001E558F"/>
    <w:rsid w:val="001E5961"/>
    <w:rsid w:val="001E717B"/>
    <w:rsid w:val="001E74A2"/>
    <w:rsid w:val="001E76FC"/>
    <w:rsid w:val="001F0BC4"/>
    <w:rsid w:val="001F1D17"/>
    <w:rsid w:val="001F1F3D"/>
    <w:rsid w:val="001F45FF"/>
    <w:rsid w:val="001F4D66"/>
    <w:rsid w:val="001F4DA7"/>
    <w:rsid w:val="001F59A5"/>
    <w:rsid w:val="001F6063"/>
    <w:rsid w:val="001F689E"/>
    <w:rsid w:val="0020089C"/>
    <w:rsid w:val="00200F03"/>
    <w:rsid w:val="002013C3"/>
    <w:rsid w:val="002022AD"/>
    <w:rsid w:val="00202634"/>
    <w:rsid w:val="00203A8F"/>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69F7"/>
    <w:rsid w:val="00247F50"/>
    <w:rsid w:val="00250267"/>
    <w:rsid w:val="00252542"/>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0FF0"/>
    <w:rsid w:val="0027137C"/>
    <w:rsid w:val="0027413E"/>
    <w:rsid w:val="0027451C"/>
    <w:rsid w:val="00274585"/>
    <w:rsid w:val="00274E55"/>
    <w:rsid w:val="002751DD"/>
    <w:rsid w:val="00276777"/>
    <w:rsid w:val="00276ED9"/>
    <w:rsid w:val="0028043D"/>
    <w:rsid w:val="00281365"/>
    <w:rsid w:val="0028188E"/>
    <w:rsid w:val="00282C78"/>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AF8"/>
    <w:rsid w:val="002A0707"/>
    <w:rsid w:val="002A17C4"/>
    <w:rsid w:val="002A2B5D"/>
    <w:rsid w:val="002A349B"/>
    <w:rsid w:val="002A3665"/>
    <w:rsid w:val="002A3BAB"/>
    <w:rsid w:val="002A48AF"/>
    <w:rsid w:val="002A4A76"/>
    <w:rsid w:val="002A5E72"/>
    <w:rsid w:val="002A5F58"/>
    <w:rsid w:val="002B10EE"/>
    <w:rsid w:val="002B2798"/>
    <w:rsid w:val="002B4372"/>
    <w:rsid w:val="002B445D"/>
    <w:rsid w:val="002B4C96"/>
    <w:rsid w:val="002B597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FB2"/>
    <w:rsid w:val="00336DB2"/>
    <w:rsid w:val="00337799"/>
    <w:rsid w:val="0034052F"/>
    <w:rsid w:val="003415D2"/>
    <w:rsid w:val="00342579"/>
    <w:rsid w:val="00342715"/>
    <w:rsid w:val="003439F8"/>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59AE"/>
    <w:rsid w:val="00377A77"/>
    <w:rsid w:val="003803A1"/>
    <w:rsid w:val="00380A9A"/>
    <w:rsid w:val="0038274D"/>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564"/>
    <w:rsid w:val="00395C7C"/>
    <w:rsid w:val="0039620F"/>
    <w:rsid w:val="00396C91"/>
    <w:rsid w:val="00396F6E"/>
    <w:rsid w:val="00397835"/>
    <w:rsid w:val="003979EC"/>
    <w:rsid w:val="00397A66"/>
    <w:rsid w:val="00397C0A"/>
    <w:rsid w:val="003A2297"/>
    <w:rsid w:val="003A29B6"/>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423"/>
    <w:rsid w:val="00402CA2"/>
    <w:rsid w:val="0040578C"/>
    <w:rsid w:val="004079A9"/>
    <w:rsid w:val="00407AA7"/>
    <w:rsid w:val="004107E8"/>
    <w:rsid w:val="004114DB"/>
    <w:rsid w:val="00411755"/>
    <w:rsid w:val="0041385B"/>
    <w:rsid w:val="00413CA9"/>
    <w:rsid w:val="00413EED"/>
    <w:rsid w:val="00414A4C"/>
    <w:rsid w:val="00414CA3"/>
    <w:rsid w:val="00415AAD"/>
    <w:rsid w:val="0041623F"/>
    <w:rsid w:val="0041728F"/>
    <w:rsid w:val="00421682"/>
    <w:rsid w:val="004221CC"/>
    <w:rsid w:val="004235E7"/>
    <w:rsid w:val="004242B7"/>
    <w:rsid w:val="00425124"/>
    <w:rsid w:val="00425526"/>
    <w:rsid w:val="004258F9"/>
    <w:rsid w:val="00426306"/>
    <w:rsid w:val="00427096"/>
    <w:rsid w:val="004276C7"/>
    <w:rsid w:val="00427C97"/>
    <w:rsid w:val="00430418"/>
    <w:rsid w:val="0043072E"/>
    <w:rsid w:val="004307DC"/>
    <w:rsid w:val="00430FC6"/>
    <w:rsid w:val="004310BF"/>
    <w:rsid w:val="0043229E"/>
    <w:rsid w:val="004331FF"/>
    <w:rsid w:val="00433EDC"/>
    <w:rsid w:val="00434AB9"/>
    <w:rsid w:val="00434C77"/>
    <w:rsid w:val="00440808"/>
    <w:rsid w:val="00441BAD"/>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A72"/>
    <w:rsid w:val="0047306F"/>
    <w:rsid w:val="004733C2"/>
    <w:rsid w:val="0047355F"/>
    <w:rsid w:val="0047417A"/>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5606"/>
    <w:rsid w:val="00496EBA"/>
    <w:rsid w:val="00497493"/>
    <w:rsid w:val="00497BC6"/>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21A8"/>
    <w:rsid w:val="004E2B3E"/>
    <w:rsid w:val="004E3528"/>
    <w:rsid w:val="004E3A5B"/>
    <w:rsid w:val="004E46A8"/>
    <w:rsid w:val="004E4A42"/>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27A0"/>
    <w:rsid w:val="00514A9A"/>
    <w:rsid w:val="00514E2E"/>
    <w:rsid w:val="00515A67"/>
    <w:rsid w:val="00515BC0"/>
    <w:rsid w:val="00516F22"/>
    <w:rsid w:val="005207E3"/>
    <w:rsid w:val="00520A8A"/>
    <w:rsid w:val="00522152"/>
    <w:rsid w:val="00523686"/>
    <w:rsid w:val="00523996"/>
    <w:rsid w:val="00525911"/>
    <w:rsid w:val="00531900"/>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EED"/>
    <w:rsid w:val="00575FD4"/>
    <w:rsid w:val="0057764D"/>
    <w:rsid w:val="00577829"/>
    <w:rsid w:val="005805C8"/>
    <w:rsid w:val="0058068C"/>
    <w:rsid w:val="00581104"/>
    <w:rsid w:val="005828CD"/>
    <w:rsid w:val="00583D31"/>
    <w:rsid w:val="00584150"/>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6054"/>
    <w:rsid w:val="00607C32"/>
    <w:rsid w:val="00607F1C"/>
    <w:rsid w:val="00610CDE"/>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940"/>
    <w:rsid w:val="00623A46"/>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90AFD"/>
    <w:rsid w:val="0069185E"/>
    <w:rsid w:val="006927FA"/>
    <w:rsid w:val="00692AC9"/>
    <w:rsid w:val="00693333"/>
    <w:rsid w:val="00693C6A"/>
    <w:rsid w:val="00694CCC"/>
    <w:rsid w:val="00694CE4"/>
    <w:rsid w:val="0069600A"/>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5F0"/>
    <w:rsid w:val="006A6F27"/>
    <w:rsid w:val="006A7210"/>
    <w:rsid w:val="006B02D0"/>
    <w:rsid w:val="006B15C0"/>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809"/>
    <w:rsid w:val="006C7E77"/>
    <w:rsid w:val="006D03D8"/>
    <w:rsid w:val="006D0DD1"/>
    <w:rsid w:val="006D1BB9"/>
    <w:rsid w:val="006D1FFF"/>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3F9"/>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91C"/>
    <w:rsid w:val="0075085B"/>
    <w:rsid w:val="00750AF6"/>
    <w:rsid w:val="0075179F"/>
    <w:rsid w:val="00751A86"/>
    <w:rsid w:val="00752800"/>
    <w:rsid w:val="00752D36"/>
    <w:rsid w:val="00753427"/>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6406"/>
    <w:rsid w:val="00790145"/>
    <w:rsid w:val="00791C99"/>
    <w:rsid w:val="00791D95"/>
    <w:rsid w:val="00792440"/>
    <w:rsid w:val="00792AB5"/>
    <w:rsid w:val="00793B5F"/>
    <w:rsid w:val="00793CC7"/>
    <w:rsid w:val="0079472F"/>
    <w:rsid w:val="007949E3"/>
    <w:rsid w:val="00794B5D"/>
    <w:rsid w:val="00794E1C"/>
    <w:rsid w:val="00795A2F"/>
    <w:rsid w:val="00795DA3"/>
    <w:rsid w:val="0079638E"/>
    <w:rsid w:val="00796D74"/>
    <w:rsid w:val="00797036"/>
    <w:rsid w:val="00797F04"/>
    <w:rsid w:val="007A1E14"/>
    <w:rsid w:val="007A3904"/>
    <w:rsid w:val="007A57F4"/>
    <w:rsid w:val="007B31B6"/>
    <w:rsid w:val="007B3529"/>
    <w:rsid w:val="007B5211"/>
    <w:rsid w:val="007C07C5"/>
    <w:rsid w:val="007C2D6B"/>
    <w:rsid w:val="007C3321"/>
    <w:rsid w:val="007C3593"/>
    <w:rsid w:val="007C4447"/>
    <w:rsid w:val="007C610D"/>
    <w:rsid w:val="007C7E90"/>
    <w:rsid w:val="007D03DC"/>
    <w:rsid w:val="007D0DD1"/>
    <w:rsid w:val="007D114B"/>
    <w:rsid w:val="007D135C"/>
    <w:rsid w:val="007D2670"/>
    <w:rsid w:val="007D2AA2"/>
    <w:rsid w:val="007D31F4"/>
    <w:rsid w:val="007D4275"/>
    <w:rsid w:val="007D4396"/>
    <w:rsid w:val="007D459C"/>
    <w:rsid w:val="007D4B5F"/>
    <w:rsid w:val="007D5306"/>
    <w:rsid w:val="007D5D0A"/>
    <w:rsid w:val="007D64BB"/>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7C9"/>
    <w:rsid w:val="008169EC"/>
    <w:rsid w:val="0082010F"/>
    <w:rsid w:val="008212B0"/>
    <w:rsid w:val="00821A37"/>
    <w:rsid w:val="00821C94"/>
    <w:rsid w:val="00822E71"/>
    <w:rsid w:val="00822F86"/>
    <w:rsid w:val="00824BEE"/>
    <w:rsid w:val="00824D9F"/>
    <w:rsid w:val="00825193"/>
    <w:rsid w:val="00825C09"/>
    <w:rsid w:val="00826076"/>
    <w:rsid w:val="00826273"/>
    <w:rsid w:val="00826FD1"/>
    <w:rsid w:val="008275E5"/>
    <w:rsid w:val="00827D46"/>
    <w:rsid w:val="0083038A"/>
    <w:rsid w:val="0083066E"/>
    <w:rsid w:val="00830E2A"/>
    <w:rsid w:val="008314D7"/>
    <w:rsid w:val="00831C5E"/>
    <w:rsid w:val="00832654"/>
    <w:rsid w:val="00832685"/>
    <w:rsid w:val="008331AD"/>
    <w:rsid w:val="008350EE"/>
    <w:rsid w:val="0083618B"/>
    <w:rsid w:val="008367AC"/>
    <w:rsid w:val="00837647"/>
    <w:rsid w:val="008405A0"/>
    <w:rsid w:val="00840A6E"/>
    <w:rsid w:val="008429E8"/>
    <w:rsid w:val="00843690"/>
    <w:rsid w:val="00843DF6"/>
    <w:rsid w:val="00845BBE"/>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5FA4"/>
    <w:rsid w:val="00867B02"/>
    <w:rsid w:val="00870187"/>
    <w:rsid w:val="008708A1"/>
    <w:rsid w:val="008715B0"/>
    <w:rsid w:val="008731E1"/>
    <w:rsid w:val="008736DF"/>
    <w:rsid w:val="008741DB"/>
    <w:rsid w:val="00874B7D"/>
    <w:rsid w:val="00874D0D"/>
    <w:rsid w:val="00875CD1"/>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1440"/>
    <w:rsid w:val="00891B74"/>
    <w:rsid w:val="00892DE9"/>
    <w:rsid w:val="00893E28"/>
    <w:rsid w:val="00894DA5"/>
    <w:rsid w:val="0089503E"/>
    <w:rsid w:val="00895093"/>
    <w:rsid w:val="008959B9"/>
    <w:rsid w:val="00895F6F"/>
    <w:rsid w:val="00896BB6"/>
    <w:rsid w:val="008A06A0"/>
    <w:rsid w:val="008A0BF5"/>
    <w:rsid w:val="008A198C"/>
    <w:rsid w:val="008A2046"/>
    <w:rsid w:val="008A2455"/>
    <w:rsid w:val="008A2A2F"/>
    <w:rsid w:val="008A3652"/>
    <w:rsid w:val="008A6D95"/>
    <w:rsid w:val="008A6EC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CE8"/>
    <w:rsid w:val="008C3DC9"/>
    <w:rsid w:val="008C4B38"/>
    <w:rsid w:val="008C6470"/>
    <w:rsid w:val="008C670E"/>
    <w:rsid w:val="008C7465"/>
    <w:rsid w:val="008D00A6"/>
    <w:rsid w:val="008D10DE"/>
    <w:rsid w:val="008D2C9C"/>
    <w:rsid w:val="008D3DE9"/>
    <w:rsid w:val="008D444C"/>
    <w:rsid w:val="008D54FE"/>
    <w:rsid w:val="008D639A"/>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4561"/>
    <w:rsid w:val="009358CE"/>
    <w:rsid w:val="00941C63"/>
    <w:rsid w:val="0094406C"/>
    <w:rsid w:val="00944F28"/>
    <w:rsid w:val="009459A6"/>
    <w:rsid w:val="00945FB7"/>
    <w:rsid w:val="00946CC3"/>
    <w:rsid w:val="00947A7A"/>
    <w:rsid w:val="009523E9"/>
    <w:rsid w:val="00953BD4"/>
    <w:rsid w:val="00953DE1"/>
    <w:rsid w:val="00954C4D"/>
    <w:rsid w:val="00954C6C"/>
    <w:rsid w:val="00955259"/>
    <w:rsid w:val="00955D18"/>
    <w:rsid w:val="00956AC9"/>
    <w:rsid w:val="00960E94"/>
    <w:rsid w:val="009619CC"/>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751"/>
    <w:rsid w:val="00A11D42"/>
    <w:rsid w:val="00A12A28"/>
    <w:rsid w:val="00A134D8"/>
    <w:rsid w:val="00A14950"/>
    <w:rsid w:val="00A16EE4"/>
    <w:rsid w:val="00A1766C"/>
    <w:rsid w:val="00A17F1A"/>
    <w:rsid w:val="00A2140A"/>
    <w:rsid w:val="00A219E7"/>
    <w:rsid w:val="00A21D98"/>
    <w:rsid w:val="00A22001"/>
    <w:rsid w:val="00A221D0"/>
    <w:rsid w:val="00A222A7"/>
    <w:rsid w:val="00A244AE"/>
    <w:rsid w:val="00A24AFA"/>
    <w:rsid w:val="00A25130"/>
    <w:rsid w:val="00A25446"/>
    <w:rsid w:val="00A25D87"/>
    <w:rsid w:val="00A26386"/>
    <w:rsid w:val="00A31462"/>
    <w:rsid w:val="00A31921"/>
    <w:rsid w:val="00A32152"/>
    <w:rsid w:val="00A34ED8"/>
    <w:rsid w:val="00A35017"/>
    <w:rsid w:val="00A35333"/>
    <w:rsid w:val="00A353BC"/>
    <w:rsid w:val="00A355C7"/>
    <w:rsid w:val="00A35A58"/>
    <w:rsid w:val="00A36171"/>
    <w:rsid w:val="00A36716"/>
    <w:rsid w:val="00A36A65"/>
    <w:rsid w:val="00A36BDD"/>
    <w:rsid w:val="00A372EE"/>
    <w:rsid w:val="00A4018D"/>
    <w:rsid w:val="00A429DA"/>
    <w:rsid w:val="00A43163"/>
    <w:rsid w:val="00A43397"/>
    <w:rsid w:val="00A434D5"/>
    <w:rsid w:val="00A4405B"/>
    <w:rsid w:val="00A44AE9"/>
    <w:rsid w:val="00A45CD8"/>
    <w:rsid w:val="00A45EE9"/>
    <w:rsid w:val="00A51CAA"/>
    <w:rsid w:val="00A53343"/>
    <w:rsid w:val="00A54ACB"/>
    <w:rsid w:val="00A55ABB"/>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2296"/>
    <w:rsid w:val="00A9340A"/>
    <w:rsid w:val="00A944F3"/>
    <w:rsid w:val="00A96E05"/>
    <w:rsid w:val="00A97896"/>
    <w:rsid w:val="00A97E15"/>
    <w:rsid w:val="00AA0BA5"/>
    <w:rsid w:val="00AA164C"/>
    <w:rsid w:val="00AA179C"/>
    <w:rsid w:val="00AA18AE"/>
    <w:rsid w:val="00AA2776"/>
    <w:rsid w:val="00AA4125"/>
    <w:rsid w:val="00AA4AA6"/>
    <w:rsid w:val="00AA57F0"/>
    <w:rsid w:val="00AA5DB4"/>
    <w:rsid w:val="00AA604B"/>
    <w:rsid w:val="00AB16BF"/>
    <w:rsid w:val="00AB1FBE"/>
    <w:rsid w:val="00AB24C8"/>
    <w:rsid w:val="00AB4252"/>
    <w:rsid w:val="00AB508B"/>
    <w:rsid w:val="00AB6734"/>
    <w:rsid w:val="00AB6BE1"/>
    <w:rsid w:val="00AC00CE"/>
    <w:rsid w:val="00AC16E1"/>
    <w:rsid w:val="00AC18F5"/>
    <w:rsid w:val="00AC27AB"/>
    <w:rsid w:val="00AC3FF9"/>
    <w:rsid w:val="00AC5086"/>
    <w:rsid w:val="00AC5496"/>
    <w:rsid w:val="00AC6019"/>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73"/>
    <w:rsid w:val="00AF7DE5"/>
    <w:rsid w:val="00B01399"/>
    <w:rsid w:val="00B01C44"/>
    <w:rsid w:val="00B03922"/>
    <w:rsid w:val="00B04ACF"/>
    <w:rsid w:val="00B053C6"/>
    <w:rsid w:val="00B05746"/>
    <w:rsid w:val="00B07386"/>
    <w:rsid w:val="00B10030"/>
    <w:rsid w:val="00B104E7"/>
    <w:rsid w:val="00B108E3"/>
    <w:rsid w:val="00B10DE9"/>
    <w:rsid w:val="00B12BD4"/>
    <w:rsid w:val="00B14DAA"/>
    <w:rsid w:val="00B163C8"/>
    <w:rsid w:val="00B16E80"/>
    <w:rsid w:val="00B17D6B"/>
    <w:rsid w:val="00B209D1"/>
    <w:rsid w:val="00B227CB"/>
    <w:rsid w:val="00B234E3"/>
    <w:rsid w:val="00B23945"/>
    <w:rsid w:val="00B24A09"/>
    <w:rsid w:val="00B26A6C"/>
    <w:rsid w:val="00B274CC"/>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0F7"/>
    <w:rsid w:val="00B92979"/>
    <w:rsid w:val="00B929A5"/>
    <w:rsid w:val="00B939A6"/>
    <w:rsid w:val="00B93E80"/>
    <w:rsid w:val="00B94083"/>
    <w:rsid w:val="00B94955"/>
    <w:rsid w:val="00B95DD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0D0"/>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63DF"/>
    <w:rsid w:val="00C373A2"/>
    <w:rsid w:val="00C37F29"/>
    <w:rsid w:val="00C4067A"/>
    <w:rsid w:val="00C41BC5"/>
    <w:rsid w:val="00C454C8"/>
    <w:rsid w:val="00C45A67"/>
    <w:rsid w:val="00C46454"/>
    <w:rsid w:val="00C47D9F"/>
    <w:rsid w:val="00C5106A"/>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233"/>
    <w:rsid w:val="00C90593"/>
    <w:rsid w:val="00C90ACF"/>
    <w:rsid w:val="00C90C12"/>
    <w:rsid w:val="00C91381"/>
    <w:rsid w:val="00C92ED9"/>
    <w:rsid w:val="00C937E3"/>
    <w:rsid w:val="00C938A2"/>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C0E6A"/>
    <w:rsid w:val="00CC3544"/>
    <w:rsid w:val="00CC3E39"/>
    <w:rsid w:val="00CC4171"/>
    <w:rsid w:val="00CC4385"/>
    <w:rsid w:val="00CC49A2"/>
    <w:rsid w:val="00CC57DC"/>
    <w:rsid w:val="00CC6783"/>
    <w:rsid w:val="00CC6A15"/>
    <w:rsid w:val="00CC6AD3"/>
    <w:rsid w:val="00CC734B"/>
    <w:rsid w:val="00CD1811"/>
    <w:rsid w:val="00CD2E7B"/>
    <w:rsid w:val="00CD4639"/>
    <w:rsid w:val="00CD5F76"/>
    <w:rsid w:val="00CD6411"/>
    <w:rsid w:val="00CE24C9"/>
    <w:rsid w:val="00CE27BF"/>
    <w:rsid w:val="00CE2C06"/>
    <w:rsid w:val="00CE3E7C"/>
    <w:rsid w:val="00CE4BFB"/>
    <w:rsid w:val="00CE5779"/>
    <w:rsid w:val="00CE5991"/>
    <w:rsid w:val="00CE63B6"/>
    <w:rsid w:val="00CE653A"/>
    <w:rsid w:val="00CF2663"/>
    <w:rsid w:val="00CF35FC"/>
    <w:rsid w:val="00CF3BBF"/>
    <w:rsid w:val="00CF53C8"/>
    <w:rsid w:val="00CF5E85"/>
    <w:rsid w:val="00CF5F66"/>
    <w:rsid w:val="00CF635C"/>
    <w:rsid w:val="00CF63CB"/>
    <w:rsid w:val="00CF7A15"/>
    <w:rsid w:val="00D00275"/>
    <w:rsid w:val="00D00B99"/>
    <w:rsid w:val="00D0129A"/>
    <w:rsid w:val="00D02C24"/>
    <w:rsid w:val="00D033AB"/>
    <w:rsid w:val="00D0410B"/>
    <w:rsid w:val="00D0422F"/>
    <w:rsid w:val="00D046A8"/>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7CCC"/>
    <w:rsid w:val="00D30D29"/>
    <w:rsid w:val="00D32E3B"/>
    <w:rsid w:val="00D33205"/>
    <w:rsid w:val="00D33B62"/>
    <w:rsid w:val="00D341AA"/>
    <w:rsid w:val="00D345E7"/>
    <w:rsid w:val="00D350C8"/>
    <w:rsid w:val="00D354D8"/>
    <w:rsid w:val="00D361A3"/>
    <w:rsid w:val="00D40A15"/>
    <w:rsid w:val="00D40BA4"/>
    <w:rsid w:val="00D4141E"/>
    <w:rsid w:val="00D416D2"/>
    <w:rsid w:val="00D4227C"/>
    <w:rsid w:val="00D4404D"/>
    <w:rsid w:val="00D468AB"/>
    <w:rsid w:val="00D478CF"/>
    <w:rsid w:val="00D502B8"/>
    <w:rsid w:val="00D504C3"/>
    <w:rsid w:val="00D508CE"/>
    <w:rsid w:val="00D51474"/>
    <w:rsid w:val="00D51A1E"/>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1F22"/>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4661C"/>
    <w:rsid w:val="00E46EC4"/>
    <w:rsid w:val="00E50405"/>
    <w:rsid w:val="00E51A34"/>
    <w:rsid w:val="00E53230"/>
    <w:rsid w:val="00E53332"/>
    <w:rsid w:val="00E5375C"/>
    <w:rsid w:val="00E53AE5"/>
    <w:rsid w:val="00E53C6B"/>
    <w:rsid w:val="00E54FA7"/>
    <w:rsid w:val="00E55EF4"/>
    <w:rsid w:val="00E568E7"/>
    <w:rsid w:val="00E5739B"/>
    <w:rsid w:val="00E57B17"/>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33A4"/>
    <w:rsid w:val="00EA3B47"/>
    <w:rsid w:val="00EA45D8"/>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F60"/>
    <w:rsid w:val="00ED143E"/>
    <w:rsid w:val="00ED2941"/>
    <w:rsid w:val="00ED65ED"/>
    <w:rsid w:val="00ED6A60"/>
    <w:rsid w:val="00ED6FD4"/>
    <w:rsid w:val="00ED70E2"/>
    <w:rsid w:val="00ED7F77"/>
    <w:rsid w:val="00EE25F5"/>
    <w:rsid w:val="00EE278E"/>
    <w:rsid w:val="00EE3AEB"/>
    <w:rsid w:val="00EE4363"/>
    <w:rsid w:val="00EE4976"/>
    <w:rsid w:val="00EE5CC0"/>
    <w:rsid w:val="00EE5E88"/>
    <w:rsid w:val="00EE74E4"/>
    <w:rsid w:val="00EF0733"/>
    <w:rsid w:val="00EF0FE0"/>
    <w:rsid w:val="00EF1FF3"/>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0ED6"/>
    <w:rsid w:val="00F11602"/>
    <w:rsid w:val="00F139A5"/>
    <w:rsid w:val="00F13AE7"/>
    <w:rsid w:val="00F153E0"/>
    <w:rsid w:val="00F1658B"/>
    <w:rsid w:val="00F215A9"/>
    <w:rsid w:val="00F21A6E"/>
    <w:rsid w:val="00F2226F"/>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9F4"/>
    <w:rsid w:val="00FB1DF5"/>
    <w:rsid w:val="00FB1F36"/>
    <w:rsid w:val="00FB2462"/>
    <w:rsid w:val="00FB29D6"/>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7485"/>
    <w:rsid w:val="00FF0753"/>
    <w:rsid w:val="00FF15DA"/>
    <w:rsid w:val="00FF1B46"/>
    <w:rsid w:val="00FF2067"/>
    <w:rsid w:val="00FF27A9"/>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969"/>
    <o:shapelayout v:ext="edit">
      <o:idmap v:ext="edit" data="1"/>
    </o:shapelayout>
  </w:shapeDefaults>
  <w:decimalSymbol w:val=","/>
  <w:listSeparator w:val=";"/>
  <w14:docId w14:val="09729C91"/>
  <w14:defaultImageDpi w14:val="96"/>
  <w15:docId w15:val="{C69B8859-B403-4B3F-819A-D2D051D2885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es-ES"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es-ES"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es-ES"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es-ES"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es-ES"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es-ES"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es-ES"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es-ES"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es-ES"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es-ES"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es-ES"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es-ES"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es-ES"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es-ES"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es-ES"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es-ES"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Antonio.RibeiroPereira@eesc.europa.eu" TargetMode="External"/><Relationship Id="rId39" Type="http://schemas.openxmlformats.org/officeDocument/2006/relationships/hyperlink" Target="mailto:Arturo.Iniguez@eesc.europa.eu" TargetMode="External"/><Relationship Id="rId21" Type="http://schemas.openxmlformats.org/officeDocument/2006/relationships/hyperlink" Target="mailto:gerald.klec@eesc.europa.eu" TargetMode="External"/><Relationship Id="rId34" Type="http://schemas.openxmlformats.org/officeDocument/2006/relationships/hyperlink" Target="mailto:Stella.BrozekEveraert@eesc.europa.eu" TargetMode="External"/><Relationship Id="rId42" Type="http://schemas.openxmlformats.org/officeDocument/2006/relationships/hyperlink" Target="mailto:mariajudite.berkemeier@eesc.europa.eu" TargetMode="External"/><Relationship Id="rId47" Type="http://schemas.openxmlformats.org/officeDocument/2006/relationships/hyperlink" Target="mailto:Adam.Plezer@eesc.europa.eu" TargetMode="External"/><Relationship Id="rId50" Type="http://schemas.openxmlformats.org/officeDocument/2006/relationships/hyperlink" Target="mailto:Aleksandra.Wieczorek@eesc.europa.eu" TargetMode="External"/><Relationship Id="rId55"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jean-pierre.faure@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Conrad.Ganslandt@eesc.europa.eu" TargetMode="External"/><Relationship Id="rId46" Type="http://schemas.openxmlformats.org/officeDocument/2006/relationships/hyperlink" Target="mailto:Christophe.Lesniak@eesc.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Kristian.Krieger@eesc.europa.eu" TargetMode="External"/><Relationship Id="rId41" Type="http://schemas.openxmlformats.org/officeDocument/2006/relationships/hyperlink" Target="mailto:sabrina.borg@eesc.europa.eu"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isis\dfs\shr-dira-int-cese\Section\R&#233;unions\185%20-%2021-11-2018\alice.tetu@eesc.europa.eu" TargetMode="External"/><Relationship Id="rId32" Type="http://schemas.openxmlformats.org/officeDocument/2006/relationships/hyperlink" Target="mailto:lucia.mendezdelriocabra@eesc.europa.eu" TargetMode="External"/><Relationship Id="rId37" Type="http://schemas.openxmlformats.org/officeDocument/2006/relationships/hyperlink" Target="mailto:Arturo.Iniguez@eesc.europa.eu" TargetMode="External"/><Relationship Id="rId40" Type="http://schemas.openxmlformats.org/officeDocument/2006/relationships/hyperlink" Target="mailto:triin.aasmaa@eesc.europa.eu" TargetMode="External"/><Relationship Id="rId45" Type="http://schemas.openxmlformats.org/officeDocument/2006/relationships/hyperlink" Target="mailto:june.bedaton@eesc.europa.eu"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isis\dfs\shr-dira-int-cese\Section\R&#233;unions\185%20-%2021-11-2018\alice.tetu@eesc.europa.eu" TargetMode="External"/><Relationship Id="rId28" Type="http://schemas.openxmlformats.org/officeDocument/2006/relationships/hyperlink" Target="mailto:Kristian.Krieger@eesc.europa.eu" TargetMode="External"/><Relationship Id="rId36" Type="http://schemas.openxmlformats.org/officeDocument/2006/relationships/hyperlink" Target="mailto:Monica.Guarinoni@eesc.europa.eu" TargetMode="External"/><Relationship Id="rId49" Type="http://schemas.openxmlformats.org/officeDocument/2006/relationships/hyperlink" Target="mailto:Amelia.MunozCabezon@eesc.europa.eu"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david.hoic@eesc.europa.eu" TargetMode="External"/><Relationship Id="rId44" Type="http://schemas.openxmlformats.org/officeDocument/2006/relationships/hyperlink" Target="mailto:june.bedaton@eesc.europa.eu"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marie-laurence.drillon@eesc.europa.eu" TargetMode="External"/><Relationship Id="rId27" Type="http://schemas.openxmlformats.org/officeDocument/2006/relationships/hyperlink" Target="mailto:Alessandro.Rizzi@eesc.europa.eu" TargetMode="External"/><Relationship Id="rId30" Type="http://schemas.openxmlformats.org/officeDocument/2006/relationships/hyperlink" Target="mailto:gunilla.sandberg@eesc.europa.eu" TargetMode="External"/><Relationship Id="rId35" Type="http://schemas.openxmlformats.org/officeDocument/2006/relationships/hyperlink" Target="mailto:Laura.Broomfield@eesc.europa.eu" TargetMode="External"/><Relationship Id="rId43" Type="http://schemas.openxmlformats.org/officeDocument/2006/relationships/hyperlink" Target="mailto:june.bedaton@eesc.europa.eu" TargetMode="External"/><Relationship Id="rId48" Type="http://schemas.openxmlformats.org/officeDocument/2006/relationships/hyperlink" Target="mailto:Adam.Plezer@eesc.europa.eu" TargetMode="External"/><Relationship Id="rId56"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3CE3F3ED4FAC10469D07F3CC717315CA" ma:contentTypeVersion="4" ma:contentTypeDescription="Defines the documents for Document Manager V2" ma:contentTypeScope="" ma:versionID="21931930b6affe09c816c9470e0664ff">
  <xsd:schema xmlns:xsd="http://www.w3.org/2001/XMLSchema" xmlns:xs="http://www.w3.org/2001/XMLSchema" xmlns:p="http://schemas.microsoft.com/office/2006/metadata/properties" xmlns:ns2="8975caae-a2e4-4a1b-856a-87d8a7cad937" xmlns:ns3="http://schemas.microsoft.com/sharepoint/v3/fields" xmlns:ns4="85aeffaf-6155-4aee-a71b-b370ba848a50" targetNamespace="http://schemas.microsoft.com/office/2006/metadata/properties" ma:root="true" ma:fieldsID="eb1c8d40bb92cf3ab5f41d5079606773" ns2:_="" ns3:_="" ns4:_="">
    <xsd:import namespace="8975caae-a2e4-4a1b-856a-87d8a7cad937"/>
    <xsd:import namespace="http://schemas.microsoft.com/sharepoint/v3/fields"/>
    <xsd:import namespace="85aeffaf-6155-4aee-a71b-b370ba848a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effaf-6155-4aee-a71b-b370ba848a5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RCSZ5D2JPTA3-8-6009</_dlc_DocId>
    <_dlc_DocIdUrl xmlns="8975caae-a2e4-4a1b-856a-87d8a7cad937">
      <Url>http://dm/EESC/2018/_layouts/DocIdRedir.aspx?ID=RCSZ5D2JPTA3-8-6009</Url>
      <Description>RCSZ5D2JPTA3-8-6009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85aeffaf-6155-4aee-a71b-b370ba848a50"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2019-01-18T12:00:00+00:00</ProductionDate>
    <DocumentNumber xmlns="85aeffaf-6155-4aee-a71b-b370ba848a50">5296</DocumentNumber>
    <FicheYear xmlns="8975caae-a2e4-4a1b-856a-87d8a7cad937">2019</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2019-01-22T12:00:00+00:00</MeetingDate>
    <TaxCatchAll xmlns="8975caae-a2e4-4a1b-856a-87d8a7cad937">
      <Value>39</Value>
      <Value>41</Value>
      <Value>40</Value>
      <Value>86</Value>
      <Value>38</Value>
      <Value>37</Value>
      <Value>33</Value>
      <Value>31</Value>
      <Value>28</Value>
      <Value>27</Value>
      <Value>25</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443</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C414-C544-4767-9A98-F38D090F80A6}"/>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2272B315-18A8-418C-AEDB-0DE6F18C5CA7}"/>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2BF473FF-82C6-422C-A239-13C3DD45E1C5}"/>
</file>

<file path=docProps/app.xml><?xml version="1.0" encoding="utf-8"?>
<Properties xmlns="http://schemas.openxmlformats.org/officeDocument/2006/extended-properties" xmlns:vt="http://schemas.openxmlformats.org/officeDocument/2006/docPropsVTypes">
  <Template>Styles.dotm</Template>
  <TotalTime>140</TotalTime>
  <Pages>32</Pages>
  <Words>11259</Words>
  <Characters>61929</Characters>
  <Application>Microsoft Office Word</Application>
  <DocSecurity>0</DocSecurity>
  <Lines>516</Lines>
  <Paragraphs>146</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73042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Sumario de los dictámenes de diciembre de 2018</dc:title>
  <dc:subject>Trabajos consultivos/varios</dc:subject>
  <dc:creator>Marcos Jaime Tornin</dc:creator>
  <cp:keywords>EESC-2018-05296-00-01-TCD-TRA-EN</cp:keywords>
  <dc:description>Rapporteur:  - Original language: EN, FR - Date of document: 18/01/2019 - Date of meeting: 22/01/2019 - External documents:  - Administrator: MME Tamasauskiene Julija</dc:description>
  <cp:lastModifiedBy>cfer</cp:lastModifiedBy>
  <cp:revision>11</cp:revision>
  <cp:lastPrinted>2019-01-18T11:41:00Z</cp:lastPrinted>
  <dcterms:created xsi:type="dcterms:W3CDTF">2019-01-16T10:51:00Z</dcterms:created>
  <dcterms:modified xsi:type="dcterms:W3CDTF">2019-01-18T13:38:00Z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16/01/2019, 13/12/2018, 09/11/2018, 12/07/2018, 23/05/2018, 13/03/2018, 26/02/2018, 14/02/2018, 24/01/2018, 16/01/2018, 19/12/2017, 01/12/2017, 16/11/2017, 15/11/2017, 17/10/2017, 13/09/2017, 03/07/2017, 12/06/2017, 02/06/2017, 24/04/2017, 23/03/2017, 13/</vt:lpwstr>
  </property>
  <property fmtid="{D5CDD505-2E9C-101B-9397-08002B2CF9AE}" pid="4" name="Pref_Time">
    <vt:lpwstr>11:30:06, 11:27:48, 09:10:15, 14:45:38, 09:50:08, 13:54:15, 10:33:11, 11:57:02, 15:31:00, 09:45:52, 11:53:01, 15:00:14, 15:49:39, 15:47:16, 10:48:52, 11:23:50, 09:51:12, 14:43:57, 12:54:34, 12:22:33, 12:08:44, 12:23:59, 18:12:41, 09:48:43, 08:36:59, 11:43</vt:lpwstr>
  </property>
  <property fmtid="{D5CDD505-2E9C-101B-9397-08002B2CF9AE}" pid="5" name="Pref_User">
    <vt:lpwstr>mkop, enied, amett, enied, hnic, mreg, jhvi, mkop, hnic, mkop, amett, jhvi, amett, tvoc, tvoc, tvoc, amett, hnic, mreg, mreg, enied, mreg, jhvi, tvoc, htoo, mreg, tvoc, hnic, mreg, hnic, amett, nmcg, amett, enied, nmcg, amett, enied, ymur, tvoc, nmcg, vvo</vt:lpwstr>
  </property>
  <property fmtid="{D5CDD505-2E9C-101B-9397-08002B2CF9AE}" pid="6" name="Pref_FileName">
    <vt:lpwstr>EESC-2018-05296-00-01-TCD-ORI.docx, EESC-2018-05296-00-00-TCD-ORI.docx, EESC-2018-04640-00-01-TCD-ORI.docx, EESC-2018-02821-00-00-TCD-ORI.docx, EESC-2018-02039-00-00-TCD-ORI.docx, EESC-2018-00950-00-00-TCD-ORI.docx, EESC-2018-00366-00-01-TCD-ORI.docx, EES</vt:lpwstr>
  </property>
  <property fmtid="{D5CDD505-2E9C-101B-9397-08002B2CF9AE}" pid="7" name="ContentTypeId">
    <vt:lpwstr>0x010100EA97B91038054C99906057A708A1480A003CE3F3ED4FAC10469D07F3CC717315CA</vt:lpwstr>
  </property>
  <property fmtid="{D5CDD505-2E9C-101B-9397-08002B2CF9AE}" pid="8" name="_dlc_DocIdItemGuid">
    <vt:lpwstr>e2543b8c-d7c0-4994-8eff-0ef2ebbd8a8a</vt:lpwstr>
  </property>
  <property fmtid="{D5CDD505-2E9C-101B-9397-08002B2CF9AE}" pid="9" name="DocumentType_0">
    <vt:lpwstr>TCD|cd9d6eb6-3f4f-424a-b2d1-57c9d450eaaf</vt:lpwstr>
  </property>
  <property fmtid="{D5CDD505-2E9C-101B-9397-08002B2CF9AE}" pid="10" name="AvailableTranslations">
    <vt:lpwstr>24;#PT|50ccc04a-eadd-42ae-a0cb-acaf45f812ba;#18;#ES|e7a6b05b-ae16-40c8-add9-68b64b03aeba;#4;#EN|f2175f21-25d7-44a3-96da-d6a61b075e1b;#38;#IT|0774613c-01ed-4e5d-a25d-11d2388de825;#31;#RO|feb747a2-64cd-4299-af12-4833ddc30497;#41;#SV|c2ed69e7-a339-43d7-8f22-d93680a92aa0;#23;#SK|46d9fce0-ef79-4f71-b89b-cd6aa82426b8;#37;#LT|a7ff5ce7-6123-4f68-865a-a57c31810414;#13;#DA|5d49c027-8956-412b-aa16-e85a0f96ad0e;#33;#EL|6d4f4d51-af9b-4650-94b4-4276bee85c91;#14;#NL|55c6556c-b4f4-441d-9acf-c498d4f838bd;#21;#CS|72f9705b-0217-4fd3-bea2-cbc7ed80e26e;#47;#ET|ff6c3f4c-b02c-4c3c-ab07-2c37995a7a0a;#40;#HR|2f555653-ed1a-4fe6-8362-9082d95989e5;#27;#DE|f6b31e5a-26fa-4935-b661-318e46daf27e;#28;#BG|1a1b3951-7821-4e6a-85f5-5673fc08bd2c;#39;#LV|46f7e311-5d9f-4663-b433-18aeccb7ace7;#19;#SL|98a412ae-eb01-49e9-ae3d-585a81724cfc;#16;#HU|6b229040-c589-4408-b4c1-4285663d20a8;#8;#FR|d2afafd3-4c81-4f60-8f52-ee33f2f54ff3;#20;#PL|1e03da61-4678-4e07-b136-b5024ca9197b;#22;#FI|87606a43-d45f-42d6-b8c9-e1a3457db5b7</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5296</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8" name="DocumentType">
    <vt:lpwstr>25;#TCD|cd9d6eb6-3f4f-424a-b2d1-57c9d450eaaf</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BUR CESE|4274fb1d-1fa2-4436-baac-f79426b09598</vt:lpwstr>
  </property>
  <property fmtid="{D5CDD505-2E9C-101B-9397-08002B2CF9AE}" pid="26" name="OriginalLanguage">
    <vt:lpwstr>8;#FR|d2afafd3-4c81-4f60-8f52-ee33f2f54ff3;#4;#EN|f2175f21-25d7-44a3-96da-d6a61b075e1b</vt:lpwstr>
  </property>
  <property fmtid="{D5CDD505-2E9C-101B-9397-08002B2CF9AE}" pid="27" name="MeetingName">
    <vt:lpwstr>86;#BUR CESE|4274fb1d-1fa2-4436-baac-f79426b09598</vt:lpwstr>
  </property>
  <property fmtid="{D5CDD505-2E9C-101B-9397-08002B2CF9AE}" pid="28" name="DocumentStatus_0">
    <vt:lpwstr>TRA|150d2a88-1431-44e6-a8ca-0bb753ab8672</vt:lpwstr>
  </property>
  <property fmtid="{D5CDD505-2E9C-101B-9397-08002B2CF9AE}" pid="29" name="OriginalLanguage_0">
    <vt:lpwstr>EN|f2175f21-25d7-44a3-96da-d6a61b075e1b;FR|d2afafd3-4c81-4f60-8f52-ee33f2f54ff3</vt:lpwstr>
  </property>
  <property fmtid="{D5CDD505-2E9C-101B-9397-08002B2CF9AE}" pid="30" name="MeetingDate">
    <vt:filetime>2019-01-22T12:00:00Z</vt:filetime>
  </property>
  <property fmtid="{D5CDD505-2E9C-101B-9397-08002B2CF9AE}" pid="31" name="TaxCatchAll">
    <vt:lpwstr>39;#LV|46f7e311-5d9f-4663-b433-18aeccb7ace7;#41;#SV|c2ed69e7-a339-43d7-8f22-d93680a92aa0;#40;#HR|2f555653-ed1a-4fe6-8362-9082d95989e5;#86;#BUR CESE|4274fb1d-1fa2-4436-baac-f79426b09598;#38;#IT|0774613c-01ed-4e5d-a25d-11d2388de825;#37;#LT|a7ff5ce7-6123-4f68-865a-a57c31810414;#33;#EL|6d4f4d51-af9b-4650-94b4-4276bee85c91;#31;#RO|feb747a2-64cd-4299-af12-4833ddc30497;#28;#BG|1a1b3951-7821-4e6a-85f5-5673fc08bd2c;#27;#DE|f6b31e5a-26fa-4935-b661-318e46daf27e;#25;#TCD|cd9d6eb6-3f4f-424a-b2d1-57c9d450eaaf;#24;#PT|50ccc04a-eadd-42ae-a0cb-acaf45f812ba;#23;#SK|46d9fce0-ef79-4f71-b89b-cd6aa82426b8;#22;#FI|87606a43-d45f-42d6-b8c9-e1a3457db5b7;#21;#CS|72f9705b-0217-4fd3-bea2-cbc7ed80e26e;#16;#HU|6b229040-c589-4408-b4c1-4285663d20a8;#14;#NL|55c6556c-b4f4-441d-9acf-c498d4f838bd;#13;#DA|5d49c027-8956-412b-aa16-e85a0f96ad0e;#8;#FR|d2afafd3-4c81-4f60-8f52-ee33f2f54ff3;#7;#TRA|150d2a88-1431-44e6-a8ca-0bb753ab8672;#6;#Final|ea5e6674-7b27-4bac-b091-73adbb394efe;#5;#Unrestricted|826e22d7-d029-4ec0-a450-0c28ff673572;#4;#EN|f2175f21-25d7-44a3-96da-d6a61b075e1b;#1;#EESC|422833ec-8d7e-4e65-8e4e-8bed07ffb729;#47;#ET|ff6c3f4c-b02c-4c3c-ab07-2c37995a7a0a</vt:lpwstr>
  </property>
  <property fmtid="{D5CDD505-2E9C-101B-9397-08002B2CF9AE}" pid="32" name="AvailableTranslations_0">
    <vt:lpwstr>PT|50ccc04a-eadd-42ae-a0cb-acaf45f812ba;IT|0774613c-01ed-4e5d-a25d-11d2388de825;RO|feb747a2-64cd-4299-af12-4833ddc30497;SV|c2ed69e7-a339-43d7-8f22-d93680a92aa0;SK|46d9fce0-ef79-4f71-b89b-cd6aa82426b8;LT|a7ff5ce7-6123-4f68-865a-a57c31810414;DA|5d49c027-8956-412b-aa16-e85a0f96ad0e;EL|6d4f4d51-af9b-4650-94b4-4276bee85c91;NL|55c6556c-b4f4-441d-9acf-c498d4f838bd;CS|72f9705b-0217-4fd3-bea2-cbc7ed80e26e;ET|ff6c3f4c-b02c-4c3c-ab07-2c37995a7a0a;HR|2f555653-ed1a-4fe6-8362-9082d95989e5;DE|f6b31e5a-26fa-4935-b661-318e46daf27e;BG|1a1b3951-7821-4e6a-85f5-5673fc08bd2c;LV|46f7e311-5d9f-4663-b433-18aeccb7ace7;HU|6b229040-c589-4408-b4c1-4285663d20a8;FI|87606a43-d45f-42d6-b8c9-e1a3457db5b7</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443</vt:i4>
  </property>
  <property fmtid="{D5CDD505-2E9C-101B-9397-08002B2CF9AE}" pid="36" name="DocumentYear">
    <vt:i4>2018</vt:i4>
  </property>
  <property fmtid="{D5CDD505-2E9C-101B-9397-08002B2CF9AE}" pid="37" name="DocumentLanguage">
    <vt:lpwstr>18;#ES|e7a6b05b-ae16-40c8-add9-68b64b03aeba</vt:lpwstr>
  </property>
</Properties>
</file>