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F93161" w:rsidRDefault="006A08D5" w:rsidP="005B6CEF">
      <w:pPr>
        <w:snapToGrid w:val="0"/>
        <w:jc w:val="center"/>
      </w:pPr>
      <w:r w:rsidRPr="00F93161">
        <w:fldChar w:fldCharType="begin"/>
      </w:r>
      <w:r w:rsidRPr="00F93161">
        <w:instrText xml:space="preserve">  </w:instrText>
      </w:r>
      <w:r w:rsidRPr="00F93161">
        <w:fldChar w:fldCharType="end"/>
      </w:r>
      <w:r w:rsidRPr="00876D7B">
        <w:rPr>
          <w:noProof/>
          <w:lang w:val="en-GB" w:eastAsia="en-GB"/>
        </w:rPr>
        <w:drawing>
          <wp:inline distT="0" distB="0" distL="0" distR="0" wp14:anchorId="490D888B" wp14:editId="273C1DC1">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F93161" w:rsidRDefault="00876D7B" w:rsidP="005B6CEF">
      <w:pPr>
        <w:snapToGrid w:val="0"/>
        <w:jc w:val="center"/>
        <w:rPr>
          <w:rFonts w:ascii="Arial" w:eastAsia="MS Mincho" w:hAnsi="Arial" w:cs="Arial"/>
          <w:b/>
          <w:i/>
          <w:sz w:val="20"/>
        </w:rPr>
      </w:pPr>
      <w:r>
        <w:rPr>
          <w:rFonts w:ascii="Arial" w:hAnsi="Arial"/>
          <w:b/>
          <w:i/>
          <w:sz w:val="20"/>
        </w:rPr>
        <w:t>Det Europæiske Økonomiske og Sociale Udvalg</w:t>
      </w:r>
    </w:p>
    <w:p w:rsidR="008405A0" w:rsidRPr="00D85439" w:rsidRDefault="008405A0" w:rsidP="005B6CEF">
      <w:pPr>
        <w:snapToGrid w:val="0"/>
        <w:rPr>
          <w:lang w:val="en-GB"/>
        </w:rPr>
      </w:pPr>
    </w:p>
    <w:p w:rsidR="008405A0" w:rsidRPr="00D85439" w:rsidRDefault="008405A0" w:rsidP="005B6CEF">
      <w:pPr>
        <w:snapToGrid w:val="0"/>
        <w:rPr>
          <w:lang w:val="en-GB"/>
        </w:rPr>
      </w:pPr>
    </w:p>
    <w:p w:rsidR="008405A0" w:rsidRPr="00D85439" w:rsidRDefault="00FC0B2C" w:rsidP="005B6CEF">
      <w:pPr>
        <w:snapToGrid w:val="0"/>
        <w:jc w:val="right"/>
        <w:rPr>
          <w:rFonts w:eastAsia="MS Mincho"/>
        </w:rPr>
      </w:pPr>
      <w:r>
        <w:t>Bruxelles, den 11. oktober 2018</w:t>
      </w:r>
    </w:p>
    <w:p w:rsidR="008405A0" w:rsidRPr="00D85439" w:rsidRDefault="008405A0" w:rsidP="005B6CEF">
      <w:pPr>
        <w:snapToGrid w:val="0"/>
        <w:rPr>
          <w:lang w:val="en-GB"/>
        </w:rPr>
      </w:pPr>
    </w:p>
    <w:p w:rsidR="008405A0" w:rsidRPr="00D85439" w:rsidRDefault="008405A0" w:rsidP="005B6CEF">
      <w:pPr>
        <w:snapToGrid w:val="0"/>
        <w:rPr>
          <w:lang w:val="en-GB"/>
        </w:rPr>
      </w:pPr>
    </w:p>
    <w:p w:rsidR="00AF6F3E" w:rsidRPr="00D85439" w:rsidRDefault="00AF6F3E" w:rsidP="005B6CEF">
      <w:pPr>
        <w:snapToGrid w:val="0"/>
        <w:rPr>
          <w:lang w:val="en-GB"/>
        </w:rPr>
      </w:pPr>
    </w:p>
    <w:p w:rsidR="006819C8" w:rsidRPr="00D85439" w:rsidRDefault="006819C8" w:rsidP="005B6CEF">
      <w:pPr>
        <w:snapToGrid w:val="0"/>
        <w:rPr>
          <w:lang w:val="en-GB"/>
        </w:rPr>
      </w:pPr>
    </w:p>
    <w:tbl>
      <w:tblPr>
        <w:tblW w:w="0" w:type="auto"/>
        <w:tblLayout w:type="fixed"/>
        <w:tblLook w:val="0000" w:firstRow="0" w:lastRow="0" w:firstColumn="0" w:lastColumn="0" w:noHBand="0" w:noVBand="0"/>
      </w:tblPr>
      <w:tblGrid>
        <w:gridCol w:w="9289"/>
      </w:tblGrid>
      <w:tr w:rsidR="008405A0" w:rsidRPr="00D85439" w:rsidTr="00A72D7A">
        <w:tc>
          <w:tcPr>
            <w:tcW w:w="9289" w:type="dxa"/>
            <w:tcBorders>
              <w:top w:val="nil"/>
              <w:left w:val="nil"/>
              <w:bottom w:val="double" w:sz="4" w:space="0" w:color="auto"/>
              <w:right w:val="nil"/>
            </w:tcBorders>
          </w:tcPr>
          <w:p w:rsidR="008405A0" w:rsidRPr="00D85439" w:rsidRDefault="00FC0B2C" w:rsidP="005B6CEF">
            <w:pPr>
              <w:snapToGrid w:val="0"/>
              <w:jc w:val="center"/>
              <w:rPr>
                <w:rFonts w:eastAsia="MS Mincho"/>
                <w:b/>
                <w:sz w:val="32"/>
              </w:rPr>
            </w:pPr>
            <w:r>
              <w:rPr>
                <w:b/>
                <w:sz w:val="32"/>
              </w:rPr>
              <w:t>PLENARFORSAMLING</w:t>
            </w:r>
            <w:r>
              <w:rPr>
                <w:b/>
                <w:sz w:val="32"/>
              </w:rPr>
              <w:br/>
            </w:r>
            <w:r>
              <w:rPr>
                <w:b/>
                <w:sz w:val="32"/>
              </w:rPr>
              <w:br/>
              <w:t>19.-20. SEPTEMBER 2018</w:t>
            </w:r>
            <w:r>
              <w:rPr>
                <w:b/>
                <w:sz w:val="32"/>
              </w:rPr>
              <w:br/>
            </w:r>
            <w:r>
              <w:rPr>
                <w:b/>
                <w:sz w:val="32"/>
              </w:rPr>
              <w:br/>
              <w:t>OVERSIGT OVER VEDTAGNE UDTALELSER</w:t>
            </w:r>
          </w:p>
          <w:p w:rsidR="008405A0" w:rsidRPr="00D85439" w:rsidRDefault="008405A0" w:rsidP="005B6CEF">
            <w:pPr>
              <w:rPr>
                <w:lang w:val="en-GB"/>
              </w:rPr>
            </w:pPr>
          </w:p>
          <w:p w:rsidR="008405A0" w:rsidRPr="00D85439" w:rsidRDefault="008405A0" w:rsidP="005B6CEF">
            <w:pPr>
              <w:rPr>
                <w:lang w:val="en-GB"/>
              </w:rPr>
            </w:pPr>
          </w:p>
        </w:tc>
      </w:tr>
      <w:tr w:rsidR="008405A0" w:rsidRPr="00D85439" w:rsidTr="00A72D7A">
        <w:tc>
          <w:tcPr>
            <w:tcW w:w="9289" w:type="dxa"/>
            <w:tcBorders>
              <w:top w:val="double" w:sz="4" w:space="0" w:color="auto"/>
              <w:left w:val="double" w:sz="4" w:space="0" w:color="auto"/>
              <w:bottom w:val="double" w:sz="4" w:space="0" w:color="auto"/>
              <w:right w:val="double" w:sz="4" w:space="0" w:color="auto"/>
            </w:tcBorders>
          </w:tcPr>
          <w:p w:rsidR="00FF15DA" w:rsidRPr="00D85439" w:rsidRDefault="00FF15DA" w:rsidP="005B6CEF">
            <w:pPr>
              <w:snapToGrid w:val="0"/>
              <w:jc w:val="center"/>
              <w:rPr>
                <w:b/>
                <w:lang w:val="en-GB"/>
              </w:rPr>
            </w:pPr>
          </w:p>
          <w:p w:rsidR="00FC0B2C" w:rsidRPr="00D85439" w:rsidRDefault="00FC0B2C" w:rsidP="005B6CEF">
            <w:pPr>
              <w:snapToGrid w:val="0"/>
              <w:jc w:val="center"/>
              <w:rPr>
                <w:rFonts w:eastAsia="MS Mincho"/>
                <w:b/>
              </w:rPr>
            </w:pPr>
            <w:r>
              <w:rPr>
                <w:b/>
              </w:rPr>
              <w:t>Dette dokument findes på alle de officielle EU-sprog på EØSU's hjemmeside:</w:t>
            </w:r>
          </w:p>
          <w:p w:rsidR="00FC0B2C" w:rsidRPr="00D85439" w:rsidRDefault="00FC0B2C" w:rsidP="005B6CEF">
            <w:pPr>
              <w:snapToGrid w:val="0"/>
              <w:jc w:val="center"/>
              <w:rPr>
                <w:b/>
                <w:lang w:val="en-GB"/>
              </w:rPr>
            </w:pPr>
          </w:p>
          <w:p w:rsidR="00FC0B2C" w:rsidRPr="00D85439" w:rsidRDefault="00252095" w:rsidP="005B6CEF">
            <w:pPr>
              <w:jc w:val="center"/>
              <w:rPr>
                <w:rStyle w:val="Hyperlink"/>
                <w:b/>
              </w:rPr>
            </w:pPr>
            <w:hyperlink r:id="rId13">
              <w:r w:rsidR="00D66FF0">
                <w:rPr>
                  <w:rStyle w:val="Hyperlink"/>
                </w:rPr>
                <w:t>http://www.eesc.europa.eu/da/our-work/opinions-information-reports/plenary-session-summaries</w:t>
              </w:r>
            </w:hyperlink>
          </w:p>
          <w:p w:rsidR="00FC0B2C" w:rsidRPr="00D85439" w:rsidRDefault="00FC0B2C" w:rsidP="005B6CEF">
            <w:pPr>
              <w:snapToGrid w:val="0"/>
              <w:jc w:val="center"/>
              <w:rPr>
                <w:b/>
                <w:lang w:val="en-GB"/>
              </w:rPr>
            </w:pPr>
          </w:p>
          <w:p w:rsidR="00FC0B2C" w:rsidRPr="00D85439" w:rsidRDefault="00FC0B2C" w:rsidP="005B6CEF">
            <w:pPr>
              <w:snapToGrid w:val="0"/>
              <w:jc w:val="center"/>
              <w:rPr>
                <w:rFonts w:eastAsia="SimSun"/>
                <w:b/>
                <w:lang w:val="en-GB"/>
              </w:rPr>
            </w:pPr>
          </w:p>
          <w:p w:rsidR="00FC0B2C" w:rsidRPr="00D85439" w:rsidRDefault="00FC0B2C" w:rsidP="005B6CEF">
            <w:pPr>
              <w:snapToGrid w:val="0"/>
              <w:jc w:val="center"/>
              <w:rPr>
                <w:rFonts w:eastAsia="MS Mincho"/>
                <w:b/>
              </w:rPr>
            </w:pPr>
            <w:r>
              <w:rPr>
                <w:b/>
              </w:rPr>
              <w:t>De omtalte udtalelser kan konsulteres online via udvalgets søgemaskine:</w:t>
            </w:r>
          </w:p>
          <w:p w:rsidR="00FC0B2C" w:rsidRPr="00D85439" w:rsidRDefault="00FC0B2C" w:rsidP="005B6CEF">
            <w:pPr>
              <w:snapToGrid w:val="0"/>
              <w:jc w:val="center"/>
              <w:rPr>
                <w:b/>
                <w:lang w:val="en-GB"/>
              </w:rPr>
            </w:pPr>
          </w:p>
          <w:p w:rsidR="00FC0B2C" w:rsidRPr="00D85439" w:rsidRDefault="00252095" w:rsidP="005B6CEF">
            <w:pPr>
              <w:jc w:val="center"/>
              <w:rPr>
                <w:rStyle w:val="Hyperlink"/>
                <w:b/>
              </w:rPr>
            </w:pPr>
            <w:hyperlink r:id="rId14">
              <w:r w:rsidR="00D66FF0">
                <w:rPr>
                  <w:rStyle w:val="Hyperlink"/>
                </w:rPr>
                <w:t>http://dm.eesc.europa.eu/EESCDocumentSearch/Pages/opinionssearch.aspx</w:t>
              </w:r>
            </w:hyperlink>
          </w:p>
          <w:p w:rsidR="008405A0" w:rsidRPr="00D85439" w:rsidRDefault="008405A0" w:rsidP="005B6CEF">
            <w:pPr>
              <w:snapToGrid w:val="0"/>
              <w:jc w:val="center"/>
              <w:rPr>
                <w:b/>
                <w:bCs/>
                <w:lang w:val="en-GB"/>
              </w:rPr>
            </w:pPr>
          </w:p>
        </w:tc>
      </w:tr>
    </w:tbl>
    <w:p w:rsidR="008F7791" w:rsidRPr="00D85439" w:rsidRDefault="008F7791" w:rsidP="005B6CEF">
      <w:pPr>
        <w:rPr>
          <w:rFonts w:eastAsia="SimSun"/>
          <w:lang w:val="en-GB"/>
        </w:rPr>
      </w:pPr>
    </w:p>
    <w:p w:rsidR="00A9340A" w:rsidRPr="00D85439" w:rsidRDefault="00A9340A" w:rsidP="005B6CEF">
      <w:pPr>
        <w:rPr>
          <w:rFonts w:eastAsia="SimSun"/>
          <w:lang w:val="en-GB"/>
        </w:rPr>
        <w:sectPr w:rsidR="00A9340A" w:rsidRPr="00D85439" w:rsidSect="00841A9C">
          <w:headerReference w:type="even" r:id="rId15"/>
          <w:headerReference w:type="default" r:id="rId16"/>
          <w:footerReference w:type="even" r:id="rId17"/>
          <w:footerReference w:type="default" r:id="rId18"/>
          <w:headerReference w:type="first" r:id="rId19"/>
          <w:footerReference w:type="first" r:id="rId20"/>
          <w:type w:val="continuous"/>
          <w:pgSz w:w="11907" w:h="16839"/>
          <w:pgMar w:top="1417" w:right="1417" w:bottom="1417" w:left="1417" w:header="709" w:footer="709" w:gutter="0"/>
          <w:pgNumType w:start="1"/>
          <w:cols w:space="708"/>
          <w:docGrid w:linePitch="299"/>
        </w:sectPr>
      </w:pPr>
    </w:p>
    <w:p w:rsidR="008405A0" w:rsidRPr="00D85439" w:rsidRDefault="00876D7B" w:rsidP="005B6CEF">
      <w:pPr>
        <w:snapToGrid w:val="0"/>
        <w:rPr>
          <w:b/>
        </w:rPr>
      </w:pPr>
      <w:r>
        <w:rPr>
          <w:b/>
        </w:rPr>
        <w:lastRenderedPageBreak/>
        <w:t>Indholdsfortegnelse:</w:t>
      </w:r>
    </w:p>
    <w:p w:rsidR="00D16D76" w:rsidRPr="00D85439" w:rsidRDefault="00D16D76" w:rsidP="005B6CEF">
      <w:pPr>
        <w:rPr>
          <w:lang w:val="en-GB"/>
        </w:rPr>
      </w:pPr>
    </w:p>
    <w:p w:rsidR="00497B45" w:rsidRDefault="003353E8">
      <w:pPr>
        <w:pStyle w:val="TOC1"/>
        <w:rPr>
          <w:rFonts w:asciiTheme="minorHAnsi" w:eastAsiaTheme="minorEastAsia" w:hAnsiTheme="minorHAnsi" w:cstheme="minorBidi"/>
          <w:noProof/>
          <w:lang w:val="en-GB" w:eastAsia="en-GB"/>
        </w:rPr>
      </w:pPr>
      <w:r w:rsidRPr="00D85439">
        <w:fldChar w:fldCharType="begin"/>
      </w:r>
      <w:r w:rsidRPr="00D85439">
        <w:instrText xml:space="preserve"> TOC \o "1-1" \h \z \u </w:instrText>
      </w:r>
      <w:r w:rsidRPr="00D85439">
        <w:fldChar w:fldCharType="separate"/>
      </w:r>
      <w:hyperlink w:anchor="_Toc527019934" w:history="1">
        <w:r w:rsidR="00497B45" w:rsidRPr="004E38C6">
          <w:rPr>
            <w:rStyle w:val="Hyperlink"/>
            <w:caps/>
            <w:noProof/>
          </w:rPr>
          <w:t>1.</w:t>
        </w:r>
        <w:r w:rsidR="00497B45">
          <w:rPr>
            <w:rFonts w:asciiTheme="minorHAnsi" w:eastAsiaTheme="minorEastAsia" w:hAnsiTheme="minorHAnsi" w:cstheme="minorBidi"/>
            <w:noProof/>
            <w:lang w:val="en-GB" w:eastAsia="en-GB"/>
          </w:rPr>
          <w:tab/>
        </w:r>
        <w:r w:rsidR="00497B45" w:rsidRPr="004E38C6">
          <w:rPr>
            <w:rStyle w:val="Hyperlink"/>
            <w:b/>
            <w:caps/>
            <w:noProof/>
          </w:rPr>
          <w:t>Den Økonomiske og Monetære Union og Økonomisk og Social Samhørighed</w:t>
        </w:r>
        <w:r w:rsidR="00497B45">
          <w:rPr>
            <w:noProof/>
            <w:webHidden/>
          </w:rPr>
          <w:tab/>
        </w:r>
        <w:r w:rsidR="00497B45">
          <w:rPr>
            <w:noProof/>
            <w:webHidden/>
          </w:rPr>
          <w:fldChar w:fldCharType="begin"/>
        </w:r>
        <w:r w:rsidR="00497B45">
          <w:rPr>
            <w:noProof/>
            <w:webHidden/>
          </w:rPr>
          <w:instrText xml:space="preserve"> PAGEREF _Toc527019934 \h </w:instrText>
        </w:r>
        <w:r w:rsidR="00497B45">
          <w:rPr>
            <w:noProof/>
            <w:webHidden/>
          </w:rPr>
        </w:r>
        <w:r w:rsidR="00497B45">
          <w:rPr>
            <w:noProof/>
            <w:webHidden/>
          </w:rPr>
          <w:fldChar w:fldCharType="separate"/>
        </w:r>
        <w:r w:rsidR="00497B45">
          <w:rPr>
            <w:noProof/>
            <w:webHidden/>
          </w:rPr>
          <w:t>3</w:t>
        </w:r>
        <w:r w:rsidR="00497B45">
          <w:rPr>
            <w:noProof/>
            <w:webHidden/>
          </w:rPr>
          <w:fldChar w:fldCharType="end"/>
        </w:r>
      </w:hyperlink>
    </w:p>
    <w:p w:rsidR="00497B45" w:rsidRDefault="00497B45">
      <w:pPr>
        <w:pStyle w:val="TOC1"/>
        <w:rPr>
          <w:rFonts w:asciiTheme="minorHAnsi" w:eastAsiaTheme="minorEastAsia" w:hAnsiTheme="minorHAnsi" w:cstheme="minorBidi"/>
          <w:noProof/>
          <w:lang w:val="en-GB" w:eastAsia="en-GB"/>
        </w:rPr>
      </w:pPr>
      <w:hyperlink w:anchor="_Toc527019935" w:history="1">
        <w:r w:rsidRPr="004E38C6">
          <w:rPr>
            <w:rStyle w:val="Hyperlink"/>
            <w:caps/>
            <w:noProof/>
          </w:rPr>
          <w:t>2.</w:t>
        </w:r>
        <w:r>
          <w:rPr>
            <w:rFonts w:asciiTheme="minorHAnsi" w:eastAsiaTheme="minorEastAsia" w:hAnsiTheme="minorHAnsi" w:cstheme="minorBidi"/>
            <w:noProof/>
            <w:lang w:val="en-GB" w:eastAsia="en-GB"/>
          </w:rPr>
          <w:tab/>
        </w:r>
        <w:r w:rsidRPr="004E38C6">
          <w:rPr>
            <w:rStyle w:val="Hyperlink"/>
            <w:b/>
            <w:caps/>
            <w:noProof/>
          </w:rPr>
          <w:t>Det Indre Marked, Produktion og Forbrug</w:t>
        </w:r>
        <w:r>
          <w:rPr>
            <w:noProof/>
            <w:webHidden/>
          </w:rPr>
          <w:tab/>
        </w:r>
        <w:r>
          <w:rPr>
            <w:noProof/>
            <w:webHidden/>
          </w:rPr>
          <w:fldChar w:fldCharType="begin"/>
        </w:r>
        <w:r>
          <w:rPr>
            <w:noProof/>
            <w:webHidden/>
          </w:rPr>
          <w:instrText xml:space="preserve"> PAGEREF _Toc527019935 \h </w:instrText>
        </w:r>
        <w:r>
          <w:rPr>
            <w:noProof/>
            <w:webHidden/>
          </w:rPr>
        </w:r>
        <w:r>
          <w:rPr>
            <w:noProof/>
            <w:webHidden/>
          </w:rPr>
          <w:fldChar w:fldCharType="separate"/>
        </w:r>
        <w:r>
          <w:rPr>
            <w:noProof/>
            <w:webHidden/>
          </w:rPr>
          <w:t>9</w:t>
        </w:r>
        <w:r>
          <w:rPr>
            <w:noProof/>
            <w:webHidden/>
          </w:rPr>
          <w:fldChar w:fldCharType="end"/>
        </w:r>
      </w:hyperlink>
    </w:p>
    <w:p w:rsidR="00497B45" w:rsidRDefault="00497B45">
      <w:pPr>
        <w:pStyle w:val="TOC1"/>
        <w:rPr>
          <w:rFonts w:asciiTheme="minorHAnsi" w:eastAsiaTheme="minorEastAsia" w:hAnsiTheme="minorHAnsi" w:cstheme="minorBidi"/>
          <w:noProof/>
          <w:lang w:val="en-GB" w:eastAsia="en-GB"/>
        </w:rPr>
      </w:pPr>
      <w:hyperlink w:anchor="_Toc527019936" w:history="1">
        <w:r w:rsidRPr="004E38C6">
          <w:rPr>
            <w:rStyle w:val="Hyperlink"/>
            <w:caps/>
            <w:noProof/>
          </w:rPr>
          <w:t>3.</w:t>
        </w:r>
        <w:r>
          <w:rPr>
            <w:rFonts w:asciiTheme="minorHAnsi" w:eastAsiaTheme="minorEastAsia" w:hAnsiTheme="minorHAnsi" w:cstheme="minorBidi"/>
            <w:noProof/>
            <w:lang w:val="en-GB" w:eastAsia="en-GB"/>
          </w:rPr>
          <w:tab/>
        </w:r>
        <w:r w:rsidRPr="004E38C6">
          <w:rPr>
            <w:rStyle w:val="Hyperlink"/>
            <w:b/>
            <w:caps/>
            <w:noProof/>
          </w:rPr>
          <w:t>Transport, Energi, Infrastruktur og Informationssamfundet</w:t>
        </w:r>
        <w:r>
          <w:rPr>
            <w:noProof/>
            <w:webHidden/>
          </w:rPr>
          <w:tab/>
        </w:r>
        <w:r>
          <w:rPr>
            <w:noProof/>
            <w:webHidden/>
          </w:rPr>
          <w:fldChar w:fldCharType="begin"/>
        </w:r>
        <w:r>
          <w:rPr>
            <w:noProof/>
            <w:webHidden/>
          </w:rPr>
          <w:instrText xml:space="preserve"> PAGEREF _Toc527019936 \h </w:instrText>
        </w:r>
        <w:r>
          <w:rPr>
            <w:noProof/>
            <w:webHidden/>
          </w:rPr>
        </w:r>
        <w:r>
          <w:rPr>
            <w:noProof/>
            <w:webHidden/>
          </w:rPr>
          <w:fldChar w:fldCharType="separate"/>
        </w:r>
        <w:r>
          <w:rPr>
            <w:noProof/>
            <w:webHidden/>
          </w:rPr>
          <w:t>19</w:t>
        </w:r>
        <w:r>
          <w:rPr>
            <w:noProof/>
            <w:webHidden/>
          </w:rPr>
          <w:fldChar w:fldCharType="end"/>
        </w:r>
      </w:hyperlink>
    </w:p>
    <w:p w:rsidR="00497B45" w:rsidRDefault="00497B45">
      <w:pPr>
        <w:pStyle w:val="TOC1"/>
        <w:rPr>
          <w:rFonts w:asciiTheme="minorHAnsi" w:eastAsiaTheme="minorEastAsia" w:hAnsiTheme="minorHAnsi" w:cstheme="minorBidi"/>
          <w:noProof/>
          <w:lang w:val="en-GB" w:eastAsia="en-GB"/>
        </w:rPr>
      </w:pPr>
      <w:hyperlink w:anchor="_Toc527019937" w:history="1">
        <w:r w:rsidRPr="004E38C6">
          <w:rPr>
            <w:rStyle w:val="Hyperlink"/>
            <w:caps/>
            <w:noProof/>
          </w:rPr>
          <w:t>4.</w:t>
        </w:r>
        <w:r>
          <w:rPr>
            <w:rFonts w:asciiTheme="minorHAnsi" w:eastAsiaTheme="minorEastAsia" w:hAnsiTheme="minorHAnsi" w:cstheme="minorBidi"/>
            <w:noProof/>
            <w:lang w:val="en-GB" w:eastAsia="en-GB"/>
          </w:rPr>
          <w:tab/>
        </w:r>
        <w:r w:rsidRPr="004E38C6">
          <w:rPr>
            <w:rStyle w:val="Hyperlink"/>
            <w:b/>
            <w:caps/>
            <w:noProof/>
          </w:rPr>
          <w:t>Landbrug, Udvikling af Landdistrikterne og Miljø</w:t>
        </w:r>
        <w:r>
          <w:rPr>
            <w:noProof/>
            <w:webHidden/>
          </w:rPr>
          <w:tab/>
        </w:r>
        <w:r>
          <w:rPr>
            <w:noProof/>
            <w:webHidden/>
          </w:rPr>
          <w:fldChar w:fldCharType="begin"/>
        </w:r>
        <w:r>
          <w:rPr>
            <w:noProof/>
            <w:webHidden/>
          </w:rPr>
          <w:instrText xml:space="preserve"> PAGEREF _Toc527019937 \h </w:instrText>
        </w:r>
        <w:r>
          <w:rPr>
            <w:noProof/>
            <w:webHidden/>
          </w:rPr>
        </w:r>
        <w:r>
          <w:rPr>
            <w:noProof/>
            <w:webHidden/>
          </w:rPr>
          <w:fldChar w:fldCharType="separate"/>
        </w:r>
        <w:r>
          <w:rPr>
            <w:noProof/>
            <w:webHidden/>
          </w:rPr>
          <w:t>23</w:t>
        </w:r>
        <w:r>
          <w:rPr>
            <w:noProof/>
            <w:webHidden/>
          </w:rPr>
          <w:fldChar w:fldCharType="end"/>
        </w:r>
      </w:hyperlink>
    </w:p>
    <w:p w:rsidR="00497B45" w:rsidRDefault="00497B45">
      <w:pPr>
        <w:pStyle w:val="TOC1"/>
        <w:rPr>
          <w:rFonts w:asciiTheme="minorHAnsi" w:eastAsiaTheme="minorEastAsia" w:hAnsiTheme="minorHAnsi" w:cstheme="minorBidi"/>
          <w:noProof/>
          <w:lang w:val="en-GB" w:eastAsia="en-GB"/>
        </w:rPr>
      </w:pPr>
      <w:hyperlink w:anchor="_Toc527019938" w:history="1">
        <w:r w:rsidRPr="004E38C6">
          <w:rPr>
            <w:rStyle w:val="Hyperlink"/>
            <w:caps/>
            <w:noProof/>
          </w:rPr>
          <w:t>5.</w:t>
        </w:r>
        <w:r>
          <w:rPr>
            <w:rFonts w:asciiTheme="minorHAnsi" w:eastAsiaTheme="minorEastAsia" w:hAnsiTheme="minorHAnsi" w:cstheme="minorBidi"/>
            <w:noProof/>
            <w:lang w:val="en-GB" w:eastAsia="en-GB"/>
          </w:rPr>
          <w:tab/>
        </w:r>
        <w:r w:rsidRPr="004E38C6">
          <w:rPr>
            <w:rStyle w:val="Hyperlink"/>
            <w:b/>
            <w:caps/>
            <w:noProof/>
          </w:rPr>
          <w:t>Beskæftigelse, Sociale Spørgsmål og Unionsborgerskab</w:t>
        </w:r>
        <w:r>
          <w:rPr>
            <w:noProof/>
            <w:webHidden/>
          </w:rPr>
          <w:tab/>
        </w:r>
        <w:r>
          <w:rPr>
            <w:noProof/>
            <w:webHidden/>
          </w:rPr>
          <w:fldChar w:fldCharType="begin"/>
        </w:r>
        <w:r>
          <w:rPr>
            <w:noProof/>
            <w:webHidden/>
          </w:rPr>
          <w:instrText xml:space="preserve"> PAGEREF _Toc527019938 \h </w:instrText>
        </w:r>
        <w:r>
          <w:rPr>
            <w:noProof/>
            <w:webHidden/>
          </w:rPr>
        </w:r>
        <w:r>
          <w:rPr>
            <w:noProof/>
            <w:webHidden/>
          </w:rPr>
          <w:fldChar w:fldCharType="separate"/>
        </w:r>
        <w:r>
          <w:rPr>
            <w:noProof/>
            <w:webHidden/>
          </w:rPr>
          <w:t>32</w:t>
        </w:r>
        <w:r>
          <w:rPr>
            <w:noProof/>
            <w:webHidden/>
          </w:rPr>
          <w:fldChar w:fldCharType="end"/>
        </w:r>
      </w:hyperlink>
    </w:p>
    <w:p w:rsidR="008405A0" w:rsidRPr="00D85439" w:rsidRDefault="003353E8" w:rsidP="005B6CEF">
      <w:r w:rsidRPr="00D85439">
        <w:fldChar w:fldCharType="end"/>
      </w:r>
      <w:r>
        <w:br w:type="page"/>
      </w:r>
      <w:bookmarkStart w:id="0" w:name="_GoBack"/>
      <w:bookmarkEnd w:id="0"/>
    </w:p>
    <w:p w:rsidR="00421682" w:rsidRPr="00D85439" w:rsidRDefault="00AD7EE7" w:rsidP="00252095">
      <w:r>
        <w:lastRenderedPageBreak/>
        <w:t>Følgende udtalelser blev vedtaget på plenarforsamlingen den 19.-20. september 2018:</w:t>
      </w:r>
    </w:p>
    <w:p w:rsidR="00A43397" w:rsidRPr="00D85439" w:rsidRDefault="00A43397" w:rsidP="00252095">
      <w:pPr>
        <w:rPr>
          <w:lang w:val="en-GB"/>
        </w:rPr>
      </w:pPr>
    </w:p>
    <w:p w:rsidR="00A43397" w:rsidRPr="00D85439" w:rsidRDefault="000C491C" w:rsidP="00252095">
      <w:pPr>
        <w:pStyle w:val="Heading1"/>
        <w:keepNext/>
        <w:ind w:left="567" w:hanging="567"/>
        <w:rPr>
          <w:b/>
          <w:caps/>
        </w:rPr>
      </w:pPr>
      <w:bookmarkStart w:id="1" w:name="_Toc527019934"/>
      <w:r>
        <w:rPr>
          <w:b/>
          <w:caps/>
        </w:rPr>
        <w:t>Den Økonomiske og Monetære Union og Økonomisk og Social Samhørighed</w:t>
      </w:r>
      <w:bookmarkEnd w:id="1"/>
    </w:p>
    <w:p w:rsidR="0068003C" w:rsidRDefault="0068003C" w:rsidP="00252095">
      <w:pPr>
        <w:keepNext/>
        <w:rPr>
          <w:lang w:val="en-GB"/>
        </w:rPr>
      </w:pPr>
    </w:p>
    <w:p w:rsidR="002337A6" w:rsidRPr="00FD1489" w:rsidRDefault="002337A6" w:rsidP="00252095">
      <w:pPr>
        <w:pStyle w:val="ListParagraph"/>
        <w:keepNext/>
        <w:numPr>
          <w:ilvl w:val="0"/>
          <w:numId w:val="122"/>
        </w:numPr>
        <w:overflowPunct w:val="0"/>
        <w:autoSpaceDE w:val="0"/>
        <w:autoSpaceDN w:val="0"/>
        <w:adjustRightInd w:val="0"/>
        <w:ind w:left="567" w:hanging="567"/>
        <w:textAlignment w:val="baseline"/>
        <w:rPr>
          <w:b/>
          <w:i/>
          <w:sz w:val="28"/>
          <w:szCs w:val="28"/>
        </w:rPr>
      </w:pPr>
      <w:bookmarkStart w:id="2" w:name="_Toc514234401"/>
      <w:bookmarkStart w:id="3" w:name="_Toc514234649"/>
      <w:bookmarkStart w:id="4" w:name="_Toc514234896"/>
      <w:bookmarkStart w:id="5" w:name="_Toc514235021"/>
      <w:bookmarkStart w:id="6" w:name="_Toc514235145"/>
      <w:bookmarkStart w:id="7" w:name="_Toc514235268"/>
      <w:bookmarkStart w:id="8" w:name="_Toc514235388"/>
      <w:bookmarkStart w:id="9" w:name="_Toc514235506"/>
      <w:bookmarkStart w:id="10" w:name="_Toc514235624"/>
      <w:bookmarkStart w:id="11" w:name="_Toc514234402"/>
      <w:bookmarkStart w:id="12" w:name="_Toc514234650"/>
      <w:bookmarkStart w:id="13" w:name="_Toc514234897"/>
      <w:bookmarkStart w:id="14" w:name="_Toc514235022"/>
      <w:bookmarkStart w:id="15" w:name="_Toc514235146"/>
      <w:bookmarkStart w:id="16" w:name="_Toc514235269"/>
      <w:bookmarkStart w:id="17" w:name="_Toc514235389"/>
      <w:bookmarkStart w:id="18" w:name="_Toc514235507"/>
      <w:bookmarkStart w:id="19" w:name="_Toc514235625"/>
      <w:bookmarkStart w:id="20" w:name="_Toc514234403"/>
      <w:bookmarkStart w:id="21" w:name="_Toc514234651"/>
      <w:bookmarkStart w:id="22" w:name="_Toc514234898"/>
      <w:bookmarkStart w:id="23" w:name="_Toc514235023"/>
      <w:bookmarkStart w:id="24" w:name="_Toc514235147"/>
      <w:bookmarkStart w:id="25" w:name="_Toc514235270"/>
      <w:bookmarkStart w:id="26" w:name="_Toc514235390"/>
      <w:bookmarkStart w:id="27" w:name="_Toc514235508"/>
      <w:bookmarkStart w:id="28" w:name="_Toc514235626"/>
      <w:bookmarkStart w:id="29" w:name="_Toc514234404"/>
      <w:bookmarkStart w:id="30" w:name="_Toc514234652"/>
      <w:bookmarkStart w:id="31" w:name="_Toc514234899"/>
      <w:bookmarkStart w:id="32" w:name="_Toc514235024"/>
      <w:bookmarkStart w:id="33" w:name="_Toc514235148"/>
      <w:bookmarkStart w:id="34" w:name="_Toc514235271"/>
      <w:bookmarkStart w:id="35" w:name="_Toc514235391"/>
      <w:bookmarkStart w:id="36" w:name="_Toc514235509"/>
      <w:bookmarkStart w:id="37" w:name="_Toc514235627"/>
      <w:bookmarkStart w:id="38" w:name="_Toc514234405"/>
      <w:bookmarkStart w:id="39" w:name="_Toc514234653"/>
      <w:bookmarkStart w:id="40" w:name="_Toc514234900"/>
      <w:bookmarkStart w:id="41" w:name="_Toc514235025"/>
      <w:bookmarkStart w:id="42" w:name="_Toc514235149"/>
      <w:bookmarkStart w:id="43" w:name="_Toc514235272"/>
      <w:bookmarkStart w:id="44" w:name="_Toc514235392"/>
      <w:bookmarkStart w:id="45" w:name="_Toc514235510"/>
      <w:bookmarkStart w:id="46" w:name="_Toc514235628"/>
      <w:bookmarkStart w:id="47" w:name="_Toc514234406"/>
      <w:bookmarkStart w:id="48" w:name="_Toc514234654"/>
      <w:bookmarkStart w:id="49" w:name="_Toc514234901"/>
      <w:bookmarkStart w:id="50" w:name="_Toc514235026"/>
      <w:bookmarkStart w:id="51" w:name="_Toc514235150"/>
      <w:bookmarkStart w:id="52" w:name="_Toc514235273"/>
      <w:bookmarkStart w:id="53" w:name="_Toc514235393"/>
      <w:bookmarkStart w:id="54" w:name="_Toc514235511"/>
      <w:bookmarkStart w:id="55" w:name="_Toc514235629"/>
      <w:bookmarkStart w:id="56" w:name="_Toc514234407"/>
      <w:bookmarkStart w:id="57" w:name="_Toc514234655"/>
      <w:bookmarkStart w:id="58" w:name="_Toc514234902"/>
      <w:bookmarkStart w:id="59" w:name="_Toc514235027"/>
      <w:bookmarkStart w:id="60" w:name="_Toc514235151"/>
      <w:bookmarkStart w:id="61" w:name="_Toc514235274"/>
      <w:bookmarkStart w:id="62" w:name="_Toc514235394"/>
      <w:bookmarkStart w:id="63" w:name="_Toc514235512"/>
      <w:bookmarkStart w:id="64" w:name="_Toc514235630"/>
      <w:bookmarkStart w:id="65" w:name="_Toc514234408"/>
      <w:bookmarkStart w:id="66" w:name="_Toc514234656"/>
      <w:bookmarkStart w:id="67" w:name="_Toc514234903"/>
      <w:bookmarkStart w:id="68" w:name="_Toc514235028"/>
      <w:bookmarkStart w:id="69" w:name="_Toc514235152"/>
      <w:bookmarkStart w:id="70" w:name="_Toc514235275"/>
      <w:bookmarkStart w:id="71" w:name="_Toc514235395"/>
      <w:bookmarkStart w:id="72" w:name="_Toc514235513"/>
      <w:bookmarkStart w:id="73" w:name="_Toc514235631"/>
      <w:bookmarkStart w:id="74" w:name="_Toc514234409"/>
      <w:bookmarkStart w:id="75" w:name="_Toc514234657"/>
      <w:bookmarkStart w:id="76" w:name="_Toc514234904"/>
      <w:bookmarkStart w:id="77" w:name="_Toc514235029"/>
      <w:bookmarkStart w:id="78" w:name="_Toc514235153"/>
      <w:bookmarkStart w:id="79" w:name="_Toc514235276"/>
      <w:bookmarkStart w:id="80" w:name="_Toc514235396"/>
      <w:bookmarkStart w:id="81" w:name="_Toc514235514"/>
      <w:bookmarkStart w:id="82" w:name="_Toc514235632"/>
      <w:bookmarkStart w:id="83" w:name="_Toc514234410"/>
      <w:bookmarkStart w:id="84" w:name="_Toc514234658"/>
      <w:bookmarkStart w:id="85" w:name="_Toc514234905"/>
      <w:bookmarkStart w:id="86" w:name="_Toc514235030"/>
      <w:bookmarkStart w:id="87" w:name="_Toc514235154"/>
      <w:bookmarkStart w:id="88" w:name="_Toc514235277"/>
      <w:bookmarkStart w:id="89" w:name="_Toc514235397"/>
      <w:bookmarkStart w:id="90" w:name="_Toc514235515"/>
      <w:bookmarkStart w:id="91" w:name="_Toc514235633"/>
      <w:bookmarkStart w:id="92" w:name="_Toc514234411"/>
      <w:bookmarkStart w:id="93" w:name="_Toc514234659"/>
      <w:bookmarkStart w:id="94" w:name="_Toc514234906"/>
      <w:bookmarkStart w:id="95" w:name="_Toc514235031"/>
      <w:bookmarkStart w:id="96" w:name="_Toc514235155"/>
      <w:bookmarkStart w:id="97" w:name="_Toc514235278"/>
      <w:bookmarkStart w:id="98" w:name="_Toc514235398"/>
      <w:bookmarkStart w:id="99" w:name="_Toc514235516"/>
      <w:bookmarkStart w:id="100" w:name="_Toc514235634"/>
      <w:bookmarkStart w:id="101" w:name="_Toc514234412"/>
      <w:bookmarkStart w:id="102" w:name="_Toc514234660"/>
      <w:bookmarkStart w:id="103" w:name="_Toc514234907"/>
      <w:bookmarkStart w:id="104" w:name="_Toc514235032"/>
      <w:bookmarkStart w:id="105" w:name="_Toc514235156"/>
      <w:bookmarkStart w:id="106" w:name="_Toc514235279"/>
      <w:bookmarkStart w:id="107" w:name="_Toc514235399"/>
      <w:bookmarkStart w:id="108" w:name="_Toc514235517"/>
      <w:bookmarkStart w:id="109" w:name="_Toc514235635"/>
      <w:bookmarkStart w:id="110" w:name="_Toc514234413"/>
      <w:bookmarkStart w:id="111" w:name="_Toc514234661"/>
      <w:bookmarkStart w:id="112" w:name="_Toc514234908"/>
      <w:bookmarkStart w:id="113" w:name="_Toc514235033"/>
      <w:bookmarkStart w:id="114" w:name="_Toc514235157"/>
      <w:bookmarkStart w:id="115" w:name="_Toc514235280"/>
      <w:bookmarkStart w:id="116" w:name="_Toc514235400"/>
      <w:bookmarkStart w:id="117" w:name="_Toc514235518"/>
      <w:bookmarkStart w:id="118" w:name="_Toc514235636"/>
      <w:bookmarkStart w:id="119" w:name="_Toc514234414"/>
      <w:bookmarkStart w:id="120" w:name="_Toc514234662"/>
      <w:bookmarkStart w:id="121" w:name="_Toc514234909"/>
      <w:bookmarkStart w:id="122" w:name="_Toc514235034"/>
      <w:bookmarkStart w:id="123" w:name="_Toc514235158"/>
      <w:bookmarkStart w:id="124" w:name="_Toc514235281"/>
      <w:bookmarkStart w:id="125" w:name="_Toc514235401"/>
      <w:bookmarkStart w:id="126" w:name="_Toc514235519"/>
      <w:bookmarkStart w:id="127" w:name="_Toc514235637"/>
      <w:bookmarkStart w:id="128" w:name="_Toc514234415"/>
      <w:bookmarkStart w:id="129" w:name="_Toc514234663"/>
      <w:bookmarkStart w:id="130" w:name="_Toc514234910"/>
      <w:bookmarkStart w:id="131" w:name="_Toc514235035"/>
      <w:bookmarkStart w:id="132" w:name="_Toc514235159"/>
      <w:bookmarkStart w:id="133" w:name="_Toc514235282"/>
      <w:bookmarkStart w:id="134" w:name="_Toc514235402"/>
      <w:bookmarkStart w:id="135" w:name="_Toc514235520"/>
      <w:bookmarkStart w:id="136" w:name="_Toc514235638"/>
      <w:bookmarkStart w:id="137" w:name="_Toc514234416"/>
      <w:bookmarkStart w:id="138" w:name="_Toc514234664"/>
      <w:bookmarkStart w:id="139" w:name="_Toc514234911"/>
      <w:bookmarkStart w:id="140" w:name="_Toc514235036"/>
      <w:bookmarkStart w:id="141" w:name="_Toc514235160"/>
      <w:bookmarkStart w:id="142" w:name="_Toc514235283"/>
      <w:bookmarkStart w:id="143" w:name="_Toc514235403"/>
      <w:bookmarkStart w:id="144" w:name="_Toc514235521"/>
      <w:bookmarkStart w:id="145" w:name="_Toc514235639"/>
      <w:bookmarkStart w:id="146" w:name="_Toc514234417"/>
      <w:bookmarkStart w:id="147" w:name="_Toc514234665"/>
      <w:bookmarkStart w:id="148" w:name="_Toc514234912"/>
      <w:bookmarkStart w:id="149" w:name="_Toc514235037"/>
      <w:bookmarkStart w:id="150" w:name="_Toc514235161"/>
      <w:bookmarkStart w:id="151" w:name="_Toc514235284"/>
      <w:bookmarkStart w:id="152" w:name="_Toc514235404"/>
      <w:bookmarkStart w:id="153" w:name="_Toc514235522"/>
      <w:bookmarkStart w:id="154" w:name="_Toc514235640"/>
      <w:bookmarkStart w:id="155" w:name="_Toc514234418"/>
      <w:bookmarkStart w:id="156" w:name="_Toc514234666"/>
      <w:bookmarkStart w:id="157" w:name="_Toc514234913"/>
      <w:bookmarkStart w:id="158" w:name="_Toc514235038"/>
      <w:bookmarkStart w:id="159" w:name="_Toc514235162"/>
      <w:bookmarkStart w:id="160" w:name="_Toc514235285"/>
      <w:bookmarkStart w:id="161" w:name="_Toc514235405"/>
      <w:bookmarkStart w:id="162" w:name="_Toc514235523"/>
      <w:bookmarkStart w:id="163" w:name="_Toc514235641"/>
      <w:bookmarkStart w:id="164" w:name="_Toc514234419"/>
      <w:bookmarkStart w:id="165" w:name="_Toc514234667"/>
      <w:bookmarkStart w:id="166" w:name="_Toc514234914"/>
      <w:bookmarkStart w:id="167" w:name="_Toc514235039"/>
      <w:bookmarkStart w:id="168" w:name="_Toc514235163"/>
      <w:bookmarkStart w:id="169" w:name="_Toc514235286"/>
      <w:bookmarkStart w:id="170" w:name="_Toc514235406"/>
      <w:bookmarkStart w:id="171" w:name="_Toc514235524"/>
      <w:bookmarkStart w:id="172" w:name="_Toc514235642"/>
      <w:bookmarkStart w:id="173" w:name="_Toc514234420"/>
      <w:bookmarkStart w:id="174" w:name="_Toc514234668"/>
      <w:bookmarkStart w:id="175" w:name="_Toc514234915"/>
      <w:bookmarkStart w:id="176" w:name="_Toc514235040"/>
      <w:bookmarkStart w:id="177" w:name="_Toc514235164"/>
      <w:bookmarkStart w:id="178" w:name="_Toc514235287"/>
      <w:bookmarkStart w:id="179" w:name="_Toc514235407"/>
      <w:bookmarkStart w:id="180" w:name="_Toc514235525"/>
      <w:bookmarkStart w:id="181" w:name="_Toc514235643"/>
      <w:bookmarkStart w:id="182" w:name="_Toc514234421"/>
      <w:bookmarkStart w:id="183" w:name="_Toc514234669"/>
      <w:bookmarkStart w:id="184" w:name="_Toc514234916"/>
      <w:bookmarkStart w:id="185" w:name="_Toc514235041"/>
      <w:bookmarkStart w:id="186" w:name="_Toc514235165"/>
      <w:bookmarkStart w:id="187" w:name="_Toc514235288"/>
      <w:bookmarkStart w:id="188" w:name="_Toc514235408"/>
      <w:bookmarkStart w:id="189" w:name="_Toc514235526"/>
      <w:bookmarkStart w:id="190" w:name="_Toc514235644"/>
      <w:bookmarkStart w:id="191" w:name="_Toc514234422"/>
      <w:bookmarkStart w:id="192" w:name="_Toc514234670"/>
      <w:bookmarkStart w:id="193" w:name="_Toc514234917"/>
      <w:bookmarkStart w:id="194" w:name="_Toc514235042"/>
      <w:bookmarkStart w:id="195" w:name="_Toc514235166"/>
      <w:bookmarkStart w:id="196" w:name="_Toc514235289"/>
      <w:bookmarkStart w:id="197" w:name="_Toc514235409"/>
      <w:bookmarkStart w:id="198" w:name="_Toc514235527"/>
      <w:bookmarkStart w:id="199" w:name="_Toc514235645"/>
      <w:bookmarkStart w:id="200" w:name="_Toc514234423"/>
      <w:bookmarkStart w:id="201" w:name="_Toc514234671"/>
      <w:bookmarkStart w:id="202" w:name="_Toc514234918"/>
      <w:bookmarkStart w:id="203" w:name="_Toc514235043"/>
      <w:bookmarkStart w:id="204" w:name="_Toc514235167"/>
      <w:bookmarkStart w:id="205" w:name="_Toc514235290"/>
      <w:bookmarkStart w:id="206" w:name="_Toc514235410"/>
      <w:bookmarkStart w:id="207" w:name="_Toc514235528"/>
      <w:bookmarkStart w:id="208" w:name="_Toc514235646"/>
      <w:bookmarkStart w:id="209" w:name="_Toc514234424"/>
      <w:bookmarkStart w:id="210" w:name="_Toc514234672"/>
      <w:bookmarkStart w:id="211" w:name="_Toc514234919"/>
      <w:bookmarkStart w:id="212" w:name="_Toc514235044"/>
      <w:bookmarkStart w:id="213" w:name="_Toc514235168"/>
      <w:bookmarkStart w:id="214" w:name="_Toc514235291"/>
      <w:bookmarkStart w:id="215" w:name="_Toc514235411"/>
      <w:bookmarkStart w:id="216" w:name="_Toc514235529"/>
      <w:bookmarkStart w:id="217" w:name="_Toc514235647"/>
      <w:bookmarkStart w:id="218" w:name="_Toc514234425"/>
      <w:bookmarkStart w:id="219" w:name="_Toc514234673"/>
      <w:bookmarkStart w:id="220" w:name="_Toc514234920"/>
      <w:bookmarkStart w:id="221" w:name="_Toc514235045"/>
      <w:bookmarkStart w:id="222" w:name="_Toc514235169"/>
      <w:bookmarkStart w:id="223" w:name="_Toc514235292"/>
      <w:bookmarkStart w:id="224" w:name="_Toc514235412"/>
      <w:bookmarkStart w:id="225" w:name="_Toc514235530"/>
      <w:bookmarkStart w:id="226" w:name="_Toc514235648"/>
      <w:bookmarkStart w:id="227" w:name="_Toc514234426"/>
      <w:bookmarkStart w:id="228" w:name="_Toc514234674"/>
      <w:bookmarkStart w:id="229" w:name="_Toc514234921"/>
      <w:bookmarkStart w:id="230" w:name="_Toc514235046"/>
      <w:bookmarkStart w:id="231" w:name="_Toc514235170"/>
      <w:bookmarkStart w:id="232" w:name="_Toc514235293"/>
      <w:bookmarkStart w:id="233" w:name="_Toc514235413"/>
      <w:bookmarkStart w:id="234" w:name="_Toc514235531"/>
      <w:bookmarkStart w:id="235" w:name="_Toc514235649"/>
      <w:bookmarkStart w:id="236" w:name="_Toc514234427"/>
      <w:bookmarkStart w:id="237" w:name="_Toc514234675"/>
      <w:bookmarkStart w:id="238" w:name="_Toc514234922"/>
      <w:bookmarkStart w:id="239" w:name="_Toc514235047"/>
      <w:bookmarkStart w:id="240" w:name="_Toc514235171"/>
      <w:bookmarkStart w:id="241" w:name="_Toc514235294"/>
      <w:bookmarkStart w:id="242" w:name="_Toc514235414"/>
      <w:bookmarkStart w:id="243" w:name="_Toc514235532"/>
      <w:bookmarkStart w:id="244" w:name="_Toc514235650"/>
      <w:bookmarkStart w:id="245" w:name="_Toc514234428"/>
      <w:bookmarkStart w:id="246" w:name="_Toc514234676"/>
      <w:bookmarkStart w:id="247" w:name="_Toc514234923"/>
      <w:bookmarkStart w:id="248" w:name="_Toc514235048"/>
      <w:bookmarkStart w:id="249" w:name="_Toc514235172"/>
      <w:bookmarkStart w:id="250" w:name="_Toc514235295"/>
      <w:bookmarkStart w:id="251" w:name="_Toc514235415"/>
      <w:bookmarkStart w:id="252" w:name="_Toc514235533"/>
      <w:bookmarkStart w:id="253" w:name="_Toc514235651"/>
      <w:bookmarkStart w:id="254" w:name="_Toc514234429"/>
      <w:bookmarkStart w:id="255" w:name="_Toc514234677"/>
      <w:bookmarkStart w:id="256" w:name="_Toc514234924"/>
      <w:bookmarkStart w:id="257" w:name="_Toc514235049"/>
      <w:bookmarkStart w:id="258" w:name="_Toc514235173"/>
      <w:bookmarkStart w:id="259" w:name="_Toc514235296"/>
      <w:bookmarkStart w:id="260" w:name="_Toc514235416"/>
      <w:bookmarkStart w:id="261" w:name="_Toc514235534"/>
      <w:bookmarkStart w:id="262" w:name="_Toc514235652"/>
      <w:bookmarkStart w:id="263" w:name="_Toc514234430"/>
      <w:bookmarkStart w:id="264" w:name="_Toc514234678"/>
      <w:bookmarkStart w:id="265" w:name="_Toc514234925"/>
      <w:bookmarkStart w:id="266" w:name="_Toc514235050"/>
      <w:bookmarkStart w:id="267" w:name="_Toc514235174"/>
      <w:bookmarkStart w:id="268" w:name="_Toc514235297"/>
      <w:bookmarkStart w:id="269" w:name="_Toc514235417"/>
      <w:bookmarkStart w:id="270" w:name="_Toc514235535"/>
      <w:bookmarkStart w:id="271" w:name="_Toc514235653"/>
      <w:bookmarkStart w:id="272" w:name="_Toc514234431"/>
      <w:bookmarkStart w:id="273" w:name="_Toc514234679"/>
      <w:bookmarkStart w:id="274" w:name="_Toc514234926"/>
      <w:bookmarkStart w:id="275" w:name="_Toc514235051"/>
      <w:bookmarkStart w:id="276" w:name="_Toc514235175"/>
      <w:bookmarkStart w:id="277" w:name="_Toc514235298"/>
      <w:bookmarkStart w:id="278" w:name="_Toc514235418"/>
      <w:bookmarkStart w:id="279" w:name="_Toc514235536"/>
      <w:bookmarkStart w:id="280" w:name="_Toc514235654"/>
      <w:bookmarkStart w:id="281" w:name="_Toc514234432"/>
      <w:bookmarkStart w:id="282" w:name="_Toc514234680"/>
      <w:bookmarkStart w:id="283" w:name="_Toc514234927"/>
      <w:bookmarkStart w:id="284" w:name="_Toc514235052"/>
      <w:bookmarkStart w:id="285" w:name="_Toc514235176"/>
      <w:bookmarkStart w:id="286" w:name="_Toc514235299"/>
      <w:bookmarkStart w:id="287" w:name="_Toc514235419"/>
      <w:bookmarkStart w:id="288" w:name="_Toc514235537"/>
      <w:bookmarkStart w:id="289" w:name="_Toc514235655"/>
      <w:bookmarkStart w:id="290" w:name="_Toc514234433"/>
      <w:bookmarkStart w:id="291" w:name="_Toc514234681"/>
      <w:bookmarkStart w:id="292" w:name="_Toc514234928"/>
      <w:bookmarkStart w:id="293" w:name="_Toc514235053"/>
      <w:bookmarkStart w:id="294" w:name="_Toc514235177"/>
      <w:bookmarkStart w:id="295" w:name="_Toc514235300"/>
      <w:bookmarkStart w:id="296" w:name="_Toc514235420"/>
      <w:bookmarkStart w:id="297" w:name="_Toc514235538"/>
      <w:bookmarkStart w:id="298" w:name="_Toc514235656"/>
      <w:bookmarkStart w:id="299" w:name="_Toc514234434"/>
      <w:bookmarkStart w:id="300" w:name="_Toc514234682"/>
      <w:bookmarkStart w:id="301" w:name="_Toc514234929"/>
      <w:bookmarkStart w:id="302" w:name="_Toc514235054"/>
      <w:bookmarkStart w:id="303" w:name="_Toc514235178"/>
      <w:bookmarkStart w:id="304" w:name="_Toc514235301"/>
      <w:bookmarkStart w:id="305" w:name="_Toc514235421"/>
      <w:bookmarkStart w:id="306" w:name="_Toc514235539"/>
      <w:bookmarkStart w:id="307" w:name="_Toc514235657"/>
      <w:bookmarkStart w:id="308" w:name="_Toc514234435"/>
      <w:bookmarkStart w:id="309" w:name="_Toc514234683"/>
      <w:bookmarkStart w:id="310" w:name="_Toc514234930"/>
      <w:bookmarkStart w:id="311" w:name="_Toc514235055"/>
      <w:bookmarkStart w:id="312" w:name="_Toc514235179"/>
      <w:bookmarkStart w:id="313" w:name="_Toc514235302"/>
      <w:bookmarkStart w:id="314" w:name="_Toc514235422"/>
      <w:bookmarkStart w:id="315" w:name="_Toc514235540"/>
      <w:bookmarkStart w:id="316" w:name="_Toc514235658"/>
      <w:bookmarkStart w:id="317" w:name="_Toc514234436"/>
      <w:bookmarkStart w:id="318" w:name="_Toc514234684"/>
      <w:bookmarkStart w:id="319" w:name="_Toc514234931"/>
      <w:bookmarkStart w:id="320" w:name="_Toc514235056"/>
      <w:bookmarkStart w:id="321" w:name="_Toc514235180"/>
      <w:bookmarkStart w:id="322" w:name="_Toc514235303"/>
      <w:bookmarkStart w:id="323" w:name="_Toc514235423"/>
      <w:bookmarkStart w:id="324" w:name="_Toc514235541"/>
      <w:bookmarkStart w:id="325" w:name="_Toc514235659"/>
      <w:bookmarkStart w:id="326" w:name="_Toc514234437"/>
      <w:bookmarkStart w:id="327" w:name="_Toc514234685"/>
      <w:bookmarkStart w:id="328" w:name="_Toc514234932"/>
      <w:bookmarkStart w:id="329" w:name="_Toc514235057"/>
      <w:bookmarkStart w:id="330" w:name="_Toc514235181"/>
      <w:bookmarkStart w:id="331" w:name="_Toc514235304"/>
      <w:bookmarkStart w:id="332" w:name="_Toc514235424"/>
      <w:bookmarkStart w:id="333" w:name="_Toc514235542"/>
      <w:bookmarkStart w:id="334" w:name="_Toc514235660"/>
      <w:bookmarkStart w:id="335" w:name="_Toc514234438"/>
      <w:bookmarkStart w:id="336" w:name="_Toc514234686"/>
      <w:bookmarkStart w:id="337" w:name="_Toc514234933"/>
      <w:bookmarkStart w:id="338" w:name="_Toc514235058"/>
      <w:bookmarkStart w:id="339" w:name="_Toc514235182"/>
      <w:bookmarkStart w:id="340" w:name="_Toc514235305"/>
      <w:bookmarkStart w:id="341" w:name="_Toc514235425"/>
      <w:bookmarkStart w:id="342" w:name="_Toc514235543"/>
      <w:bookmarkStart w:id="343" w:name="_Toc514235661"/>
      <w:bookmarkStart w:id="344" w:name="_Toc514234439"/>
      <w:bookmarkStart w:id="345" w:name="_Toc514234687"/>
      <w:bookmarkStart w:id="346" w:name="_Toc514234934"/>
      <w:bookmarkStart w:id="347" w:name="_Toc514235059"/>
      <w:bookmarkStart w:id="348" w:name="_Toc514235183"/>
      <w:bookmarkStart w:id="349" w:name="_Toc514235306"/>
      <w:bookmarkStart w:id="350" w:name="_Toc514235426"/>
      <w:bookmarkStart w:id="351" w:name="_Toc514235544"/>
      <w:bookmarkStart w:id="352" w:name="_Toc514235662"/>
      <w:bookmarkStart w:id="353" w:name="_Toc514234440"/>
      <w:bookmarkStart w:id="354" w:name="_Toc514234688"/>
      <w:bookmarkStart w:id="355" w:name="_Toc514234935"/>
      <w:bookmarkStart w:id="356" w:name="_Toc514235060"/>
      <w:bookmarkStart w:id="357" w:name="_Toc514235184"/>
      <w:bookmarkStart w:id="358" w:name="_Toc514235307"/>
      <w:bookmarkStart w:id="359" w:name="_Toc514235427"/>
      <w:bookmarkStart w:id="360" w:name="_Toc514235545"/>
      <w:bookmarkStart w:id="361" w:name="_Toc514235663"/>
      <w:bookmarkStart w:id="362" w:name="_Toc514234441"/>
      <w:bookmarkStart w:id="363" w:name="_Toc514234689"/>
      <w:bookmarkStart w:id="364" w:name="_Toc514234936"/>
      <w:bookmarkStart w:id="365" w:name="_Toc514235061"/>
      <w:bookmarkStart w:id="366" w:name="_Toc514235185"/>
      <w:bookmarkStart w:id="367" w:name="_Toc514235308"/>
      <w:bookmarkStart w:id="368" w:name="_Toc514235428"/>
      <w:bookmarkStart w:id="369" w:name="_Toc514235546"/>
      <w:bookmarkStart w:id="370" w:name="_Toc514235664"/>
      <w:bookmarkStart w:id="371" w:name="_Toc514234442"/>
      <w:bookmarkStart w:id="372" w:name="_Toc514234690"/>
      <w:bookmarkStart w:id="373" w:name="_Toc514234937"/>
      <w:bookmarkStart w:id="374" w:name="_Toc514235062"/>
      <w:bookmarkStart w:id="375" w:name="_Toc514235186"/>
      <w:bookmarkStart w:id="376" w:name="_Toc514235309"/>
      <w:bookmarkStart w:id="377" w:name="_Toc514235429"/>
      <w:bookmarkStart w:id="378" w:name="_Toc514235547"/>
      <w:bookmarkStart w:id="379" w:name="_Toc514235665"/>
      <w:bookmarkStart w:id="380" w:name="_Toc514234443"/>
      <w:bookmarkStart w:id="381" w:name="_Toc514234691"/>
      <w:bookmarkStart w:id="382" w:name="_Toc514234938"/>
      <w:bookmarkStart w:id="383" w:name="_Toc514235063"/>
      <w:bookmarkStart w:id="384" w:name="_Toc514235187"/>
      <w:bookmarkStart w:id="385" w:name="_Toc514235310"/>
      <w:bookmarkStart w:id="386" w:name="_Toc514235430"/>
      <w:bookmarkStart w:id="387" w:name="_Toc514235548"/>
      <w:bookmarkStart w:id="388" w:name="_Toc514235666"/>
      <w:bookmarkStart w:id="389" w:name="_Toc514234444"/>
      <w:bookmarkStart w:id="390" w:name="_Toc514234692"/>
      <w:bookmarkStart w:id="391" w:name="_Toc514234939"/>
      <w:bookmarkStart w:id="392" w:name="_Toc514235064"/>
      <w:bookmarkStart w:id="393" w:name="_Toc514235188"/>
      <w:bookmarkStart w:id="394" w:name="_Toc514235311"/>
      <w:bookmarkStart w:id="395" w:name="_Toc514235431"/>
      <w:bookmarkStart w:id="396" w:name="_Toc514235549"/>
      <w:bookmarkStart w:id="397" w:name="_Toc514235667"/>
      <w:bookmarkStart w:id="398" w:name="_Toc514234445"/>
      <w:bookmarkStart w:id="399" w:name="_Toc514234693"/>
      <w:bookmarkStart w:id="400" w:name="_Toc514234940"/>
      <w:bookmarkStart w:id="401" w:name="_Toc514235065"/>
      <w:bookmarkStart w:id="402" w:name="_Toc514235189"/>
      <w:bookmarkStart w:id="403" w:name="_Toc514235312"/>
      <w:bookmarkStart w:id="404" w:name="_Toc514235432"/>
      <w:bookmarkStart w:id="405" w:name="_Toc514235550"/>
      <w:bookmarkStart w:id="406" w:name="_Toc514235668"/>
      <w:bookmarkStart w:id="407" w:name="_Toc514234446"/>
      <w:bookmarkStart w:id="408" w:name="_Toc514234694"/>
      <w:bookmarkStart w:id="409" w:name="_Toc514234941"/>
      <w:bookmarkStart w:id="410" w:name="_Toc514235066"/>
      <w:bookmarkStart w:id="411" w:name="_Toc514235190"/>
      <w:bookmarkStart w:id="412" w:name="_Toc514235313"/>
      <w:bookmarkStart w:id="413" w:name="_Toc514235433"/>
      <w:bookmarkStart w:id="414" w:name="_Toc514235551"/>
      <w:bookmarkStart w:id="415" w:name="_Toc514235669"/>
      <w:bookmarkStart w:id="416" w:name="_Toc514234447"/>
      <w:bookmarkStart w:id="417" w:name="_Toc514234695"/>
      <w:bookmarkStart w:id="418" w:name="_Toc514234942"/>
      <w:bookmarkStart w:id="419" w:name="_Toc514235067"/>
      <w:bookmarkStart w:id="420" w:name="_Toc514235191"/>
      <w:bookmarkStart w:id="421" w:name="_Toc514235314"/>
      <w:bookmarkStart w:id="422" w:name="_Toc514235434"/>
      <w:bookmarkStart w:id="423" w:name="_Toc514235552"/>
      <w:bookmarkStart w:id="424" w:name="_Toc514235670"/>
      <w:bookmarkStart w:id="425" w:name="_Toc514234448"/>
      <w:bookmarkStart w:id="426" w:name="_Toc514234696"/>
      <w:bookmarkStart w:id="427" w:name="_Toc514234943"/>
      <w:bookmarkStart w:id="428" w:name="_Toc514235068"/>
      <w:bookmarkStart w:id="429" w:name="_Toc514235192"/>
      <w:bookmarkStart w:id="430" w:name="_Toc514235315"/>
      <w:bookmarkStart w:id="431" w:name="_Toc514235435"/>
      <w:bookmarkStart w:id="432" w:name="_Toc514235553"/>
      <w:bookmarkStart w:id="433" w:name="_Toc514235671"/>
      <w:bookmarkStart w:id="434" w:name="_Toc514234449"/>
      <w:bookmarkStart w:id="435" w:name="_Toc514234697"/>
      <w:bookmarkStart w:id="436" w:name="_Toc514234944"/>
      <w:bookmarkStart w:id="437" w:name="_Toc514235069"/>
      <w:bookmarkStart w:id="438" w:name="_Toc514235193"/>
      <w:bookmarkStart w:id="439" w:name="_Toc514235316"/>
      <w:bookmarkStart w:id="440" w:name="_Toc514235436"/>
      <w:bookmarkStart w:id="441" w:name="_Toc514235554"/>
      <w:bookmarkStart w:id="442" w:name="_Toc514235672"/>
      <w:bookmarkStart w:id="443" w:name="_Toc514234450"/>
      <w:bookmarkStart w:id="444" w:name="_Toc514234698"/>
      <w:bookmarkStart w:id="445" w:name="_Toc514234945"/>
      <w:bookmarkStart w:id="446" w:name="_Toc514235070"/>
      <w:bookmarkStart w:id="447" w:name="_Toc514235194"/>
      <w:bookmarkStart w:id="448" w:name="_Toc514235317"/>
      <w:bookmarkStart w:id="449" w:name="_Toc514235437"/>
      <w:bookmarkStart w:id="450" w:name="_Toc514235555"/>
      <w:bookmarkStart w:id="451" w:name="_Toc514235673"/>
      <w:bookmarkStart w:id="452" w:name="_Toc514234451"/>
      <w:bookmarkStart w:id="453" w:name="_Toc514234699"/>
      <w:bookmarkStart w:id="454" w:name="_Toc514234946"/>
      <w:bookmarkStart w:id="455" w:name="_Toc514235071"/>
      <w:bookmarkStart w:id="456" w:name="_Toc514235195"/>
      <w:bookmarkStart w:id="457" w:name="_Toc514235318"/>
      <w:bookmarkStart w:id="458" w:name="_Toc514235438"/>
      <w:bookmarkStart w:id="459" w:name="_Toc514235556"/>
      <w:bookmarkStart w:id="460" w:name="_Toc514235674"/>
      <w:bookmarkStart w:id="461" w:name="_Toc514234452"/>
      <w:bookmarkStart w:id="462" w:name="_Toc514234700"/>
      <w:bookmarkStart w:id="463" w:name="_Toc514234947"/>
      <w:bookmarkStart w:id="464" w:name="_Toc514235072"/>
      <w:bookmarkStart w:id="465" w:name="_Toc514235196"/>
      <w:bookmarkStart w:id="466" w:name="_Toc514235319"/>
      <w:bookmarkStart w:id="467" w:name="_Toc514235439"/>
      <w:bookmarkStart w:id="468" w:name="_Toc514235557"/>
      <w:bookmarkStart w:id="469" w:name="_Toc514235675"/>
      <w:bookmarkStart w:id="470" w:name="_Toc514234453"/>
      <w:bookmarkStart w:id="471" w:name="_Toc514234701"/>
      <w:bookmarkStart w:id="472" w:name="_Toc514234948"/>
      <w:bookmarkStart w:id="473" w:name="_Toc514235073"/>
      <w:bookmarkStart w:id="474" w:name="_Toc514235197"/>
      <w:bookmarkStart w:id="475" w:name="_Toc514235320"/>
      <w:bookmarkStart w:id="476" w:name="_Toc514235440"/>
      <w:bookmarkStart w:id="477" w:name="_Toc514235558"/>
      <w:bookmarkStart w:id="478" w:name="_Toc514235676"/>
      <w:bookmarkStart w:id="479" w:name="_Toc514234454"/>
      <w:bookmarkStart w:id="480" w:name="_Toc514234702"/>
      <w:bookmarkStart w:id="481" w:name="_Toc514234949"/>
      <w:bookmarkStart w:id="482" w:name="_Toc514235074"/>
      <w:bookmarkStart w:id="483" w:name="_Toc514235198"/>
      <w:bookmarkStart w:id="484" w:name="_Toc514235321"/>
      <w:bookmarkStart w:id="485" w:name="_Toc514235441"/>
      <w:bookmarkStart w:id="486" w:name="_Toc514235559"/>
      <w:bookmarkStart w:id="487" w:name="_Toc514235677"/>
      <w:bookmarkStart w:id="488" w:name="_Toc514234455"/>
      <w:bookmarkStart w:id="489" w:name="_Toc514234703"/>
      <w:bookmarkStart w:id="490" w:name="_Toc514234950"/>
      <w:bookmarkStart w:id="491" w:name="_Toc514235075"/>
      <w:bookmarkStart w:id="492" w:name="_Toc514235199"/>
      <w:bookmarkStart w:id="493" w:name="_Toc514235322"/>
      <w:bookmarkStart w:id="494" w:name="_Toc514235442"/>
      <w:bookmarkStart w:id="495" w:name="_Toc514235560"/>
      <w:bookmarkStart w:id="496" w:name="_Toc514235678"/>
      <w:bookmarkStart w:id="497" w:name="_Toc514234456"/>
      <w:bookmarkStart w:id="498" w:name="_Toc514234704"/>
      <w:bookmarkStart w:id="499" w:name="_Toc514234951"/>
      <w:bookmarkStart w:id="500" w:name="_Toc514235076"/>
      <w:bookmarkStart w:id="501" w:name="_Toc514235200"/>
      <w:bookmarkStart w:id="502" w:name="_Toc514235323"/>
      <w:bookmarkStart w:id="503" w:name="_Toc514235443"/>
      <w:bookmarkStart w:id="504" w:name="_Toc514235561"/>
      <w:bookmarkStart w:id="505" w:name="_Toc514235679"/>
      <w:bookmarkStart w:id="506" w:name="_Toc514234457"/>
      <w:bookmarkStart w:id="507" w:name="_Toc514234705"/>
      <w:bookmarkStart w:id="508" w:name="_Toc514234952"/>
      <w:bookmarkStart w:id="509" w:name="_Toc514235077"/>
      <w:bookmarkStart w:id="510" w:name="_Toc514235201"/>
      <w:bookmarkStart w:id="511" w:name="_Toc514235324"/>
      <w:bookmarkStart w:id="512" w:name="_Toc514235444"/>
      <w:bookmarkStart w:id="513" w:name="_Toc514235562"/>
      <w:bookmarkStart w:id="514" w:name="_Toc514235680"/>
      <w:bookmarkStart w:id="515" w:name="_Toc514234458"/>
      <w:bookmarkStart w:id="516" w:name="_Toc514234706"/>
      <w:bookmarkStart w:id="517" w:name="_Toc514234953"/>
      <w:bookmarkStart w:id="518" w:name="_Toc514235078"/>
      <w:bookmarkStart w:id="519" w:name="_Toc514235202"/>
      <w:bookmarkStart w:id="520" w:name="_Toc514235325"/>
      <w:bookmarkStart w:id="521" w:name="_Toc514235445"/>
      <w:bookmarkStart w:id="522" w:name="_Toc514235563"/>
      <w:bookmarkStart w:id="523" w:name="_Toc514235681"/>
      <w:bookmarkStart w:id="524" w:name="_Toc514234459"/>
      <w:bookmarkStart w:id="525" w:name="_Toc514234707"/>
      <w:bookmarkStart w:id="526" w:name="_Toc514234954"/>
      <w:bookmarkStart w:id="527" w:name="_Toc514235079"/>
      <w:bookmarkStart w:id="528" w:name="_Toc514235203"/>
      <w:bookmarkStart w:id="529" w:name="_Toc514235326"/>
      <w:bookmarkStart w:id="530" w:name="_Toc514235446"/>
      <w:bookmarkStart w:id="531" w:name="_Toc514235564"/>
      <w:bookmarkStart w:id="532" w:name="_Toc514235682"/>
      <w:bookmarkStart w:id="533" w:name="_Toc514234460"/>
      <w:bookmarkStart w:id="534" w:name="_Toc514234708"/>
      <w:bookmarkStart w:id="535" w:name="_Toc514234955"/>
      <w:bookmarkStart w:id="536" w:name="_Toc514235080"/>
      <w:bookmarkStart w:id="537" w:name="_Toc514235204"/>
      <w:bookmarkStart w:id="538" w:name="_Toc514235327"/>
      <w:bookmarkStart w:id="539" w:name="_Toc514235447"/>
      <w:bookmarkStart w:id="540" w:name="_Toc514235565"/>
      <w:bookmarkStart w:id="541" w:name="_Toc514235683"/>
      <w:bookmarkStart w:id="542" w:name="_Toc514234461"/>
      <w:bookmarkStart w:id="543" w:name="_Toc514234709"/>
      <w:bookmarkStart w:id="544" w:name="_Toc514234956"/>
      <w:bookmarkStart w:id="545" w:name="_Toc514235081"/>
      <w:bookmarkStart w:id="546" w:name="_Toc514235205"/>
      <w:bookmarkStart w:id="547" w:name="_Toc514235328"/>
      <w:bookmarkStart w:id="548" w:name="_Toc514235448"/>
      <w:bookmarkStart w:id="549" w:name="_Toc514235566"/>
      <w:bookmarkStart w:id="550" w:name="_Toc514235684"/>
      <w:bookmarkStart w:id="551" w:name="_Toc514234462"/>
      <w:bookmarkStart w:id="552" w:name="_Toc514234710"/>
      <w:bookmarkStart w:id="553" w:name="_Toc514234957"/>
      <w:bookmarkStart w:id="554" w:name="_Toc514235082"/>
      <w:bookmarkStart w:id="555" w:name="_Toc514235206"/>
      <w:bookmarkStart w:id="556" w:name="_Toc514235329"/>
      <w:bookmarkStart w:id="557" w:name="_Toc514235449"/>
      <w:bookmarkStart w:id="558" w:name="_Toc514235567"/>
      <w:bookmarkStart w:id="559" w:name="_Toc514235685"/>
      <w:bookmarkStart w:id="560" w:name="_Toc514234463"/>
      <w:bookmarkStart w:id="561" w:name="_Toc514234711"/>
      <w:bookmarkStart w:id="562" w:name="_Toc514234958"/>
      <w:bookmarkStart w:id="563" w:name="_Toc514235083"/>
      <w:bookmarkStart w:id="564" w:name="_Toc514235207"/>
      <w:bookmarkStart w:id="565" w:name="_Toc514235330"/>
      <w:bookmarkStart w:id="566" w:name="_Toc514235450"/>
      <w:bookmarkStart w:id="567" w:name="_Toc514235568"/>
      <w:bookmarkStart w:id="568" w:name="_Toc514235686"/>
      <w:bookmarkStart w:id="569" w:name="_Toc514234464"/>
      <w:bookmarkStart w:id="570" w:name="_Toc514234712"/>
      <w:bookmarkStart w:id="571" w:name="_Toc514234959"/>
      <w:bookmarkStart w:id="572" w:name="_Toc514235084"/>
      <w:bookmarkStart w:id="573" w:name="_Toc514235208"/>
      <w:bookmarkStart w:id="574" w:name="_Toc514235331"/>
      <w:bookmarkStart w:id="575" w:name="_Toc514235451"/>
      <w:bookmarkStart w:id="576" w:name="_Toc514235569"/>
      <w:bookmarkStart w:id="577" w:name="_Toc514235687"/>
      <w:bookmarkStart w:id="578" w:name="_Toc514234465"/>
      <w:bookmarkStart w:id="579" w:name="_Toc514234713"/>
      <w:bookmarkStart w:id="580" w:name="_Toc514234960"/>
      <w:bookmarkStart w:id="581" w:name="_Toc514235085"/>
      <w:bookmarkStart w:id="582" w:name="_Toc514235209"/>
      <w:bookmarkStart w:id="583" w:name="_Toc514235332"/>
      <w:bookmarkStart w:id="584" w:name="_Toc514235452"/>
      <w:bookmarkStart w:id="585" w:name="_Toc514235570"/>
      <w:bookmarkStart w:id="586" w:name="_Toc514235688"/>
      <w:bookmarkStart w:id="587" w:name="_Toc514234466"/>
      <w:bookmarkStart w:id="588" w:name="_Toc514234714"/>
      <w:bookmarkStart w:id="589" w:name="_Toc514234961"/>
      <w:bookmarkStart w:id="590" w:name="_Toc514235086"/>
      <w:bookmarkStart w:id="591" w:name="_Toc514235210"/>
      <w:bookmarkStart w:id="592" w:name="_Toc514235333"/>
      <w:bookmarkStart w:id="593" w:name="_Toc514235453"/>
      <w:bookmarkStart w:id="594" w:name="_Toc514235571"/>
      <w:bookmarkStart w:id="595" w:name="_Toc514235689"/>
      <w:bookmarkStart w:id="596" w:name="_Toc514234467"/>
      <w:bookmarkStart w:id="597" w:name="_Toc514234715"/>
      <w:bookmarkStart w:id="598" w:name="_Toc514234962"/>
      <w:bookmarkStart w:id="599" w:name="_Toc514235087"/>
      <w:bookmarkStart w:id="600" w:name="_Toc514235211"/>
      <w:bookmarkStart w:id="601" w:name="_Toc514235334"/>
      <w:bookmarkStart w:id="602" w:name="_Toc514235454"/>
      <w:bookmarkStart w:id="603" w:name="_Toc514235572"/>
      <w:bookmarkStart w:id="604" w:name="_Toc514235690"/>
      <w:bookmarkStart w:id="605" w:name="_Toc514234468"/>
      <w:bookmarkStart w:id="606" w:name="_Toc514234716"/>
      <w:bookmarkStart w:id="607" w:name="_Toc514234963"/>
      <w:bookmarkStart w:id="608" w:name="_Toc514235088"/>
      <w:bookmarkStart w:id="609" w:name="_Toc514235212"/>
      <w:bookmarkStart w:id="610" w:name="_Toc514235335"/>
      <w:bookmarkStart w:id="611" w:name="_Toc514235455"/>
      <w:bookmarkStart w:id="612" w:name="_Toc514235573"/>
      <w:bookmarkStart w:id="613" w:name="_Toc514235691"/>
      <w:bookmarkStart w:id="614" w:name="_Toc514234469"/>
      <w:bookmarkStart w:id="615" w:name="_Toc514234717"/>
      <w:bookmarkStart w:id="616" w:name="_Toc514234964"/>
      <w:bookmarkStart w:id="617" w:name="_Toc514235089"/>
      <w:bookmarkStart w:id="618" w:name="_Toc514235213"/>
      <w:bookmarkStart w:id="619" w:name="_Toc514235336"/>
      <w:bookmarkStart w:id="620" w:name="_Toc514235456"/>
      <w:bookmarkStart w:id="621" w:name="_Toc514235574"/>
      <w:bookmarkStart w:id="622" w:name="_Toc514235692"/>
      <w:bookmarkStart w:id="623" w:name="_Toc514234470"/>
      <w:bookmarkStart w:id="624" w:name="_Toc514234718"/>
      <w:bookmarkStart w:id="625" w:name="_Toc514234965"/>
      <w:bookmarkStart w:id="626" w:name="_Toc514235090"/>
      <w:bookmarkStart w:id="627" w:name="_Toc514235214"/>
      <w:bookmarkStart w:id="628" w:name="_Toc514235337"/>
      <w:bookmarkStart w:id="629" w:name="_Toc514235457"/>
      <w:bookmarkStart w:id="630" w:name="_Toc514235575"/>
      <w:bookmarkStart w:id="631" w:name="_Toc514235693"/>
      <w:bookmarkStart w:id="632" w:name="_Toc514234471"/>
      <w:bookmarkStart w:id="633" w:name="_Toc514234719"/>
      <w:bookmarkStart w:id="634" w:name="_Toc514234966"/>
      <w:bookmarkStart w:id="635" w:name="_Toc514235091"/>
      <w:bookmarkStart w:id="636" w:name="_Toc514235215"/>
      <w:bookmarkStart w:id="637" w:name="_Toc514235338"/>
      <w:bookmarkStart w:id="638" w:name="_Toc514235458"/>
      <w:bookmarkStart w:id="639" w:name="_Toc514235576"/>
      <w:bookmarkStart w:id="640" w:name="_Toc514235694"/>
      <w:bookmarkStart w:id="641" w:name="_Toc514234472"/>
      <w:bookmarkStart w:id="642" w:name="_Toc514234720"/>
      <w:bookmarkStart w:id="643" w:name="_Toc514234967"/>
      <w:bookmarkStart w:id="644" w:name="_Toc514235092"/>
      <w:bookmarkStart w:id="645" w:name="_Toc514235216"/>
      <w:bookmarkStart w:id="646" w:name="_Toc514235339"/>
      <w:bookmarkStart w:id="647" w:name="_Toc514235459"/>
      <w:bookmarkStart w:id="648" w:name="_Toc514235577"/>
      <w:bookmarkStart w:id="649" w:name="_Toc514235695"/>
      <w:bookmarkStart w:id="650" w:name="_Toc514234473"/>
      <w:bookmarkStart w:id="651" w:name="_Toc514234721"/>
      <w:bookmarkStart w:id="652" w:name="_Toc514234968"/>
      <w:bookmarkStart w:id="653" w:name="_Toc514235093"/>
      <w:bookmarkStart w:id="654" w:name="_Toc514235217"/>
      <w:bookmarkStart w:id="655" w:name="_Toc514235340"/>
      <w:bookmarkStart w:id="656" w:name="_Toc514235460"/>
      <w:bookmarkStart w:id="657" w:name="_Toc514235578"/>
      <w:bookmarkStart w:id="658" w:name="_Toc514235696"/>
      <w:bookmarkStart w:id="659" w:name="_Toc514234474"/>
      <w:bookmarkStart w:id="660" w:name="_Toc514234722"/>
      <w:bookmarkStart w:id="661" w:name="_Toc514234969"/>
      <w:bookmarkStart w:id="662" w:name="_Toc514235094"/>
      <w:bookmarkStart w:id="663" w:name="_Toc514235218"/>
      <w:bookmarkStart w:id="664" w:name="_Toc514235341"/>
      <w:bookmarkStart w:id="665" w:name="_Toc514235461"/>
      <w:bookmarkStart w:id="666" w:name="_Toc514235579"/>
      <w:bookmarkStart w:id="667" w:name="_Toc514235697"/>
      <w:bookmarkStart w:id="668" w:name="_Toc514234475"/>
      <w:bookmarkStart w:id="669" w:name="_Toc514234723"/>
      <w:bookmarkStart w:id="670" w:name="_Toc514234970"/>
      <w:bookmarkStart w:id="671" w:name="_Toc514235095"/>
      <w:bookmarkStart w:id="672" w:name="_Toc514235219"/>
      <w:bookmarkStart w:id="673" w:name="_Toc514235342"/>
      <w:bookmarkStart w:id="674" w:name="_Toc514235462"/>
      <w:bookmarkStart w:id="675" w:name="_Toc514235580"/>
      <w:bookmarkStart w:id="676" w:name="_Toc514235698"/>
      <w:bookmarkStart w:id="677" w:name="_Toc514234476"/>
      <w:bookmarkStart w:id="678" w:name="_Toc514234724"/>
      <w:bookmarkStart w:id="679" w:name="_Toc514234971"/>
      <w:bookmarkStart w:id="680" w:name="_Toc514235096"/>
      <w:bookmarkStart w:id="681" w:name="_Toc514235220"/>
      <w:bookmarkStart w:id="682" w:name="_Toc514235343"/>
      <w:bookmarkStart w:id="683" w:name="_Toc514235463"/>
      <w:bookmarkStart w:id="684" w:name="_Toc514235581"/>
      <w:bookmarkStart w:id="685" w:name="_Toc514235699"/>
      <w:bookmarkStart w:id="686" w:name="_Toc514234477"/>
      <w:bookmarkStart w:id="687" w:name="_Toc514234725"/>
      <w:bookmarkStart w:id="688" w:name="_Toc514234972"/>
      <w:bookmarkStart w:id="689" w:name="_Toc514235097"/>
      <w:bookmarkStart w:id="690" w:name="_Toc514235221"/>
      <w:bookmarkStart w:id="691" w:name="_Toc514235344"/>
      <w:bookmarkStart w:id="692" w:name="_Toc514235464"/>
      <w:bookmarkStart w:id="693" w:name="_Toc514235582"/>
      <w:bookmarkStart w:id="694" w:name="_Toc514235700"/>
      <w:bookmarkStart w:id="695" w:name="_Toc514234478"/>
      <w:bookmarkStart w:id="696" w:name="_Toc514234726"/>
      <w:bookmarkStart w:id="697" w:name="_Toc514234973"/>
      <w:bookmarkStart w:id="698" w:name="_Toc514235098"/>
      <w:bookmarkStart w:id="699" w:name="_Toc514235222"/>
      <w:bookmarkStart w:id="700" w:name="_Toc514235345"/>
      <w:bookmarkStart w:id="701" w:name="_Toc514235465"/>
      <w:bookmarkStart w:id="702" w:name="_Toc514235583"/>
      <w:bookmarkStart w:id="703" w:name="_Toc514235701"/>
      <w:bookmarkStart w:id="704" w:name="_Toc514234479"/>
      <w:bookmarkStart w:id="705" w:name="_Toc514234727"/>
      <w:bookmarkStart w:id="706" w:name="_Toc514234974"/>
      <w:bookmarkStart w:id="707" w:name="_Toc514235099"/>
      <w:bookmarkStart w:id="708" w:name="_Toc514235223"/>
      <w:bookmarkStart w:id="709" w:name="_Toc514235346"/>
      <w:bookmarkStart w:id="710" w:name="_Toc514235466"/>
      <w:bookmarkStart w:id="711" w:name="_Toc514235584"/>
      <w:bookmarkStart w:id="712" w:name="_Toc514235702"/>
      <w:bookmarkStart w:id="713" w:name="_Toc514234480"/>
      <w:bookmarkStart w:id="714" w:name="_Toc514234728"/>
      <w:bookmarkStart w:id="715" w:name="_Toc514234975"/>
      <w:bookmarkStart w:id="716" w:name="_Toc514235100"/>
      <w:bookmarkStart w:id="717" w:name="_Toc514235224"/>
      <w:bookmarkStart w:id="718" w:name="_Toc514235347"/>
      <w:bookmarkStart w:id="719" w:name="_Toc514235467"/>
      <w:bookmarkStart w:id="720" w:name="_Toc514235585"/>
      <w:bookmarkStart w:id="721" w:name="_Toc514235703"/>
      <w:bookmarkStart w:id="722" w:name="_Toc514234481"/>
      <w:bookmarkStart w:id="723" w:name="_Toc514234729"/>
      <w:bookmarkStart w:id="724" w:name="_Toc514234976"/>
      <w:bookmarkStart w:id="725" w:name="_Toc514235101"/>
      <w:bookmarkStart w:id="726" w:name="_Toc514235225"/>
      <w:bookmarkStart w:id="727" w:name="_Toc514235348"/>
      <w:bookmarkStart w:id="728" w:name="_Toc514235468"/>
      <w:bookmarkStart w:id="729" w:name="_Toc514235586"/>
      <w:bookmarkStart w:id="730" w:name="_Toc514235704"/>
      <w:bookmarkStart w:id="731" w:name="_Toc514234482"/>
      <w:bookmarkStart w:id="732" w:name="_Toc514234730"/>
      <w:bookmarkStart w:id="733" w:name="_Toc514234977"/>
      <w:bookmarkStart w:id="734" w:name="_Toc514235102"/>
      <w:bookmarkStart w:id="735" w:name="_Toc514235226"/>
      <w:bookmarkStart w:id="736" w:name="_Toc514235349"/>
      <w:bookmarkStart w:id="737" w:name="_Toc514235469"/>
      <w:bookmarkStart w:id="738" w:name="_Toc514235587"/>
      <w:bookmarkStart w:id="739" w:name="_Toc514235705"/>
      <w:bookmarkStart w:id="740" w:name="_Toc514234483"/>
      <w:bookmarkStart w:id="741" w:name="_Toc514234731"/>
      <w:bookmarkStart w:id="742" w:name="_Toc514234978"/>
      <w:bookmarkStart w:id="743" w:name="_Toc514235103"/>
      <w:bookmarkStart w:id="744" w:name="_Toc514235227"/>
      <w:bookmarkStart w:id="745" w:name="_Toc514235350"/>
      <w:bookmarkStart w:id="746" w:name="_Toc514235470"/>
      <w:bookmarkStart w:id="747" w:name="_Toc514235588"/>
      <w:bookmarkStart w:id="748" w:name="_Toc514235706"/>
      <w:bookmarkStart w:id="749" w:name="_Toc514234484"/>
      <w:bookmarkStart w:id="750" w:name="_Toc514234732"/>
      <w:bookmarkStart w:id="751" w:name="_Toc514234979"/>
      <w:bookmarkStart w:id="752" w:name="_Toc514235104"/>
      <w:bookmarkStart w:id="753" w:name="_Toc514235228"/>
      <w:bookmarkStart w:id="754" w:name="_Toc514235351"/>
      <w:bookmarkStart w:id="755" w:name="_Toc514235471"/>
      <w:bookmarkStart w:id="756" w:name="_Toc514235589"/>
      <w:bookmarkStart w:id="757" w:name="_Toc514235707"/>
      <w:bookmarkStart w:id="758" w:name="_Toc514234485"/>
      <w:bookmarkStart w:id="759" w:name="_Toc514234733"/>
      <w:bookmarkStart w:id="760" w:name="_Toc514234980"/>
      <w:bookmarkStart w:id="761" w:name="_Toc514235105"/>
      <w:bookmarkStart w:id="762" w:name="_Toc514235229"/>
      <w:bookmarkStart w:id="763" w:name="_Toc514235352"/>
      <w:bookmarkStart w:id="764" w:name="_Toc514235472"/>
      <w:bookmarkStart w:id="765" w:name="_Toc514235590"/>
      <w:bookmarkStart w:id="766" w:name="_Toc514235708"/>
      <w:bookmarkStart w:id="767" w:name="_Toc514234486"/>
      <w:bookmarkStart w:id="768" w:name="_Toc514234734"/>
      <w:bookmarkStart w:id="769" w:name="_Toc514234981"/>
      <w:bookmarkStart w:id="770" w:name="_Toc514235106"/>
      <w:bookmarkStart w:id="771" w:name="_Toc514235230"/>
      <w:bookmarkStart w:id="772" w:name="_Toc514235353"/>
      <w:bookmarkStart w:id="773" w:name="_Toc514235473"/>
      <w:bookmarkStart w:id="774" w:name="_Toc514235591"/>
      <w:bookmarkStart w:id="775" w:name="_Toc514235709"/>
      <w:bookmarkStart w:id="776" w:name="_Toc514234487"/>
      <w:bookmarkStart w:id="777" w:name="_Toc514234735"/>
      <w:bookmarkStart w:id="778" w:name="_Toc514234982"/>
      <w:bookmarkStart w:id="779" w:name="_Toc514235107"/>
      <w:bookmarkStart w:id="780" w:name="_Toc514235231"/>
      <w:bookmarkStart w:id="781" w:name="_Toc514235354"/>
      <w:bookmarkStart w:id="782" w:name="_Toc514235474"/>
      <w:bookmarkStart w:id="783" w:name="_Toc514235592"/>
      <w:bookmarkStart w:id="784" w:name="_Toc514235710"/>
      <w:bookmarkStart w:id="785" w:name="_Toc514234488"/>
      <w:bookmarkStart w:id="786" w:name="_Toc514234736"/>
      <w:bookmarkStart w:id="787" w:name="_Toc514234983"/>
      <w:bookmarkStart w:id="788" w:name="_Toc514235108"/>
      <w:bookmarkStart w:id="789" w:name="_Toc514235232"/>
      <w:bookmarkStart w:id="790" w:name="_Toc514235355"/>
      <w:bookmarkStart w:id="791" w:name="_Toc514235475"/>
      <w:bookmarkStart w:id="792" w:name="_Toc514235593"/>
      <w:bookmarkStart w:id="793" w:name="_Toc514235711"/>
      <w:bookmarkStart w:id="794" w:name="_Toc514234489"/>
      <w:bookmarkStart w:id="795" w:name="_Toc514234737"/>
      <w:bookmarkStart w:id="796" w:name="_Toc514234984"/>
      <w:bookmarkStart w:id="797" w:name="_Toc514235109"/>
      <w:bookmarkStart w:id="798" w:name="_Toc514235233"/>
      <w:bookmarkStart w:id="799" w:name="_Toc514235356"/>
      <w:bookmarkStart w:id="800" w:name="_Toc514235476"/>
      <w:bookmarkStart w:id="801" w:name="_Toc514235594"/>
      <w:bookmarkStart w:id="802" w:name="_Toc514235712"/>
      <w:bookmarkStart w:id="803" w:name="_Toc514234490"/>
      <w:bookmarkStart w:id="804" w:name="_Toc514234738"/>
      <w:bookmarkStart w:id="805" w:name="_Toc514234985"/>
      <w:bookmarkStart w:id="806" w:name="_Toc514235110"/>
      <w:bookmarkStart w:id="807" w:name="_Toc514235234"/>
      <w:bookmarkStart w:id="808" w:name="_Toc514235357"/>
      <w:bookmarkStart w:id="809" w:name="_Toc514235477"/>
      <w:bookmarkStart w:id="810" w:name="_Toc514235595"/>
      <w:bookmarkStart w:id="811" w:name="_Toc514235713"/>
      <w:bookmarkStart w:id="812" w:name="_Toc514234491"/>
      <w:bookmarkStart w:id="813" w:name="_Toc514234739"/>
      <w:bookmarkStart w:id="814" w:name="_Toc514234986"/>
      <w:bookmarkStart w:id="815" w:name="_Toc514235111"/>
      <w:bookmarkStart w:id="816" w:name="_Toc514235235"/>
      <w:bookmarkStart w:id="817" w:name="_Toc514235358"/>
      <w:bookmarkStart w:id="818" w:name="_Toc514235478"/>
      <w:bookmarkStart w:id="819" w:name="_Toc514235596"/>
      <w:bookmarkStart w:id="820" w:name="_Toc514235714"/>
      <w:bookmarkStart w:id="821" w:name="_Toc514234492"/>
      <w:bookmarkStart w:id="822" w:name="_Toc514234740"/>
      <w:bookmarkStart w:id="823" w:name="_Toc514234987"/>
      <w:bookmarkStart w:id="824" w:name="_Toc514235112"/>
      <w:bookmarkStart w:id="825" w:name="_Toc514235236"/>
      <w:bookmarkStart w:id="826" w:name="_Toc514235359"/>
      <w:bookmarkStart w:id="827" w:name="_Toc514235479"/>
      <w:bookmarkStart w:id="828" w:name="_Toc514235597"/>
      <w:bookmarkStart w:id="829" w:name="_Toc514235715"/>
      <w:bookmarkStart w:id="830" w:name="_Toc514234507"/>
      <w:bookmarkStart w:id="831" w:name="_Toc514234754"/>
      <w:bookmarkStart w:id="832" w:name="_Toc514235001"/>
      <w:bookmarkStart w:id="833" w:name="_Toc514235125"/>
      <w:bookmarkStart w:id="834" w:name="_Toc514235248"/>
      <w:bookmarkStart w:id="835" w:name="_Toc514235368"/>
      <w:bookmarkStart w:id="836" w:name="_Toc514235486"/>
      <w:bookmarkStart w:id="837" w:name="_Toc514235604"/>
      <w:bookmarkStart w:id="838" w:name="_Toc514235720"/>
      <w:bookmarkStart w:id="839" w:name="_Toc514234508"/>
      <w:bookmarkStart w:id="840" w:name="_Toc514234755"/>
      <w:bookmarkStart w:id="841" w:name="_Toc514235002"/>
      <w:bookmarkStart w:id="842" w:name="_Toc514235126"/>
      <w:bookmarkStart w:id="843" w:name="_Toc514235249"/>
      <w:bookmarkStart w:id="844" w:name="_Toc514235369"/>
      <w:bookmarkStart w:id="845" w:name="_Toc514235487"/>
      <w:bookmarkStart w:id="846" w:name="_Toc514235605"/>
      <w:bookmarkStart w:id="847" w:name="_Toc514235721"/>
      <w:bookmarkStart w:id="848" w:name="_Toc514234509"/>
      <w:bookmarkStart w:id="849" w:name="_Toc514234756"/>
      <w:bookmarkStart w:id="850" w:name="_Toc514235003"/>
      <w:bookmarkStart w:id="851" w:name="_Toc514235127"/>
      <w:bookmarkStart w:id="852" w:name="_Toc514235250"/>
      <w:bookmarkStart w:id="853" w:name="_Toc514235370"/>
      <w:bookmarkStart w:id="854" w:name="_Toc514235488"/>
      <w:bookmarkStart w:id="855" w:name="_Toc514235606"/>
      <w:bookmarkStart w:id="856" w:name="_Toc514235722"/>
      <w:bookmarkStart w:id="857" w:name="_Toc514234510"/>
      <w:bookmarkStart w:id="858" w:name="_Toc514234757"/>
      <w:bookmarkStart w:id="859" w:name="_Toc514235004"/>
      <w:bookmarkStart w:id="860" w:name="_Toc514235128"/>
      <w:bookmarkStart w:id="861" w:name="_Toc514235251"/>
      <w:bookmarkStart w:id="862" w:name="_Toc514235371"/>
      <w:bookmarkStart w:id="863" w:name="_Toc514235489"/>
      <w:bookmarkStart w:id="864" w:name="_Toc514235607"/>
      <w:bookmarkStart w:id="865" w:name="_Toc514235723"/>
      <w:bookmarkStart w:id="866" w:name="_Toc514234511"/>
      <w:bookmarkStart w:id="867" w:name="_Toc514234758"/>
      <w:bookmarkStart w:id="868" w:name="_Toc514235005"/>
      <w:bookmarkStart w:id="869" w:name="_Toc514235129"/>
      <w:bookmarkStart w:id="870" w:name="_Toc514235252"/>
      <w:bookmarkStart w:id="871" w:name="_Toc514235372"/>
      <w:bookmarkStart w:id="872" w:name="_Toc514235490"/>
      <w:bookmarkStart w:id="873" w:name="_Toc514235608"/>
      <w:bookmarkStart w:id="874" w:name="_Toc514235724"/>
      <w:bookmarkStart w:id="875" w:name="_Toc514234512"/>
      <w:bookmarkStart w:id="876" w:name="_Toc514234759"/>
      <w:bookmarkStart w:id="877" w:name="_Toc514235006"/>
      <w:bookmarkStart w:id="878" w:name="_Toc514235130"/>
      <w:bookmarkStart w:id="879" w:name="_Toc514235253"/>
      <w:bookmarkStart w:id="880" w:name="_Toc514235373"/>
      <w:bookmarkStart w:id="881" w:name="_Toc514235491"/>
      <w:bookmarkStart w:id="882" w:name="_Toc514235609"/>
      <w:bookmarkStart w:id="883" w:name="_Toc514235725"/>
      <w:bookmarkStart w:id="884" w:name="_Toc514234513"/>
      <w:bookmarkStart w:id="885" w:name="_Toc514234760"/>
      <w:bookmarkStart w:id="886" w:name="_Toc514235007"/>
      <w:bookmarkStart w:id="887" w:name="_Toc514235131"/>
      <w:bookmarkStart w:id="888" w:name="_Toc514235254"/>
      <w:bookmarkStart w:id="889" w:name="_Toc514235374"/>
      <w:bookmarkStart w:id="890" w:name="_Toc514235492"/>
      <w:bookmarkStart w:id="891" w:name="_Toc514235610"/>
      <w:bookmarkStart w:id="892" w:name="_Toc514235726"/>
      <w:bookmarkStart w:id="893" w:name="_Toc514234514"/>
      <w:bookmarkStart w:id="894" w:name="_Toc514234761"/>
      <w:bookmarkStart w:id="895" w:name="_Toc514235008"/>
      <w:bookmarkStart w:id="896" w:name="_Toc514235132"/>
      <w:bookmarkStart w:id="897" w:name="_Toc514235255"/>
      <w:bookmarkStart w:id="898" w:name="_Toc514235375"/>
      <w:bookmarkStart w:id="899" w:name="_Toc514235493"/>
      <w:bookmarkStart w:id="900" w:name="_Toc514235611"/>
      <w:bookmarkStart w:id="901" w:name="_Toc514235727"/>
      <w:bookmarkStart w:id="902" w:name="_Toc514234515"/>
      <w:bookmarkStart w:id="903" w:name="_Toc514234762"/>
      <w:bookmarkStart w:id="904" w:name="_Toc514235009"/>
      <w:bookmarkStart w:id="905" w:name="_Toc514235133"/>
      <w:bookmarkStart w:id="906" w:name="_Toc514235256"/>
      <w:bookmarkStart w:id="907" w:name="_Toc514235376"/>
      <w:bookmarkStart w:id="908" w:name="_Toc514235494"/>
      <w:bookmarkStart w:id="909" w:name="_Toc514235612"/>
      <w:bookmarkStart w:id="910" w:name="_Toc514235728"/>
      <w:bookmarkStart w:id="911" w:name="_Toc514234516"/>
      <w:bookmarkStart w:id="912" w:name="_Toc514234763"/>
      <w:bookmarkStart w:id="913" w:name="_Toc514235010"/>
      <w:bookmarkStart w:id="914" w:name="_Toc514235134"/>
      <w:bookmarkStart w:id="915" w:name="_Toc514235257"/>
      <w:bookmarkStart w:id="916" w:name="_Toc514235377"/>
      <w:bookmarkStart w:id="917" w:name="_Toc514235495"/>
      <w:bookmarkStart w:id="918" w:name="_Toc514235613"/>
      <w:bookmarkStart w:id="919" w:name="_Toc514235729"/>
      <w:bookmarkStart w:id="920" w:name="_Toc514234517"/>
      <w:bookmarkStart w:id="921" w:name="_Toc514234764"/>
      <w:bookmarkStart w:id="922" w:name="_Toc514235011"/>
      <w:bookmarkStart w:id="923" w:name="_Toc514235135"/>
      <w:bookmarkStart w:id="924" w:name="_Toc514235258"/>
      <w:bookmarkStart w:id="925" w:name="_Toc514235378"/>
      <w:bookmarkStart w:id="926" w:name="_Toc514235496"/>
      <w:bookmarkStart w:id="927" w:name="_Toc514235614"/>
      <w:bookmarkStart w:id="928" w:name="_Toc514235730"/>
      <w:bookmarkStart w:id="929" w:name="_Toc514234518"/>
      <w:bookmarkStart w:id="930" w:name="_Toc514234765"/>
      <w:bookmarkStart w:id="931" w:name="_Toc514235012"/>
      <w:bookmarkStart w:id="932" w:name="_Toc514235136"/>
      <w:bookmarkStart w:id="933" w:name="_Toc514235259"/>
      <w:bookmarkStart w:id="934" w:name="_Toc514235379"/>
      <w:bookmarkStart w:id="935" w:name="_Toc514235497"/>
      <w:bookmarkStart w:id="936" w:name="_Toc514235615"/>
      <w:bookmarkStart w:id="937" w:name="_Toc514235731"/>
      <w:bookmarkStart w:id="938" w:name="_Toc514234519"/>
      <w:bookmarkStart w:id="939" w:name="_Toc514234766"/>
      <w:bookmarkStart w:id="940" w:name="_Toc514235013"/>
      <w:bookmarkStart w:id="941" w:name="_Toc514235137"/>
      <w:bookmarkStart w:id="942" w:name="_Toc514235260"/>
      <w:bookmarkStart w:id="943" w:name="_Toc514235380"/>
      <w:bookmarkStart w:id="944" w:name="_Toc514235498"/>
      <w:bookmarkStart w:id="945" w:name="_Toc514235616"/>
      <w:bookmarkStart w:id="946" w:name="_Toc514235732"/>
      <w:bookmarkStart w:id="947" w:name="_Toc514234520"/>
      <w:bookmarkStart w:id="948" w:name="_Toc514234767"/>
      <w:bookmarkStart w:id="949" w:name="_Toc514235014"/>
      <w:bookmarkStart w:id="950" w:name="_Toc514235138"/>
      <w:bookmarkStart w:id="951" w:name="_Toc514235261"/>
      <w:bookmarkStart w:id="952" w:name="_Toc514235381"/>
      <w:bookmarkStart w:id="953" w:name="_Toc514235499"/>
      <w:bookmarkStart w:id="954" w:name="_Toc514235617"/>
      <w:bookmarkStart w:id="955" w:name="_Toc514235733"/>
      <w:bookmarkStart w:id="956" w:name="_Toc514234521"/>
      <w:bookmarkStart w:id="957" w:name="_Toc514234768"/>
      <w:bookmarkStart w:id="958" w:name="_Toc514235015"/>
      <w:bookmarkStart w:id="959" w:name="_Toc514235139"/>
      <w:bookmarkStart w:id="960" w:name="_Toc514235262"/>
      <w:bookmarkStart w:id="961" w:name="_Toc514235382"/>
      <w:bookmarkStart w:id="962" w:name="_Toc514235500"/>
      <w:bookmarkStart w:id="963" w:name="_Toc514235618"/>
      <w:bookmarkStart w:id="964" w:name="_Toc514235734"/>
      <w:bookmarkStart w:id="965" w:name="_Toc514234522"/>
      <w:bookmarkStart w:id="966" w:name="_Toc514234769"/>
      <w:bookmarkStart w:id="967" w:name="_Toc514235016"/>
      <w:bookmarkStart w:id="968" w:name="_Toc514235140"/>
      <w:bookmarkStart w:id="969" w:name="_Toc514235263"/>
      <w:bookmarkStart w:id="970" w:name="_Toc514235383"/>
      <w:bookmarkStart w:id="971" w:name="_Toc514235501"/>
      <w:bookmarkStart w:id="972" w:name="_Toc514235619"/>
      <w:bookmarkStart w:id="973" w:name="_Toc514235735"/>
      <w:bookmarkStart w:id="974" w:name="_Toc514234523"/>
      <w:bookmarkStart w:id="975" w:name="_Toc514234770"/>
      <w:bookmarkStart w:id="976" w:name="_Toc514235017"/>
      <w:bookmarkStart w:id="977" w:name="_Toc514235141"/>
      <w:bookmarkStart w:id="978" w:name="_Toc514235264"/>
      <w:bookmarkStart w:id="979" w:name="_Toc514235384"/>
      <w:bookmarkStart w:id="980" w:name="_Toc514235502"/>
      <w:bookmarkStart w:id="981" w:name="_Toc514235620"/>
      <w:bookmarkStart w:id="982" w:name="_Toc514235736"/>
      <w:bookmarkStart w:id="983" w:name="_Toc514234524"/>
      <w:bookmarkStart w:id="984" w:name="_Toc514234771"/>
      <w:bookmarkStart w:id="985" w:name="_Toc514235018"/>
      <w:bookmarkStart w:id="986" w:name="_Toc514235142"/>
      <w:bookmarkStart w:id="987" w:name="_Toc514235265"/>
      <w:bookmarkStart w:id="988" w:name="_Toc514235385"/>
      <w:bookmarkStart w:id="989" w:name="_Toc514235503"/>
      <w:bookmarkStart w:id="990" w:name="_Toc514235621"/>
      <w:bookmarkStart w:id="991" w:name="_Toc51423573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r>
        <w:rPr>
          <w:b/>
          <w:i/>
          <w:sz w:val="28"/>
          <w:szCs w:val="28"/>
        </w:rPr>
        <w:t>Den flerårige finansielle ramme efter 2020</w:t>
      </w:r>
    </w:p>
    <w:p w:rsidR="002337A6" w:rsidRPr="00FD1489" w:rsidRDefault="002337A6" w:rsidP="00252095">
      <w:pPr>
        <w:keepNext/>
        <w:overflowPunct w:val="0"/>
        <w:autoSpaceDE w:val="0"/>
        <w:autoSpaceDN w:val="0"/>
        <w:adjustRightInd w:val="0"/>
        <w:textAlignment w:val="baseline"/>
        <w:rPr>
          <w:b/>
          <w:i/>
        </w:rPr>
      </w:pPr>
    </w:p>
    <w:p w:rsidR="002337A6" w:rsidRDefault="002337A6" w:rsidP="00252095">
      <w:pPr>
        <w:keepNext/>
        <w:tabs>
          <w:tab w:val="center" w:pos="284"/>
        </w:tabs>
        <w:ind w:left="266" w:hanging="266"/>
      </w:pPr>
      <w:r>
        <w:rPr>
          <w:b/>
        </w:rPr>
        <w:t>Ordfører:</w:t>
      </w:r>
      <w:r>
        <w:tab/>
        <w:t>Javier Doz Orrit (Arbejdstagergruppen – ES)</w:t>
      </w:r>
    </w:p>
    <w:p w:rsidR="002337A6" w:rsidRDefault="002337A6" w:rsidP="00252095">
      <w:pPr>
        <w:keepNext/>
        <w:tabs>
          <w:tab w:val="center" w:pos="284"/>
        </w:tabs>
        <w:ind w:left="266" w:hanging="266"/>
      </w:pPr>
    </w:p>
    <w:p w:rsidR="002337A6" w:rsidRDefault="002337A6" w:rsidP="00252095">
      <w:pPr>
        <w:keepNext/>
        <w:tabs>
          <w:tab w:val="center" w:pos="284"/>
          <w:tab w:val="left" w:pos="1134"/>
        </w:tabs>
        <w:ind w:left="266" w:hanging="266"/>
        <w:rPr>
          <w:b/>
        </w:rPr>
      </w:pPr>
      <w:r>
        <w:rPr>
          <w:b/>
        </w:rPr>
        <w:t>Ref.:</w:t>
      </w:r>
      <w:r w:rsidR="00252095">
        <w:rPr>
          <w:b/>
        </w:rPr>
        <w:tab/>
      </w:r>
      <w:r>
        <w:t>COM(2018) 321 final</w:t>
      </w:r>
    </w:p>
    <w:p w:rsidR="002337A6" w:rsidRDefault="00FD1489" w:rsidP="00252095">
      <w:pPr>
        <w:keepNext/>
        <w:tabs>
          <w:tab w:val="center" w:pos="284"/>
          <w:tab w:val="left" w:pos="1134"/>
        </w:tabs>
        <w:ind w:left="266" w:hanging="266"/>
      </w:pPr>
      <w:r>
        <w:rPr>
          <w:b/>
        </w:rPr>
        <w:tab/>
      </w:r>
      <w:r>
        <w:rPr>
          <w:b/>
        </w:rPr>
        <w:tab/>
      </w:r>
      <w:r>
        <w:rPr>
          <w:b/>
        </w:rPr>
        <w:tab/>
      </w:r>
      <w:r>
        <w:t>COM(2018) 322 final/2 – 2018/0166 (APP)</w:t>
      </w:r>
    </w:p>
    <w:p w:rsidR="002337A6" w:rsidRDefault="00FD1489" w:rsidP="00252095">
      <w:pPr>
        <w:keepNext/>
        <w:tabs>
          <w:tab w:val="center" w:pos="284"/>
          <w:tab w:val="left" w:pos="1134"/>
        </w:tabs>
        <w:ind w:left="266" w:hanging="266"/>
      </w:pPr>
      <w:r>
        <w:tab/>
      </w:r>
      <w:r>
        <w:tab/>
      </w:r>
      <w:r>
        <w:tab/>
        <w:t>COM(2018) 325 final – 2018/0135 (CNS)</w:t>
      </w:r>
    </w:p>
    <w:p w:rsidR="002337A6" w:rsidRDefault="00FD1489" w:rsidP="00252095">
      <w:pPr>
        <w:keepNext/>
        <w:tabs>
          <w:tab w:val="center" w:pos="284"/>
          <w:tab w:val="left" w:pos="1134"/>
        </w:tabs>
        <w:ind w:left="266" w:hanging="266"/>
        <w:rPr>
          <w:iCs/>
        </w:rPr>
      </w:pPr>
      <w:r>
        <w:tab/>
      </w:r>
      <w:r>
        <w:tab/>
      </w:r>
      <w:r>
        <w:tab/>
        <w:t>COM(2018) 326 final – 2018/0131 (NLE)</w:t>
      </w:r>
    </w:p>
    <w:p w:rsidR="002337A6" w:rsidRDefault="00FD1489" w:rsidP="00252095">
      <w:pPr>
        <w:keepNext/>
        <w:tabs>
          <w:tab w:val="center" w:pos="284"/>
          <w:tab w:val="left" w:pos="1134"/>
        </w:tabs>
        <w:ind w:left="266" w:hanging="266"/>
        <w:rPr>
          <w:iCs/>
        </w:rPr>
      </w:pPr>
      <w:r>
        <w:tab/>
      </w:r>
      <w:r>
        <w:tab/>
      </w:r>
      <w:r>
        <w:tab/>
        <w:t>COM(2018) 327 final – 2018/0132 (APP)</w:t>
      </w:r>
    </w:p>
    <w:p w:rsidR="002337A6" w:rsidRDefault="00FD1489" w:rsidP="00252095">
      <w:pPr>
        <w:keepNext/>
        <w:tabs>
          <w:tab w:val="center" w:pos="284"/>
          <w:tab w:val="left" w:pos="1134"/>
        </w:tabs>
        <w:ind w:left="266" w:hanging="266"/>
        <w:rPr>
          <w:iCs/>
        </w:rPr>
      </w:pPr>
      <w:r>
        <w:tab/>
      </w:r>
      <w:r>
        <w:tab/>
      </w:r>
      <w:r>
        <w:tab/>
        <w:t>COM(2018) 328 final – 2018/0133 (NLE)</w:t>
      </w:r>
    </w:p>
    <w:p w:rsidR="002337A6" w:rsidRDefault="00FD1489" w:rsidP="00252095">
      <w:pPr>
        <w:keepNext/>
        <w:tabs>
          <w:tab w:val="center" w:pos="284"/>
          <w:tab w:val="left" w:pos="1134"/>
        </w:tabs>
        <w:ind w:left="266" w:hanging="266"/>
      </w:pPr>
      <w:r>
        <w:tab/>
      </w:r>
      <w:r>
        <w:tab/>
      </w:r>
      <w:r>
        <w:tab/>
        <w:t>EESC-2018-02072-00-00-AC-TRA</w:t>
      </w:r>
    </w:p>
    <w:p w:rsidR="002337A6" w:rsidRPr="0000611D" w:rsidRDefault="002337A6" w:rsidP="00252095">
      <w:pPr>
        <w:keepNext/>
        <w:tabs>
          <w:tab w:val="center" w:pos="284"/>
        </w:tabs>
        <w:ind w:left="266" w:hanging="266"/>
      </w:pPr>
    </w:p>
    <w:p w:rsidR="002337A6" w:rsidRDefault="00FD1489" w:rsidP="00252095">
      <w:pPr>
        <w:keepNext/>
        <w:tabs>
          <w:tab w:val="center" w:pos="284"/>
        </w:tabs>
        <w:ind w:left="266" w:hanging="266"/>
        <w:rPr>
          <w:b/>
        </w:rPr>
      </w:pPr>
      <w:r>
        <w:rPr>
          <w:b/>
        </w:rPr>
        <w:t>Hovedpunkter:</w:t>
      </w:r>
    </w:p>
    <w:p w:rsidR="002337A6" w:rsidRDefault="002337A6" w:rsidP="00252095">
      <w:pPr>
        <w:keepNext/>
        <w:ind w:left="-567"/>
        <w:rPr>
          <w:color w:val="000000" w:themeColor="text1"/>
        </w:rPr>
      </w:pPr>
    </w:p>
    <w:p w:rsidR="002337A6" w:rsidRDefault="004A2A4D" w:rsidP="00252095">
      <w:pPr>
        <w:keepNext/>
      </w:pPr>
      <w:r>
        <w:t>EØSU:</w:t>
      </w:r>
    </w:p>
    <w:p w:rsidR="002337A6" w:rsidRDefault="002337A6" w:rsidP="00252095">
      <w:pPr>
        <w:keepNext/>
      </w:pPr>
    </w:p>
    <w:p w:rsidR="002337A6" w:rsidRDefault="002337A6" w:rsidP="00252095">
      <w:pPr>
        <w:pStyle w:val="ListParagraph"/>
        <w:numPr>
          <w:ilvl w:val="0"/>
          <w:numId w:val="119"/>
        </w:numPr>
        <w:ind w:left="567" w:hanging="567"/>
      </w:pPr>
      <w:r>
        <w:t>anerkender den høje europæiske merværdi af de programmer, hvor der i FFR for 2021-2027 ses de største stigninger i udgifterne;</w:t>
      </w:r>
    </w:p>
    <w:p w:rsidR="002337A6" w:rsidRDefault="002337A6" w:rsidP="00252095">
      <w:pPr>
        <w:pStyle w:val="ListParagraph"/>
        <w:ind w:left="567" w:hanging="567"/>
      </w:pPr>
    </w:p>
    <w:p w:rsidR="002337A6" w:rsidRDefault="002337A6" w:rsidP="00252095">
      <w:pPr>
        <w:pStyle w:val="ListParagraph"/>
        <w:numPr>
          <w:ilvl w:val="0"/>
          <w:numId w:val="119"/>
        </w:numPr>
        <w:ind w:left="567" w:hanging="567"/>
      </w:pPr>
      <w:r>
        <w:t>undrer sig imidlertid over, at disse stigninger sker på bekostning af store nedskæringer i samhørighedspolitikken (-10 %) og den fælles landbrugspolitik (-15 %);</w:t>
      </w:r>
    </w:p>
    <w:p w:rsidR="002337A6" w:rsidRDefault="002337A6" w:rsidP="00252095">
      <w:pPr>
        <w:ind w:left="567" w:hanging="567"/>
        <w:contextualSpacing/>
      </w:pPr>
    </w:p>
    <w:p w:rsidR="002337A6" w:rsidRDefault="002337A6" w:rsidP="00252095">
      <w:pPr>
        <w:pStyle w:val="ListParagraph"/>
        <w:numPr>
          <w:ilvl w:val="0"/>
          <w:numId w:val="119"/>
        </w:numPr>
        <w:ind w:left="567" w:hanging="567"/>
      </w:pPr>
      <w:r>
        <w:t>foreslår, at udgifter og indtægter under FFR skal udgøre 1,3 % af BNI. EU-borgerne har brug for mere (og et bedre) EU;</w:t>
      </w:r>
    </w:p>
    <w:p w:rsidR="002337A6" w:rsidRDefault="002337A6" w:rsidP="00252095">
      <w:pPr>
        <w:ind w:left="567" w:hanging="567"/>
        <w:contextualSpacing/>
      </w:pPr>
    </w:p>
    <w:p w:rsidR="002337A6" w:rsidRDefault="002337A6" w:rsidP="00252095">
      <w:pPr>
        <w:pStyle w:val="ListParagraph"/>
        <w:numPr>
          <w:ilvl w:val="0"/>
          <w:numId w:val="119"/>
        </w:numPr>
        <w:ind w:left="567" w:hanging="567"/>
      </w:pPr>
      <w:r>
        <w:t>er ikke desto mindre uenig i den reduktion i faste priser på 12 % af Den Europæiske Fond for Regionaludvikling (EFRU) og 46 % af Samhørighedsfonden;</w:t>
      </w:r>
    </w:p>
    <w:p w:rsidR="002337A6" w:rsidRDefault="002337A6" w:rsidP="00252095">
      <w:pPr>
        <w:ind w:left="567" w:hanging="567"/>
        <w:contextualSpacing/>
      </w:pPr>
    </w:p>
    <w:p w:rsidR="002337A6" w:rsidRDefault="002337A6" w:rsidP="00252095">
      <w:pPr>
        <w:pStyle w:val="ListParagraph"/>
        <w:numPr>
          <w:ilvl w:val="0"/>
          <w:numId w:val="119"/>
        </w:numPr>
        <w:ind w:left="567" w:hanging="567"/>
      </w:pPr>
      <w:r>
        <w:t>er uenig i reduktionen i faste priser på 6 % af den foreslåede forpligtelse for Den Europæiske Socialfond Plus, især i lyset af EU-institutionernes nylige fælles proklamation i november 2017 af den europæiske søjle for sociale rettigheder. Der bør oprettes et specifikt program med støtte til medlemsstaterne i forbindelse med gennemførelsen af Göteborgerklæringen om den europæiske søjle for sociale rettigheder;</w:t>
      </w:r>
    </w:p>
    <w:p w:rsidR="002337A6" w:rsidRDefault="002337A6" w:rsidP="00252095">
      <w:pPr>
        <w:ind w:left="567" w:hanging="567"/>
        <w:contextualSpacing/>
      </w:pPr>
    </w:p>
    <w:p w:rsidR="002337A6" w:rsidRDefault="002337A6" w:rsidP="00252095">
      <w:pPr>
        <w:pStyle w:val="ListParagraph"/>
        <w:numPr>
          <w:ilvl w:val="0"/>
          <w:numId w:val="119"/>
        </w:numPr>
        <w:ind w:left="567" w:hanging="567"/>
      </w:pPr>
      <w:r>
        <w:t>mener, at den nuværende finansiering af samhørighedspolitikkerne (summen af EFRU, Samhørighedsfonden og ESF) bør fastholdes i FFR for 2021-2027 med mindst de samme ressourcer;</w:t>
      </w:r>
    </w:p>
    <w:p w:rsidR="002337A6" w:rsidRDefault="002337A6" w:rsidP="00252095">
      <w:pPr>
        <w:ind w:left="567" w:hanging="567"/>
        <w:contextualSpacing/>
      </w:pPr>
    </w:p>
    <w:p w:rsidR="002337A6" w:rsidRDefault="002337A6" w:rsidP="00252095">
      <w:pPr>
        <w:pStyle w:val="ListParagraph"/>
        <w:numPr>
          <w:ilvl w:val="0"/>
          <w:numId w:val="119"/>
        </w:numPr>
        <w:ind w:left="567" w:hanging="567"/>
      </w:pPr>
      <w:r>
        <w:t>glæder sig over, at Kommissionen nævner, at vigtige strategiske investeringer er nøglen til Europas fremtidige velstand og førerposition med hensyn til målene for bæredygtig udvikling;</w:t>
      </w:r>
    </w:p>
    <w:p w:rsidR="002337A6" w:rsidRDefault="002337A6" w:rsidP="00252095">
      <w:pPr>
        <w:pStyle w:val="ListParagraph"/>
        <w:ind w:left="567" w:hanging="567"/>
      </w:pPr>
    </w:p>
    <w:p w:rsidR="002337A6" w:rsidRDefault="002337A6" w:rsidP="00252095">
      <w:pPr>
        <w:pStyle w:val="ListParagraph"/>
        <w:numPr>
          <w:ilvl w:val="0"/>
          <w:numId w:val="119"/>
        </w:numPr>
        <w:ind w:left="567" w:hanging="567"/>
      </w:pPr>
      <w:r>
        <w:t>anerkender de væsentligt øgede forpligtelser for så vidt angår miljø- og klimaindsatsen (+46 %), mens det anser den afsatte budgetandel for uambitiøs;</w:t>
      </w:r>
    </w:p>
    <w:p w:rsidR="002337A6" w:rsidRDefault="002337A6" w:rsidP="00252095">
      <w:pPr>
        <w:ind w:left="567" w:hanging="567"/>
        <w:contextualSpacing/>
      </w:pPr>
    </w:p>
    <w:p w:rsidR="002337A6" w:rsidRDefault="002337A6" w:rsidP="00252095">
      <w:pPr>
        <w:pStyle w:val="ListParagraph"/>
        <w:numPr>
          <w:ilvl w:val="0"/>
          <w:numId w:val="119"/>
        </w:numPr>
        <w:ind w:left="567" w:hanging="567"/>
      </w:pPr>
      <w:r>
        <w:t>mener, at de planlagte forpligtelser til en investeringsstabiliseringsmekanisme for de medlemmer af euroområdet, som er ramt af landespecifikke chok, er alt for små til at kunne gøre en forskel i en krisesituation;</w:t>
      </w:r>
    </w:p>
    <w:p w:rsidR="002337A6" w:rsidRDefault="002337A6" w:rsidP="00252095">
      <w:pPr>
        <w:ind w:left="567" w:hanging="567"/>
        <w:contextualSpacing/>
      </w:pPr>
    </w:p>
    <w:p w:rsidR="002337A6" w:rsidRDefault="002337A6" w:rsidP="00252095">
      <w:pPr>
        <w:pStyle w:val="ListParagraph"/>
        <w:numPr>
          <w:ilvl w:val="0"/>
          <w:numId w:val="119"/>
        </w:numPr>
        <w:ind w:left="567" w:hanging="567"/>
      </w:pPr>
      <w:r>
        <w:t>er kritisk over for de foreslåede nedskæringer (-15 %) i de planlagte forpligtelser under den fælles landbrugspolitik. Disse nedskæringer vil gøre det umuligt at gennemføre en model for en bæredygtig udvikling af landdistrikterne;</w:t>
      </w:r>
    </w:p>
    <w:p w:rsidR="002337A6" w:rsidRDefault="002337A6" w:rsidP="00252095">
      <w:pPr>
        <w:ind w:left="567" w:hanging="567"/>
        <w:contextualSpacing/>
      </w:pPr>
    </w:p>
    <w:p w:rsidR="002337A6" w:rsidRDefault="002337A6" w:rsidP="00252095">
      <w:pPr>
        <w:pStyle w:val="ListParagraph"/>
        <w:numPr>
          <w:ilvl w:val="0"/>
          <w:numId w:val="119"/>
        </w:numPr>
        <w:ind w:left="567" w:hanging="567"/>
      </w:pPr>
      <w:r>
        <w:t>beklager imidlertid, at indtægterne i Kommissionens forslag til FFR efter 2020 kun omfatter en del af forslagene stillet af Gruppen på Højt Plan vedrørende Egne Indtægter og Europa-Parlamentet;</w:t>
      </w:r>
    </w:p>
    <w:p w:rsidR="002337A6" w:rsidRDefault="002337A6" w:rsidP="00252095">
      <w:pPr>
        <w:pStyle w:val="ListParagraph"/>
        <w:ind w:left="567" w:hanging="567"/>
      </w:pPr>
    </w:p>
    <w:p w:rsidR="002337A6" w:rsidRDefault="002337A6" w:rsidP="00252095">
      <w:pPr>
        <w:pStyle w:val="ListParagraph"/>
        <w:numPr>
          <w:ilvl w:val="0"/>
          <w:numId w:val="119"/>
        </w:numPr>
        <w:ind w:left="567" w:hanging="567"/>
      </w:pPr>
      <w:r>
        <w:t>opfordrer til at foreslå en vifte af nye egne indtægter. Udvalget mener dog også, at de aktuelle forslag næppe vil resultere i tilstrækkeligt høje selvstændige, gennemsigtige og rimelige egne indtægter;</w:t>
      </w:r>
    </w:p>
    <w:p w:rsidR="002337A6" w:rsidRDefault="002337A6" w:rsidP="00252095">
      <w:pPr>
        <w:pStyle w:val="ListParagraph"/>
        <w:ind w:left="567" w:hanging="567"/>
      </w:pPr>
    </w:p>
    <w:p w:rsidR="002337A6" w:rsidRDefault="002337A6" w:rsidP="00252095">
      <w:pPr>
        <w:pStyle w:val="ListParagraph"/>
        <w:numPr>
          <w:ilvl w:val="0"/>
          <w:numId w:val="119"/>
        </w:numPr>
        <w:ind w:left="567" w:hanging="567"/>
      </w:pPr>
      <w:r>
        <w:t>er indstillet på at øge den andel af indtægterne, der hidrører fra egne indtægter, og sikre, at metoderne til forøgelse af indtægterne supplerer og styrker målsætningerne for EU's politikker;</w:t>
      </w:r>
    </w:p>
    <w:p w:rsidR="002337A6" w:rsidRDefault="002337A6" w:rsidP="00252095">
      <w:pPr>
        <w:pStyle w:val="ListParagraph"/>
        <w:ind w:left="567" w:hanging="567"/>
      </w:pPr>
    </w:p>
    <w:p w:rsidR="002337A6" w:rsidRDefault="002337A6" w:rsidP="00252095">
      <w:pPr>
        <w:pStyle w:val="ListParagraph"/>
        <w:numPr>
          <w:ilvl w:val="0"/>
          <w:numId w:val="119"/>
        </w:numPr>
        <w:ind w:left="567" w:hanging="567"/>
      </w:pPr>
      <w:r>
        <w:t>gør EU-institutionerne opmærksom på det komplekse arbejde, der ligger i at gøre alle disse egne indtægter operationelle i perioden 2021-2027;</w:t>
      </w:r>
    </w:p>
    <w:p w:rsidR="002337A6" w:rsidRDefault="002337A6" w:rsidP="00252095">
      <w:pPr>
        <w:ind w:left="567" w:hanging="567"/>
        <w:contextualSpacing/>
      </w:pPr>
    </w:p>
    <w:p w:rsidR="002337A6" w:rsidRDefault="002337A6" w:rsidP="00252095">
      <w:pPr>
        <w:pStyle w:val="ListParagraph"/>
        <w:numPr>
          <w:ilvl w:val="0"/>
          <w:numId w:val="119"/>
        </w:numPr>
        <w:ind w:left="567" w:hanging="567"/>
      </w:pPr>
      <w:r>
        <w:t>bifalder den foreslåede fjernelse af rabatter (eller checks) til de lande, som har ydet de største bidrag til finansieringen af EU-budgettet;</w:t>
      </w:r>
    </w:p>
    <w:p w:rsidR="002337A6" w:rsidRDefault="002337A6" w:rsidP="00252095">
      <w:pPr>
        <w:ind w:left="567" w:hanging="567"/>
        <w:contextualSpacing/>
      </w:pPr>
    </w:p>
    <w:p w:rsidR="002337A6" w:rsidRDefault="002337A6" w:rsidP="00252095">
      <w:pPr>
        <w:pStyle w:val="ListParagraph"/>
        <w:numPr>
          <w:ilvl w:val="0"/>
          <w:numId w:val="119"/>
        </w:numPr>
        <w:ind w:left="567" w:hanging="567"/>
      </w:pPr>
      <w:r>
        <w:t>støtter forslaget om at gøre medlemsstaternes modtagelse af EU-midler betinget af respekt for retsstatsprincippet og mener, at denne betingelse kan udvides til at omfatte andre retsstatsprincipper i EU-traktaterne;</w:t>
      </w:r>
    </w:p>
    <w:p w:rsidR="002337A6" w:rsidRDefault="002337A6" w:rsidP="00252095">
      <w:pPr>
        <w:ind w:left="567" w:hanging="567"/>
        <w:contextualSpacing/>
      </w:pPr>
    </w:p>
    <w:p w:rsidR="002337A6" w:rsidRDefault="002337A6" w:rsidP="00252095">
      <w:pPr>
        <w:pStyle w:val="ListParagraph"/>
        <w:numPr>
          <w:ilvl w:val="0"/>
          <w:numId w:val="119"/>
        </w:numPr>
        <w:ind w:left="567" w:hanging="567"/>
      </w:pPr>
      <w:r>
        <w:t>glæder sig over støtten til investeringer via InvestEU-fonden, men beklager, at ressourceniveauet kun rækker til at sikre, at de hidtidige niveauer af EIB's udlån bibeholdes, og ikke tager højde for EU's store investeringsunderskud;</w:t>
      </w:r>
    </w:p>
    <w:p w:rsidR="002337A6" w:rsidRDefault="002337A6" w:rsidP="00252095">
      <w:pPr>
        <w:ind w:left="567" w:hanging="567"/>
        <w:contextualSpacing/>
      </w:pPr>
    </w:p>
    <w:p w:rsidR="002337A6" w:rsidRDefault="002337A6" w:rsidP="00252095">
      <w:pPr>
        <w:pStyle w:val="ListParagraph"/>
        <w:numPr>
          <w:ilvl w:val="0"/>
          <w:numId w:val="119"/>
        </w:numPr>
        <w:ind w:left="567" w:hanging="567"/>
      </w:pPr>
      <w:r>
        <w:t>udtrykker sin bekymring for, at en firkantet fortolkning af bestemmelserne i stabilitets- og vækstpagten og andre makroøkonomiske forhold såvel som af kravene om samfinansiering i forbindelse med midlerne under samhørighedspolitikk</w:t>
      </w:r>
      <w:r w:rsidR="00252095">
        <w:t>en gør det vanskeligt for de EU</w:t>
      </w:r>
      <w:r w:rsidR="00252095">
        <w:noBreakHyphen/>
      </w:r>
      <w:r>
        <w:t>medlemsstater, som har det største behov, at få adgang til disse midler;</w:t>
      </w:r>
    </w:p>
    <w:p w:rsidR="002337A6" w:rsidRDefault="002337A6" w:rsidP="00252095">
      <w:pPr>
        <w:ind w:left="567" w:hanging="567"/>
        <w:contextualSpacing/>
      </w:pPr>
    </w:p>
    <w:p w:rsidR="002337A6" w:rsidRDefault="002337A6" w:rsidP="00252095">
      <w:pPr>
        <w:pStyle w:val="ListParagraph"/>
        <w:numPr>
          <w:ilvl w:val="0"/>
          <w:numId w:val="119"/>
        </w:numPr>
        <w:ind w:left="567" w:hanging="567"/>
      </w:pPr>
      <w:r>
        <w:t>understreger, at det europæiske semester bør være omdrejningspunktet for gennemførelsen af EU-budgetterne og i den forbindelse så vidt muligt gøre brug af den nye FFR's fleksibilitet;</w:t>
      </w:r>
    </w:p>
    <w:p w:rsidR="002337A6" w:rsidRDefault="002337A6" w:rsidP="00252095">
      <w:pPr>
        <w:ind w:left="567" w:hanging="567"/>
        <w:contextualSpacing/>
      </w:pPr>
    </w:p>
    <w:p w:rsidR="002337A6" w:rsidRDefault="002337A6" w:rsidP="00252095">
      <w:pPr>
        <w:pStyle w:val="ListParagraph"/>
        <w:numPr>
          <w:ilvl w:val="0"/>
          <w:numId w:val="119"/>
        </w:numPr>
        <w:ind w:left="567" w:hanging="567"/>
      </w:pPr>
      <w:r>
        <w:lastRenderedPageBreak/>
        <w:t>opfordrer indtrængende EU-institutionerne og medlemsstaternes regeringer til at intensivere arbejdet vedrørende FFR efter 2020, således at denne kan vedtages inden det næste valg til Europa-Parlamentet.</w:t>
      </w:r>
    </w:p>
    <w:p w:rsidR="002337A6" w:rsidRDefault="002337A6" w:rsidP="00252095">
      <w:pPr>
        <w:pStyle w:val="ListParagraph"/>
      </w:pPr>
    </w:p>
    <w:p w:rsidR="002337A6" w:rsidRPr="00735536" w:rsidRDefault="002337A6" w:rsidP="00252095">
      <w:pPr>
        <w:keepNext/>
        <w:tabs>
          <w:tab w:val="left" w:pos="770"/>
        </w:tabs>
        <w:ind w:left="1701" w:hanging="1701"/>
        <w:rPr>
          <w:i/>
          <w:iCs/>
        </w:rPr>
      </w:pPr>
      <w:r>
        <w:rPr>
          <w:b/>
          <w:bCs/>
          <w:i/>
          <w:iCs/>
        </w:rPr>
        <w:t>Kontaktperson:</w:t>
      </w:r>
      <w:r w:rsidR="00252095">
        <w:rPr>
          <w:b/>
          <w:bCs/>
          <w:i/>
          <w:iCs/>
        </w:rPr>
        <w:tab/>
      </w:r>
      <w:r>
        <w:rPr>
          <w:bCs/>
          <w:i/>
          <w:iCs/>
        </w:rPr>
        <w:t>Gerald Klec</w:t>
      </w:r>
    </w:p>
    <w:p w:rsidR="002337A6" w:rsidRPr="000202C4" w:rsidRDefault="002337A6" w:rsidP="00252095">
      <w:pPr>
        <w:rPr>
          <w:b/>
          <w:i/>
          <w:iCs/>
          <w:u w:val="single"/>
        </w:rPr>
      </w:pPr>
      <w:r>
        <w:rPr>
          <w:i/>
          <w:iCs/>
        </w:rPr>
        <w:tab/>
      </w:r>
      <w:r>
        <w:rPr>
          <w:i/>
          <w:iCs/>
        </w:rPr>
        <w:tab/>
      </w:r>
      <w:r>
        <w:rPr>
          <w:i/>
          <w:iCs/>
        </w:rPr>
        <w:tab/>
        <w:t xml:space="preserve">(Tlf.: 00 32 2 546 99 09 – e-mail: </w:t>
      </w:r>
      <w:hyperlink r:id="rId21" w:history="1">
        <w:r>
          <w:rPr>
            <w:rStyle w:val="Hyperlink"/>
            <w:i/>
            <w:iCs/>
          </w:rPr>
          <w:t>Gerald.Klec@eesc.europa.eu</w:t>
        </w:r>
      </w:hyperlink>
      <w:r>
        <w:rPr>
          <w:i/>
          <w:iCs/>
        </w:rPr>
        <w:t>)</w:t>
      </w:r>
    </w:p>
    <w:p w:rsidR="002337A6" w:rsidRDefault="002337A6" w:rsidP="00252095">
      <w:pPr>
        <w:ind w:left="-567"/>
        <w:rPr>
          <w:b/>
          <w:iCs/>
          <w:u w:val="single"/>
        </w:rPr>
      </w:pPr>
    </w:p>
    <w:p w:rsidR="00EE5D39" w:rsidRPr="00F804DC" w:rsidRDefault="00EE5D39" w:rsidP="00252095">
      <w:pPr>
        <w:rPr>
          <w:i/>
          <w:iCs/>
          <w:u w:val="single"/>
        </w:rPr>
      </w:pPr>
    </w:p>
    <w:p w:rsidR="002337A6" w:rsidRPr="00F72A8C" w:rsidRDefault="002337A6" w:rsidP="00252095">
      <w:pPr>
        <w:pStyle w:val="ListParagraph"/>
        <w:keepNext/>
        <w:numPr>
          <w:ilvl w:val="0"/>
          <w:numId w:val="122"/>
        </w:numPr>
        <w:overflowPunct w:val="0"/>
        <w:autoSpaceDE w:val="0"/>
        <w:autoSpaceDN w:val="0"/>
        <w:adjustRightInd w:val="0"/>
        <w:ind w:left="567" w:hanging="567"/>
        <w:textAlignment w:val="baseline"/>
        <w:rPr>
          <w:b/>
          <w:i/>
          <w:sz w:val="28"/>
          <w:szCs w:val="28"/>
        </w:rPr>
      </w:pPr>
      <w:r>
        <w:rPr>
          <w:b/>
          <w:i/>
          <w:sz w:val="28"/>
          <w:szCs w:val="28"/>
        </w:rPr>
        <w:t>Forordning om det europæiske territoriale samarbejde 2021-2027</w:t>
      </w:r>
    </w:p>
    <w:p w:rsidR="002337A6" w:rsidRDefault="002337A6" w:rsidP="00252095">
      <w:pPr>
        <w:keepNext/>
        <w:tabs>
          <w:tab w:val="center" w:pos="284"/>
        </w:tabs>
        <w:ind w:left="266" w:hanging="266"/>
        <w:rPr>
          <w:b/>
        </w:rPr>
      </w:pPr>
    </w:p>
    <w:p w:rsidR="002337A6" w:rsidRDefault="002337A6" w:rsidP="00252095">
      <w:pPr>
        <w:keepNext/>
        <w:tabs>
          <w:tab w:val="center" w:pos="284"/>
        </w:tabs>
        <w:ind w:left="266" w:hanging="266"/>
      </w:pPr>
      <w:r>
        <w:rPr>
          <w:b/>
        </w:rPr>
        <w:t>Ordfører:</w:t>
      </w:r>
      <w:r>
        <w:tab/>
        <w:t>Henri Malosse (Arbejdsgivergruppen – FR)</w:t>
      </w:r>
    </w:p>
    <w:p w:rsidR="002337A6" w:rsidRDefault="002337A6" w:rsidP="00252095">
      <w:pPr>
        <w:keepNext/>
        <w:tabs>
          <w:tab w:val="center" w:pos="284"/>
        </w:tabs>
        <w:ind w:left="266" w:hanging="266"/>
        <w:rPr>
          <w:b/>
        </w:rPr>
      </w:pPr>
    </w:p>
    <w:p w:rsidR="002337A6" w:rsidRDefault="002337A6" w:rsidP="00252095">
      <w:pPr>
        <w:keepNext/>
        <w:tabs>
          <w:tab w:val="center" w:pos="284"/>
        </w:tabs>
        <w:ind w:left="266" w:hanging="266"/>
      </w:pPr>
      <w:r>
        <w:rPr>
          <w:b/>
        </w:rPr>
        <w:t>Ref.:</w:t>
      </w:r>
      <w:r w:rsidR="00252095">
        <w:rPr>
          <w:b/>
        </w:rPr>
        <w:tab/>
      </w:r>
      <w:r w:rsidR="00252095">
        <w:rPr>
          <w:b/>
        </w:rPr>
        <w:tab/>
      </w:r>
      <w:r>
        <w:t>COM(2018) 374 final – 2018/0199 (COD)</w:t>
      </w:r>
    </w:p>
    <w:p w:rsidR="002337A6" w:rsidRDefault="002337A6" w:rsidP="00252095">
      <w:pPr>
        <w:keepNext/>
        <w:tabs>
          <w:tab w:val="center" w:pos="284"/>
        </w:tabs>
        <w:ind w:left="266" w:hanging="266"/>
      </w:pPr>
      <w:r>
        <w:tab/>
      </w:r>
      <w:r>
        <w:tab/>
      </w:r>
      <w:r>
        <w:tab/>
      </w:r>
      <w:r>
        <w:tab/>
        <w:t>EESC-2018-02789-00-00-AC-TRA</w:t>
      </w:r>
    </w:p>
    <w:p w:rsidR="002337A6" w:rsidRPr="0000611D" w:rsidRDefault="002337A6" w:rsidP="00252095">
      <w:pPr>
        <w:keepNext/>
        <w:tabs>
          <w:tab w:val="center" w:pos="284"/>
        </w:tabs>
        <w:ind w:left="266" w:hanging="266"/>
      </w:pPr>
    </w:p>
    <w:p w:rsidR="002337A6" w:rsidRDefault="00F72A8C" w:rsidP="00252095">
      <w:pPr>
        <w:keepNext/>
        <w:tabs>
          <w:tab w:val="center" w:pos="284"/>
        </w:tabs>
        <w:ind w:left="266" w:hanging="266"/>
        <w:rPr>
          <w:b/>
        </w:rPr>
      </w:pPr>
      <w:r>
        <w:rPr>
          <w:b/>
        </w:rPr>
        <w:t>Hovedpunkter:</w:t>
      </w:r>
    </w:p>
    <w:p w:rsidR="002337A6" w:rsidRDefault="002337A6" w:rsidP="00252095">
      <w:pPr>
        <w:keepNext/>
        <w:outlineLvl w:val="1"/>
        <w:rPr>
          <w:b/>
        </w:rPr>
      </w:pPr>
    </w:p>
    <w:p w:rsidR="002337A6" w:rsidRPr="005167A3" w:rsidRDefault="002337A6" w:rsidP="00252095">
      <w:pPr>
        <w:keepNext/>
        <w:outlineLvl w:val="1"/>
      </w:pPr>
      <w:r>
        <w:t>EØSU:</w:t>
      </w:r>
    </w:p>
    <w:p w:rsidR="002337A6" w:rsidRDefault="002337A6" w:rsidP="00252095">
      <w:pPr>
        <w:keepNext/>
        <w:outlineLvl w:val="1"/>
        <w:rPr>
          <w:b/>
        </w:rPr>
      </w:pPr>
    </w:p>
    <w:p w:rsidR="002337A6" w:rsidRPr="00F01245" w:rsidRDefault="002337A6" w:rsidP="00252095">
      <w:pPr>
        <w:numPr>
          <w:ilvl w:val="0"/>
          <w:numId w:val="115"/>
        </w:numPr>
        <w:overflowPunct w:val="0"/>
        <w:autoSpaceDE w:val="0"/>
        <w:autoSpaceDN w:val="0"/>
        <w:adjustRightInd w:val="0"/>
        <w:ind w:left="567" w:hanging="567"/>
        <w:textAlignment w:val="baseline"/>
        <w:rPr>
          <w:color w:val="000000"/>
        </w:rPr>
      </w:pPr>
      <w:r>
        <w:rPr>
          <w:color w:val="000000"/>
        </w:rPr>
        <w:t>understreger, at det europæiske territoriale samarbejde er et enestående redskab i samhørighedspolitikken og en af de sjældne rammer, hvor nationale, regionale og lokale operatører i forskellige medlemsstater systematisk får mulighed for at gennemføre fælles tiltag og udveksle praksis og interventionsstrategier;</w:t>
      </w:r>
    </w:p>
    <w:p w:rsidR="002337A6" w:rsidRPr="00F01245" w:rsidRDefault="002337A6" w:rsidP="00252095">
      <w:pPr>
        <w:ind w:left="567" w:hanging="567"/>
        <w:rPr>
          <w:color w:val="000000"/>
        </w:rPr>
      </w:pPr>
    </w:p>
    <w:p w:rsidR="002337A6" w:rsidRPr="00F01245" w:rsidRDefault="002337A6" w:rsidP="00252095">
      <w:pPr>
        <w:numPr>
          <w:ilvl w:val="0"/>
          <w:numId w:val="112"/>
        </w:numPr>
        <w:overflowPunct w:val="0"/>
        <w:autoSpaceDE w:val="0"/>
        <w:autoSpaceDN w:val="0"/>
        <w:adjustRightInd w:val="0"/>
        <w:ind w:left="567" w:hanging="567"/>
        <w:textAlignment w:val="baseline"/>
        <w:rPr>
          <w:color w:val="000000"/>
        </w:rPr>
      </w:pPr>
      <w:r>
        <w:rPr>
          <w:color w:val="000000"/>
        </w:rPr>
        <w:t>opfordrer til, at der gennemføres et forenklingsfremstød i forhold til projekternes størrelse. Samarbejdet drejer sig hovedsagelig om lokale aktiviteter. Det er derfor nødvendigt at foretage de fornødne forenklinger i projektevalueringsformularerne og -metoderne;</w:t>
      </w:r>
    </w:p>
    <w:p w:rsidR="002337A6" w:rsidRPr="00F01245" w:rsidRDefault="002337A6" w:rsidP="00252095">
      <w:pPr>
        <w:ind w:left="567" w:hanging="567"/>
        <w:rPr>
          <w:color w:val="000000"/>
        </w:rPr>
      </w:pPr>
    </w:p>
    <w:p w:rsidR="002337A6" w:rsidRPr="00F01245" w:rsidRDefault="002337A6" w:rsidP="00252095">
      <w:pPr>
        <w:numPr>
          <w:ilvl w:val="0"/>
          <w:numId w:val="112"/>
        </w:numPr>
        <w:overflowPunct w:val="0"/>
        <w:autoSpaceDE w:val="0"/>
        <w:autoSpaceDN w:val="0"/>
        <w:adjustRightInd w:val="0"/>
        <w:ind w:left="567" w:hanging="567"/>
        <w:textAlignment w:val="baseline"/>
        <w:rPr>
          <w:color w:val="000000"/>
        </w:rPr>
      </w:pPr>
      <w:r>
        <w:rPr>
          <w:color w:val="000000"/>
        </w:rPr>
        <w:t>er foruroliget over de nye regler, som kan reducere den maksimale EU-finansiering fra 85 % til 70 %. Det anmoder om, at 85 %-satsen bevares til mindre projekter, de mest sårbare regioner og civilsamfundets aktiviteter. EØSU går også ind for i øget omfang at søge deltagelse fra den private sektor og gøre brug af InvestEUFund;</w:t>
      </w:r>
    </w:p>
    <w:p w:rsidR="002337A6" w:rsidRPr="00F01245" w:rsidRDefault="002337A6" w:rsidP="00252095">
      <w:pPr>
        <w:ind w:left="567" w:hanging="567"/>
        <w:rPr>
          <w:color w:val="000000"/>
        </w:rPr>
      </w:pPr>
    </w:p>
    <w:p w:rsidR="002337A6" w:rsidRPr="001832EF" w:rsidRDefault="002337A6" w:rsidP="00252095">
      <w:pPr>
        <w:numPr>
          <w:ilvl w:val="0"/>
          <w:numId w:val="112"/>
        </w:numPr>
        <w:tabs>
          <w:tab w:val="left" w:pos="851"/>
        </w:tabs>
        <w:overflowPunct w:val="0"/>
        <w:autoSpaceDE w:val="0"/>
        <w:autoSpaceDN w:val="0"/>
        <w:adjustRightInd w:val="0"/>
        <w:ind w:left="567" w:hanging="567"/>
        <w:textAlignment w:val="baseline"/>
        <w:rPr>
          <w:color w:val="000000"/>
        </w:rPr>
      </w:pPr>
      <w:r>
        <w:rPr>
          <w:color w:val="000000"/>
        </w:rPr>
        <w:t>anmoder Kommissionen om at indføre en reel strategi for samordning og integration af de forskellige finansielle instrumenter, som er til rådighed under FFR 2021-2027. Det opfordrer til, at Kommissionen hurtigst muligt udsender en meddelelse herom og pålægger krav om at inddrage arbejdsmarkedets parter og civilsamfundsorganisationerne;</w:t>
      </w:r>
    </w:p>
    <w:p w:rsidR="002337A6" w:rsidRPr="00F01245" w:rsidRDefault="002337A6" w:rsidP="00252095">
      <w:pPr>
        <w:ind w:left="567" w:hanging="567"/>
        <w:rPr>
          <w:color w:val="000000"/>
        </w:rPr>
      </w:pPr>
    </w:p>
    <w:p w:rsidR="002337A6" w:rsidRPr="0057460E" w:rsidRDefault="002337A6" w:rsidP="00252095">
      <w:pPr>
        <w:numPr>
          <w:ilvl w:val="0"/>
          <w:numId w:val="112"/>
        </w:numPr>
        <w:overflowPunct w:val="0"/>
        <w:autoSpaceDE w:val="0"/>
        <w:autoSpaceDN w:val="0"/>
        <w:adjustRightInd w:val="0"/>
        <w:ind w:left="567" w:hanging="567"/>
        <w:textAlignment w:val="baseline"/>
      </w:pPr>
      <w:r>
        <w:t>vurderer den konstaterede udvikling i retning af en tematisk koncentration af indsats- og investeringsprioriteterne positivt, men det bør uddybes, hvordan der kan tages hensyn til de særlige forhold i de områder, der nævnes i EUF-traktatens artikel 174 (øer, bjergområder, landdistrikter, byområder osv.) uden at glemme, at koncentration er nødvendig;</w:t>
      </w:r>
    </w:p>
    <w:p w:rsidR="002337A6" w:rsidRDefault="002337A6" w:rsidP="00252095">
      <w:pPr>
        <w:ind w:left="567" w:hanging="567"/>
      </w:pPr>
    </w:p>
    <w:p w:rsidR="002337A6" w:rsidRDefault="002337A6" w:rsidP="00252095">
      <w:pPr>
        <w:numPr>
          <w:ilvl w:val="0"/>
          <w:numId w:val="114"/>
        </w:numPr>
        <w:overflowPunct w:val="0"/>
        <w:autoSpaceDE w:val="0"/>
        <w:autoSpaceDN w:val="0"/>
        <w:adjustRightInd w:val="0"/>
        <w:ind w:left="567" w:hanging="567"/>
        <w:textAlignment w:val="baseline"/>
      </w:pPr>
      <w:r>
        <w:lastRenderedPageBreak/>
        <w:t>går – eftersom havet er øområdernes eneste omkringliggende miljø – ind for, at sådanne områder fortsat kan indgive projekter under både grænsesamarbejdet og det territoriale samarbejde. Der kan eventuelt indføres en ny prioritet, "øområder", med et specifikt budget;</w:t>
      </w:r>
    </w:p>
    <w:p w:rsidR="002337A6" w:rsidRDefault="002337A6" w:rsidP="00252095">
      <w:pPr>
        <w:ind w:left="567" w:hanging="567"/>
      </w:pPr>
    </w:p>
    <w:p w:rsidR="002337A6" w:rsidRPr="00C95777" w:rsidRDefault="002337A6" w:rsidP="00252095">
      <w:pPr>
        <w:keepNext/>
        <w:keepLines/>
        <w:numPr>
          <w:ilvl w:val="0"/>
          <w:numId w:val="113"/>
        </w:numPr>
        <w:overflowPunct w:val="0"/>
        <w:autoSpaceDE w:val="0"/>
        <w:autoSpaceDN w:val="0"/>
        <w:adjustRightInd w:val="0"/>
        <w:ind w:left="567" w:hanging="567"/>
        <w:textAlignment w:val="baseline"/>
        <w:rPr>
          <w:color w:val="000000"/>
        </w:rPr>
      </w:pPr>
      <w:r>
        <w:rPr>
          <w:color w:val="000000"/>
        </w:rPr>
        <w:t>skønner det nødvendigt at udvide udviklingen af makroregionale strategier til nye områder (Middelhavet, Balkan, Karpaterne, m.fl.) og sikre, at en øget integration af de nye europæiske finansielle instrumenter kommer disse områder til gode;</w:t>
      </w:r>
    </w:p>
    <w:p w:rsidR="002337A6" w:rsidRPr="00F01245" w:rsidRDefault="002337A6" w:rsidP="00252095">
      <w:pPr>
        <w:ind w:left="567" w:hanging="567"/>
        <w:rPr>
          <w:color w:val="000000"/>
        </w:rPr>
      </w:pPr>
    </w:p>
    <w:p w:rsidR="002337A6" w:rsidRPr="00C95777" w:rsidRDefault="002337A6" w:rsidP="00252095">
      <w:pPr>
        <w:numPr>
          <w:ilvl w:val="0"/>
          <w:numId w:val="113"/>
        </w:numPr>
        <w:overflowPunct w:val="0"/>
        <w:autoSpaceDE w:val="0"/>
        <w:autoSpaceDN w:val="0"/>
        <w:adjustRightInd w:val="0"/>
        <w:ind w:left="567" w:hanging="567"/>
        <w:textAlignment w:val="baseline"/>
        <w:rPr>
          <w:color w:val="000000"/>
        </w:rPr>
      </w:pPr>
      <w:r>
        <w:rPr>
          <w:color w:val="000000"/>
        </w:rPr>
        <w:t>glæder sig over indførelsen af en fælles gennemførelsesramme med nabo-/tredjelande; anmoder Kommissionen om inden for disse rammer at åbne de territoriale samarbejdsprogrammer for nabolandenes regioner, også selv om disse ikke har fælles grænse med EU, for ikke at skabe uregelmæssigheder;</w:t>
      </w:r>
    </w:p>
    <w:p w:rsidR="002337A6" w:rsidRPr="00F01245" w:rsidRDefault="002337A6" w:rsidP="00252095">
      <w:pPr>
        <w:ind w:left="567" w:hanging="567"/>
        <w:rPr>
          <w:color w:val="000000"/>
        </w:rPr>
      </w:pPr>
    </w:p>
    <w:p w:rsidR="002337A6" w:rsidRPr="00F01245" w:rsidRDefault="002337A6" w:rsidP="00252095">
      <w:pPr>
        <w:numPr>
          <w:ilvl w:val="0"/>
          <w:numId w:val="113"/>
        </w:numPr>
        <w:overflowPunct w:val="0"/>
        <w:autoSpaceDE w:val="0"/>
        <w:autoSpaceDN w:val="0"/>
        <w:adjustRightInd w:val="0"/>
        <w:ind w:left="567" w:hanging="567"/>
        <w:textAlignment w:val="baseline"/>
        <w:rPr>
          <w:color w:val="000000"/>
        </w:rPr>
      </w:pPr>
      <w:r>
        <w:rPr>
          <w:color w:val="000000"/>
        </w:rPr>
        <w:t>støtter forslaget om et prioriteret element, der omhandler innovation, med et selvstændigt budget og procedurer, der giver ikkestatslige aktører mulighed for direkte adgang. Udvalget fremhæver imidlertid, at innovation også skal forstås på et samfundsmæssigt og socialt plan;</w:t>
      </w:r>
    </w:p>
    <w:p w:rsidR="002337A6" w:rsidRPr="00F01245" w:rsidRDefault="002337A6" w:rsidP="00252095">
      <w:pPr>
        <w:ind w:left="567" w:hanging="567"/>
        <w:rPr>
          <w:color w:val="000000"/>
        </w:rPr>
      </w:pPr>
    </w:p>
    <w:p w:rsidR="002337A6" w:rsidRPr="00C95777" w:rsidRDefault="002337A6" w:rsidP="00252095">
      <w:pPr>
        <w:numPr>
          <w:ilvl w:val="0"/>
          <w:numId w:val="113"/>
        </w:numPr>
        <w:overflowPunct w:val="0"/>
        <w:autoSpaceDE w:val="0"/>
        <w:autoSpaceDN w:val="0"/>
        <w:adjustRightInd w:val="0"/>
        <w:ind w:left="567" w:hanging="567"/>
        <w:textAlignment w:val="baseline"/>
        <w:rPr>
          <w:color w:val="000000"/>
        </w:rPr>
      </w:pPr>
      <w:r>
        <w:rPr>
          <w:color w:val="000000"/>
        </w:rPr>
        <w:t>foreslår, idet inddragelse af Europas unge er yderst vigtig, at anvende Erasmus+-metoderne til udveksling af unge, herunder studerende, lærlinge, arbejdssøgende og vanskeligt stillede personer;</w:t>
      </w:r>
    </w:p>
    <w:p w:rsidR="002337A6" w:rsidRPr="00F01245" w:rsidRDefault="002337A6" w:rsidP="00252095">
      <w:pPr>
        <w:ind w:left="567" w:hanging="567"/>
        <w:rPr>
          <w:color w:val="000000"/>
        </w:rPr>
      </w:pPr>
    </w:p>
    <w:p w:rsidR="002337A6" w:rsidRPr="00C55C4C" w:rsidRDefault="002337A6" w:rsidP="00252095">
      <w:pPr>
        <w:pStyle w:val="ListParagraph"/>
        <w:numPr>
          <w:ilvl w:val="0"/>
          <w:numId w:val="113"/>
        </w:numPr>
        <w:ind w:left="567" w:hanging="567"/>
        <w:contextualSpacing w:val="0"/>
        <w:outlineLvl w:val="1"/>
      </w:pPr>
      <w:r>
        <w:rPr>
          <w:color w:val="000000"/>
        </w:rPr>
        <w:t>vil i betragtning af betydningen af de projekter, som støttes under det europæiske territoriale samarbejde, støtte ethvert initiativ, som kan øge synligheden samt styrke den europæiske borgerånd og bevidstheden om de konkrete tiltag, der gennemføres med støtte fra EU.</w:t>
      </w:r>
    </w:p>
    <w:p w:rsidR="002337A6" w:rsidRDefault="002337A6" w:rsidP="00252095">
      <w:pPr>
        <w:outlineLvl w:val="1"/>
      </w:pPr>
    </w:p>
    <w:p w:rsidR="002337A6" w:rsidRPr="0057460E" w:rsidRDefault="002337A6" w:rsidP="00252095">
      <w:pPr>
        <w:keepNext/>
        <w:tabs>
          <w:tab w:val="left" w:pos="1701"/>
        </w:tabs>
        <w:rPr>
          <w:i/>
        </w:rPr>
      </w:pPr>
      <w:r>
        <w:rPr>
          <w:b/>
          <w:i/>
        </w:rPr>
        <w:t>Kontaktperson:</w:t>
      </w:r>
      <w:r>
        <w:rPr>
          <w:i/>
        </w:rPr>
        <w:tab/>
        <w:t>Georgios Meleas</w:t>
      </w:r>
    </w:p>
    <w:p w:rsidR="002337A6" w:rsidRPr="000202C4" w:rsidRDefault="00F72A8C" w:rsidP="00252095">
      <w:pPr>
        <w:tabs>
          <w:tab w:val="left" w:pos="1701"/>
        </w:tabs>
        <w:ind w:left="-567"/>
        <w:rPr>
          <w:b/>
          <w:i/>
          <w:iCs/>
          <w:u w:val="single"/>
        </w:rPr>
      </w:pPr>
      <w:r>
        <w:rPr>
          <w:i/>
        </w:rPr>
        <w:tab/>
        <w:t xml:space="preserve">(Tlf.: 00 32 2 546 9795 – e-mail: </w:t>
      </w:r>
      <w:hyperlink r:id="rId22" w:history="1">
        <w:r>
          <w:rPr>
            <w:rStyle w:val="Hyperlink"/>
            <w:i/>
          </w:rPr>
          <w:t>georgios.meleas@eesc.europa.eu</w:t>
        </w:r>
      </w:hyperlink>
      <w:r>
        <w:rPr>
          <w:i/>
        </w:rPr>
        <w:t>)</w:t>
      </w:r>
    </w:p>
    <w:p w:rsidR="002337A6" w:rsidRDefault="002337A6" w:rsidP="00252095">
      <w:pPr>
        <w:rPr>
          <w:iCs/>
        </w:rPr>
      </w:pPr>
    </w:p>
    <w:p w:rsidR="002337A6" w:rsidRPr="00F72A8C" w:rsidRDefault="002337A6" w:rsidP="00252095">
      <w:pPr>
        <w:pStyle w:val="ListParagraph"/>
        <w:keepNext/>
        <w:numPr>
          <w:ilvl w:val="0"/>
          <w:numId w:val="123"/>
        </w:numPr>
        <w:overflowPunct w:val="0"/>
        <w:autoSpaceDE w:val="0"/>
        <w:autoSpaceDN w:val="0"/>
        <w:adjustRightInd w:val="0"/>
        <w:ind w:left="567" w:hanging="567"/>
        <w:textAlignment w:val="baseline"/>
        <w:rPr>
          <w:b/>
          <w:i/>
          <w:sz w:val="28"/>
          <w:szCs w:val="28"/>
        </w:rPr>
      </w:pPr>
      <w:r>
        <w:rPr>
          <w:b/>
          <w:i/>
          <w:sz w:val="28"/>
          <w:szCs w:val="28"/>
        </w:rPr>
        <w:t>Forordning om den grænseoverskridende mekanisme 2021-2027</w:t>
      </w:r>
    </w:p>
    <w:p w:rsidR="002337A6" w:rsidRPr="003F1751" w:rsidRDefault="002337A6" w:rsidP="00252095">
      <w:pPr>
        <w:keepNext/>
        <w:overflowPunct w:val="0"/>
        <w:autoSpaceDE w:val="0"/>
        <w:autoSpaceDN w:val="0"/>
        <w:adjustRightInd w:val="0"/>
        <w:textAlignment w:val="baseline"/>
        <w:rPr>
          <w:b/>
          <w:i/>
          <w:sz w:val="28"/>
          <w:szCs w:val="28"/>
        </w:rPr>
      </w:pPr>
    </w:p>
    <w:p w:rsidR="002337A6" w:rsidRDefault="002337A6" w:rsidP="00252095">
      <w:pPr>
        <w:keepNext/>
        <w:tabs>
          <w:tab w:val="center" w:pos="284"/>
        </w:tabs>
        <w:ind w:left="266" w:hanging="266"/>
      </w:pPr>
      <w:r>
        <w:rPr>
          <w:b/>
        </w:rPr>
        <w:t>Ordfører:</w:t>
      </w:r>
      <w:r>
        <w:tab/>
        <w:t>Etele Baráth (Gruppen Diversitet Europa – HU)</w:t>
      </w:r>
    </w:p>
    <w:p w:rsidR="002337A6" w:rsidRDefault="002337A6" w:rsidP="00252095">
      <w:pPr>
        <w:keepNext/>
        <w:tabs>
          <w:tab w:val="center" w:pos="284"/>
        </w:tabs>
        <w:ind w:left="266" w:hanging="266"/>
      </w:pPr>
    </w:p>
    <w:p w:rsidR="002337A6" w:rsidRDefault="002337A6" w:rsidP="00252095">
      <w:pPr>
        <w:keepNext/>
        <w:tabs>
          <w:tab w:val="center" w:pos="284"/>
          <w:tab w:val="left" w:pos="1134"/>
        </w:tabs>
        <w:ind w:left="266" w:hanging="266"/>
      </w:pPr>
      <w:r>
        <w:rPr>
          <w:b/>
        </w:rPr>
        <w:t>Ref.:</w:t>
      </w:r>
      <w:r w:rsidR="00252095">
        <w:rPr>
          <w:b/>
        </w:rPr>
        <w:tab/>
      </w:r>
      <w:r>
        <w:t>COM(2018) 373 final – 2018/0198 (COD)</w:t>
      </w:r>
    </w:p>
    <w:p w:rsidR="002337A6" w:rsidRDefault="002337A6" w:rsidP="00252095">
      <w:pPr>
        <w:keepNext/>
        <w:tabs>
          <w:tab w:val="center" w:pos="284"/>
          <w:tab w:val="left" w:pos="1134"/>
        </w:tabs>
        <w:ind w:left="532" w:hanging="266"/>
      </w:pPr>
      <w:r>
        <w:tab/>
      </w:r>
      <w:r>
        <w:tab/>
      </w:r>
      <w:r>
        <w:tab/>
        <w:t>EESC-2018-02790-00-00-AC-TRA</w:t>
      </w:r>
    </w:p>
    <w:p w:rsidR="002337A6" w:rsidRPr="0000611D" w:rsidRDefault="002337A6" w:rsidP="00252095">
      <w:pPr>
        <w:keepNext/>
        <w:tabs>
          <w:tab w:val="center" w:pos="284"/>
        </w:tabs>
        <w:ind w:left="266" w:hanging="266"/>
      </w:pPr>
    </w:p>
    <w:p w:rsidR="002337A6" w:rsidRDefault="00F72A8C" w:rsidP="00252095">
      <w:pPr>
        <w:keepNext/>
        <w:tabs>
          <w:tab w:val="center" w:pos="284"/>
        </w:tabs>
        <w:ind w:left="266" w:hanging="266"/>
        <w:rPr>
          <w:b/>
        </w:rPr>
      </w:pPr>
      <w:r>
        <w:rPr>
          <w:b/>
        </w:rPr>
        <w:t>Hovedpunkter:</w:t>
      </w:r>
    </w:p>
    <w:p w:rsidR="002337A6" w:rsidRDefault="002337A6" w:rsidP="00252095">
      <w:pPr>
        <w:keepNext/>
        <w:rPr>
          <w:color w:val="000000" w:themeColor="text1"/>
        </w:rPr>
      </w:pPr>
    </w:p>
    <w:p w:rsidR="002337A6" w:rsidRPr="005167A3" w:rsidRDefault="002337A6" w:rsidP="00252095">
      <w:pPr>
        <w:keepNext/>
        <w:outlineLvl w:val="1"/>
      </w:pPr>
      <w:r>
        <w:t>EØSU:</w:t>
      </w:r>
    </w:p>
    <w:p w:rsidR="002337A6" w:rsidRPr="00556859" w:rsidRDefault="002337A6" w:rsidP="00252095">
      <w:pPr>
        <w:keepNext/>
        <w:rPr>
          <w:color w:val="000000"/>
        </w:rPr>
      </w:pPr>
    </w:p>
    <w:p w:rsidR="002337A6" w:rsidRPr="0075074E" w:rsidRDefault="002337A6" w:rsidP="00252095">
      <w:pPr>
        <w:numPr>
          <w:ilvl w:val="0"/>
          <w:numId w:val="116"/>
        </w:numPr>
        <w:overflowPunct w:val="0"/>
        <w:autoSpaceDE w:val="0"/>
        <w:autoSpaceDN w:val="0"/>
        <w:adjustRightInd w:val="0"/>
        <w:ind w:left="567" w:hanging="567"/>
        <w:textAlignment w:val="baseline"/>
        <w:rPr>
          <w:color w:val="000000"/>
        </w:rPr>
      </w:pPr>
      <w:r>
        <w:rPr>
          <w:color w:val="000000"/>
        </w:rPr>
        <w:t>glæder sig over Kommissionens forslag til forordning om en mekanisme til at imødegå retlige og administrative hindringer i en grænseoverskridende sammenhæng (herefter "mekanismen"). Efter EØSU's mening er forslaget udtryk for en ny fremgangsmåde og vil sandsynligvis forbedre mulighederne for et samarbejde baseret på subsidiaritet mellem de forskellige medlemsstater;</w:t>
      </w:r>
    </w:p>
    <w:p w:rsidR="002337A6" w:rsidRPr="00556859" w:rsidRDefault="002337A6" w:rsidP="00252095">
      <w:pPr>
        <w:ind w:left="567" w:hanging="567"/>
        <w:rPr>
          <w:color w:val="000000"/>
        </w:rPr>
      </w:pPr>
    </w:p>
    <w:p w:rsidR="002337A6" w:rsidRPr="0075074E" w:rsidRDefault="002337A6" w:rsidP="00252095">
      <w:pPr>
        <w:numPr>
          <w:ilvl w:val="0"/>
          <w:numId w:val="116"/>
        </w:numPr>
        <w:overflowPunct w:val="0"/>
        <w:autoSpaceDE w:val="0"/>
        <w:autoSpaceDN w:val="0"/>
        <w:adjustRightInd w:val="0"/>
        <w:ind w:left="567" w:hanging="567"/>
        <w:textAlignment w:val="baseline"/>
        <w:rPr>
          <w:color w:val="000000"/>
        </w:rPr>
      </w:pPr>
      <w:r>
        <w:rPr>
          <w:color w:val="000000"/>
        </w:rPr>
        <w:lastRenderedPageBreak/>
        <w:t>anser argumentationen bag forslaget for at være velbegrundet, for selv om der i øjeblikket findes flere institutionelle instrumenter, der støtter disse områder (navnlig Interreg og EGTS), råder disse ikke over de nødvendige kompetencer til at indføre sådanne juridiske foranstaltninger;</w:t>
      </w:r>
    </w:p>
    <w:p w:rsidR="002337A6" w:rsidRPr="00556859" w:rsidRDefault="002337A6" w:rsidP="00252095">
      <w:pPr>
        <w:ind w:left="567" w:hanging="567"/>
        <w:rPr>
          <w:color w:val="000000"/>
        </w:rPr>
      </w:pPr>
    </w:p>
    <w:p w:rsidR="002337A6" w:rsidRPr="0075074E" w:rsidRDefault="002337A6" w:rsidP="00252095">
      <w:pPr>
        <w:numPr>
          <w:ilvl w:val="0"/>
          <w:numId w:val="116"/>
        </w:numPr>
        <w:overflowPunct w:val="0"/>
        <w:autoSpaceDE w:val="0"/>
        <w:autoSpaceDN w:val="0"/>
        <w:adjustRightInd w:val="0"/>
        <w:ind w:left="567" w:hanging="567"/>
        <w:textAlignment w:val="baseline"/>
        <w:rPr>
          <w:color w:val="000000"/>
        </w:rPr>
      </w:pPr>
      <w:r>
        <w:rPr>
          <w:color w:val="000000"/>
        </w:rPr>
        <w:t>mener, at gennemførelsen af forslaget til forordning kan bidrage til at fjerne historiske hindringer og styrkelse af følelsen af EU-borgerskab;</w:t>
      </w:r>
    </w:p>
    <w:p w:rsidR="002337A6" w:rsidRPr="00556859" w:rsidRDefault="002337A6" w:rsidP="00252095">
      <w:pPr>
        <w:ind w:left="567" w:hanging="567"/>
        <w:rPr>
          <w:color w:val="000000"/>
        </w:rPr>
      </w:pPr>
    </w:p>
    <w:p w:rsidR="002337A6" w:rsidRPr="0075074E" w:rsidRDefault="002337A6" w:rsidP="00252095">
      <w:pPr>
        <w:keepNext/>
        <w:keepLines/>
        <w:numPr>
          <w:ilvl w:val="0"/>
          <w:numId w:val="116"/>
        </w:numPr>
        <w:overflowPunct w:val="0"/>
        <w:autoSpaceDE w:val="0"/>
        <w:autoSpaceDN w:val="0"/>
        <w:adjustRightInd w:val="0"/>
        <w:ind w:left="567" w:hanging="567"/>
        <w:textAlignment w:val="baseline"/>
        <w:rPr>
          <w:color w:val="000000"/>
        </w:rPr>
      </w:pPr>
      <w:r>
        <w:rPr>
          <w:color w:val="000000"/>
        </w:rPr>
        <w:t>opfordrer Kommissionen til at præcisere alle spørgsmål, der kan føre til juridisk usikkerhed, således at proceduren ikke opfattes som kompleks og som omfattende uforholdsmæssige garantier og dermed virker afskrækkende på de potentielle brugere af denne lovgivning. Det er nødvendigt klart at fastslå, hvordan man kan tilskynde to nabomedlemsstater til at samarbejde, når de har forskellige opfattelser af projektet;</w:t>
      </w:r>
    </w:p>
    <w:p w:rsidR="002337A6" w:rsidRPr="00556859" w:rsidRDefault="002337A6" w:rsidP="00252095">
      <w:pPr>
        <w:ind w:left="567" w:hanging="567"/>
        <w:rPr>
          <w:color w:val="000000"/>
        </w:rPr>
      </w:pPr>
    </w:p>
    <w:p w:rsidR="002337A6" w:rsidRPr="0075074E" w:rsidRDefault="002337A6" w:rsidP="00252095">
      <w:pPr>
        <w:numPr>
          <w:ilvl w:val="0"/>
          <w:numId w:val="116"/>
        </w:numPr>
        <w:overflowPunct w:val="0"/>
        <w:autoSpaceDE w:val="0"/>
        <w:autoSpaceDN w:val="0"/>
        <w:adjustRightInd w:val="0"/>
        <w:ind w:left="567" w:hanging="567"/>
        <w:textAlignment w:val="baseline"/>
        <w:rPr>
          <w:color w:val="000000"/>
        </w:rPr>
      </w:pPr>
      <w:r>
        <w:rPr>
          <w:color w:val="000000"/>
        </w:rPr>
        <w:t>understreger betydningen af konstant at overvåge den korrekte gennemførelse af forordningen, eftersom denne ikke er bestemmende for løsningerne, men for selve processen, og vil kunne medvirke til adskillige samarbejdsmuligheder;</w:t>
      </w:r>
    </w:p>
    <w:p w:rsidR="002337A6" w:rsidRPr="00556859" w:rsidRDefault="002337A6" w:rsidP="00252095">
      <w:pPr>
        <w:ind w:left="567" w:hanging="567"/>
        <w:rPr>
          <w:color w:val="000000"/>
        </w:rPr>
      </w:pPr>
    </w:p>
    <w:p w:rsidR="002337A6" w:rsidRPr="0075074E" w:rsidRDefault="002337A6" w:rsidP="00252095">
      <w:pPr>
        <w:numPr>
          <w:ilvl w:val="0"/>
          <w:numId w:val="116"/>
        </w:numPr>
        <w:overflowPunct w:val="0"/>
        <w:autoSpaceDE w:val="0"/>
        <w:autoSpaceDN w:val="0"/>
        <w:adjustRightInd w:val="0"/>
        <w:ind w:left="567" w:hanging="567"/>
        <w:textAlignment w:val="baseline"/>
        <w:rPr>
          <w:color w:val="000000"/>
        </w:rPr>
      </w:pPr>
      <w:r>
        <w:rPr>
          <w:color w:val="000000"/>
        </w:rPr>
        <w:t>understreger, at fordelen ved forslaget til forordning er, at det harmoniserer snarere end ensretter, og definitionen af dets territoriale anvendelsesområde udgør et vigtigt aspekt af dets anvendelighed;</w:t>
      </w:r>
    </w:p>
    <w:p w:rsidR="002337A6" w:rsidRPr="00556859" w:rsidRDefault="002337A6" w:rsidP="00252095">
      <w:pPr>
        <w:ind w:left="567" w:hanging="567"/>
        <w:rPr>
          <w:color w:val="000000"/>
        </w:rPr>
      </w:pPr>
    </w:p>
    <w:p w:rsidR="002337A6" w:rsidRPr="0075074E" w:rsidRDefault="002337A6" w:rsidP="00252095">
      <w:pPr>
        <w:numPr>
          <w:ilvl w:val="0"/>
          <w:numId w:val="116"/>
        </w:numPr>
        <w:overflowPunct w:val="0"/>
        <w:autoSpaceDE w:val="0"/>
        <w:autoSpaceDN w:val="0"/>
        <w:adjustRightInd w:val="0"/>
        <w:ind w:left="567" w:hanging="567"/>
        <w:textAlignment w:val="baseline"/>
        <w:rPr>
          <w:color w:val="000000"/>
        </w:rPr>
      </w:pPr>
      <w:r>
        <w:rPr>
          <w:color w:val="000000"/>
        </w:rPr>
        <w:t>mener, at forslaget til forordning tager udgangspunkt i princippet om, at for at løse et givet problem kan én løsning være at anvende den lovgivning, der er gældende på den anden side af grænsen. I mange tilfælde er denne metode ikke mulig. Det kan ske, at der hverken på den ene eller anden side af grænsen findes nogen lovgivning, der kan bidrage til at løse et bestemt problem. Løsningen kan således være en model fra et tredje land, man henter inspiration fra;</w:t>
      </w:r>
    </w:p>
    <w:p w:rsidR="002337A6" w:rsidRPr="00556859" w:rsidRDefault="002337A6" w:rsidP="00252095">
      <w:pPr>
        <w:ind w:left="567" w:hanging="567"/>
        <w:rPr>
          <w:color w:val="000000"/>
        </w:rPr>
      </w:pPr>
    </w:p>
    <w:p w:rsidR="002337A6" w:rsidRPr="00D8183A" w:rsidRDefault="002337A6" w:rsidP="00252095">
      <w:pPr>
        <w:numPr>
          <w:ilvl w:val="0"/>
          <w:numId w:val="116"/>
        </w:numPr>
        <w:overflowPunct w:val="0"/>
        <w:autoSpaceDE w:val="0"/>
        <w:autoSpaceDN w:val="0"/>
        <w:adjustRightInd w:val="0"/>
        <w:ind w:left="567" w:hanging="567"/>
        <w:textAlignment w:val="baseline"/>
        <w:rPr>
          <w:color w:val="000000"/>
        </w:rPr>
      </w:pPr>
      <w:r>
        <w:rPr>
          <w:color w:val="000000"/>
        </w:rPr>
        <w:t>glæder sig over den koordinering, som Kommissionen indfører, og regner med, at grænsekoordinationspunkterne kan formidle tidligere eksempler på "god praksis" (grænseoverskridende programmer osv.);</w:t>
      </w:r>
    </w:p>
    <w:p w:rsidR="002337A6" w:rsidRPr="00556859" w:rsidRDefault="002337A6" w:rsidP="00252095">
      <w:pPr>
        <w:ind w:left="567" w:hanging="567"/>
        <w:rPr>
          <w:color w:val="000000"/>
        </w:rPr>
      </w:pPr>
    </w:p>
    <w:p w:rsidR="002337A6" w:rsidRPr="00D8183A" w:rsidRDefault="002337A6" w:rsidP="00252095">
      <w:pPr>
        <w:numPr>
          <w:ilvl w:val="0"/>
          <w:numId w:val="116"/>
        </w:numPr>
        <w:overflowPunct w:val="0"/>
        <w:autoSpaceDE w:val="0"/>
        <w:autoSpaceDN w:val="0"/>
        <w:adjustRightInd w:val="0"/>
        <w:ind w:left="567" w:hanging="567"/>
        <w:textAlignment w:val="baseline"/>
        <w:rPr>
          <w:color w:val="000000"/>
        </w:rPr>
      </w:pPr>
      <w:r>
        <w:rPr>
          <w:color w:val="000000"/>
        </w:rPr>
        <w:t>mener, at udkastet til forordning kan bidrage til at styrke en innovativ og ansvarlig europæisk offentlig administration, men EØSU vurderer, at det er nødvendigt at indføre informationspligt over for de deltagende parter for at sætte fokus på mulighederne for grænseoverskridende samarbejde;</w:t>
      </w:r>
    </w:p>
    <w:p w:rsidR="002337A6" w:rsidRPr="00D8183A" w:rsidRDefault="002337A6" w:rsidP="00252095">
      <w:pPr>
        <w:overflowPunct w:val="0"/>
        <w:autoSpaceDE w:val="0"/>
        <w:autoSpaceDN w:val="0"/>
        <w:adjustRightInd w:val="0"/>
        <w:ind w:left="360"/>
        <w:textAlignment w:val="baseline"/>
        <w:rPr>
          <w:color w:val="000000"/>
        </w:rPr>
      </w:pPr>
      <w:r>
        <w:rPr>
          <w:color w:val="000000"/>
        </w:rPr>
        <w:t xml:space="preserve"> </w:t>
      </w:r>
    </w:p>
    <w:p w:rsidR="002337A6" w:rsidRPr="00060E4C" w:rsidRDefault="002337A6" w:rsidP="00252095">
      <w:pPr>
        <w:pStyle w:val="ListParagraph"/>
        <w:numPr>
          <w:ilvl w:val="0"/>
          <w:numId w:val="116"/>
        </w:numPr>
        <w:ind w:left="567" w:hanging="567"/>
        <w:rPr>
          <w:color w:val="000000" w:themeColor="text1"/>
        </w:rPr>
      </w:pPr>
      <w:r>
        <w:rPr>
          <w:color w:val="000000"/>
        </w:rPr>
        <w:t>mener, at det for så vidt angår grænseoverskridende retlige og praktiske initiativer er vigtigt at undgå enhver risiko for tilbageskridt.</w:t>
      </w:r>
    </w:p>
    <w:p w:rsidR="002337A6" w:rsidRPr="00551742" w:rsidRDefault="002337A6" w:rsidP="00252095">
      <w:pPr>
        <w:rPr>
          <w:iCs/>
        </w:rPr>
      </w:pPr>
    </w:p>
    <w:p w:rsidR="002337A6" w:rsidRPr="0057460E" w:rsidRDefault="002337A6" w:rsidP="00252095">
      <w:pPr>
        <w:keepNext/>
        <w:tabs>
          <w:tab w:val="left" w:pos="1701"/>
        </w:tabs>
        <w:rPr>
          <w:i/>
        </w:rPr>
      </w:pPr>
      <w:r>
        <w:rPr>
          <w:b/>
          <w:i/>
        </w:rPr>
        <w:t>Kontaktperson:</w:t>
      </w:r>
      <w:r>
        <w:rPr>
          <w:i/>
        </w:rPr>
        <w:tab/>
        <w:t>Georgios Meleas</w:t>
      </w:r>
    </w:p>
    <w:p w:rsidR="002337A6" w:rsidRPr="000202C4" w:rsidRDefault="00F72A8C" w:rsidP="00252095">
      <w:pPr>
        <w:tabs>
          <w:tab w:val="left" w:pos="1701"/>
        </w:tabs>
        <w:rPr>
          <w:rStyle w:val="Hyperlink"/>
          <w:i/>
        </w:rPr>
      </w:pPr>
      <w:r>
        <w:rPr>
          <w:i/>
        </w:rPr>
        <w:tab/>
        <w:t xml:space="preserve">(Tlf.: 00 32 2 546 9795 – e-mail: </w:t>
      </w:r>
      <w:hyperlink r:id="rId23" w:history="1">
        <w:r>
          <w:rPr>
            <w:rStyle w:val="Hyperlink"/>
            <w:i/>
          </w:rPr>
          <w:t>georgios.meleas@eesc.europa.eu</w:t>
        </w:r>
      </w:hyperlink>
      <w:r>
        <w:rPr>
          <w:i/>
        </w:rPr>
        <w:t>)</w:t>
      </w:r>
    </w:p>
    <w:p w:rsidR="002337A6" w:rsidRDefault="002337A6" w:rsidP="00252095">
      <w:pPr>
        <w:rPr>
          <w:b/>
          <w:iCs/>
          <w:u w:val="single"/>
          <w:lang w:val="en-GB"/>
        </w:rPr>
      </w:pPr>
    </w:p>
    <w:p w:rsidR="002337A6" w:rsidRPr="00FF50EA" w:rsidRDefault="002337A6" w:rsidP="00252095">
      <w:pPr>
        <w:pStyle w:val="ListParagraph"/>
        <w:keepNext/>
        <w:numPr>
          <w:ilvl w:val="0"/>
          <w:numId w:val="124"/>
        </w:numPr>
        <w:overflowPunct w:val="0"/>
        <w:autoSpaceDE w:val="0"/>
        <w:autoSpaceDN w:val="0"/>
        <w:adjustRightInd w:val="0"/>
        <w:ind w:left="567" w:hanging="567"/>
        <w:textAlignment w:val="baseline"/>
        <w:rPr>
          <w:b/>
          <w:bCs/>
          <w:i/>
          <w:iCs/>
          <w:sz w:val="28"/>
          <w:szCs w:val="28"/>
        </w:rPr>
      </w:pPr>
      <w:r>
        <w:rPr>
          <w:b/>
          <w:bCs/>
          <w:i/>
          <w:iCs/>
          <w:sz w:val="28"/>
          <w:szCs w:val="28"/>
        </w:rPr>
        <w:lastRenderedPageBreak/>
        <w:t>Pericles IV-programmet</w:t>
      </w:r>
    </w:p>
    <w:p w:rsidR="002337A6" w:rsidRPr="00967F51" w:rsidRDefault="002337A6" w:rsidP="00252095">
      <w:pPr>
        <w:keepNext/>
        <w:ind w:firstLine="17"/>
        <w:rPr>
          <w:lang w:val="en-GB"/>
        </w:rPr>
      </w:pPr>
    </w:p>
    <w:p w:rsidR="002337A6" w:rsidRDefault="002337A6" w:rsidP="00252095">
      <w:pPr>
        <w:keepNext/>
        <w:rPr>
          <w:b/>
        </w:rPr>
      </w:pPr>
      <w:r>
        <w:rPr>
          <w:b/>
        </w:rPr>
        <w:t>Kategori C</w:t>
      </w:r>
    </w:p>
    <w:p w:rsidR="002337A6" w:rsidRPr="00A75E50" w:rsidRDefault="002337A6" w:rsidP="00252095">
      <w:pPr>
        <w:keepNext/>
        <w:rPr>
          <w:b/>
          <w:lang w:val="en-GB"/>
        </w:rPr>
      </w:pPr>
    </w:p>
    <w:p w:rsidR="002337A6" w:rsidRPr="00EB1E7B" w:rsidRDefault="002337A6" w:rsidP="00252095">
      <w:pPr>
        <w:keepNext/>
        <w:tabs>
          <w:tab w:val="left" w:pos="1134"/>
        </w:tabs>
      </w:pPr>
      <w:r>
        <w:rPr>
          <w:b/>
          <w:bCs/>
        </w:rPr>
        <w:t>Ref.:</w:t>
      </w:r>
      <w:r w:rsidR="00252095">
        <w:rPr>
          <w:b/>
          <w:bCs/>
        </w:rPr>
        <w:tab/>
      </w:r>
      <w:r>
        <w:t>COM(2018) 369 final – 2018/0194 (CNS)</w:t>
      </w:r>
    </w:p>
    <w:p w:rsidR="002337A6" w:rsidRPr="00967F51" w:rsidRDefault="00FF50EA" w:rsidP="00252095">
      <w:pPr>
        <w:keepNext/>
        <w:tabs>
          <w:tab w:val="left" w:pos="1134"/>
        </w:tabs>
      </w:pPr>
      <w:r>
        <w:tab/>
        <w:t>EESC-2018-03925-00-00-AC-TRA</w:t>
      </w:r>
    </w:p>
    <w:p w:rsidR="002337A6" w:rsidRPr="00967F51" w:rsidRDefault="002337A6" w:rsidP="00252095">
      <w:pPr>
        <w:keepNext/>
        <w:ind w:left="-5"/>
        <w:rPr>
          <w:b/>
        </w:rPr>
      </w:pPr>
      <w:r>
        <w:tab/>
      </w:r>
    </w:p>
    <w:p w:rsidR="002337A6" w:rsidRDefault="00FF50EA" w:rsidP="00252095">
      <w:pPr>
        <w:keepNext/>
        <w:ind w:left="-5"/>
        <w:rPr>
          <w:b/>
        </w:rPr>
      </w:pPr>
      <w:r>
        <w:rPr>
          <w:b/>
        </w:rPr>
        <w:t>Hovedpunkter:</w:t>
      </w:r>
    </w:p>
    <w:p w:rsidR="002337A6" w:rsidRDefault="002337A6" w:rsidP="00252095">
      <w:pPr>
        <w:keepNext/>
        <w:rPr>
          <w:lang w:val="fr-BE"/>
        </w:rPr>
      </w:pPr>
    </w:p>
    <w:p w:rsidR="002337A6" w:rsidRDefault="002337A6" w:rsidP="00252095">
      <w:pPr>
        <w:pStyle w:val="Heading2"/>
        <w:numPr>
          <w:ilvl w:val="0"/>
          <w:numId w:val="0"/>
        </w:numPr>
      </w:pPr>
      <w:r>
        <w:t>Da EØSU går ind for indholdet af Kommissionens forslag, som ikke giver anledning til bemærkninger, besluttede det at afgive en udtalelse til støtte for det fremsatte forslag.</w:t>
      </w:r>
    </w:p>
    <w:p w:rsidR="002337A6" w:rsidRDefault="002337A6" w:rsidP="00252095">
      <w:pPr>
        <w:tabs>
          <w:tab w:val="center" w:pos="284"/>
        </w:tabs>
        <w:ind w:left="266" w:hanging="266"/>
        <w:rPr>
          <w:lang w:val="fr-BE"/>
        </w:rPr>
      </w:pPr>
    </w:p>
    <w:p w:rsidR="002337A6" w:rsidRPr="000202C4" w:rsidRDefault="002337A6" w:rsidP="00252095">
      <w:pPr>
        <w:keepNext/>
        <w:tabs>
          <w:tab w:val="left" w:pos="0"/>
          <w:tab w:val="left" w:pos="1701"/>
        </w:tabs>
        <w:rPr>
          <w:i/>
        </w:rPr>
      </w:pPr>
      <w:r>
        <w:rPr>
          <w:b/>
          <w:i/>
        </w:rPr>
        <w:t>Kontaktperson:</w:t>
      </w:r>
      <w:r>
        <w:rPr>
          <w:i/>
        </w:rPr>
        <w:tab/>
        <w:t>Alexander Alexandrov</w:t>
      </w:r>
    </w:p>
    <w:p w:rsidR="007F2B1A" w:rsidRDefault="00FF50EA" w:rsidP="00252095">
      <w:pPr>
        <w:tabs>
          <w:tab w:val="center" w:pos="284"/>
          <w:tab w:val="left" w:pos="1701"/>
        </w:tabs>
        <w:ind w:left="266" w:hanging="266"/>
        <w:rPr>
          <w:i/>
        </w:rPr>
      </w:pPr>
      <w:r>
        <w:rPr>
          <w:i/>
        </w:rPr>
        <w:tab/>
      </w:r>
      <w:r>
        <w:rPr>
          <w:i/>
        </w:rPr>
        <w:tab/>
      </w:r>
      <w:r>
        <w:rPr>
          <w:i/>
        </w:rPr>
        <w:tab/>
        <w:t xml:space="preserve">(Tlf.: 00 32 2 546 98 05 – e-mail: </w:t>
      </w:r>
      <w:hyperlink r:id="rId24" w:history="1">
        <w:r>
          <w:rPr>
            <w:rStyle w:val="Hyperlink"/>
            <w:i/>
          </w:rPr>
          <w:t>Alexander.Alexandrov@eesc.europa.eu</w:t>
        </w:r>
      </w:hyperlink>
      <w:r>
        <w:rPr>
          <w:i/>
        </w:rPr>
        <w:t>)</w:t>
      </w:r>
    </w:p>
    <w:p w:rsidR="007F2B1A" w:rsidRDefault="007F2B1A" w:rsidP="00252095">
      <w:pPr>
        <w:jc w:val="left"/>
        <w:rPr>
          <w:i/>
        </w:rPr>
      </w:pPr>
      <w:r>
        <w:br w:type="page"/>
      </w:r>
    </w:p>
    <w:p w:rsidR="00C73832" w:rsidRPr="00B02D2C" w:rsidRDefault="00AD00B7" w:rsidP="00252095">
      <w:pPr>
        <w:pStyle w:val="Heading1"/>
        <w:keepNext/>
        <w:ind w:left="567" w:hanging="567"/>
        <w:rPr>
          <w:b/>
          <w:caps/>
        </w:rPr>
      </w:pPr>
      <w:bookmarkStart w:id="992" w:name="_Toc527019935"/>
      <w:r>
        <w:rPr>
          <w:b/>
          <w:caps/>
        </w:rPr>
        <w:lastRenderedPageBreak/>
        <w:t>Det Indre Marked, Produktion og Forbrug</w:t>
      </w:r>
      <w:bookmarkEnd w:id="992"/>
    </w:p>
    <w:p w:rsidR="00EE5D39" w:rsidRDefault="00EE5D39" w:rsidP="00252095">
      <w:pPr>
        <w:keepNext/>
        <w:rPr>
          <w:i/>
          <w:iCs/>
          <w:u w:val="single"/>
        </w:rPr>
      </w:pPr>
    </w:p>
    <w:p w:rsidR="00E75595" w:rsidRPr="007F701E" w:rsidRDefault="00553E21" w:rsidP="00252095">
      <w:pPr>
        <w:pStyle w:val="ListParagraph"/>
        <w:keepNext/>
        <w:numPr>
          <w:ilvl w:val="0"/>
          <w:numId w:val="92"/>
        </w:numPr>
        <w:overflowPunct w:val="0"/>
        <w:autoSpaceDE w:val="0"/>
        <w:autoSpaceDN w:val="0"/>
        <w:adjustRightInd w:val="0"/>
        <w:ind w:left="567" w:hanging="567"/>
        <w:textAlignment w:val="baseline"/>
        <w:rPr>
          <w:sz w:val="24"/>
          <w:szCs w:val="24"/>
        </w:rPr>
      </w:pPr>
      <w:r>
        <w:rPr>
          <w:b/>
          <w:i/>
          <w:sz w:val="28"/>
          <w:szCs w:val="28"/>
        </w:rPr>
        <w:t>Kunstig intelligens / konsekvenserne for beskæftigelsen</w:t>
      </w:r>
    </w:p>
    <w:p w:rsidR="00E75595" w:rsidRPr="005B6772" w:rsidRDefault="00E75595" w:rsidP="00252095">
      <w:pPr>
        <w:keepNext/>
        <w:tabs>
          <w:tab w:val="center" w:pos="284"/>
        </w:tabs>
        <w:ind w:left="266" w:hanging="266"/>
        <w:rPr>
          <w:b/>
          <w:lang w:val="fr-FR"/>
        </w:rPr>
      </w:pPr>
    </w:p>
    <w:p w:rsidR="00E75595" w:rsidRDefault="00E75595" w:rsidP="00252095">
      <w:pPr>
        <w:keepNext/>
      </w:pPr>
      <w:r>
        <w:rPr>
          <w:b/>
        </w:rPr>
        <w:t>Ordfører:</w:t>
      </w:r>
      <w:r>
        <w:tab/>
      </w:r>
      <w:r w:rsidR="00252095">
        <w:tab/>
      </w:r>
      <w:r>
        <w:t>Franca Salis-Madinier (Arbejdstagergruppen – FR)</w:t>
      </w:r>
    </w:p>
    <w:p w:rsidR="00E75595" w:rsidRPr="005B6772" w:rsidRDefault="00E75595" w:rsidP="00252095">
      <w:pPr>
        <w:keepNext/>
        <w:tabs>
          <w:tab w:val="center" w:pos="284"/>
          <w:tab w:val="center" w:pos="1134"/>
        </w:tabs>
        <w:ind w:left="266" w:hanging="266"/>
        <w:rPr>
          <w:b/>
          <w:lang w:val="fr-FR"/>
        </w:rPr>
      </w:pPr>
    </w:p>
    <w:p w:rsidR="00E75595" w:rsidRDefault="004944E2" w:rsidP="00252095">
      <w:pPr>
        <w:keepNext/>
        <w:tabs>
          <w:tab w:val="center" w:pos="284"/>
          <w:tab w:val="center" w:pos="1134"/>
        </w:tabs>
        <w:ind w:left="266" w:hanging="266"/>
      </w:pPr>
      <w:r>
        <w:rPr>
          <w:b/>
        </w:rPr>
        <w:t>Ref.:</w:t>
      </w:r>
      <w:r w:rsidR="00252095">
        <w:rPr>
          <w:b/>
        </w:rPr>
        <w:tab/>
      </w:r>
      <w:r w:rsidR="00252095">
        <w:rPr>
          <w:b/>
        </w:rPr>
        <w:tab/>
      </w:r>
      <w:r>
        <w:t>Initiativudtalelse</w:t>
      </w:r>
    </w:p>
    <w:p w:rsidR="00E75595" w:rsidRPr="00103768" w:rsidRDefault="004944E2" w:rsidP="00252095">
      <w:pPr>
        <w:keepNext/>
        <w:tabs>
          <w:tab w:val="center" w:pos="284"/>
          <w:tab w:val="left" w:pos="1134"/>
        </w:tabs>
        <w:ind w:left="266" w:hanging="266"/>
      </w:pPr>
      <w:r>
        <w:tab/>
      </w:r>
      <w:r w:rsidR="00252095">
        <w:tab/>
      </w:r>
      <w:r>
        <w:tab/>
      </w:r>
      <w:r>
        <w:tab/>
        <w:t>EESC-2018-01473-00-00-AC-TRA</w:t>
      </w:r>
    </w:p>
    <w:p w:rsidR="00E75595" w:rsidRPr="002D46CB" w:rsidRDefault="00E75595" w:rsidP="00252095">
      <w:pPr>
        <w:keepNext/>
        <w:tabs>
          <w:tab w:val="center" w:pos="284"/>
        </w:tabs>
        <w:ind w:left="266" w:hanging="266"/>
        <w:rPr>
          <w:lang w:val="fr-FR"/>
        </w:rPr>
      </w:pPr>
    </w:p>
    <w:p w:rsidR="00E75595" w:rsidRDefault="004944E2" w:rsidP="00252095">
      <w:pPr>
        <w:keepNext/>
        <w:tabs>
          <w:tab w:val="center" w:pos="284"/>
        </w:tabs>
        <w:ind w:left="266" w:hanging="266"/>
        <w:rPr>
          <w:b/>
        </w:rPr>
      </w:pPr>
      <w:r>
        <w:rPr>
          <w:b/>
        </w:rPr>
        <w:t>Hovedpunkter:</w:t>
      </w:r>
    </w:p>
    <w:p w:rsidR="00E75595" w:rsidRDefault="00E75595" w:rsidP="00252095">
      <w:pPr>
        <w:keepNext/>
        <w:tabs>
          <w:tab w:val="center" w:pos="284"/>
        </w:tabs>
        <w:ind w:left="266" w:hanging="266"/>
        <w:rPr>
          <w:b/>
          <w:lang w:val="fr-FR"/>
        </w:rPr>
      </w:pPr>
    </w:p>
    <w:p w:rsidR="00E75595" w:rsidRDefault="00E75595" w:rsidP="00252095">
      <w:pPr>
        <w:keepNext/>
      </w:pPr>
      <w:r>
        <w:t>EØSU:</w:t>
      </w:r>
    </w:p>
    <w:p w:rsidR="004944E2" w:rsidRPr="00716A95" w:rsidRDefault="004944E2" w:rsidP="00252095">
      <w:pPr>
        <w:keepNext/>
        <w:rPr>
          <w:szCs w:val="24"/>
        </w:rPr>
      </w:pPr>
    </w:p>
    <w:p w:rsidR="00E75595" w:rsidRDefault="00E75595" w:rsidP="00252095">
      <w:pPr>
        <w:pStyle w:val="ListParagraph"/>
        <w:numPr>
          <w:ilvl w:val="0"/>
          <w:numId w:val="5"/>
        </w:numPr>
        <w:overflowPunct w:val="0"/>
        <w:autoSpaceDE w:val="0"/>
        <w:autoSpaceDN w:val="0"/>
        <w:adjustRightInd w:val="0"/>
        <w:ind w:left="567" w:hanging="567"/>
        <w:textAlignment w:val="baseline"/>
        <w:rPr>
          <w:szCs w:val="24"/>
        </w:rPr>
      </w:pPr>
      <w:r>
        <w:t>henstiller, at Kommissionen fremmer og støtter gennemførelsen af undersøgelser om de sektorspecifikke konsekvenser af AI og robotteknologi;</w:t>
      </w:r>
    </w:p>
    <w:p w:rsidR="004944E2" w:rsidRPr="004944E2" w:rsidRDefault="004944E2" w:rsidP="00252095">
      <w:pPr>
        <w:overflowPunct w:val="0"/>
        <w:autoSpaceDE w:val="0"/>
        <w:autoSpaceDN w:val="0"/>
        <w:adjustRightInd w:val="0"/>
        <w:ind w:left="567" w:hanging="567"/>
        <w:textAlignment w:val="baseline"/>
        <w:rPr>
          <w:szCs w:val="24"/>
          <w:lang w:val="fr-BE"/>
        </w:rPr>
      </w:pPr>
    </w:p>
    <w:p w:rsidR="00E75595" w:rsidRDefault="00E75595" w:rsidP="00252095">
      <w:pPr>
        <w:pStyle w:val="ListParagraph"/>
        <w:numPr>
          <w:ilvl w:val="0"/>
          <w:numId w:val="5"/>
        </w:numPr>
        <w:overflowPunct w:val="0"/>
        <w:autoSpaceDE w:val="0"/>
        <w:autoSpaceDN w:val="0"/>
        <w:adjustRightInd w:val="0"/>
        <w:ind w:left="567" w:hanging="567"/>
        <w:textAlignment w:val="baseline"/>
        <w:rPr>
          <w:szCs w:val="24"/>
        </w:rPr>
      </w:pPr>
      <w:r>
        <w:t>støtter idéen om en decideret EU-fond for omstilling, som vil bidrage til en socialt ansvarlig forvaltning af den digitale omstilling;</w:t>
      </w:r>
    </w:p>
    <w:p w:rsidR="004944E2" w:rsidRPr="004944E2" w:rsidRDefault="004944E2" w:rsidP="00252095">
      <w:pPr>
        <w:overflowPunct w:val="0"/>
        <w:autoSpaceDE w:val="0"/>
        <w:autoSpaceDN w:val="0"/>
        <w:adjustRightInd w:val="0"/>
        <w:ind w:left="567" w:hanging="567"/>
        <w:textAlignment w:val="baseline"/>
        <w:rPr>
          <w:szCs w:val="24"/>
          <w:lang w:val="fr-BE"/>
        </w:rPr>
      </w:pPr>
    </w:p>
    <w:p w:rsidR="00E75595" w:rsidRDefault="00E75595" w:rsidP="00252095">
      <w:pPr>
        <w:pStyle w:val="ListParagraph"/>
        <w:numPr>
          <w:ilvl w:val="0"/>
          <w:numId w:val="5"/>
        </w:numPr>
        <w:overflowPunct w:val="0"/>
        <w:autoSpaceDE w:val="0"/>
        <w:autoSpaceDN w:val="0"/>
        <w:adjustRightInd w:val="0"/>
        <w:ind w:left="567" w:hanging="567"/>
        <w:textAlignment w:val="baseline"/>
        <w:rPr>
          <w:szCs w:val="24"/>
        </w:rPr>
      </w:pPr>
      <w:r>
        <w:t>anbefaler i den forbindelse, at de principper, tilsagn og forpligtelser, som er fastlagt i eksisterende retsakter om information og høring af arbejdstagerne, overholdes og skærpes, og opfordrer indtrængende til at udforme en inklusiv EU-dagsorden for AI, som er baseret på disse retsakter og den europæiske søjle for sociale rettigheder;</w:t>
      </w:r>
    </w:p>
    <w:p w:rsidR="004944E2" w:rsidRPr="004944E2" w:rsidRDefault="004944E2" w:rsidP="00252095">
      <w:pPr>
        <w:overflowPunct w:val="0"/>
        <w:autoSpaceDE w:val="0"/>
        <w:autoSpaceDN w:val="0"/>
        <w:adjustRightInd w:val="0"/>
        <w:ind w:left="567" w:hanging="567"/>
        <w:textAlignment w:val="baseline"/>
        <w:rPr>
          <w:szCs w:val="24"/>
          <w:lang w:val="fr-BE"/>
        </w:rPr>
      </w:pPr>
    </w:p>
    <w:p w:rsidR="00E75595" w:rsidRDefault="00E75595" w:rsidP="00252095">
      <w:pPr>
        <w:pStyle w:val="ListParagraph"/>
        <w:numPr>
          <w:ilvl w:val="0"/>
          <w:numId w:val="5"/>
        </w:numPr>
        <w:overflowPunct w:val="0"/>
        <w:autoSpaceDE w:val="0"/>
        <w:autoSpaceDN w:val="0"/>
        <w:adjustRightInd w:val="0"/>
        <w:ind w:left="567" w:hanging="567"/>
        <w:textAlignment w:val="baseline"/>
        <w:rPr>
          <w:szCs w:val="24"/>
        </w:rPr>
      </w:pPr>
      <w:r>
        <w:t>anbefaler, at de kommende etiske retningslinjer for AI udstikker klare grænser i samspillet mellem arbejdstagere og intelligente maskiner og omfatter principper om gennemsigtighed i anvendelsen af AI-systemer;</w:t>
      </w:r>
    </w:p>
    <w:p w:rsidR="004944E2" w:rsidRPr="004944E2" w:rsidRDefault="004944E2" w:rsidP="00252095">
      <w:pPr>
        <w:overflowPunct w:val="0"/>
        <w:autoSpaceDE w:val="0"/>
        <w:autoSpaceDN w:val="0"/>
        <w:adjustRightInd w:val="0"/>
        <w:ind w:left="567" w:hanging="567"/>
        <w:textAlignment w:val="baseline"/>
        <w:rPr>
          <w:szCs w:val="24"/>
          <w:lang w:val="fr-BE"/>
        </w:rPr>
      </w:pPr>
    </w:p>
    <w:p w:rsidR="00E75595" w:rsidRDefault="00E75595" w:rsidP="00252095">
      <w:pPr>
        <w:pStyle w:val="ListParagraph"/>
        <w:numPr>
          <w:ilvl w:val="0"/>
          <w:numId w:val="5"/>
        </w:numPr>
        <w:overflowPunct w:val="0"/>
        <w:autoSpaceDE w:val="0"/>
        <w:autoSpaceDN w:val="0"/>
        <w:adjustRightInd w:val="0"/>
        <w:ind w:left="567" w:hanging="567"/>
        <w:textAlignment w:val="baseline"/>
        <w:rPr>
          <w:szCs w:val="24"/>
        </w:rPr>
      </w:pPr>
      <w:r>
        <w:t>anbefaler, at ingeniører og udviklere af intelligente maskiner uddannes i etik;</w:t>
      </w:r>
    </w:p>
    <w:p w:rsidR="004944E2" w:rsidRPr="004944E2" w:rsidRDefault="004944E2" w:rsidP="00252095">
      <w:pPr>
        <w:overflowPunct w:val="0"/>
        <w:autoSpaceDE w:val="0"/>
        <w:autoSpaceDN w:val="0"/>
        <w:adjustRightInd w:val="0"/>
        <w:ind w:left="567" w:hanging="567"/>
        <w:textAlignment w:val="baseline"/>
        <w:rPr>
          <w:szCs w:val="24"/>
          <w:lang w:val="fr-BE"/>
        </w:rPr>
      </w:pPr>
    </w:p>
    <w:p w:rsidR="00E75595" w:rsidRPr="00716A95" w:rsidRDefault="00E75595" w:rsidP="00252095">
      <w:pPr>
        <w:pStyle w:val="ListParagraph"/>
        <w:numPr>
          <w:ilvl w:val="0"/>
          <w:numId w:val="5"/>
        </w:numPr>
        <w:overflowPunct w:val="0"/>
        <w:autoSpaceDE w:val="0"/>
        <w:autoSpaceDN w:val="0"/>
        <w:adjustRightInd w:val="0"/>
        <w:ind w:left="567" w:hanging="567"/>
        <w:textAlignment w:val="baseline"/>
        <w:rPr>
          <w:szCs w:val="24"/>
        </w:rPr>
      </w:pPr>
      <w:r>
        <w:t>henstiller, at princippet om lovbestemt ansvar afklares og anbefaler en mere ambitiøs tilgang under direktivet om produktansvar.</w:t>
      </w:r>
    </w:p>
    <w:p w:rsidR="00E75595" w:rsidRPr="00A62F85" w:rsidRDefault="00E75595" w:rsidP="00252095">
      <w:pPr>
        <w:rPr>
          <w:szCs w:val="24"/>
          <w:lang w:val="fr-FR"/>
        </w:rPr>
      </w:pPr>
    </w:p>
    <w:p w:rsidR="00E75595" w:rsidRPr="0057460E" w:rsidRDefault="00E75595" w:rsidP="00252095">
      <w:pPr>
        <w:keepNext/>
        <w:tabs>
          <w:tab w:val="left" w:pos="1701"/>
        </w:tabs>
        <w:rPr>
          <w:i/>
        </w:rPr>
      </w:pPr>
      <w:r>
        <w:rPr>
          <w:b/>
          <w:i/>
        </w:rPr>
        <w:t>Kontaktperson:</w:t>
      </w:r>
      <w:r>
        <w:rPr>
          <w:i/>
        </w:rPr>
        <w:tab/>
        <w:t>Alice Tétu</w:t>
      </w:r>
    </w:p>
    <w:p w:rsidR="00E75595" w:rsidRDefault="004944E2" w:rsidP="00252095">
      <w:pPr>
        <w:tabs>
          <w:tab w:val="left" w:pos="1701"/>
        </w:tabs>
        <w:rPr>
          <w:i/>
        </w:rPr>
      </w:pPr>
      <w:r>
        <w:rPr>
          <w:i/>
        </w:rPr>
        <w:tab/>
        <w:t xml:space="preserve">(Tlf.: 00 32 2 546 82 86 – e-mail: </w:t>
      </w:r>
      <w:hyperlink r:id="rId25" w:history="1">
        <w:r>
          <w:rPr>
            <w:rStyle w:val="Hyperlink"/>
            <w:i/>
          </w:rPr>
          <w:t>alice.tetu@eesc.europa.eu</w:t>
        </w:r>
      </w:hyperlink>
      <w:r>
        <w:rPr>
          <w:i/>
        </w:rPr>
        <w:t>)</w:t>
      </w:r>
    </w:p>
    <w:p w:rsidR="00E75595" w:rsidRDefault="00E75595" w:rsidP="00252095"/>
    <w:p w:rsidR="00E75595" w:rsidRPr="004944E2" w:rsidRDefault="00553E21" w:rsidP="00252095">
      <w:pPr>
        <w:pStyle w:val="ListParagraph"/>
        <w:keepNext/>
        <w:numPr>
          <w:ilvl w:val="0"/>
          <w:numId w:val="92"/>
        </w:numPr>
        <w:overflowPunct w:val="0"/>
        <w:autoSpaceDE w:val="0"/>
        <w:autoSpaceDN w:val="0"/>
        <w:adjustRightInd w:val="0"/>
        <w:ind w:left="567" w:hanging="567"/>
        <w:textAlignment w:val="baseline"/>
        <w:rPr>
          <w:sz w:val="24"/>
          <w:szCs w:val="24"/>
        </w:rPr>
      </w:pPr>
      <w:r>
        <w:rPr>
          <w:b/>
          <w:i/>
          <w:sz w:val="28"/>
          <w:szCs w:val="28"/>
        </w:rPr>
        <w:lastRenderedPageBreak/>
        <w:t>Tillid, privatlivets fred og sikkerhed / Tingenes internet</w:t>
      </w:r>
    </w:p>
    <w:p w:rsidR="00E75595" w:rsidRPr="005B6772" w:rsidRDefault="00E75595" w:rsidP="00252095">
      <w:pPr>
        <w:keepNext/>
        <w:tabs>
          <w:tab w:val="center" w:pos="284"/>
        </w:tabs>
        <w:ind w:left="266" w:hanging="266"/>
        <w:rPr>
          <w:b/>
          <w:lang w:val="fr-FR"/>
        </w:rPr>
      </w:pPr>
    </w:p>
    <w:p w:rsidR="00E75595" w:rsidRPr="00C23DE4" w:rsidRDefault="00E75595" w:rsidP="00252095">
      <w:pPr>
        <w:keepNext/>
        <w:tabs>
          <w:tab w:val="center" w:pos="284"/>
          <w:tab w:val="left" w:pos="1701"/>
        </w:tabs>
        <w:ind w:left="266" w:hanging="266"/>
      </w:pPr>
      <w:r>
        <w:rPr>
          <w:b/>
        </w:rPr>
        <w:t>Ordfører:</w:t>
      </w:r>
      <w:r>
        <w:t xml:space="preserve"> </w:t>
      </w:r>
      <w:r>
        <w:tab/>
        <w:t>Carlos Trias Pintó (Gruppen Diversitet Europa – ES)</w:t>
      </w:r>
    </w:p>
    <w:p w:rsidR="00E75595" w:rsidRDefault="00E75595" w:rsidP="00252095">
      <w:pPr>
        <w:keepNext/>
        <w:tabs>
          <w:tab w:val="center" w:pos="284"/>
          <w:tab w:val="left" w:pos="1701"/>
        </w:tabs>
        <w:ind w:left="266" w:hanging="266"/>
        <w:rPr>
          <w:b/>
        </w:rPr>
      </w:pPr>
      <w:r>
        <w:rPr>
          <w:b/>
        </w:rPr>
        <w:t>Medordfører:</w:t>
      </w:r>
      <w:r>
        <w:t xml:space="preserve"> </w:t>
      </w:r>
      <w:r>
        <w:tab/>
        <w:t>Dimitris Dimitriadis (Arbejdsgivergruppen – EL)</w:t>
      </w:r>
    </w:p>
    <w:p w:rsidR="004944E2" w:rsidRDefault="004944E2" w:rsidP="00252095">
      <w:pPr>
        <w:keepNext/>
        <w:tabs>
          <w:tab w:val="center" w:pos="284"/>
          <w:tab w:val="left" w:pos="1701"/>
        </w:tabs>
        <w:ind w:left="266" w:hanging="266"/>
        <w:rPr>
          <w:b/>
          <w:lang w:val="fr-FR"/>
        </w:rPr>
      </w:pPr>
    </w:p>
    <w:p w:rsidR="00E75595" w:rsidRPr="00562DAD" w:rsidRDefault="004944E2" w:rsidP="00252095">
      <w:pPr>
        <w:keepNext/>
        <w:tabs>
          <w:tab w:val="center" w:pos="284"/>
          <w:tab w:val="left" w:pos="1701"/>
        </w:tabs>
        <w:ind w:left="266" w:hanging="266"/>
      </w:pPr>
      <w:r>
        <w:rPr>
          <w:b/>
        </w:rPr>
        <w:t>Ref.:</w:t>
      </w:r>
      <w:r w:rsidR="00252095">
        <w:rPr>
          <w:b/>
        </w:rPr>
        <w:tab/>
      </w:r>
      <w:r>
        <w:t>Initiativudtalelse</w:t>
      </w:r>
    </w:p>
    <w:p w:rsidR="00E75595" w:rsidRPr="00103768" w:rsidRDefault="004944E2" w:rsidP="00252095">
      <w:pPr>
        <w:keepNext/>
        <w:tabs>
          <w:tab w:val="center" w:pos="284"/>
        </w:tabs>
        <w:ind w:left="1706" w:hanging="266"/>
      </w:pPr>
      <w:r>
        <w:tab/>
        <w:t>EESC-2018-01038-00-00-AC-TRA</w:t>
      </w:r>
    </w:p>
    <w:p w:rsidR="00E75595" w:rsidRPr="002D46CB" w:rsidRDefault="00E75595" w:rsidP="00252095">
      <w:pPr>
        <w:keepNext/>
        <w:tabs>
          <w:tab w:val="center" w:pos="284"/>
        </w:tabs>
        <w:ind w:left="266" w:hanging="266"/>
        <w:rPr>
          <w:lang w:val="fr-FR"/>
        </w:rPr>
      </w:pPr>
    </w:p>
    <w:p w:rsidR="00E75595" w:rsidRDefault="00B96C2A" w:rsidP="00252095">
      <w:pPr>
        <w:keepNext/>
        <w:tabs>
          <w:tab w:val="center" w:pos="284"/>
        </w:tabs>
        <w:ind w:left="266" w:hanging="266"/>
        <w:rPr>
          <w:b/>
        </w:rPr>
      </w:pPr>
      <w:r>
        <w:rPr>
          <w:b/>
        </w:rPr>
        <w:t>Hovedpunkter:</w:t>
      </w:r>
    </w:p>
    <w:p w:rsidR="00E75595" w:rsidRDefault="00E75595" w:rsidP="00252095">
      <w:pPr>
        <w:keepNext/>
        <w:tabs>
          <w:tab w:val="center" w:pos="284"/>
        </w:tabs>
        <w:ind w:left="266" w:hanging="266"/>
        <w:rPr>
          <w:b/>
          <w:lang w:val="fr-FR"/>
        </w:rPr>
      </w:pPr>
    </w:p>
    <w:p w:rsidR="00B96C2A" w:rsidRDefault="00E75595" w:rsidP="00252095">
      <w:pPr>
        <w:keepNext/>
      </w:pPr>
      <w:r>
        <w:t>EØSU opfordrer EU's institutioner og medlemsstater til at:</w:t>
      </w:r>
    </w:p>
    <w:p w:rsidR="00E75595" w:rsidRPr="00716A95" w:rsidRDefault="00E75595" w:rsidP="00252095">
      <w:pPr>
        <w:keepNext/>
        <w:rPr>
          <w:color w:val="000000" w:themeColor="text1"/>
        </w:rPr>
      </w:pPr>
      <w:r>
        <w:t xml:space="preserve"> </w:t>
      </w:r>
    </w:p>
    <w:p w:rsidR="00E75595" w:rsidRDefault="00E75595" w:rsidP="00252095">
      <w:pPr>
        <w:pStyle w:val="ListParagraph"/>
        <w:numPr>
          <w:ilvl w:val="0"/>
          <w:numId w:val="6"/>
        </w:numPr>
        <w:ind w:left="567" w:hanging="567"/>
        <w:rPr>
          <w:color w:val="000000" w:themeColor="text1"/>
        </w:rPr>
      </w:pPr>
      <w:r>
        <w:rPr>
          <w:color w:val="000000" w:themeColor="text1"/>
        </w:rPr>
        <w:t>garantere sikkerheden og privatlivets fred gennem udformning af de nødvendige lovgivningsmæssige rammer, som skal omfatte strenge bestemmelser om overvågning og kontrol;</w:t>
      </w:r>
    </w:p>
    <w:p w:rsidR="00B96C2A" w:rsidRPr="00B96C2A" w:rsidRDefault="00B96C2A" w:rsidP="00252095">
      <w:pPr>
        <w:ind w:left="567" w:hanging="567"/>
        <w:rPr>
          <w:color w:val="000000" w:themeColor="text1"/>
        </w:rPr>
      </w:pPr>
    </w:p>
    <w:p w:rsidR="00E75595" w:rsidRDefault="00E75595" w:rsidP="00252095">
      <w:pPr>
        <w:pStyle w:val="ListParagraph"/>
        <w:numPr>
          <w:ilvl w:val="0"/>
          <w:numId w:val="6"/>
        </w:numPr>
        <w:ind w:left="567" w:hanging="567"/>
        <w:rPr>
          <w:color w:val="000000" w:themeColor="text1"/>
        </w:rPr>
      </w:pPr>
      <w:r>
        <w:rPr>
          <w:color w:val="000000" w:themeColor="text1"/>
        </w:rPr>
        <w:t>fastlægge en klar ansvarsfordeling for alle operatører i forsyningskæden og de tilknyttede informationsstrømme;</w:t>
      </w:r>
    </w:p>
    <w:p w:rsidR="00B96C2A" w:rsidRPr="00B96C2A" w:rsidRDefault="00B96C2A" w:rsidP="00252095">
      <w:pPr>
        <w:ind w:left="567" w:hanging="567"/>
        <w:rPr>
          <w:color w:val="000000" w:themeColor="text1"/>
        </w:rPr>
      </w:pPr>
    </w:p>
    <w:p w:rsidR="00E75595" w:rsidRDefault="00E75595" w:rsidP="00252095">
      <w:pPr>
        <w:pStyle w:val="ListParagraph"/>
        <w:numPr>
          <w:ilvl w:val="0"/>
          <w:numId w:val="6"/>
        </w:numPr>
        <w:ind w:left="567" w:hanging="567"/>
        <w:rPr>
          <w:color w:val="000000" w:themeColor="text1"/>
        </w:rPr>
      </w:pPr>
      <w:r>
        <w:rPr>
          <w:color w:val="000000" w:themeColor="text1"/>
        </w:rPr>
        <w:t>sikre passende ressourcer og opstille effektive mekanismer til koordinering mellem Kommissionen og medlemsstaterne;</w:t>
      </w:r>
    </w:p>
    <w:p w:rsidR="00B96C2A" w:rsidRPr="00B96C2A" w:rsidRDefault="00B96C2A" w:rsidP="00252095">
      <w:pPr>
        <w:ind w:left="567" w:hanging="567"/>
        <w:rPr>
          <w:color w:val="000000" w:themeColor="text1"/>
        </w:rPr>
      </w:pPr>
    </w:p>
    <w:p w:rsidR="00E75595" w:rsidRDefault="00E75595" w:rsidP="00252095">
      <w:pPr>
        <w:pStyle w:val="ListParagraph"/>
        <w:numPr>
          <w:ilvl w:val="0"/>
          <w:numId w:val="6"/>
        </w:numPr>
        <w:ind w:left="567" w:hanging="567"/>
        <w:rPr>
          <w:color w:val="000000" w:themeColor="text1"/>
        </w:rPr>
      </w:pPr>
      <w:r>
        <w:rPr>
          <w:color w:val="000000" w:themeColor="text1"/>
        </w:rPr>
        <w:t>overvåge udviklingen af nye teknologier med relation til IoT for at sikre et højt sikkerhedsniveau, fuld gennemsigtighed og fair adgang;</w:t>
      </w:r>
    </w:p>
    <w:p w:rsidR="00B96C2A" w:rsidRPr="00B96C2A" w:rsidRDefault="00B96C2A" w:rsidP="00252095">
      <w:pPr>
        <w:ind w:left="567" w:hanging="567"/>
        <w:rPr>
          <w:color w:val="000000" w:themeColor="text1"/>
        </w:rPr>
      </w:pPr>
    </w:p>
    <w:p w:rsidR="00E75595" w:rsidRDefault="00E75595" w:rsidP="00252095">
      <w:pPr>
        <w:pStyle w:val="ListParagraph"/>
        <w:numPr>
          <w:ilvl w:val="0"/>
          <w:numId w:val="6"/>
        </w:numPr>
        <w:ind w:left="567" w:hanging="567"/>
        <w:rPr>
          <w:color w:val="000000" w:themeColor="text1"/>
        </w:rPr>
      </w:pPr>
      <w:r>
        <w:rPr>
          <w:color w:val="000000" w:themeColor="text1"/>
        </w:rPr>
        <w:t>fremme de europæiske og internationale standardiseringsinitiativer med henblik på at sikre produkternes pålidelighed, tilgængelighed, modstandsdygtighed og videreførelse;</w:t>
      </w:r>
    </w:p>
    <w:p w:rsidR="00B96C2A" w:rsidRPr="00B96C2A" w:rsidRDefault="00B96C2A" w:rsidP="00252095">
      <w:pPr>
        <w:ind w:left="567" w:hanging="567"/>
        <w:rPr>
          <w:color w:val="000000" w:themeColor="text1"/>
        </w:rPr>
      </w:pPr>
    </w:p>
    <w:p w:rsidR="00E75595" w:rsidRDefault="00E75595" w:rsidP="00252095">
      <w:pPr>
        <w:pStyle w:val="ListParagraph"/>
        <w:numPr>
          <w:ilvl w:val="0"/>
          <w:numId w:val="6"/>
        </w:numPr>
        <w:ind w:left="567" w:hanging="567"/>
        <w:rPr>
          <w:color w:val="000000" w:themeColor="text1"/>
        </w:rPr>
      </w:pPr>
      <w:r>
        <w:rPr>
          <w:color w:val="000000" w:themeColor="text1"/>
        </w:rPr>
        <w:t>overvåge markederne og opretholde lige konkurrencevilkår ved gennemførelsen af IoT og dermed undgå en koncentration af transnational økonomisk magt hos de nye teknologiske aktører;</w:t>
      </w:r>
    </w:p>
    <w:p w:rsidR="00B96C2A" w:rsidRPr="00B96C2A" w:rsidRDefault="00B96C2A" w:rsidP="00252095">
      <w:pPr>
        <w:ind w:left="567" w:hanging="567"/>
        <w:rPr>
          <w:color w:val="000000" w:themeColor="text1"/>
        </w:rPr>
      </w:pPr>
    </w:p>
    <w:p w:rsidR="00E75595" w:rsidRPr="00743CE2" w:rsidRDefault="00E75595" w:rsidP="00252095">
      <w:pPr>
        <w:pStyle w:val="ListParagraph"/>
        <w:numPr>
          <w:ilvl w:val="0"/>
          <w:numId w:val="6"/>
        </w:numPr>
        <w:ind w:left="567" w:hanging="567"/>
        <w:rPr>
          <w:color w:val="000000" w:themeColor="text1"/>
        </w:rPr>
      </w:pPr>
      <w:r>
        <w:rPr>
          <w:color w:val="000000" w:themeColor="text1"/>
        </w:rPr>
        <w:t>fremme tiltag til bevidstgørelse og erhvervelse af digitale kompetencer, som afspejler grundforskningen og innovationen på området.</w:t>
      </w:r>
    </w:p>
    <w:p w:rsidR="00E75595" w:rsidRDefault="00E75595" w:rsidP="00252095">
      <w:pPr>
        <w:rPr>
          <w:b/>
          <w:lang w:val="fr-FR"/>
        </w:rPr>
      </w:pPr>
    </w:p>
    <w:p w:rsidR="00E75595" w:rsidRPr="0057460E" w:rsidRDefault="00E75595" w:rsidP="00252095">
      <w:pPr>
        <w:keepNext/>
        <w:tabs>
          <w:tab w:val="left" w:pos="1701"/>
        </w:tabs>
        <w:rPr>
          <w:i/>
        </w:rPr>
      </w:pPr>
      <w:r>
        <w:rPr>
          <w:b/>
          <w:i/>
        </w:rPr>
        <w:t>Kontaktperson:</w:t>
      </w:r>
      <w:r>
        <w:rPr>
          <w:i/>
        </w:rPr>
        <w:tab/>
        <w:t>Claudia Drewes-Wran</w:t>
      </w:r>
    </w:p>
    <w:p w:rsidR="00E75595" w:rsidRDefault="00B96C2A" w:rsidP="00252095">
      <w:pPr>
        <w:tabs>
          <w:tab w:val="left" w:pos="1701"/>
        </w:tabs>
        <w:rPr>
          <w:i/>
        </w:rPr>
      </w:pPr>
      <w:r>
        <w:rPr>
          <w:i/>
        </w:rPr>
        <w:tab/>
        <w:t xml:space="preserve">(Tlf.: 00 32 2 546 80 67 – e-mail: </w:t>
      </w:r>
      <w:hyperlink r:id="rId26" w:history="1">
        <w:r>
          <w:rPr>
            <w:rStyle w:val="Hyperlink"/>
            <w:i/>
          </w:rPr>
          <w:t>claudia.drewes-wran@eesc.europa.eu</w:t>
        </w:r>
      </w:hyperlink>
      <w:r>
        <w:rPr>
          <w:i/>
        </w:rPr>
        <w:t>)</w:t>
      </w:r>
    </w:p>
    <w:p w:rsidR="00E75595" w:rsidRDefault="00E75595" w:rsidP="00252095"/>
    <w:p w:rsidR="00E75595" w:rsidRPr="00DE59A9" w:rsidRDefault="00553E21" w:rsidP="00252095">
      <w:pPr>
        <w:pStyle w:val="ListParagraph"/>
        <w:keepNext/>
        <w:numPr>
          <w:ilvl w:val="0"/>
          <w:numId w:val="92"/>
        </w:numPr>
        <w:overflowPunct w:val="0"/>
        <w:autoSpaceDE w:val="0"/>
        <w:autoSpaceDN w:val="0"/>
        <w:adjustRightInd w:val="0"/>
        <w:ind w:left="567" w:hanging="567"/>
        <w:textAlignment w:val="baseline"/>
        <w:rPr>
          <w:sz w:val="24"/>
          <w:szCs w:val="24"/>
        </w:rPr>
      </w:pPr>
      <w:r>
        <w:rPr>
          <w:b/>
          <w:i/>
          <w:sz w:val="28"/>
          <w:szCs w:val="28"/>
        </w:rPr>
        <w:lastRenderedPageBreak/>
        <w:t>Nærhedsprincippet og overregulering</w:t>
      </w:r>
    </w:p>
    <w:p w:rsidR="00E75595" w:rsidRPr="005B6772" w:rsidRDefault="00E75595" w:rsidP="00252095">
      <w:pPr>
        <w:keepNext/>
        <w:tabs>
          <w:tab w:val="center" w:pos="284"/>
        </w:tabs>
        <w:ind w:left="266" w:hanging="266"/>
        <w:rPr>
          <w:b/>
          <w:lang w:val="fr-FR"/>
        </w:rPr>
      </w:pPr>
    </w:p>
    <w:p w:rsidR="00E75595" w:rsidRDefault="00E75595" w:rsidP="00252095">
      <w:pPr>
        <w:keepNext/>
        <w:tabs>
          <w:tab w:val="center" w:pos="284"/>
          <w:tab w:val="left" w:pos="1701"/>
        </w:tabs>
        <w:ind w:left="266" w:hanging="266"/>
      </w:pPr>
      <w:r>
        <w:rPr>
          <w:b/>
        </w:rPr>
        <w:t>Ordfører:</w:t>
      </w:r>
      <w:r>
        <w:tab/>
        <w:t>Dimitris Dimitriadis (Arbejdsgivergruppen – EL)</w:t>
      </w:r>
    </w:p>
    <w:p w:rsidR="00E75595" w:rsidRPr="00C23DE4" w:rsidRDefault="00E75595" w:rsidP="00252095">
      <w:pPr>
        <w:keepNext/>
        <w:tabs>
          <w:tab w:val="center" w:pos="284"/>
          <w:tab w:val="left" w:pos="1701"/>
        </w:tabs>
        <w:ind w:left="266" w:hanging="266"/>
      </w:pPr>
      <w:r>
        <w:rPr>
          <w:b/>
        </w:rPr>
        <w:t>Medordfører:</w:t>
      </w:r>
      <w:r>
        <w:tab/>
        <w:t>Wolfgang Greif (Arbejdstagergruppen – AT)</w:t>
      </w:r>
    </w:p>
    <w:p w:rsidR="00E75595" w:rsidRDefault="00E75595" w:rsidP="00252095">
      <w:pPr>
        <w:keepNext/>
        <w:tabs>
          <w:tab w:val="center" w:pos="284"/>
        </w:tabs>
        <w:ind w:left="266" w:hanging="266"/>
        <w:rPr>
          <w:b/>
          <w:lang w:val="fr-FR"/>
        </w:rPr>
      </w:pPr>
    </w:p>
    <w:p w:rsidR="00E75595" w:rsidRPr="00240939" w:rsidRDefault="00DE59A9" w:rsidP="00252095">
      <w:pPr>
        <w:keepNext/>
        <w:tabs>
          <w:tab w:val="center" w:pos="284"/>
          <w:tab w:val="left" w:pos="1701"/>
        </w:tabs>
        <w:ind w:left="266" w:hanging="266"/>
      </w:pPr>
      <w:r>
        <w:rPr>
          <w:b/>
        </w:rPr>
        <w:t>Ref.:</w:t>
      </w:r>
      <w:r w:rsidR="00252095">
        <w:rPr>
          <w:b/>
        </w:rPr>
        <w:tab/>
      </w:r>
      <w:r>
        <w:t>Sonderende udtalelse</w:t>
      </w:r>
    </w:p>
    <w:p w:rsidR="00E75595" w:rsidRPr="00103768" w:rsidRDefault="00E75595" w:rsidP="00252095">
      <w:pPr>
        <w:keepNext/>
        <w:tabs>
          <w:tab w:val="center" w:pos="284"/>
          <w:tab w:val="left" w:pos="1701"/>
        </w:tabs>
        <w:ind w:left="266" w:hanging="266"/>
      </w:pPr>
      <w:r>
        <w:tab/>
      </w:r>
      <w:r>
        <w:tab/>
      </w:r>
      <w:r>
        <w:tab/>
        <w:t>EESC-2018-01595-00-00-AC-TRA</w:t>
      </w:r>
    </w:p>
    <w:p w:rsidR="00E75595" w:rsidRPr="002D46CB" w:rsidRDefault="00E75595" w:rsidP="00252095">
      <w:pPr>
        <w:keepNext/>
        <w:tabs>
          <w:tab w:val="center" w:pos="284"/>
        </w:tabs>
        <w:ind w:left="266" w:hanging="266"/>
        <w:rPr>
          <w:lang w:val="fr-FR"/>
        </w:rPr>
      </w:pPr>
    </w:p>
    <w:p w:rsidR="00E75595" w:rsidRDefault="00DE59A9" w:rsidP="00252095">
      <w:pPr>
        <w:keepNext/>
        <w:tabs>
          <w:tab w:val="center" w:pos="284"/>
        </w:tabs>
        <w:ind w:left="266" w:hanging="266"/>
        <w:rPr>
          <w:b/>
        </w:rPr>
      </w:pPr>
      <w:r>
        <w:rPr>
          <w:b/>
        </w:rPr>
        <w:t>Hovedpunkter:</w:t>
      </w:r>
    </w:p>
    <w:p w:rsidR="00E75595" w:rsidRDefault="00E75595" w:rsidP="00252095">
      <w:pPr>
        <w:keepNext/>
        <w:tabs>
          <w:tab w:val="center" w:pos="284"/>
        </w:tabs>
        <w:ind w:left="266" w:hanging="266"/>
        <w:rPr>
          <w:b/>
          <w:lang w:val="fr-FR"/>
        </w:rPr>
      </w:pPr>
    </w:p>
    <w:p w:rsidR="00E75595" w:rsidRDefault="00E75595" w:rsidP="00252095">
      <w:pPr>
        <w:keepNext/>
      </w:pPr>
      <w:r>
        <w:t>EØSU:</w:t>
      </w:r>
    </w:p>
    <w:p w:rsidR="00DE59A9" w:rsidRDefault="00DE59A9" w:rsidP="00252095">
      <w:pPr>
        <w:keepNext/>
        <w:ind w:left="567" w:hanging="567"/>
      </w:pPr>
    </w:p>
    <w:p w:rsidR="00E75595" w:rsidRDefault="00E75595" w:rsidP="00252095">
      <w:pPr>
        <w:pStyle w:val="ListParagraph"/>
        <w:numPr>
          <w:ilvl w:val="0"/>
          <w:numId w:val="6"/>
        </w:numPr>
        <w:overflowPunct w:val="0"/>
        <w:autoSpaceDE w:val="0"/>
        <w:autoSpaceDN w:val="0"/>
        <w:adjustRightInd w:val="0"/>
        <w:ind w:left="567" w:hanging="567"/>
        <w:textAlignment w:val="baseline"/>
      </w:pPr>
      <w:r>
        <w:t>glæder sig over anmodningen fra det østrigske formandskab for Rådet for Den Europæiske Union, som tilføjer merværdi til den igangværende debat om bedre regulering;</w:t>
      </w:r>
    </w:p>
    <w:p w:rsidR="00653B42" w:rsidRDefault="00653B42" w:rsidP="00252095">
      <w:pPr>
        <w:overflowPunct w:val="0"/>
        <w:autoSpaceDE w:val="0"/>
        <w:autoSpaceDN w:val="0"/>
        <w:adjustRightInd w:val="0"/>
        <w:ind w:left="567" w:hanging="567"/>
        <w:textAlignment w:val="baseline"/>
      </w:pPr>
    </w:p>
    <w:p w:rsidR="00E75595" w:rsidRPr="001E54C6" w:rsidRDefault="00E75595" w:rsidP="00252095">
      <w:pPr>
        <w:pStyle w:val="ListParagraph"/>
        <w:numPr>
          <w:ilvl w:val="0"/>
          <w:numId w:val="6"/>
        </w:numPr>
        <w:overflowPunct w:val="0"/>
        <w:autoSpaceDE w:val="0"/>
        <w:autoSpaceDN w:val="0"/>
        <w:adjustRightInd w:val="0"/>
        <w:ind w:left="567" w:hanging="567"/>
        <w:textAlignment w:val="baseline"/>
      </w:pPr>
      <w:r>
        <w:t>gentager, at spørgsmål af relevans for fremtiden, herunder debatter om kompetencer og reguleringsniveau, skal tages op på nationalt og EU-niveau med fuld deltagelse af arbejdsmarkedets parter og andre civilsamfundsorganisationer.</w:t>
      </w:r>
    </w:p>
    <w:p w:rsidR="00E75595" w:rsidRDefault="00E75595" w:rsidP="00252095">
      <w:pPr>
        <w:rPr>
          <w:b/>
          <w:lang w:val="fr-FR"/>
        </w:rPr>
      </w:pPr>
    </w:p>
    <w:p w:rsidR="00E75595" w:rsidRPr="0057460E" w:rsidRDefault="00E75595" w:rsidP="00252095">
      <w:pPr>
        <w:keepNext/>
        <w:tabs>
          <w:tab w:val="left" w:pos="1701"/>
        </w:tabs>
        <w:rPr>
          <w:i/>
        </w:rPr>
      </w:pPr>
      <w:r>
        <w:rPr>
          <w:b/>
          <w:i/>
        </w:rPr>
        <w:t>Kontaktperson:</w:t>
      </w:r>
      <w:r>
        <w:rPr>
          <w:i/>
        </w:rPr>
        <w:tab/>
        <w:t>Jean-Pierre Faure</w:t>
      </w:r>
    </w:p>
    <w:p w:rsidR="00E75595" w:rsidRPr="00AA3C5A" w:rsidRDefault="00653B42" w:rsidP="00252095">
      <w:pPr>
        <w:tabs>
          <w:tab w:val="left" w:pos="1701"/>
        </w:tabs>
        <w:rPr>
          <w:i/>
        </w:rPr>
      </w:pPr>
      <w:r>
        <w:rPr>
          <w:i/>
        </w:rPr>
        <w:tab/>
        <w:t xml:space="preserve">(Tlf.: 00 32 2 546 96 15 – e-mail: </w:t>
      </w:r>
      <w:hyperlink r:id="rId27" w:history="1">
        <w:r>
          <w:rPr>
            <w:rStyle w:val="Hyperlink"/>
            <w:i/>
          </w:rPr>
          <w:t>jean-pierre.faure@eesc.europa.eu</w:t>
        </w:r>
      </w:hyperlink>
      <w:r>
        <w:rPr>
          <w:i/>
        </w:rPr>
        <w:t>)</w:t>
      </w:r>
    </w:p>
    <w:p w:rsidR="00E75595" w:rsidRDefault="00E75595" w:rsidP="00252095"/>
    <w:p w:rsidR="00E75595" w:rsidRPr="00653B42" w:rsidRDefault="00553E21" w:rsidP="00252095">
      <w:pPr>
        <w:pStyle w:val="ListParagraph"/>
        <w:keepNext/>
        <w:numPr>
          <w:ilvl w:val="0"/>
          <w:numId w:val="92"/>
        </w:numPr>
        <w:overflowPunct w:val="0"/>
        <w:autoSpaceDE w:val="0"/>
        <w:autoSpaceDN w:val="0"/>
        <w:adjustRightInd w:val="0"/>
        <w:ind w:left="567" w:hanging="567"/>
        <w:textAlignment w:val="baseline"/>
        <w:rPr>
          <w:sz w:val="24"/>
          <w:szCs w:val="24"/>
        </w:rPr>
      </w:pPr>
      <w:r>
        <w:rPr>
          <w:b/>
          <w:i/>
          <w:sz w:val="28"/>
          <w:szCs w:val="28"/>
        </w:rPr>
        <w:t>Kunstig intelligens for Europa</w:t>
      </w:r>
    </w:p>
    <w:p w:rsidR="00E75595" w:rsidRPr="005B6772" w:rsidRDefault="00E75595" w:rsidP="00252095">
      <w:pPr>
        <w:keepNext/>
        <w:tabs>
          <w:tab w:val="center" w:pos="284"/>
        </w:tabs>
        <w:ind w:left="266" w:hanging="266"/>
        <w:rPr>
          <w:b/>
          <w:lang w:val="fr-FR"/>
        </w:rPr>
      </w:pPr>
    </w:p>
    <w:p w:rsidR="00E75595" w:rsidRDefault="00E75595" w:rsidP="00252095">
      <w:pPr>
        <w:keepNext/>
        <w:tabs>
          <w:tab w:val="left" w:pos="1701"/>
        </w:tabs>
      </w:pPr>
      <w:r>
        <w:rPr>
          <w:b/>
        </w:rPr>
        <w:t>Ordfører:</w:t>
      </w:r>
      <w:r>
        <w:tab/>
        <w:t>Giuseppe Guerini (Gruppen Diversitet Europa – IT)</w:t>
      </w:r>
    </w:p>
    <w:p w:rsidR="00E75595" w:rsidRPr="00C23DE4" w:rsidRDefault="00E75595" w:rsidP="00252095">
      <w:pPr>
        <w:keepNext/>
        <w:tabs>
          <w:tab w:val="center" w:pos="284"/>
          <w:tab w:val="left" w:pos="1701"/>
        </w:tabs>
        <w:ind w:left="266" w:hanging="266"/>
      </w:pPr>
      <w:r>
        <w:rPr>
          <w:b/>
        </w:rPr>
        <w:t>Medordfører:</w:t>
      </w:r>
      <w:r>
        <w:tab/>
        <w:t>Gonçalo Lobo Xavier (Arbejdsgivergruppen – PT)</w:t>
      </w:r>
    </w:p>
    <w:p w:rsidR="00E75595" w:rsidRDefault="00E75595" w:rsidP="00252095">
      <w:pPr>
        <w:keepNext/>
        <w:tabs>
          <w:tab w:val="center" w:pos="284"/>
        </w:tabs>
        <w:ind w:left="266" w:hanging="266"/>
        <w:rPr>
          <w:b/>
          <w:lang w:val="fr-FR"/>
        </w:rPr>
      </w:pPr>
    </w:p>
    <w:p w:rsidR="00E75595" w:rsidRPr="00240939" w:rsidRDefault="00653B42" w:rsidP="00252095">
      <w:pPr>
        <w:keepNext/>
        <w:tabs>
          <w:tab w:val="center" w:pos="284"/>
          <w:tab w:val="left" w:pos="1701"/>
        </w:tabs>
        <w:ind w:left="266" w:hanging="266"/>
      </w:pPr>
      <w:r>
        <w:rPr>
          <w:b/>
        </w:rPr>
        <w:t>Ref.:</w:t>
      </w:r>
      <w:r w:rsidR="00CC1AD8">
        <w:rPr>
          <w:b/>
        </w:rPr>
        <w:tab/>
      </w:r>
      <w:r>
        <w:t>COM(2018) 237 final</w:t>
      </w:r>
    </w:p>
    <w:p w:rsidR="00E75595" w:rsidRPr="00103768" w:rsidRDefault="00653B42" w:rsidP="00252095">
      <w:pPr>
        <w:keepNext/>
        <w:tabs>
          <w:tab w:val="center" w:pos="284"/>
          <w:tab w:val="left" w:pos="1701"/>
        </w:tabs>
        <w:ind w:left="266" w:hanging="266"/>
      </w:pPr>
      <w:r>
        <w:tab/>
      </w:r>
      <w:r>
        <w:tab/>
      </w:r>
      <w:r>
        <w:tab/>
        <w:t>EESC-2018-02369-00-00-AC-TRA</w:t>
      </w:r>
    </w:p>
    <w:p w:rsidR="00E75595" w:rsidRPr="002D46CB" w:rsidRDefault="00E75595" w:rsidP="00252095">
      <w:pPr>
        <w:keepNext/>
        <w:tabs>
          <w:tab w:val="center" w:pos="284"/>
        </w:tabs>
        <w:ind w:left="266" w:hanging="266"/>
        <w:rPr>
          <w:lang w:val="fr-FR"/>
        </w:rPr>
      </w:pPr>
    </w:p>
    <w:p w:rsidR="00E75595" w:rsidRDefault="00653B42" w:rsidP="00252095">
      <w:pPr>
        <w:keepNext/>
        <w:tabs>
          <w:tab w:val="center" w:pos="284"/>
        </w:tabs>
        <w:ind w:left="266" w:hanging="266"/>
        <w:rPr>
          <w:b/>
        </w:rPr>
      </w:pPr>
      <w:r>
        <w:rPr>
          <w:b/>
        </w:rPr>
        <w:t>Hovedpunkter:</w:t>
      </w:r>
    </w:p>
    <w:p w:rsidR="00E75595" w:rsidRDefault="00E75595" w:rsidP="00252095">
      <w:pPr>
        <w:keepNext/>
        <w:tabs>
          <w:tab w:val="center" w:pos="284"/>
        </w:tabs>
        <w:ind w:left="266" w:hanging="266"/>
        <w:rPr>
          <w:b/>
          <w:lang w:val="fr-FR"/>
        </w:rPr>
      </w:pPr>
    </w:p>
    <w:p w:rsidR="00E75595" w:rsidRDefault="00E75595" w:rsidP="00252095">
      <w:pPr>
        <w:keepNext/>
      </w:pPr>
      <w:r>
        <w:t>EØSU:</w:t>
      </w:r>
    </w:p>
    <w:p w:rsidR="00653B42" w:rsidRDefault="00653B42" w:rsidP="00252095">
      <w:pPr>
        <w:keepNext/>
      </w:pPr>
    </w:p>
    <w:p w:rsidR="00E75595" w:rsidRDefault="00E75595" w:rsidP="00252095">
      <w:pPr>
        <w:pStyle w:val="ListParagraph"/>
        <w:numPr>
          <w:ilvl w:val="0"/>
          <w:numId w:val="6"/>
        </w:numPr>
        <w:overflowPunct w:val="0"/>
        <w:autoSpaceDE w:val="0"/>
        <w:autoSpaceDN w:val="0"/>
        <w:adjustRightInd w:val="0"/>
        <w:ind w:left="567" w:hanging="567"/>
        <w:textAlignment w:val="baseline"/>
      </w:pPr>
      <w:r>
        <w:t>er af den opfattelse, at det for at håndtere udfordringen med global konkurrenceevne er nødvendigt, at AI er tilgængelig for så mange aktører som muligt;</w:t>
      </w:r>
    </w:p>
    <w:p w:rsidR="00653B42" w:rsidRPr="00653B42" w:rsidRDefault="00653B42" w:rsidP="00252095">
      <w:pPr>
        <w:overflowPunct w:val="0"/>
        <w:autoSpaceDE w:val="0"/>
        <w:autoSpaceDN w:val="0"/>
        <w:adjustRightInd w:val="0"/>
        <w:ind w:left="567" w:hanging="567"/>
        <w:textAlignment w:val="baseline"/>
        <w:rPr>
          <w:lang w:val="fr-BE"/>
        </w:rPr>
      </w:pPr>
    </w:p>
    <w:p w:rsidR="00E75595" w:rsidRDefault="00E75595" w:rsidP="00252095">
      <w:pPr>
        <w:pStyle w:val="ListParagraph"/>
        <w:numPr>
          <w:ilvl w:val="0"/>
          <w:numId w:val="6"/>
        </w:numPr>
        <w:overflowPunct w:val="0"/>
        <w:autoSpaceDE w:val="0"/>
        <w:autoSpaceDN w:val="0"/>
        <w:adjustRightInd w:val="0"/>
        <w:ind w:left="567" w:hanging="567"/>
        <w:textAlignment w:val="baseline"/>
      </w:pPr>
      <w:r>
        <w:t>mener, at Kommissionen og medlemsstaterne bør samarbejde om at opstille retningslinjer for de etiske aspekter af AI;</w:t>
      </w:r>
    </w:p>
    <w:p w:rsidR="00653B42" w:rsidRPr="00653B42" w:rsidRDefault="00653B42" w:rsidP="00252095">
      <w:pPr>
        <w:overflowPunct w:val="0"/>
        <w:autoSpaceDE w:val="0"/>
        <w:autoSpaceDN w:val="0"/>
        <w:adjustRightInd w:val="0"/>
        <w:ind w:left="567" w:hanging="567"/>
        <w:textAlignment w:val="baseline"/>
        <w:rPr>
          <w:lang w:val="fr-BE"/>
        </w:rPr>
      </w:pPr>
    </w:p>
    <w:p w:rsidR="00E75595" w:rsidRDefault="00E75595" w:rsidP="00252095">
      <w:pPr>
        <w:pStyle w:val="ListParagraph"/>
        <w:numPr>
          <w:ilvl w:val="0"/>
          <w:numId w:val="6"/>
        </w:numPr>
        <w:overflowPunct w:val="0"/>
        <w:autoSpaceDE w:val="0"/>
        <w:autoSpaceDN w:val="0"/>
        <w:adjustRightInd w:val="0"/>
        <w:ind w:left="567" w:hanging="567"/>
        <w:textAlignment w:val="baseline"/>
      </w:pPr>
      <w:r>
        <w:t>foreslår, at der udvikles en klar, harmoniseret og bindende retlig ramme på europæisk plan, der skal sikre en passende regulering af AI, og at der foretages en ajourføring af de eksisterende regler, som berøres af AI;</w:t>
      </w:r>
    </w:p>
    <w:p w:rsidR="00653B42" w:rsidRPr="00653B42" w:rsidRDefault="00653B42" w:rsidP="00252095">
      <w:pPr>
        <w:overflowPunct w:val="0"/>
        <w:autoSpaceDE w:val="0"/>
        <w:autoSpaceDN w:val="0"/>
        <w:adjustRightInd w:val="0"/>
        <w:ind w:left="567" w:hanging="567"/>
        <w:textAlignment w:val="baseline"/>
        <w:rPr>
          <w:lang w:val="fr-BE"/>
        </w:rPr>
      </w:pPr>
    </w:p>
    <w:p w:rsidR="00E75595" w:rsidRDefault="00E75595" w:rsidP="00252095">
      <w:pPr>
        <w:pStyle w:val="ListParagraph"/>
        <w:numPr>
          <w:ilvl w:val="0"/>
          <w:numId w:val="6"/>
        </w:numPr>
        <w:overflowPunct w:val="0"/>
        <w:autoSpaceDE w:val="0"/>
        <w:autoSpaceDN w:val="0"/>
        <w:adjustRightInd w:val="0"/>
        <w:ind w:left="567" w:hanging="567"/>
        <w:textAlignment w:val="baseline"/>
      </w:pPr>
      <w:r>
        <w:lastRenderedPageBreak/>
        <w:t>fremhæver betydningen af uddannelsesprogrammer, når det gælder beskyttelse af europæiske arbejdstagere, der arbejder i et miljø, som vil blive gennemgribende ændret;</w:t>
      </w:r>
    </w:p>
    <w:p w:rsidR="00653B42" w:rsidRPr="00653B42" w:rsidRDefault="00653B42" w:rsidP="00252095">
      <w:pPr>
        <w:overflowPunct w:val="0"/>
        <w:autoSpaceDE w:val="0"/>
        <w:autoSpaceDN w:val="0"/>
        <w:adjustRightInd w:val="0"/>
        <w:ind w:left="567" w:hanging="567"/>
        <w:textAlignment w:val="baseline"/>
        <w:rPr>
          <w:lang w:val="fr-BE"/>
        </w:rPr>
      </w:pPr>
    </w:p>
    <w:p w:rsidR="00E75595" w:rsidRPr="002D5978" w:rsidRDefault="00E75595" w:rsidP="00252095">
      <w:pPr>
        <w:pStyle w:val="ListParagraph"/>
        <w:numPr>
          <w:ilvl w:val="0"/>
          <w:numId w:val="6"/>
        </w:numPr>
        <w:overflowPunct w:val="0"/>
        <w:autoSpaceDE w:val="0"/>
        <w:autoSpaceDN w:val="0"/>
        <w:adjustRightInd w:val="0"/>
        <w:ind w:left="567" w:hanging="567"/>
        <w:textAlignment w:val="baseline"/>
      </w:pPr>
      <w:r>
        <w:t>anbefaler, at Kommissionen ved oprettelsen af en europæisk AI-alliance tager hensyn til behovet for at skabe en inkluderende platform for de forskellige interessenter, der repræsenterer de europæiske borgere.</w:t>
      </w:r>
    </w:p>
    <w:p w:rsidR="00E75595" w:rsidRDefault="00E75595" w:rsidP="00252095">
      <w:pPr>
        <w:rPr>
          <w:b/>
          <w:lang w:val="fr-FR"/>
        </w:rPr>
      </w:pPr>
    </w:p>
    <w:p w:rsidR="00E75595" w:rsidRPr="0057460E" w:rsidRDefault="00E75595" w:rsidP="00252095">
      <w:pPr>
        <w:keepNext/>
        <w:tabs>
          <w:tab w:val="left" w:pos="1701"/>
        </w:tabs>
        <w:rPr>
          <w:i/>
        </w:rPr>
      </w:pPr>
      <w:r>
        <w:rPr>
          <w:b/>
          <w:i/>
        </w:rPr>
        <w:t>Kontaktperson:</w:t>
      </w:r>
      <w:r>
        <w:rPr>
          <w:i/>
        </w:rPr>
        <w:tab/>
        <w:t>Alice Tétu</w:t>
      </w:r>
    </w:p>
    <w:p w:rsidR="00E75595" w:rsidRDefault="00653B42" w:rsidP="00252095">
      <w:pPr>
        <w:tabs>
          <w:tab w:val="left" w:pos="1701"/>
        </w:tabs>
        <w:rPr>
          <w:i/>
        </w:rPr>
      </w:pPr>
      <w:r>
        <w:rPr>
          <w:i/>
        </w:rPr>
        <w:tab/>
        <w:t xml:space="preserve">(Tlf.: 00 32 2 546 82 86 – e-mail: </w:t>
      </w:r>
      <w:hyperlink r:id="rId28" w:history="1">
        <w:r>
          <w:rPr>
            <w:rStyle w:val="Hyperlink"/>
            <w:i/>
          </w:rPr>
          <w:t>alice.tetu@eesc.europa.eu</w:t>
        </w:r>
      </w:hyperlink>
      <w:r>
        <w:rPr>
          <w:i/>
        </w:rPr>
        <w:t>)</w:t>
      </w:r>
    </w:p>
    <w:p w:rsidR="00E75595" w:rsidRDefault="00E75595" w:rsidP="00252095"/>
    <w:p w:rsidR="00E75595" w:rsidRPr="00653B42" w:rsidRDefault="00CE78BA" w:rsidP="00252095">
      <w:pPr>
        <w:pStyle w:val="ListParagraph"/>
        <w:keepNext/>
        <w:numPr>
          <w:ilvl w:val="0"/>
          <w:numId w:val="92"/>
        </w:numPr>
        <w:overflowPunct w:val="0"/>
        <w:autoSpaceDE w:val="0"/>
        <w:autoSpaceDN w:val="0"/>
        <w:adjustRightInd w:val="0"/>
        <w:ind w:left="567" w:hanging="567"/>
        <w:textAlignment w:val="baseline"/>
        <w:rPr>
          <w:sz w:val="24"/>
          <w:szCs w:val="24"/>
        </w:rPr>
      </w:pPr>
      <w:r>
        <w:rPr>
          <w:b/>
          <w:i/>
          <w:sz w:val="28"/>
          <w:szCs w:val="28"/>
        </w:rPr>
        <w:t>Digital omstilling/sundhed og pleje</w:t>
      </w:r>
    </w:p>
    <w:p w:rsidR="00E75595" w:rsidRPr="005B6772" w:rsidRDefault="00E75595" w:rsidP="00252095">
      <w:pPr>
        <w:keepNext/>
        <w:tabs>
          <w:tab w:val="center" w:pos="284"/>
        </w:tabs>
        <w:ind w:left="266" w:hanging="266"/>
        <w:rPr>
          <w:b/>
          <w:lang w:val="fr-FR"/>
        </w:rPr>
      </w:pPr>
    </w:p>
    <w:p w:rsidR="00E75595" w:rsidRDefault="00E75595" w:rsidP="00252095">
      <w:pPr>
        <w:keepNext/>
        <w:tabs>
          <w:tab w:val="left" w:pos="1701"/>
        </w:tabs>
      </w:pPr>
      <w:r>
        <w:rPr>
          <w:b/>
        </w:rPr>
        <w:t>Ordfører:</w:t>
      </w:r>
      <w:r>
        <w:tab/>
        <w:t>Diego Dutto (Gruppen Diversitet Europa – IT)</w:t>
      </w:r>
    </w:p>
    <w:p w:rsidR="00E75595" w:rsidRPr="00C23DE4" w:rsidRDefault="00E75595" w:rsidP="00252095">
      <w:pPr>
        <w:keepNext/>
        <w:tabs>
          <w:tab w:val="center" w:pos="284"/>
          <w:tab w:val="left" w:pos="1701"/>
        </w:tabs>
        <w:ind w:left="266" w:hanging="266"/>
      </w:pPr>
      <w:r>
        <w:rPr>
          <w:b/>
        </w:rPr>
        <w:t>Medordfører:</w:t>
      </w:r>
      <w:r>
        <w:tab/>
        <w:t>Thomas Kattnig (Arbejdstagergruppen – AT)</w:t>
      </w:r>
    </w:p>
    <w:p w:rsidR="00E75595" w:rsidRDefault="00E75595" w:rsidP="00252095">
      <w:pPr>
        <w:keepNext/>
        <w:tabs>
          <w:tab w:val="center" w:pos="284"/>
        </w:tabs>
        <w:ind w:left="266" w:hanging="266"/>
        <w:rPr>
          <w:b/>
          <w:lang w:val="fr-FR"/>
        </w:rPr>
      </w:pPr>
    </w:p>
    <w:p w:rsidR="00E75595" w:rsidRPr="00240939" w:rsidRDefault="00653B42" w:rsidP="00252095">
      <w:pPr>
        <w:keepNext/>
        <w:tabs>
          <w:tab w:val="center" w:pos="284"/>
          <w:tab w:val="left" w:pos="1701"/>
        </w:tabs>
        <w:ind w:left="266" w:hanging="266"/>
      </w:pPr>
      <w:r>
        <w:rPr>
          <w:b/>
        </w:rPr>
        <w:t>Ref.:</w:t>
      </w:r>
      <w:r w:rsidR="00252095">
        <w:rPr>
          <w:b/>
        </w:rPr>
        <w:tab/>
      </w:r>
      <w:r>
        <w:t>COM(2018) 233 final</w:t>
      </w:r>
    </w:p>
    <w:p w:rsidR="00E75595" w:rsidRPr="00103768" w:rsidRDefault="00E75595" w:rsidP="00252095">
      <w:pPr>
        <w:keepNext/>
        <w:tabs>
          <w:tab w:val="center" w:pos="284"/>
          <w:tab w:val="left" w:pos="1701"/>
        </w:tabs>
        <w:ind w:left="266" w:hanging="266"/>
      </w:pPr>
      <w:r>
        <w:tab/>
      </w:r>
      <w:r>
        <w:tab/>
      </w:r>
      <w:r>
        <w:tab/>
        <w:t>EESC-2018-02328-00-00-AC-TRA</w:t>
      </w:r>
    </w:p>
    <w:p w:rsidR="00E75595" w:rsidRPr="002D46CB" w:rsidRDefault="00E75595" w:rsidP="00252095">
      <w:pPr>
        <w:keepNext/>
        <w:tabs>
          <w:tab w:val="center" w:pos="284"/>
        </w:tabs>
        <w:ind w:left="266" w:hanging="266"/>
        <w:rPr>
          <w:lang w:val="fr-FR"/>
        </w:rPr>
      </w:pPr>
    </w:p>
    <w:p w:rsidR="00E75595" w:rsidRDefault="00653B42" w:rsidP="00252095">
      <w:pPr>
        <w:keepNext/>
        <w:tabs>
          <w:tab w:val="center" w:pos="284"/>
        </w:tabs>
        <w:ind w:left="266" w:hanging="266"/>
        <w:rPr>
          <w:b/>
        </w:rPr>
      </w:pPr>
      <w:r>
        <w:rPr>
          <w:b/>
        </w:rPr>
        <w:t>Hovedpunkter:</w:t>
      </w:r>
    </w:p>
    <w:p w:rsidR="00E75595" w:rsidRDefault="00E75595" w:rsidP="00252095">
      <w:pPr>
        <w:keepNext/>
        <w:tabs>
          <w:tab w:val="center" w:pos="284"/>
        </w:tabs>
        <w:ind w:left="266" w:hanging="266"/>
        <w:rPr>
          <w:b/>
          <w:lang w:val="fr-FR"/>
        </w:rPr>
      </w:pPr>
    </w:p>
    <w:p w:rsidR="00E75595" w:rsidRDefault="00E75595" w:rsidP="00252095">
      <w:pPr>
        <w:keepNext/>
      </w:pPr>
      <w:r>
        <w:t>EØSU mener, at:</w:t>
      </w:r>
    </w:p>
    <w:p w:rsidR="00653B42" w:rsidRDefault="00653B42" w:rsidP="00252095">
      <w:pPr>
        <w:keepNext/>
        <w:ind w:left="567" w:hanging="567"/>
      </w:pPr>
    </w:p>
    <w:p w:rsidR="00653B42" w:rsidRPr="00653B42" w:rsidRDefault="00E75595" w:rsidP="00252095">
      <w:pPr>
        <w:pStyle w:val="ListParagraph"/>
        <w:numPr>
          <w:ilvl w:val="0"/>
          <w:numId w:val="92"/>
        </w:numPr>
        <w:overflowPunct w:val="0"/>
        <w:autoSpaceDE w:val="0"/>
        <w:autoSpaceDN w:val="0"/>
        <w:adjustRightInd w:val="0"/>
        <w:ind w:left="567" w:hanging="567"/>
        <w:textAlignment w:val="baseline"/>
      </w:pPr>
      <w:r>
        <w:t>I en tid med forandringer som følge af den digitale omstilling skal det sikres, at mennesker står i centrum for plejen;</w:t>
      </w:r>
    </w:p>
    <w:p w:rsidR="00653B42" w:rsidRPr="00653B42" w:rsidRDefault="00653B42" w:rsidP="00252095">
      <w:pPr>
        <w:overflowPunct w:val="0"/>
        <w:autoSpaceDE w:val="0"/>
        <w:autoSpaceDN w:val="0"/>
        <w:adjustRightInd w:val="0"/>
        <w:ind w:left="567" w:hanging="567"/>
        <w:textAlignment w:val="baseline"/>
        <w:rPr>
          <w:lang w:val="fr-BE"/>
        </w:rPr>
      </w:pPr>
    </w:p>
    <w:p w:rsidR="00653B42" w:rsidRDefault="00E75595" w:rsidP="00252095">
      <w:pPr>
        <w:pStyle w:val="ListParagraph"/>
        <w:numPr>
          <w:ilvl w:val="0"/>
          <w:numId w:val="6"/>
        </w:numPr>
        <w:overflowPunct w:val="0"/>
        <w:autoSpaceDE w:val="0"/>
        <w:autoSpaceDN w:val="0"/>
        <w:adjustRightInd w:val="0"/>
        <w:ind w:left="567" w:hanging="567"/>
        <w:textAlignment w:val="baseline"/>
      </w:pPr>
      <w:r>
        <w:t>digitaliseringsprocesserne skal give sundhedspersonalet mulighed for at bruge mere tid på patienten. Det skal sikres, at der er ansat tilstrækkeligt med kvalificeret personale i sundhedserhvervene, som er i besiddelse af de nødvendige digitale færdigheder;</w:t>
      </w:r>
    </w:p>
    <w:p w:rsidR="00653B42" w:rsidRPr="00653B42" w:rsidRDefault="00653B42" w:rsidP="00252095">
      <w:pPr>
        <w:overflowPunct w:val="0"/>
        <w:autoSpaceDE w:val="0"/>
        <w:autoSpaceDN w:val="0"/>
        <w:adjustRightInd w:val="0"/>
        <w:ind w:left="567" w:hanging="567"/>
        <w:textAlignment w:val="baseline"/>
        <w:rPr>
          <w:lang w:val="fr-BE"/>
        </w:rPr>
      </w:pPr>
    </w:p>
    <w:p w:rsidR="00653B42" w:rsidRDefault="00E75595" w:rsidP="00252095">
      <w:pPr>
        <w:pStyle w:val="ListParagraph"/>
        <w:numPr>
          <w:ilvl w:val="0"/>
          <w:numId w:val="6"/>
        </w:numPr>
        <w:overflowPunct w:val="0"/>
        <w:autoSpaceDE w:val="0"/>
        <w:autoSpaceDN w:val="0"/>
        <w:adjustRightInd w:val="0"/>
        <w:ind w:left="567" w:hanging="567"/>
        <w:textAlignment w:val="baseline"/>
      </w:pPr>
      <w:r>
        <w:t>digitale værktøjer skal være en løftestang til at udvikle nye organisationsformer i sundheds- og plejesektoren. Ved hjælp af passende offentlige investeringer skal værdier som solidaritet og universel adgang til sundhedsydelser fastholdes som grundlaget for disse systemer.</w:t>
      </w:r>
    </w:p>
    <w:p w:rsidR="00653B42" w:rsidRPr="00653B42" w:rsidRDefault="00653B42" w:rsidP="00252095">
      <w:pPr>
        <w:overflowPunct w:val="0"/>
        <w:autoSpaceDE w:val="0"/>
        <w:autoSpaceDN w:val="0"/>
        <w:adjustRightInd w:val="0"/>
        <w:ind w:left="567" w:hanging="567"/>
        <w:textAlignment w:val="baseline"/>
        <w:rPr>
          <w:lang w:val="fr-BE"/>
        </w:rPr>
      </w:pPr>
    </w:p>
    <w:p w:rsidR="00E75595" w:rsidRDefault="00E75595" w:rsidP="00252095">
      <w:pPr>
        <w:pStyle w:val="ListParagraph"/>
        <w:numPr>
          <w:ilvl w:val="0"/>
          <w:numId w:val="92"/>
        </w:numPr>
        <w:ind w:left="567" w:hanging="567"/>
      </w:pPr>
      <w:r>
        <w:t>Digitaliseringsprocesserne må ikke fejlagtigt opfattes som en sparepakke for sundhedsplejen. De må ikke føre til personalenedskæringer eller en reduktion i udbuddet af sundhedstjenester.</w:t>
      </w:r>
    </w:p>
    <w:p w:rsidR="00E75595" w:rsidRDefault="00E75595" w:rsidP="00252095">
      <w:pPr>
        <w:rPr>
          <w:b/>
          <w:lang w:val="fr-FR"/>
        </w:rPr>
      </w:pPr>
    </w:p>
    <w:p w:rsidR="00E75595" w:rsidRPr="0057460E" w:rsidRDefault="00E75595" w:rsidP="00252095">
      <w:pPr>
        <w:keepNext/>
        <w:tabs>
          <w:tab w:val="left" w:pos="1701"/>
        </w:tabs>
        <w:rPr>
          <w:i/>
        </w:rPr>
      </w:pPr>
      <w:r>
        <w:rPr>
          <w:b/>
          <w:i/>
        </w:rPr>
        <w:t>Kontaktperson:</w:t>
      </w:r>
      <w:r>
        <w:rPr>
          <w:i/>
        </w:rPr>
        <w:tab/>
        <w:t>Jana Valant</w:t>
      </w:r>
    </w:p>
    <w:p w:rsidR="00E75595" w:rsidRDefault="00653B42" w:rsidP="00252095">
      <w:pPr>
        <w:tabs>
          <w:tab w:val="left" w:pos="1701"/>
        </w:tabs>
        <w:rPr>
          <w:i/>
        </w:rPr>
      </w:pPr>
      <w:r>
        <w:rPr>
          <w:i/>
        </w:rPr>
        <w:tab/>
        <w:t xml:space="preserve">(Tlf.: 00 32 2 546 89 24 – e-mail: </w:t>
      </w:r>
      <w:hyperlink r:id="rId29" w:history="1">
        <w:r>
          <w:rPr>
            <w:rStyle w:val="Hyperlink"/>
            <w:i/>
          </w:rPr>
          <w:t>jana.valant@eesc.europa.eu</w:t>
        </w:r>
      </w:hyperlink>
      <w:r>
        <w:t>)</w:t>
      </w:r>
    </w:p>
    <w:p w:rsidR="00E75595" w:rsidRDefault="00E75595" w:rsidP="00252095"/>
    <w:p w:rsidR="00E75595" w:rsidRPr="00653B42" w:rsidRDefault="00CE78BA" w:rsidP="00252095">
      <w:pPr>
        <w:pStyle w:val="ListParagraph"/>
        <w:keepNext/>
        <w:numPr>
          <w:ilvl w:val="0"/>
          <w:numId w:val="92"/>
        </w:numPr>
        <w:overflowPunct w:val="0"/>
        <w:autoSpaceDE w:val="0"/>
        <w:autoSpaceDN w:val="0"/>
        <w:adjustRightInd w:val="0"/>
        <w:ind w:left="567" w:hanging="567"/>
        <w:textAlignment w:val="baseline"/>
        <w:rPr>
          <w:sz w:val="24"/>
          <w:szCs w:val="24"/>
        </w:rPr>
      </w:pPr>
      <w:r>
        <w:rPr>
          <w:b/>
          <w:i/>
          <w:sz w:val="28"/>
          <w:szCs w:val="28"/>
        </w:rPr>
        <w:lastRenderedPageBreak/>
        <w:t>Nye aftalebetingelser for forbrugerne</w:t>
      </w:r>
    </w:p>
    <w:p w:rsidR="00E75595" w:rsidRPr="005B6772" w:rsidRDefault="00E75595" w:rsidP="00252095">
      <w:pPr>
        <w:keepNext/>
        <w:tabs>
          <w:tab w:val="center" w:pos="284"/>
        </w:tabs>
        <w:ind w:left="266" w:hanging="266"/>
        <w:rPr>
          <w:b/>
          <w:lang w:val="fr-FR"/>
        </w:rPr>
      </w:pPr>
    </w:p>
    <w:p w:rsidR="00E75595" w:rsidRDefault="00E75595" w:rsidP="00252095">
      <w:pPr>
        <w:keepNext/>
        <w:tabs>
          <w:tab w:val="left" w:pos="1701"/>
        </w:tabs>
      </w:pPr>
      <w:r>
        <w:rPr>
          <w:b/>
        </w:rPr>
        <w:t>Ordfører:</w:t>
      </w:r>
      <w:r>
        <w:tab/>
        <w:t>Jaroslaw Mulewicz (Arbejdsgivergruppen – PL)</w:t>
      </w:r>
    </w:p>
    <w:p w:rsidR="00E75595" w:rsidRPr="00C23DE4" w:rsidRDefault="00E75595" w:rsidP="00252095">
      <w:pPr>
        <w:keepNext/>
        <w:tabs>
          <w:tab w:val="center" w:pos="284"/>
          <w:tab w:val="left" w:pos="1701"/>
        </w:tabs>
        <w:ind w:left="266" w:hanging="266"/>
      </w:pPr>
      <w:r>
        <w:rPr>
          <w:b/>
        </w:rPr>
        <w:t>Medordfører:</w:t>
      </w:r>
      <w:r>
        <w:tab/>
        <w:t>Antonio Longo (Gruppen Diversitet Europa – IT)</w:t>
      </w:r>
    </w:p>
    <w:p w:rsidR="00E75595" w:rsidRDefault="00E75595" w:rsidP="00252095">
      <w:pPr>
        <w:keepNext/>
        <w:tabs>
          <w:tab w:val="center" w:pos="284"/>
        </w:tabs>
        <w:ind w:left="266" w:hanging="266"/>
        <w:rPr>
          <w:b/>
          <w:lang w:val="fr-FR"/>
        </w:rPr>
      </w:pPr>
    </w:p>
    <w:p w:rsidR="00E75595" w:rsidRDefault="00653B42" w:rsidP="00252095">
      <w:pPr>
        <w:keepNext/>
        <w:tabs>
          <w:tab w:val="center" w:pos="284"/>
          <w:tab w:val="left" w:pos="1701"/>
        </w:tabs>
        <w:ind w:left="266" w:hanging="266"/>
      </w:pPr>
      <w:r>
        <w:rPr>
          <w:b/>
        </w:rPr>
        <w:t>Ref.:</w:t>
      </w:r>
      <w:r w:rsidR="00252095">
        <w:rPr>
          <w:b/>
        </w:rPr>
        <w:tab/>
      </w:r>
      <w:r>
        <w:t>COM(2018) 184 final – 2018/0089 (COD)</w:t>
      </w:r>
    </w:p>
    <w:p w:rsidR="00E75595" w:rsidRPr="00240939" w:rsidRDefault="00E75595" w:rsidP="00252095">
      <w:pPr>
        <w:keepNext/>
        <w:tabs>
          <w:tab w:val="center" w:pos="284"/>
          <w:tab w:val="left" w:pos="1701"/>
        </w:tabs>
        <w:ind w:left="266" w:hanging="266"/>
      </w:pPr>
      <w:r>
        <w:tab/>
      </w:r>
      <w:r>
        <w:tab/>
      </w:r>
      <w:r>
        <w:tab/>
        <w:t>COM(2018) 185 final – 2018/0090 (COD)</w:t>
      </w:r>
    </w:p>
    <w:p w:rsidR="00E75595" w:rsidRPr="00103768" w:rsidRDefault="00E75595" w:rsidP="00252095">
      <w:pPr>
        <w:keepNext/>
        <w:tabs>
          <w:tab w:val="center" w:pos="284"/>
          <w:tab w:val="left" w:pos="1701"/>
        </w:tabs>
        <w:ind w:left="266" w:hanging="266"/>
      </w:pPr>
      <w:r>
        <w:tab/>
      </w:r>
      <w:r>
        <w:tab/>
      </w:r>
      <w:r>
        <w:tab/>
        <w:t>EESC-2018-02126-00-00-AC-TRA</w:t>
      </w:r>
    </w:p>
    <w:p w:rsidR="00E75595" w:rsidRPr="002D46CB" w:rsidRDefault="00E75595" w:rsidP="00252095">
      <w:pPr>
        <w:keepNext/>
        <w:tabs>
          <w:tab w:val="center" w:pos="284"/>
        </w:tabs>
        <w:ind w:left="266" w:hanging="266"/>
        <w:rPr>
          <w:lang w:val="fr-FR"/>
        </w:rPr>
      </w:pPr>
    </w:p>
    <w:p w:rsidR="00E75595" w:rsidRDefault="00653B42" w:rsidP="00252095">
      <w:pPr>
        <w:keepNext/>
        <w:tabs>
          <w:tab w:val="center" w:pos="284"/>
        </w:tabs>
        <w:ind w:left="266" w:hanging="266"/>
        <w:rPr>
          <w:b/>
        </w:rPr>
      </w:pPr>
      <w:r>
        <w:rPr>
          <w:b/>
        </w:rPr>
        <w:t>Hovedpunkter:</w:t>
      </w:r>
    </w:p>
    <w:p w:rsidR="00E75595" w:rsidRDefault="00E75595" w:rsidP="00252095">
      <w:pPr>
        <w:keepNext/>
        <w:tabs>
          <w:tab w:val="center" w:pos="284"/>
        </w:tabs>
        <w:ind w:left="266" w:hanging="266"/>
        <w:rPr>
          <w:b/>
          <w:lang w:val="fr-FR"/>
        </w:rPr>
      </w:pPr>
    </w:p>
    <w:p w:rsidR="00E75595" w:rsidRDefault="00E75595" w:rsidP="00252095">
      <w:pPr>
        <w:keepNext/>
      </w:pPr>
      <w:r>
        <w:t>EØSU:</w:t>
      </w:r>
    </w:p>
    <w:p w:rsidR="00653B42" w:rsidRDefault="00653B42" w:rsidP="00252095">
      <w:pPr>
        <w:keepNext/>
      </w:pPr>
    </w:p>
    <w:p w:rsidR="00E75595" w:rsidRDefault="00E75595" w:rsidP="00252095">
      <w:pPr>
        <w:pStyle w:val="ListParagraph"/>
        <w:numPr>
          <w:ilvl w:val="0"/>
          <w:numId w:val="6"/>
        </w:numPr>
        <w:overflowPunct w:val="0"/>
        <w:autoSpaceDE w:val="0"/>
        <w:autoSpaceDN w:val="0"/>
        <w:adjustRightInd w:val="0"/>
        <w:ind w:left="567" w:hanging="567"/>
        <w:textAlignment w:val="baseline"/>
      </w:pPr>
      <w:r>
        <w:t>anerkender Kommissionens forslag om at opdatere de eksisterende regler for at tage højde for nye forbrugsvaner og tilpasse dem til udviklingen af det digitale indre marked;</w:t>
      </w:r>
    </w:p>
    <w:p w:rsidR="00CA201A" w:rsidRDefault="00CA201A" w:rsidP="00252095">
      <w:pPr>
        <w:overflowPunct w:val="0"/>
        <w:autoSpaceDE w:val="0"/>
        <w:autoSpaceDN w:val="0"/>
        <w:adjustRightInd w:val="0"/>
        <w:ind w:left="567" w:hanging="567"/>
        <w:textAlignment w:val="baseline"/>
      </w:pPr>
    </w:p>
    <w:p w:rsidR="00E75595" w:rsidRDefault="00E75595" w:rsidP="00252095">
      <w:pPr>
        <w:pStyle w:val="ListParagraph"/>
        <w:numPr>
          <w:ilvl w:val="0"/>
          <w:numId w:val="6"/>
        </w:numPr>
        <w:overflowPunct w:val="0"/>
        <w:autoSpaceDE w:val="0"/>
        <w:autoSpaceDN w:val="0"/>
        <w:adjustRightInd w:val="0"/>
        <w:ind w:left="567" w:hanging="567"/>
        <w:textAlignment w:val="baseline"/>
      </w:pPr>
      <w:r>
        <w:t>mener, at det stadig er nødvendigt at gøre noget ved den manglende håndhævelse af de eksisterende regler;</w:t>
      </w:r>
    </w:p>
    <w:p w:rsidR="00CA201A" w:rsidRDefault="00CA201A" w:rsidP="00252095">
      <w:pPr>
        <w:overflowPunct w:val="0"/>
        <w:autoSpaceDE w:val="0"/>
        <w:autoSpaceDN w:val="0"/>
        <w:adjustRightInd w:val="0"/>
        <w:ind w:left="567" w:hanging="567"/>
        <w:textAlignment w:val="baseline"/>
      </w:pPr>
    </w:p>
    <w:p w:rsidR="00E75595" w:rsidRDefault="00E75595" w:rsidP="00252095">
      <w:pPr>
        <w:pStyle w:val="ListParagraph"/>
        <w:numPr>
          <w:ilvl w:val="0"/>
          <w:numId w:val="6"/>
        </w:numPr>
        <w:overflowPunct w:val="0"/>
        <w:autoSpaceDE w:val="0"/>
        <w:autoSpaceDN w:val="0"/>
        <w:adjustRightInd w:val="0"/>
        <w:ind w:left="567" w:hanging="567"/>
        <w:textAlignment w:val="baseline"/>
      </w:pPr>
      <w:r>
        <w:t>påpeger, at harmoniseringen af forbrugerbeskyttelseslovgivningen ikke bør mindske forbrugerbeskyttelsesniveauet i medlemsstaterne, og at der ikke bør gives køb på de erhvervsdrivendes retssikkerhed;</w:t>
      </w:r>
    </w:p>
    <w:p w:rsidR="00CA201A" w:rsidRDefault="00CA201A" w:rsidP="00252095">
      <w:pPr>
        <w:overflowPunct w:val="0"/>
        <w:autoSpaceDE w:val="0"/>
        <w:autoSpaceDN w:val="0"/>
        <w:adjustRightInd w:val="0"/>
        <w:ind w:left="567" w:hanging="567"/>
        <w:textAlignment w:val="baseline"/>
      </w:pPr>
    </w:p>
    <w:p w:rsidR="00E75595" w:rsidRDefault="00E75595" w:rsidP="00252095">
      <w:pPr>
        <w:pStyle w:val="ListParagraph"/>
        <w:numPr>
          <w:ilvl w:val="0"/>
          <w:numId w:val="6"/>
        </w:numPr>
        <w:overflowPunct w:val="0"/>
        <w:autoSpaceDE w:val="0"/>
        <w:autoSpaceDN w:val="0"/>
        <w:adjustRightInd w:val="0"/>
        <w:ind w:left="567" w:hanging="567"/>
        <w:textAlignment w:val="baseline"/>
      </w:pPr>
      <w:r>
        <w:t>mener, at forbrugerrettighederne bør udvides til alle "tilsyneladende gratis" digitale tjenester, som brugerne giver personlige og andre oplysninger for;</w:t>
      </w:r>
    </w:p>
    <w:p w:rsidR="00E75595" w:rsidRDefault="00E75595" w:rsidP="00252095">
      <w:pPr>
        <w:overflowPunct w:val="0"/>
        <w:autoSpaceDE w:val="0"/>
        <w:autoSpaceDN w:val="0"/>
        <w:adjustRightInd w:val="0"/>
        <w:ind w:left="567" w:hanging="567"/>
        <w:textAlignment w:val="baseline"/>
      </w:pPr>
    </w:p>
    <w:p w:rsidR="00E75595" w:rsidRDefault="00E75595" w:rsidP="00252095">
      <w:pPr>
        <w:pStyle w:val="ListParagraph"/>
        <w:numPr>
          <w:ilvl w:val="0"/>
          <w:numId w:val="6"/>
        </w:numPr>
        <w:overflowPunct w:val="0"/>
        <w:autoSpaceDE w:val="0"/>
        <w:autoSpaceDN w:val="0"/>
        <w:adjustRightInd w:val="0"/>
        <w:ind w:left="567" w:hanging="567"/>
        <w:textAlignment w:val="baseline"/>
      </w:pPr>
      <w:r>
        <w:t>støtter øget gennemsigtighed og ansvarlighed i forbindelse med onlineplatforme;</w:t>
      </w:r>
    </w:p>
    <w:p w:rsidR="00CA201A" w:rsidRDefault="00CA201A" w:rsidP="00252095">
      <w:pPr>
        <w:overflowPunct w:val="0"/>
        <w:autoSpaceDE w:val="0"/>
        <w:autoSpaceDN w:val="0"/>
        <w:adjustRightInd w:val="0"/>
        <w:ind w:left="567" w:hanging="567"/>
        <w:textAlignment w:val="baseline"/>
      </w:pPr>
    </w:p>
    <w:p w:rsidR="00E75595" w:rsidRDefault="00E75595" w:rsidP="00252095">
      <w:pPr>
        <w:pStyle w:val="ListParagraph"/>
        <w:numPr>
          <w:ilvl w:val="0"/>
          <w:numId w:val="6"/>
        </w:numPr>
        <w:overflowPunct w:val="0"/>
        <w:autoSpaceDE w:val="0"/>
        <w:autoSpaceDN w:val="0"/>
        <w:adjustRightInd w:val="0"/>
        <w:ind w:left="567" w:hanging="567"/>
        <w:textAlignment w:val="baseline"/>
      </w:pPr>
      <w:r>
        <w:t>bemærker, at de erhvervsdrivende og forbrugerne har forskellige synspunkter om aspekter såsom oplysninger forud for aftaleindgåelsen og fortrydelsesretten;</w:t>
      </w:r>
    </w:p>
    <w:p w:rsidR="00CA201A" w:rsidRDefault="00CA201A" w:rsidP="00252095">
      <w:pPr>
        <w:overflowPunct w:val="0"/>
        <w:autoSpaceDE w:val="0"/>
        <w:autoSpaceDN w:val="0"/>
        <w:adjustRightInd w:val="0"/>
        <w:ind w:left="567" w:hanging="567"/>
        <w:textAlignment w:val="baseline"/>
      </w:pPr>
    </w:p>
    <w:p w:rsidR="00E75595" w:rsidRDefault="00E75595" w:rsidP="00252095">
      <w:pPr>
        <w:pStyle w:val="ListParagraph"/>
        <w:numPr>
          <w:ilvl w:val="0"/>
          <w:numId w:val="6"/>
        </w:numPr>
        <w:overflowPunct w:val="0"/>
        <w:autoSpaceDE w:val="0"/>
        <w:autoSpaceDN w:val="0"/>
        <w:adjustRightInd w:val="0"/>
        <w:ind w:left="567" w:hanging="567"/>
        <w:textAlignment w:val="baseline"/>
      </w:pPr>
      <w:r>
        <w:t>opfordrer til at anvende mekanismer for alternativ tvistbilæggelse og foreslår, at onlinetvistbilæggelse såsom mægling og voldgift fremmes på EU-niveau og nationalt niveau;</w:t>
      </w:r>
    </w:p>
    <w:p w:rsidR="00CA201A" w:rsidRDefault="00CA201A" w:rsidP="00252095">
      <w:pPr>
        <w:overflowPunct w:val="0"/>
        <w:autoSpaceDE w:val="0"/>
        <w:autoSpaceDN w:val="0"/>
        <w:adjustRightInd w:val="0"/>
        <w:ind w:left="567" w:hanging="567"/>
        <w:textAlignment w:val="baseline"/>
      </w:pPr>
    </w:p>
    <w:p w:rsidR="00E75595" w:rsidRDefault="00E75595" w:rsidP="00252095">
      <w:pPr>
        <w:pStyle w:val="ListParagraph"/>
        <w:numPr>
          <w:ilvl w:val="0"/>
          <w:numId w:val="6"/>
        </w:numPr>
        <w:overflowPunct w:val="0"/>
        <w:autoSpaceDE w:val="0"/>
        <w:autoSpaceDN w:val="0"/>
        <w:adjustRightInd w:val="0"/>
        <w:ind w:left="567" w:hanging="567"/>
        <w:textAlignment w:val="baseline"/>
      </w:pPr>
      <w:r>
        <w:t>mener, at specifikke kriterier for indførelse af bøder er et effektivt forbrugerbeskyttelsesinstrument;</w:t>
      </w:r>
    </w:p>
    <w:p w:rsidR="00CA201A" w:rsidRDefault="00CA201A" w:rsidP="00252095">
      <w:pPr>
        <w:overflowPunct w:val="0"/>
        <w:autoSpaceDE w:val="0"/>
        <w:autoSpaceDN w:val="0"/>
        <w:adjustRightInd w:val="0"/>
        <w:ind w:left="567" w:hanging="567"/>
        <w:textAlignment w:val="baseline"/>
      </w:pPr>
    </w:p>
    <w:p w:rsidR="00E75595" w:rsidRDefault="00E75595" w:rsidP="00252095">
      <w:pPr>
        <w:pStyle w:val="ListParagraph"/>
        <w:numPr>
          <w:ilvl w:val="0"/>
          <w:numId w:val="6"/>
        </w:numPr>
        <w:overflowPunct w:val="0"/>
        <w:autoSpaceDE w:val="0"/>
        <w:autoSpaceDN w:val="0"/>
        <w:adjustRightInd w:val="0"/>
        <w:ind w:left="567" w:hanging="567"/>
        <w:textAlignment w:val="baseline"/>
      </w:pPr>
      <w:r>
        <w:t>beklager, at der ikke er blevet taget hensyn til EØSU's tidligere anbefalinger om kollektive retsmidler;</w:t>
      </w:r>
    </w:p>
    <w:p w:rsidR="00CA201A" w:rsidRDefault="00CA201A" w:rsidP="00252095">
      <w:pPr>
        <w:overflowPunct w:val="0"/>
        <w:autoSpaceDE w:val="0"/>
        <w:autoSpaceDN w:val="0"/>
        <w:adjustRightInd w:val="0"/>
        <w:ind w:left="567" w:hanging="567"/>
        <w:textAlignment w:val="baseline"/>
      </w:pPr>
    </w:p>
    <w:p w:rsidR="00E75595" w:rsidRDefault="00E75595" w:rsidP="00252095">
      <w:pPr>
        <w:pStyle w:val="ListParagraph"/>
        <w:numPr>
          <w:ilvl w:val="0"/>
          <w:numId w:val="6"/>
        </w:numPr>
        <w:overflowPunct w:val="0"/>
        <w:autoSpaceDE w:val="0"/>
        <w:autoSpaceDN w:val="0"/>
        <w:adjustRightInd w:val="0"/>
        <w:ind w:left="567" w:hanging="567"/>
        <w:textAlignment w:val="baseline"/>
      </w:pPr>
      <w:r>
        <w:t>understreger, at godkendte organisationer/organer bør udpeges i overensstemmelse med nærhedsprincippet og national lovgivning;</w:t>
      </w:r>
    </w:p>
    <w:p w:rsidR="00CA201A" w:rsidRDefault="00CA201A" w:rsidP="00252095">
      <w:pPr>
        <w:overflowPunct w:val="0"/>
        <w:autoSpaceDE w:val="0"/>
        <w:autoSpaceDN w:val="0"/>
        <w:adjustRightInd w:val="0"/>
        <w:ind w:left="567" w:hanging="567"/>
        <w:textAlignment w:val="baseline"/>
      </w:pPr>
    </w:p>
    <w:p w:rsidR="00E75595" w:rsidRDefault="00E75595" w:rsidP="00252095">
      <w:pPr>
        <w:pStyle w:val="ListParagraph"/>
        <w:keepNext/>
        <w:keepLines/>
        <w:numPr>
          <w:ilvl w:val="0"/>
          <w:numId w:val="6"/>
        </w:numPr>
        <w:overflowPunct w:val="0"/>
        <w:autoSpaceDE w:val="0"/>
        <w:autoSpaceDN w:val="0"/>
        <w:adjustRightInd w:val="0"/>
        <w:ind w:left="567" w:hanging="567"/>
        <w:textAlignment w:val="baseline"/>
      </w:pPr>
      <w:r>
        <w:lastRenderedPageBreak/>
        <w:t>understreger, at EU-borgerne bør have let og hurtig adgang til domstolsprøvelse, og at det bør være muligt for forbrugerne at vælge, om de vil deltage i et kollektivt søgsmål (opt in) eller ikke (opt out).</w:t>
      </w:r>
    </w:p>
    <w:p w:rsidR="00E75595" w:rsidRDefault="00E75595" w:rsidP="00252095">
      <w:pPr>
        <w:keepNext/>
        <w:keepLines/>
        <w:rPr>
          <w:b/>
          <w:lang w:val="fr-FR"/>
        </w:rPr>
      </w:pPr>
    </w:p>
    <w:p w:rsidR="00E75595" w:rsidRPr="0057460E" w:rsidRDefault="00E75595" w:rsidP="00252095">
      <w:pPr>
        <w:keepNext/>
        <w:keepLines/>
        <w:tabs>
          <w:tab w:val="left" w:pos="1701"/>
        </w:tabs>
        <w:rPr>
          <w:i/>
        </w:rPr>
      </w:pPr>
      <w:r>
        <w:rPr>
          <w:b/>
          <w:i/>
        </w:rPr>
        <w:t>Kontaktperson:</w:t>
      </w:r>
      <w:r>
        <w:rPr>
          <w:i/>
        </w:rPr>
        <w:tab/>
        <w:t>Janine Borg</w:t>
      </w:r>
    </w:p>
    <w:p w:rsidR="00E75595" w:rsidRDefault="00CA201A" w:rsidP="00252095">
      <w:pPr>
        <w:keepNext/>
        <w:keepLines/>
        <w:tabs>
          <w:tab w:val="left" w:pos="1701"/>
        </w:tabs>
        <w:rPr>
          <w:i/>
        </w:rPr>
      </w:pPr>
      <w:r>
        <w:rPr>
          <w:i/>
        </w:rPr>
        <w:tab/>
        <w:t xml:space="preserve">(Tlf.: 00 32 2 546 88 79 – e-mail: </w:t>
      </w:r>
      <w:hyperlink r:id="rId30" w:history="1">
        <w:r>
          <w:rPr>
            <w:rStyle w:val="Hyperlink"/>
            <w:i/>
          </w:rPr>
          <w:t>janine.borg@eesc.europa.eu</w:t>
        </w:r>
      </w:hyperlink>
      <w:r>
        <w:t>)</w:t>
      </w:r>
    </w:p>
    <w:p w:rsidR="00E75595" w:rsidRDefault="00E75595" w:rsidP="00252095"/>
    <w:p w:rsidR="00E75595" w:rsidRPr="00CA201A" w:rsidRDefault="00E75595" w:rsidP="00252095">
      <w:pPr>
        <w:pStyle w:val="ListParagraph"/>
        <w:keepNext/>
        <w:numPr>
          <w:ilvl w:val="0"/>
          <w:numId w:val="92"/>
        </w:numPr>
        <w:overflowPunct w:val="0"/>
        <w:autoSpaceDE w:val="0"/>
        <w:autoSpaceDN w:val="0"/>
        <w:adjustRightInd w:val="0"/>
        <w:ind w:left="567" w:hanging="567"/>
        <w:textAlignment w:val="baseline"/>
        <w:rPr>
          <w:sz w:val="24"/>
          <w:szCs w:val="24"/>
        </w:rPr>
      </w:pPr>
      <w:r>
        <w:rPr>
          <w:b/>
          <w:i/>
          <w:sz w:val="28"/>
          <w:szCs w:val="28"/>
        </w:rPr>
        <w:t>En ny europæisk dagsorden for forskning og innovation</w:t>
      </w:r>
    </w:p>
    <w:p w:rsidR="00E75595" w:rsidRPr="005B6772" w:rsidRDefault="00E75595" w:rsidP="00252095">
      <w:pPr>
        <w:keepNext/>
        <w:tabs>
          <w:tab w:val="center" w:pos="284"/>
        </w:tabs>
        <w:ind w:left="266" w:hanging="266"/>
        <w:rPr>
          <w:b/>
          <w:lang w:val="fr-FR"/>
        </w:rPr>
      </w:pPr>
    </w:p>
    <w:p w:rsidR="00E75595" w:rsidRDefault="00E75595" w:rsidP="00252095">
      <w:pPr>
        <w:keepNext/>
        <w:tabs>
          <w:tab w:val="left" w:pos="1701"/>
        </w:tabs>
      </w:pPr>
      <w:r>
        <w:rPr>
          <w:b/>
        </w:rPr>
        <w:t>Ordfører:</w:t>
      </w:r>
      <w:r>
        <w:t xml:space="preserve"> </w:t>
      </w:r>
      <w:r>
        <w:tab/>
        <w:t>Ulrich Samm (Arbejdsgivergruppen – DE)</w:t>
      </w:r>
    </w:p>
    <w:p w:rsidR="00CE78BA" w:rsidRPr="00C23DE4" w:rsidRDefault="00CE78BA" w:rsidP="00252095">
      <w:pPr>
        <w:keepNext/>
        <w:tabs>
          <w:tab w:val="left" w:pos="1701"/>
        </w:tabs>
      </w:pPr>
      <w:r>
        <w:rPr>
          <w:b/>
        </w:rPr>
        <w:t>Medordfører:</w:t>
      </w:r>
      <w:r>
        <w:tab/>
        <w:t>Stefano Palmieri (Arbejdstagergruppen – IT)</w:t>
      </w:r>
    </w:p>
    <w:p w:rsidR="00E75595" w:rsidRPr="00C23DE4" w:rsidRDefault="00E75595" w:rsidP="00252095">
      <w:pPr>
        <w:keepNext/>
        <w:tabs>
          <w:tab w:val="center" w:pos="284"/>
        </w:tabs>
        <w:ind w:left="266" w:hanging="266"/>
        <w:rPr>
          <w:lang w:val="fr-FR"/>
        </w:rPr>
      </w:pPr>
    </w:p>
    <w:p w:rsidR="00E75595" w:rsidRPr="00240939" w:rsidRDefault="00CA201A" w:rsidP="00252095">
      <w:pPr>
        <w:keepNext/>
        <w:tabs>
          <w:tab w:val="center" w:pos="284"/>
          <w:tab w:val="left" w:pos="1701"/>
        </w:tabs>
        <w:ind w:left="266" w:hanging="266"/>
      </w:pPr>
      <w:r>
        <w:rPr>
          <w:b/>
        </w:rPr>
        <w:t>Ref.:</w:t>
      </w:r>
      <w:r w:rsidR="00252095">
        <w:rPr>
          <w:b/>
        </w:rPr>
        <w:tab/>
      </w:r>
      <w:r>
        <w:t>COM(2018) 306 final</w:t>
      </w:r>
    </w:p>
    <w:p w:rsidR="00E75595" w:rsidRPr="00103768" w:rsidRDefault="00E75595" w:rsidP="00252095">
      <w:pPr>
        <w:keepNext/>
        <w:tabs>
          <w:tab w:val="center" w:pos="284"/>
          <w:tab w:val="left" w:pos="1701"/>
        </w:tabs>
        <w:ind w:left="266" w:hanging="266"/>
      </w:pPr>
      <w:r>
        <w:tab/>
      </w:r>
      <w:r>
        <w:tab/>
      </w:r>
      <w:r>
        <w:tab/>
        <w:t>EESC-2018-02898-00-00-AC-TRA</w:t>
      </w:r>
    </w:p>
    <w:p w:rsidR="00E75595" w:rsidRPr="002D46CB" w:rsidRDefault="00E75595" w:rsidP="00252095">
      <w:pPr>
        <w:keepNext/>
        <w:tabs>
          <w:tab w:val="center" w:pos="284"/>
        </w:tabs>
        <w:ind w:left="266" w:hanging="266"/>
        <w:rPr>
          <w:lang w:val="fr-FR"/>
        </w:rPr>
      </w:pPr>
    </w:p>
    <w:p w:rsidR="00E75595" w:rsidRDefault="00CA201A" w:rsidP="00252095">
      <w:pPr>
        <w:keepNext/>
        <w:tabs>
          <w:tab w:val="center" w:pos="284"/>
        </w:tabs>
        <w:ind w:left="266" w:hanging="266"/>
        <w:rPr>
          <w:b/>
        </w:rPr>
      </w:pPr>
      <w:r>
        <w:rPr>
          <w:b/>
        </w:rPr>
        <w:t>Hovedpunkter:</w:t>
      </w:r>
    </w:p>
    <w:p w:rsidR="00E75595" w:rsidRDefault="00E75595" w:rsidP="00252095">
      <w:pPr>
        <w:keepNext/>
        <w:rPr>
          <w:b/>
          <w:lang w:val="fr-FR"/>
        </w:rPr>
      </w:pPr>
    </w:p>
    <w:p w:rsidR="00E75595" w:rsidRDefault="00E75595" w:rsidP="00252095">
      <w:pPr>
        <w:keepNext/>
      </w:pPr>
      <w:r>
        <w:t>EØSU:</w:t>
      </w:r>
    </w:p>
    <w:p w:rsidR="00CA201A" w:rsidRDefault="00CA201A" w:rsidP="00252095">
      <w:pPr>
        <w:keepNext/>
      </w:pPr>
    </w:p>
    <w:p w:rsidR="00E75595" w:rsidRDefault="00E75595" w:rsidP="00252095">
      <w:pPr>
        <w:pStyle w:val="ListParagraph"/>
        <w:numPr>
          <w:ilvl w:val="0"/>
          <w:numId w:val="6"/>
        </w:numPr>
        <w:overflowPunct w:val="0"/>
        <w:autoSpaceDE w:val="0"/>
        <w:autoSpaceDN w:val="0"/>
        <w:adjustRightInd w:val="0"/>
        <w:ind w:left="567" w:hanging="567"/>
        <w:textAlignment w:val="baseline"/>
      </w:pPr>
      <w:r>
        <w:t>EØSU bifalder, at forskning og innovation fortsat bør være en helt central EU-prioritet og understreger betydningen af offentlige investeringer i denne sektor;</w:t>
      </w:r>
    </w:p>
    <w:p w:rsidR="00CA201A" w:rsidRPr="00CA201A" w:rsidRDefault="00CA201A" w:rsidP="00252095">
      <w:pPr>
        <w:overflowPunct w:val="0"/>
        <w:autoSpaceDE w:val="0"/>
        <w:autoSpaceDN w:val="0"/>
        <w:adjustRightInd w:val="0"/>
        <w:ind w:left="567" w:hanging="567"/>
        <w:textAlignment w:val="baseline"/>
        <w:rPr>
          <w:lang w:val="fr-BE"/>
        </w:rPr>
      </w:pPr>
    </w:p>
    <w:p w:rsidR="00E75595" w:rsidRDefault="00E75595" w:rsidP="00252095">
      <w:pPr>
        <w:pStyle w:val="ListParagraph"/>
        <w:numPr>
          <w:ilvl w:val="0"/>
          <w:numId w:val="6"/>
        </w:numPr>
        <w:overflowPunct w:val="0"/>
        <w:autoSpaceDE w:val="0"/>
        <w:autoSpaceDN w:val="0"/>
        <w:adjustRightInd w:val="0"/>
        <w:ind w:left="567" w:hanging="567"/>
        <w:textAlignment w:val="baseline"/>
      </w:pPr>
      <w:r>
        <w:t>glæder sig over målsætningen om en yderligere forenkling af statsstøttereglerne, som kan lette kombinationen af forskellige midler og være medvirkende til at fjerne de store uligheder medlem medlemsstater og regioner;</w:t>
      </w:r>
    </w:p>
    <w:p w:rsidR="00CA201A" w:rsidRPr="00CA201A" w:rsidRDefault="00CA201A" w:rsidP="00252095">
      <w:pPr>
        <w:overflowPunct w:val="0"/>
        <w:autoSpaceDE w:val="0"/>
        <w:autoSpaceDN w:val="0"/>
        <w:adjustRightInd w:val="0"/>
        <w:ind w:left="567" w:hanging="567"/>
        <w:textAlignment w:val="baseline"/>
        <w:rPr>
          <w:lang w:val="fr-BE"/>
        </w:rPr>
      </w:pPr>
    </w:p>
    <w:p w:rsidR="00E75595" w:rsidRDefault="00E75595" w:rsidP="00252095">
      <w:pPr>
        <w:pStyle w:val="ListParagraph"/>
        <w:numPr>
          <w:ilvl w:val="0"/>
          <w:numId w:val="6"/>
        </w:numPr>
        <w:overflowPunct w:val="0"/>
        <w:autoSpaceDE w:val="0"/>
        <w:autoSpaceDN w:val="0"/>
        <w:adjustRightInd w:val="0"/>
        <w:ind w:left="567" w:hanging="567"/>
        <w:textAlignment w:val="baseline"/>
      </w:pPr>
      <w:r>
        <w:t>støtter idéen med missioner, idet mange store samfundsmæssige udfordringer kun kan løses på europæisk plan;</w:t>
      </w:r>
    </w:p>
    <w:p w:rsidR="00CA201A" w:rsidRPr="00CA201A" w:rsidRDefault="00CA201A" w:rsidP="00252095">
      <w:pPr>
        <w:overflowPunct w:val="0"/>
        <w:autoSpaceDE w:val="0"/>
        <w:autoSpaceDN w:val="0"/>
        <w:adjustRightInd w:val="0"/>
        <w:ind w:left="567" w:hanging="567"/>
        <w:textAlignment w:val="baseline"/>
        <w:rPr>
          <w:lang w:val="fr-BE"/>
        </w:rPr>
      </w:pPr>
    </w:p>
    <w:p w:rsidR="00E75595" w:rsidRDefault="00E75595" w:rsidP="00252095">
      <w:pPr>
        <w:pStyle w:val="ListParagraph"/>
        <w:numPr>
          <w:ilvl w:val="0"/>
          <w:numId w:val="6"/>
        </w:numPr>
        <w:overflowPunct w:val="0"/>
        <w:autoSpaceDE w:val="0"/>
        <w:autoSpaceDN w:val="0"/>
        <w:adjustRightInd w:val="0"/>
        <w:ind w:left="567" w:hanging="567"/>
        <w:textAlignment w:val="baseline"/>
      </w:pPr>
      <w:r>
        <w:t>mener, at det er nødvendigt at øge EU's investeringer med det formål at hjælpe europæiske arbejdstagere, så de kan følge med udviklingen i og erhverve sig kvalifikationer inden for de digitale erhverv;</w:t>
      </w:r>
    </w:p>
    <w:p w:rsidR="00CA201A" w:rsidRPr="00CA201A" w:rsidRDefault="00CA201A" w:rsidP="00252095">
      <w:pPr>
        <w:overflowPunct w:val="0"/>
        <w:autoSpaceDE w:val="0"/>
        <w:autoSpaceDN w:val="0"/>
        <w:adjustRightInd w:val="0"/>
        <w:ind w:left="567" w:hanging="567"/>
        <w:textAlignment w:val="baseline"/>
        <w:rPr>
          <w:lang w:val="fr-BE"/>
        </w:rPr>
      </w:pPr>
    </w:p>
    <w:p w:rsidR="00E75595" w:rsidRPr="001E54C6" w:rsidRDefault="00E75595" w:rsidP="00252095">
      <w:pPr>
        <w:pStyle w:val="ListParagraph"/>
        <w:numPr>
          <w:ilvl w:val="0"/>
          <w:numId w:val="6"/>
        </w:numPr>
        <w:overflowPunct w:val="0"/>
        <w:autoSpaceDE w:val="0"/>
        <w:autoSpaceDN w:val="0"/>
        <w:adjustRightInd w:val="0"/>
        <w:ind w:left="567" w:hanging="567"/>
        <w:textAlignment w:val="baseline"/>
      </w:pPr>
      <w:r>
        <w:t>mener, at initiativer møntet på at hjælpe SMV'er med at drage fordel af og udnytte resultaterne af forskning og innovation bør støttes på mere effektiv vis.</w:t>
      </w:r>
    </w:p>
    <w:p w:rsidR="00E75595" w:rsidRDefault="00E75595" w:rsidP="00252095">
      <w:pPr>
        <w:rPr>
          <w:b/>
          <w:lang w:val="fr-FR"/>
        </w:rPr>
      </w:pPr>
    </w:p>
    <w:p w:rsidR="00E75595" w:rsidRPr="0057460E" w:rsidRDefault="00E75595" w:rsidP="00252095">
      <w:pPr>
        <w:keepNext/>
        <w:tabs>
          <w:tab w:val="left" w:pos="1701"/>
        </w:tabs>
        <w:rPr>
          <w:i/>
        </w:rPr>
      </w:pPr>
      <w:r>
        <w:rPr>
          <w:b/>
          <w:i/>
        </w:rPr>
        <w:t>Kontaktperson:</w:t>
      </w:r>
      <w:r>
        <w:rPr>
          <w:i/>
        </w:rPr>
        <w:tab/>
        <w:t>Alice Tétu</w:t>
      </w:r>
    </w:p>
    <w:p w:rsidR="00E75595" w:rsidRDefault="00CA201A" w:rsidP="00252095">
      <w:pPr>
        <w:tabs>
          <w:tab w:val="left" w:pos="1701"/>
        </w:tabs>
        <w:rPr>
          <w:i/>
        </w:rPr>
      </w:pPr>
      <w:r>
        <w:rPr>
          <w:i/>
        </w:rPr>
        <w:tab/>
        <w:t xml:space="preserve">(Tlf.: 00 32 2 546 82 86 – e-mail: </w:t>
      </w:r>
      <w:hyperlink r:id="rId31" w:history="1">
        <w:r>
          <w:rPr>
            <w:rStyle w:val="Hyperlink"/>
            <w:i/>
          </w:rPr>
          <w:t>alice.tetu@eesc.europa.eu</w:t>
        </w:r>
      </w:hyperlink>
      <w:r>
        <w:rPr>
          <w:i/>
        </w:rPr>
        <w:t>)</w:t>
      </w:r>
    </w:p>
    <w:p w:rsidR="00E75595" w:rsidRDefault="00E75595" w:rsidP="00252095"/>
    <w:p w:rsidR="00E75595" w:rsidRPr="005820F6" w:rsidRDefault="00A90E72" w:rsidP="00252095">
      <w:pPr>
        <w:pStyle w:val="ListParagraph"/>
        <w:keepNext/>
        <w:numPr>
          <w:ilvl w:val="0"/>
          <w:numId w:val="92"/>
        </w:numPr>
        <w:overflowPunct w:val="0"/>
        <w:autoSpaceDE w:val="0"/>
        <w:autoSpaceDN w:val="0"/>
        <w:adjustRightInd w:val="0"/>
        <w:ind w:left="567" w:hanging="567"/>
        <w:textAlignment w:val="baseline"/>
        <w:rPr>
          <w:sz w:val="24"/>
          <w:szCs w:val="24"/>
        </w:rPr>
      </w:pPr>
      <w:r>
        <w:rPr>
          <w:b/>
          <w:i/>
          <w:sz w:val="28"/>
          <w:szCs w:val="28"/>
        </w:rPr>
        <w:lastRenderedPageBreak/>
        <w:t>Mindre børsnoterede selskaber</w:t>
      </w:r>
    </w:p>
    <w:p w:rsidR="00E75595" w:rsidRPr="005B6772" w:rsidRDefault="00E75595" w:rsidP="00252095">
      <w:pPr>
        <w:keepNext/>
        <w:tabs>
          <w:tab w:val="center" w:pos="284"/>
        </w:tabs>
        <w:ind w:left="266" w:hanging="266"/>
        <w:rPr>
          <w:b/>
          <w:lang w:val="fr-FR"/>
        </w:rPr>
      </w:pPr>
    </w:p>
    <w:p w:rsidR="00E75595" w:rsidRPr="00C23DE4" w:rsidRDefault="00E75595" w:rsidP="00252095">
      <w:pPr>
        <w:keepNext/>
        <w:tabs>
          <w:tab w:val="left" w:pos="1134"/>
        </w:tabs>
      </w:pPr>
      <w:r>
        <w:rPr>
          <w:b/>
        </w:rPr>
        <w:t>Ordfører:</w:t>
      </w:r>
      <w:r>
        <w:t xml:space="preserve"> </w:t>
      </w:r>
      <w:r>
        <w:tab/>
        <w:t>Mihai Ivașcu (Gruppen Diversitet Europa – RO)</w:t>
      </w:r>
    </w:p>
    <w:p w:rsidR="00E75595" w:rsidRPr="00C23DE4" w:rsidRDefault="00E75595" w:rsidP="00252095">
      <w:pPr>
        <w:keepNext/>
        <w:tabs>
          <w:tab w:val="center" w:pos="284"/>
          <w:tab w:val="left" w:pos="1134"/>
        </w:tabs>
        <w:ind w:left="266" w:hanging="266"/>
        <w:rPr>
          <w:lang w:val="fr-FR"/>
        </w:rPr>
      </w:pPr>
    </w:p>
    <w:p w:rsidR="00E75595" w:rsidRPr="00240939" w:rsidRDefault="005820F6" w:rsidP="00252095">
      <w:pPr>
        <w:keepNext/>
        <w:tabs>
          <w:tab w:val="center" w:pos="284"/>
          <w:tab w:val="left" w:pos="1134"/>
        </w:tabs>
        <w:ind w:left="266" w:hanging="266"/>
      </w:pPr>
      <w:r>
        <w:rPr>
          <w:b/>
        </w:rPr>
        <w:t>Ref.:</w:t>
      </w:r>
      <w:r w:rsidR="00252095">
        <w:rPr>
          <w:b/>
        </w:rPr>
        <w:tab/>
      </w:r>
      <w:r>
        <w:t>COM(2018) 331 final – 2018/0165 (COD)</w:t>
      </w:r>
    </w:p>
    <w:p w:rsidR="00E75595" w:rsidRPr="00103768" w:rsidRDefault="00E75595" w:rsidP="00252095">
      <w:pPr>
        <w:keepNext/>
        <w:tabs>
          <w:tab w:val="center" w:pos="284"/>
          <w:tab w:val="left" w:pos="1134"/>
        </w:tabs>
        <w:ind w:left="266" w:hanging="266"/>
      </w:pPr>
      <w:r>
        <w:tab/>
      </w:r>
      <w:r>
        <w:tab/>
      </w:r>
      <w:r>
        <w:tab/>
        <w:t>EESC-2018-02916-00-00-AC-TRA</w:t>
      </w:r>
    </w:p>
    <w:p w:rsidR="00E75595" w:rsidRPr="002D46CB" w:rsidRDefault="00E75595" w:rsidP="00252095">
      <w:pPr>
        <w:keepNext/>
        <w:tabs>
          <w:tab w:val="center" w:pos="284"/>
        </w:tabs>
        <w:ind w:left="266" w:hanging="266"/>
        <w:rPr>
          <w:lang w:val="fr-FR"/>
        </w:rPr>
      </w:pPr>
    </w:p>
    <w:p w:rsidR="00E75595" w:rsidRDefault="005820F6" w:rsidP="00252095">
      <w:pPr>
        <w:keepNext/>
        <w:tabs>
          <w:tab w:val="center" w:pos="284"/>
        </w:tabs>
        <w:ind w:left="266" w:hanging="266"/>
        <w:rPr>
          <w:b/>
        </w:rPr>
      </w:pPr>
      <w:r>
        <w:rPr>
          <w:b/>
        </w:rPr>
        <w:t>Hovedpunkter:</w:t>
      </w:r>
    </w:p>
    <w:p w:rsidR="00E75595" w:rsidRDefault="00E75595" w:rsidP="00252095">
      <w:pPr>
        <w:keepNext/>
        <w:tabs>
          <w:tab w:val="center" w:pos="284"/>
        </w:tabs>
        <w:ind w:left="266" w:hanging="266"/>
        <w:rPr>
          <w:b/>
          <w:lang w:val="fr-FR"/>
        </w:rPr>
      </w:pPr>
    </w:p>
    <w:p w:rsidR="00E75595" w:rsidRDefault="00E75595" w:rsidP="00252095">
      <w:pPr>
        <w:keepNext/>
      </w:pPr>
      <w:r>
        <w:t>EØSU:</w:t>
      </w:r>
    </w:p>
    <w:p w:rsidR="005820F6" w:rsidRDefault="005820F6" w:rsidP="00252095">
      <w:pPr>
        <w:keepNext/>
      </w:pPr>
    </w:p>
    <w:p w:rsidR="00E75595" w:rsidRDefault="00E75595" w:rsidP="00252095">
      <w:pPr>
        <w:pStyle w:val="ListParagraph"/>
        <w:numPr>
          <w:ilvl w:val="0"/>
          <w:numId w:val="78"/>
        </w:numPr>
        <w:ind w:left="567" w:hanging="567"/>
      </w:pPr>
      <w:r>
        <w:t>mener, at det nuværende forslag er et skridt i den rigtige retning, men at det ikke er nok til at håndtere de eksisterende hindringer på SMV-vækstmarkederne på en tilfredsstillende måde;</w:t>
      </w:r>
    </w:p>
    <w:p w:rsidR="005820F6" w:rsidRDefault="005820F6" w:rsidP="00252095">
      <w:pPr>
        <w:ind w:left="567" w:hanging="567"/>
      </w:pPr>
    </w:p>
    <w:p w:rsidR="00E75595" w:rsidRDefault="00E75595" w:rsidP="00252095">
      <w:pPr>
        <w:pStyle w:val="ListParagraph"/>
        <w:numPr>
          <w:ilvl w:val="0"/>
          <w:numId w:val="78"/>
        </w:numPr>
        <w:ind w:left="567" w:hanging="567"/>
      </w:pPr>
      <w:r>
        <w:t>fastholder, at det ringe kommunikationsniveau og den bureaukratiske tilgang udgør væsentlige hindringer, og at der skal en langt større indsats til for at overkomme disse. Meddelelser bør altid være rettet mod bunden af kæden ved at man involverer SMV-sammenslutninger, arbejdsmarkedets parter, handelskamre osv.;</w:t>
      </w:r>
    </w:p>
    <w:p w:rsidR="005820F6" w:rsidRDefault="005820F6" w:rsidP="00252095">
      <w:pPr>
        <w:ind w:left="567" w:hanging="567"/>
      </w:pPr>
    </w:p>
    <w:p w:rsidR="00E75595" w:rsidRDefault="00E75595" w:rsidP="00252095">
      <w:pPr>
        <w:pStyle w:val="ListParagraph"/>
        <w:numPr>
          <w:ilvl w:val="0"/>
          <w:numId w:val="78"/>
        </w:numPr>
        <w:ind w:left="567" w:hanging="567"/>
      </w:pPr>
      <w:r>
        <w:t>råder Kommissionen til at undersøge muligheden for at tiltrække institutionelle investorer som f.eks. private pensionsfonde til at investere på disse SMV-vækstmarkeder ved at tilbyde attraktive incitamenter, især på skatteområdet;</w:t>
      </w:r>
    </w:p>
    <w:p w:rsidR="005820F6" w:rsidRDefault="005820F6" w:rsidP="00252095">
      <w:pPr>
        <w:ind w:left="567" w:hanging="567"/>
      </w:pPr>
    </w:p>
    <w:p w:rsidR="00E75595" w:rsidRDefault="00E75595" w:rsidP="00252095">
      <w:pPr>
        <w:pStyle w:val="ListParagraph"/>
        <w:numPr>
          <w:ilvl w:val="0"/>
          <w:numId w:val="78"/>
        </w:numPr>
        <w:ind w:left="567" w:hanging="567"/>
        <w:rPr>
          <w:rFonts w:ascii="Calibri" w:hAnsi="Calibri"/>
        </w:rPr>
      </w:pPr>
      <w:r>
        <w:t>hilser i særlig høj grad likviditetsaftalerne velkommen, især når det gælder de underudviklede markeder.</w:t>
      </w:r>
    </w:p>
    <w:p w:rsidR="00E75595" w:rsidRDefault="00E75595" w:rsidP="00252095">
      <w:pPr>
        <w:rPr>
          <w:b/>
          <w:lang w:val="fr-FR"/>
        </w:rPr>
      </w:pPr>
    </w:p>
    <w:p w:rsidR="00E75595" w:rsidRPr="0057460E" w:rsidRDefault="00E75595" w:rsidP="00252095">
      <w:pPr>
        <w:keepNext/>
        <w:tabs>
          <w:tab w:val="left" w:pos="1701"/>
        </w:tabs>
        <w:rPr>
          <w:i/>
        </w:rPr>
      </w:pPr>
      <w:r>
        <w:rPr>
          <w:b/>
          <w:i/>
        </w:rPr>
        <w:t>Kontaktperson:</w:t>
      </w:r>
      <w:r>
        <w:rPr>
          <w:i/>
        </w:rPr>
        <w:tab/>
        <w:t>Jana Valant</w:t>
      </w:r>
    </w:p>
    <w:p w:rsidR="00E75595" w:rsidRDefault="005820F6" w:rsidP="00252095">
      <w:pPr>
        <w:tabs>
          <w:tab w:val="left" w:pos="1701"/>
        </w:tabs>
        <w:rPr>
          <w:i/>
        </w:rPr>
      </w:pPr>
      <w:r>
        <w:rPr>
          <w:i/>
        </w:rPr>
        <w:tab/>
        <w:t xml:space="preserve">(Tlf.: 00 32 2 546 89 24 – e-mail: </w:t>
      </w:r>
      <w:hyperlink r:id="rId32" w:history="1">
        <w:r>
          <w:rPr>
            <w:rStyle w:val="Hyperlink"/>
            <w:i/>
          </w:rPr>
          <w:t>jana.valant@eesc.europa.eu</w:t>
        </w:r>
      </w:hyperlink>
      <w:r>
        <w:t>)</w:t>
      </w:r>
    </w:p>
    <w:p w:rsidR="00E75595" w:rsidRDefault="00E75595" w:rsidP="00252095"/>
    <w:p w:rsidR="00E75595" w:rsidRPr="005820F6" w:rsidRDefault="00A90E72" w:rsidP="00252095">
      <w:pPr>
        <w:pStyle w:val="ListParagraph"/>
        <w:keepNext/>
        <w:numPr>
          <w:ilvl w:val="0"/>
          <w:numId w:val="92"/>
        </w:numPr>
        <w:overflowPunct w:val="0"/>
        <w:autoSpaceDE w:val="0"/>
        <w:autoSpaceDN w:val="0"/>
        <w:adjustRightInd w:val="0"/>
        <w:ind w:left="567" w:hanging="567"/>
        <w:textAlignment w:val="baseline"/>
        <w:rPr>
          <w:sz w:val="24"/>
          <w:szCs w:val="24"/>
        </w:rPr>
      </w:pPr>
      <w:r>
        <w:rPr>
          <w:b/>
          <w:i/>
          <w:sz w:val="28"/>
          <w:szCs w:val="28"/>
        </w:rPr>
        <w:t>Ansvarsforsikring / motorkøretøjer</w:t>
      </w:r>
    </w:p>
    <w:p w:rsidR="00E75595" w:rsidRPr="005B6772" w:rsidRDefault="00E75595" w:rsidP="00252095">
      <w:pPr>
        <w:keepNext/>
        <w:tabs>
          <w:tab w:val="center" w:pos="284"/>
        </w:tabs>
        <w:ind w:left="266" w:hanging="266"/>
        <w:rPr>
          <w:b/>
          <w:lang w:val="fr-FR"/>
        </w:rPr>
      </w:pPr>
    </w:p>
    <w:p w:rsidR="00E75595" w:rsidRPr="00C23DE4" w:rsidRDefault="00E75595" w:rsidP="00252095">
      <w:pPr>
        <w:keepNext/>
        <w:tabs>
          <w:tab w:val="left" w:pos="1134"/>
        </w:tabs>
      </w:pPr>
      <w:r>
        <w:rPr>
          <w:b/>
        </w:rPr>
        <w:t>Ordfører:</w:t>
      </w:r>
      <w:r w:rsidR="00252095">
        <w:rPr>
          <w:b/>
        </w:rPr>
        <w:tab/>
      </w:r>
      <w:r>
        <w:t>Christophe Lefèvre (Arbejdstagergruppen – FR)</w:t>
      </w:r>
    </w:p>
    <w:p w:rsidR="00E75595" w:rsidRPr="00C23DE4" w:rsidRDefault="00E75595" w:rsidP="00252095">
      <w:pPr>
        <w:keepNext/>
        <w:tabs>
          <w:tab w:val="center" w:pos="284"/>
          <w:tab w:val="left" w:pos="1134"/>
          <w:tab w:val="left" w:pos="1418"/>
        </w:tabs>
        <w:ind w:left="266" w:hanging="266"/>
        <w:rPr>
          <w:lang w:val="fr-FR"/>
        </w:rPr>
      </w:pPr>
    </w:p>
    <w:p w:rsidR="00E75595" w:rsidRPr="00240939" w:rsidRDefault="005820F6" w:rsidP="00252095">
      <w:pPr>
        <w:keepNext/>
        <w:tabs>
          <w:tab w:val="center" w:pos="284"/>
          <w:tab w:val="left" w:pos="1134"/>
        </w:tabs>
        <w:ind w:left="266" w:hanging="266"/>
      </w:pPr>
      <w:r>
        <w:rPr>
          <w:b/>
        </w:rPr>
        <w:t>Ref.:</w:t>
      </w:r>
      <w:r w:rsidR="00252095">
        <w:rPr>
          <w:b/>
        </w:rPr>
        <w:tab/>
      </w:r>
      <w:r>
        <w:t>COM(2018) 336 final – 2018/0168 (COD)</w:t>
      </w:r>
    </w:p>
    <w:p w:rsidR="00E75595" w:rsidRPr="00103768" w:rsidRDefault="00690F43" w:rsidP="00252095">
      <w:pPr>
        <w:keepNext/>
        <w:tabs>
          <w:tab w:val="left" w:pos="1134"/>
        </w:tabs>
        <w:ind w:left="266" w:hanging="266"/>
      </w:pPr>
      <w:r>
        <w:tab/>
      </w:r>
      <w:r>
        <w:tab/>
        <w:t>EESC-2018-02875-00-00-AC-TRA</w:t>
      </w:r>
    </w:p>
    <w:p w:rsidR="00E75595" w:rsidRPr="002D46CB" w:rsidRDefault="00E75595" w:rsidP="00252095">
      <w:pPr>
        <w:keepNext/>
        <w:tabs>
          <w:tab w:val="center" w:pos="284"/>
        </w:tabs>
        <w:ind w:left="266" w:hanging="266"/>
        <w:rPr>
          <w:lang w:val="fr-FR"/>
        </w:rPr>
      </w:pPr>
    </w:p>
    <w:p w:rsidR="00E75595" w:rsidRDefault="00690F43" w:rsidP="00252095">
      <w:pPr>
        <w:keepNext/>
        <w:tabs>
          <w:tab w:val="center" w:pos="284"/>
        </w:tabs>
        <w:ind w:left="266" w:hanging="266"/>
        <w:rPr>
          <w:b/>
        </w:rPr>
      </w:pPr>
      <w:r>
        <w:rPr>
          <w:b/>
        </w:rPr>
        <w:t>Hovedpunkter:</w:t>
      </w:r>
    </w:p>
    <w:p w:rsidR="00E75595" w:rsidRDefault="00E75595" w:rsidP="00252095">
      <w:pPr>
        <w:keepNext/>
        <w:tabs>
          <w:tab w:val="center" w:pos="284"/>
        </w:tabs>
        <w:ind w:left="266" w:hanging="266"/>
        <w:rPr>
          <w:b/>
          <w:lang w:val="fr-FR"/>
        </w:rPr>
      </w:pPr>
    </w:p>
    <w:p w:rsidR="00E75595" w:rsidRDefault="00E75595" w:rsidP="00252095">
      <w:pPr>
        <w:keepNext/>
      </w:pPr>
      <w:r>
        <w:t>EØSU:</w:t>
      </w:r>
    </w:p>
    <w:p w:rsidR="005820F6" w:rsidRDefault="005820F6" w:rsidP="00252095">
      <w:pPr>
        <w:keepNext/>
      </w:pPr>
    </w:p>
    <w:p w:rsidR="00E75595" w:rsidRDefault="00E75595" w:rsidP="00252095">
      <w:pPr>
        <w:pStyle w:val="ListParagraph"/>
        <w:numPr>
          <w:ilvl w:val="0"/>
          <w:numId w:val="6"/>
        </w:numPr>
        <w:overflowPunct w:val="0"/>
        <w:autoSpaceDE w:val="0"/>
        <w:autoSpaceDN w:val="0"/>
        <w:adjustRightInd w:val="0"/>
        <w:ind w:left="567" w:hanging="567"/>
        <w:textAlignment w:val="baseline"/>
      </w:pPr>
      <w:r>
        <w:t>beklager, at Kommissionen ikke har benyttet lejligheden til at foregribe udviklingen med selvkørende biler på trods af bemærkningerne i konsekvensanalysen, der ledsager forslaget;</w:t>
      </w:r>
    </w:p>
    <w:p w:rsidR="005820F6" w:rsidRPr="005820F6" w:rsidRDefault="005820F6" w:rsidP="00252095">
      <w:pPr>
        <w:overflowPunct w:val="0"/>
        <w:autoSpaceDE w:val="0"/>
        <w:autoSpaceDN w:val="0"/>
        <w:adjustRightInd w:val="0"/>
        <w:ind w:left="567" w:hanging="567"/>
        <w:textAlignment w:val="baseline"/>
        <w:rPr>
          <w:lang w:val="fr-FR"/>
        </w:rPr>
      </w:pPr>
    </w:p>
    <w:p w:rsidR="00E75595" w:rsidRPr="00805121" w:rsidRDefault="00E75595" w:rsidP="00252095">
      <w:pPr>
        <w:pStyle w:val="ListParagraph"/>
        <w:numPr>
          <w:ilvl w:val="0"/>
          <w:numId w:val="6"/>
        </w:numPr>
        <w:overflowPunct w:val="0"/>
        <w:autoSpaceDE w:val="0"/>
        <w:autoSpaceDN w:val="0"/>
        <w:adjustRightInd w:val="0"/>
        <w:ind w:left="567" w:hanging="567"/>
        <w:textAlignment w:val="baseline"/>
      </w:pPr>
      <w:r>
        <w:t>anbefaler vedrørende harmonisering af mindstebeløb for dækning, at Kommissionen fastsætter en slutdato for indførelsen af minimumsniveauer for erstatning.</w:t>
      </w:r>
    </w:p>
    <w:p w:rsidR="00E75595" w:rsidRDefault="00E75595" w:rsidP="00252095">
      <w:pPr>
        <w:rPr>
          <w:b/>
          <w:lang w:val="fr-FR"/>
        </w:rPr>
      </w:pPr>
    </w:p>
    <w:p w:rsidR="00E75595" w:rsidRPr="0057460E" w:rsidRDefault="00E75595" w:rsidP="00252095">
      <w:pPr>
        <w:keepNext/>
        <w:tabs>
          <w:tab w:val="left" w:pos="1701"/>
        </w:tabs>
        <w:rPr>
          <w:i/>
        </w:rPr>
      </w:pPr>
      <w:r>
        <w:rPr>
          <w:b/>
          <w:i/>
        </w:rPr>
        <w:t>Kontaktperson:</w:t>
      </w:r>
      <w:r>
        <w:rPr>
          <w:i/>
        </w:rPr>
        <w:tab/>
        <w:t>Marie-Laurence Drillon</w:t>
      </w:r>
    </w:p>
    <w:p w:rsidR="00E75595" w:rsidRDefault="00690F43" w:rsidP="00252095">
      <w:pPr>
        <w:tabs>
          <w:tab w:val="left" w:pos="1701"/>
        </w:tabs>
        <w:rPr>
          <w:i/>
        </w:rPr>
      </w:pPr>
      <w:r>
        <w:rPr>
          <w:i/>
        </w:rPr>
        <w:tab/>
        <w:t xml:space="preserve">(Tlf.: 00 32 2 546 83 20 – e-mail: </w:t>
      </w:r>
      <w:hyperlink r:id="rId33" w:history="1">
        <w:r>
          <w:rPr>
            <w:rStyle w:val="Hyperlink"/>
            <w:i/>
          </w:rPr>
          <w:t>marie-laurence.drillon@eesc.europa.eu</w:t>
        </w:r>
      </w:hyperlink>
      <w:r>
        <w:rPr>
          <w:i/>
        </w:rPr>
        <w:t>)</w:t>
      </w:r>
    </w:p>
    <w:p w:rsidR="00E75595" w:rsidRDefault="00E75595" w:rsidP="00252095"/>
    <w:p w:rsidR="00E75595" w:rsidRPr="001F7C86" w:rsidRDefault="00A90E72" w:rsidP="00252095">
      <w:pPr>
        <w:pStyle w:val="ListParagraph"/>
        <w:keepNext/>
        <w:numPr>
          <w:ilvl w:val="0"/>
          <w:numId w:val="92"/>
        </w:numPr>
        <w:overflowPunct w:val="0"/>
        <w:autoSpaceDE w:val="0"/>
        <w:autoSpaceDN w:val="0"/>
        <w:adjustRightInd w:val="0"/>
        <w:ind w:left="567" w:hanging="567"/>
        <w:textAlignment w:val="baseline"/>
        <w:rPr>
          <w:sz w:val="24"/>
          <w:szCs w:val="24"/>
        </w:rPr>
      </w:pPr>
      <w:r>
        <w:rPr>
          <w:b/>
          <w:i/>
          <w:sz w:val="28"/>
          <w:szCs w:val="28"/>
        </w:rPr>
        <w:t>Køretøjers sikkerhed / beskyttelse af bløde trafikanter</w:t>
      </w:r>
    </w:p>
    <w:p w:rsidR="00E75595" w:rsidRPr="005B6772" w:rsidRDefault="00E75595" w:rsidP="00252095">
      <w:pPr>
        <w:keepNext/>
        <w:tabs>
          <w:tab w:val="center" w:pos="284"/>
        </w:tabs>
        <w:ind w:left="266" w:hanging="266"/>
        <w:rPr>
          <w:b/>
          <w:lang w:val="fr-FR"/>
        </w:rPr>
      </w:pPr>
    </w:p>
    <w:p w:rsidR="00E75595" w:rsidRPr="00C23DE4" w:rsidRDefault="00E75595" w:rsidP="00252095">
      <w:pPr>
        <w:keepNext/>
        <w:tabs>
          <w:tab w:val="left" w:pos="1134"/>
        </w:tabs>
      </w:pPr>
      <w:r>
        <w:rPr>
          <w:b/>
        </w:rPr>
        <w:t>Ordfører:</w:t>
      </w:r>
      <w:r>
        <w:t xml:space="preserve"> </w:t>
      </w:r>
      <w:r>
        <w:tab/>
        <w:t>Raymond Hencks (Arbejdstagergruppen – LU)</w:t>
      </w:r>
    </w:p>
    <w:p w:rsidR="00E75595" w:rsidRPr="00C23DE4" w:rsidRDefault="00E75595" w:rsidP="00252095">
      <w:pPr>
        <w:keepNext/>
        <w:tabs>
          <w:tab w:val="center" w:pos="284"/>
          <w:tab w:val="left" w:pos="1134"/>
        </w:tabs>
        <w:ind w:left="266" w:hanging="266"/>
        <w:rPr>
          <w:lang w:val="fr-FR"/>
        </w:rPr>
      </w:pPr>
    </w:p>
    <w:p w:rsidR="00E75595" w:rsidRPr="00240939" w:rsidRDefault="00941880" w:rsidP="00252095">
      <w:pPr>
        <w:keepNext/>
        <w:tabs>
          <w:tab w:val="center" w:pos="284"/>
          <w:tab w:val="left" w:pos="1134"/>
        </w:tabs>
        <w:ind w:left="266" w:hanging="266"/>
      </w:pPr>
      <w:r>
        <w:rPr>
          <w:b/>
        </w:rPr>
        <w:t>Ref.:</w:t>
      </w:r>
      <w:r w:rsidR="00252095">
        <w:rPr>
          <w:b/>
        </w:rPr>
        <w:tab/>
      </w:r>
      <w:r>
        <w:t>COM(2018) 286 final – 2018/0145 (COD)</w:t>
      </w:r>
    </w:p>
    <w:p w:rsidR="00E75595" w:rsidRPr="00103768" w:rsidRDefault="00E75595" w:rsidP="00252095">
      <w:pPr>
        <w:keepNext/>
        <w:tabs>
          <w:tab w:val="center" w:pos="284"/>
          <w:tab w:val="left" w:pos="1134"/>
        </w:tabs>
        <w:ind w:left="266" w:hanging="266"/>
      </w:pPr>
      <w:r>
        <w:tab/>
      </w:r>
      <w:r>
        <w:tab/>
      </w:r>
      <w:r>
        <w:tab/>
        <w:t>EESC-2018-02860-00-00-AC-TRA</w:t>
      </w:r>
    </w:p>
    <w:p w:rsidR="00E75595" w:rsidRPr="002D46CB" w:rsidRDefault="00E75595" w:rsidP="00252095">
      <w:pPr>
        <w:keepNext/>
        <w:tabs>
          <w:tab w:val="center" w:pos="284"/>
        </w:tabs>
        <w:ind w:left="266" w:hanging="266"/>
        <w:rPr>
          <w:lang w:val="fr-FR"/>
        </w:rPr>
      </w:pPr>
    </w:p>
    <w:p w:rsidR="00E75595" w:rsidRDefault="00941880" w:rsidP="00252095">
      <w:pPr>
        <w:keepNext/>
        <w:tabs>
          <w:tab w:val="center" w:pos="284"/>
        </w:tabs>
        <w:ind w:left="266" w:hanging="266"/>
        <w:rPr>
          <w:b/>
        </w:rPr>
      </w:pPr>
      <w:r>
        <w:rPr>
          <w:b/>
        </w:rPr>
        <w:t>Hovedpunkter:</w:t>
      </w:r>
    </w:p>
    <w:p w:rsidR="00E75595" w:rsidRDefault="00E75595" w:rsidP="00252095">
      <w:pPr>
        <w:keepNext/>
        <w:tabs>
          <w:tab w:val="center" w:pos="284"/>
        </w:tabs>
        <w:ind w:left="266" w:hanging="266"/>
        <w:rPr>
          <w:b/>
          <w:lang w:val="fr-FR"/>
        </w:rPr>
      </w:pPr>
    </w:p>
    <w:p w:rsidR="00E75595" w:rsidRDefault="00E75595" w:rsidP="00252095">
      <w:pPr>
        <w:keepNext/>
      </w:pPr>
      <w:r>
        <w:t>EØSU:</w:t>
      </w:r>
    </w:p>
    <w:p w:rsidR="00941880" w:rsidRDefault="00941880" w:rsidP="00252095">
      <w:pPr>
        <w:keepNext/>
      </w:pPr>
    </w:p>
    <w:p w:rsidR="00941880" w:rsidRDefault="00E75595" w:rsidP="00252095">
      <w:pPr>
        <w:pStyle w:val="ListParagraph"/>
        <w:numPr>
          <w:ilvl w:val="0"/>
          <w:numId w:val="6"/>
        </w:numPr>
        <w:overflowPunct w:val="0"/>
        <w:autoSpaceDE w:val="0"/>
        <w:autoSpaceDN w:val="0"/>
        <w:adjustRightInd w:val="0"/>
        <w:ind w:left="567" w:hanging="567"/>
        <w:textAlignment w:val="baseline"/>
      </w:pPr>
      <w:r>
        <w:t>hilser Kommissionens forslag velkommen;</w:t>
      </w:r>
    </w:p>
    <w:p w:rsidR="00E75595" w:rsidRDefault="00E75595" w:rsidP="00252095">
      <w:pPr>
        <w:overflowPunct w:val="0"/>
        <w:autoSpaceDE w:val="0"/>
        <w:autoSpaceDN w:val="0"/>
        <w:adjustRightInd w:val="0"/>
        <w:ind w:left="567" w:hanging="567"/>
        <w:textAlignment w:val="baseline"/>
      </w:pPr>
      <w:r>
        <w:t xml:space="preserve"> </w:t>
      </w:r>
    </w:p>
    <w:p w:rsidR="00E75595" w:rsidRPr="00941880" w:rsidRDefault="00E75595" w:rsidP="00252095">
      <w:pPr>
        <w:pStyle w:val="ListParagraph"/>
        <w:numPr>
          <w:ilvl w:val="0"/>
          <w:numId w:val="6"/>
        </w:numPr>
        <w:overflowPunct w:val="0"/>
        <w:autoSpaceDE w:val="0"/>
        <w:autoSpaceDN w:val="0"/>
        <w:adjustRightInd w:val="0"/>
        <w:ind w:left="567" w:hanging="567"/>
        <w:textAlignment w:val="baseline"/>
      </w:pPr>
      <w:r>
        <w:t>forstår dog ikke, hvorfor Kommissionen ikke gennemtvinger alkolåsen;</w:t>
      </w:r>
    </w:p>
    <w:p w:rsidR="00941880" w:rsidRPr="005A195F" w:rsidRDefault="00941880" w:rsidP="00252095">
      <w:pPr>
        <w:overflowPunct w:val="0"/>
        <w:autoSpaceDE w:val="0"/>
        <w:autoSpaceDN w:val="0"/>
        <w:adjustRightInd w:val="0"/>
        <w:ind w:left="567" w:hanging="567"/>
        <w:textAlignment w:val="baseline"/>
      </w:pPr>
    </w:p>
    <w:p w:rsidR="00E75595" w:rsidRDefault="00E75595" w:rsidP="00252095">
      <w:pPr>
        <w:pStyle w:val="ListParagraph"/>
        <w:numPr>
          <w:ilvl w:val="0"/>
          <w:numId w:val="6"/>
        </w:numPr>
        <w:overflowPunct w:val="0"/>
        <w:autoSpaceDE w:val="0"/>
        <w:autoSpaceDN w:val="0"/>
        <w:adjustRightInd w:val="0"/>
        <w:ind w:left="567" w:hanging="567"/>
        <w:textAlignment w:val="baseline"/>
      </w:pPr>
      <w:r>
        <w:t>anbefaler, at lastbiler, tunge køretøjer og busser udstyres med en kollisionsdatarekorder;</w:t>
      </w:r>
    </w:p>
    <w:p w:rsidR="00941880" w:rsidRDefault="00941880" w:rsidP="00252095">
      <w:pPr>
        <w:overflowPunct w:val="0"/>
        <w:autoSpaceDE w:val="0"/>
        <w:autoSpaceDN w:val="0"/>
        <w:adjustRightInd w:val="0"/>
        <w:ind w:left="567" w:hanging="567"/>
        <w:textAlignment w:val="baseline"/>
      </w:pPr>
    </w:p>
    <w:p w:rsidR="00E75595" w:rsidRPr="00941880" w:rsidRDefault="00E75595" w:rsidP="00252095">
      <w:pPr>
        <w:pStyle w:val="ListParagraph"/>
        <w:numPr>
          <w:ilvl w:val="0"/>
          <w:numId w:val="6"/>
        </w:numPr>
        <w:overflowPunct w:val="0"/>
        <w:autoSpaceDE w:val="0"/>
        <w:autoSpaceDN w:val="0"/>
        <w:adjustRightInd w:val="0"/>
        <w:ind w:left="567" w:hanging="567"/>
        <w:textAlignment w:val="baseline"/>
      </w:pPr>
      <w:r>
        <w:t>beklager, at de sikkerhedssystemer, der er mere avancerede end dem, EU-lovgivningen foreskriver, og som bilproducenterne installerer på frivillig basis, ofte kan findes i modeller i den højere prisklasse;</w:t>
      </w:r>
    </w:p>
    <w:p w:rsidR="00941880" w:rsidRPr="005A195F" w:rsidRDefault="00941880" w:rsidP="00252095">
      <w:pPr>
        <w:overflowPunct w:val="0"/>
        <w:autoSpaceDE w:val="0"/>
        <w:autoSpaceDN w:val="0"/>
        <w:adjustRightInd w:val="0"/>
        <w:ind w:left="567" w:hanging="567"/>
        <w:textAlignment w:val="baseline"/>
      </w:pPr>
    </w:p>
    <w:p w:rsidR="00E75595" w:rsidRPr="001E54C6" w:rsidRDefault="00941880" w:rsidP="00252095">
      <w:pPr>
        <w:pStyle w:val="ListParagraph"/>
        <w:numPr>
          <w:ilvl w:val="0"/>
          <w:numId w:val="6"/>
        </w:numPr>
        <w:overflowPunct w:val="0"/>
        <w:autoSpaceDE w:val="0"/>
        <w:autoSpaceDN w:val="0"/>
        <w:adjustRightInd w:val="0"/>
        <w:ind w:left="567" w:hanging="567"/>
        <w:textAlignment w:val="baseline"/>
      </w:pPr>
      <w:r>
        <w:t>mener, at Kommissionen bør kræve, at EU's standarder hurtigst muligt tilpasses den teknologiske udvikling, også når det gælder lastbiler og busser.</w:t>
      </w:r>
    </w:p>
    <w:p w:rsidR="00E75595" w:rsidRDefault="00E75595" w:rsidP="00252095">
      <w:pPr>
        <w:rPr>
          <w:b/>
          <w:lang w:val="fr-FR"/>
        </w:rPr>
      </w:pPr>
    </w:p>
    <w:p w:rsidR="00E75595" w:rsidRPr="0057460E" w:rsidRDefault="00E75595" w:rsidP="00252095">
      <w:pPr>
        <w:keepNext/>
        <w:tabs>
          <w:tab w:val="left" w:pos="1701"/>
        </w:tabs>
        <w:rPr>
          <w:i/>
        </w:rPr>
      </w:pPr>
      <w:r>
        <w:rPr>
          <w:b/>
          <w:i/>
        </w:rPr>
        <w:t>Kontaktperson:</w:t>
      </w:r>
      <w:r>
        <w:rPr>
          <w:i/>
        </w:rPr>
        <w:tab/>
        <w:t>Janine Borg</w:t>
      </w:r>
    </w:p>
    <w:p w:rsidR="00E75595" w:rsidRDefault="00941880" w:rsidP="00252095">
      <w:pPr>
        <w:tabs>
          <w:tab w:val="left" w:pos="1701"/>
        </w:tabs>
        <w:rPr>
          <w:i/>
        </w:rPr>
      </w:pPr>
      <w:r>
        <w:rPr>
          <w:i/>
        </w:rPr>
        <w:tab/>
        <w:t xml:space="preserve">(Tlf.: 00 32 2 546 88 79 – e-mail: </w:t>
      </w:r>
      <w:hyperlink r:id="rId34" w:history="1">
        <w:r>
          <w:rPr>
            <w:rStyle w:val="Hyperlink"/>
            <w:i/>
          </w:rPr>
          <w:t>janine.borg@eesc.europa.eu</w:t>
        </w:r>
      </w:hyperlink>
      <w:r>
        <w:rPr>
          <w:i/>
        </w:rPr>
        <w:t>)</w:t>
      </w:r>
    </w:p>
    <w:p w:rsidR="00E75595" w:rsidRDefault="00E75595" w:rsidP="00252095"/>
    <w:p w:rsidR="00E75595" w:rsidRPr="00941880" w:rsidRDefault="00A90E72" w:rsidP="00252095">
      <w:pPr>
        <w:pStyle w:val="ListParagraph"/>
        <w:keepNext/>
        <w:numPr>
          <w:ilvl w:val="0"/>
          <w:numId w:val="92"/>
        </w:numPr>
        <w:overflowPunct w:val="0"/>
        <w:autoSpaceDE w:val="0"/>
        <w:autoSpaceDN w:val="0"/>
        <w:adjustRightInd w:val="0"/>
        <w:ind w:left="567" w:hanging="567"/>
        <w:textAlignment w:val="baseline"/>
        <w:rPr>
          <w:sz w:val="24"/>
          <w:szCs w:val="24"/>
        </w:rPr>
      </w:pPr>
      <w:r>
        <w:rPr>
          <w:b/>
          <w:i/>
          <w:sz w:val="28"/>
          <w:szCs w:val="28"/>
        </w:rPr>
        <w:t>Typegodkendelse for så vidt angår Det Forenede Kongeriges udtræden</w:t>
      </w:r>
    </w:p>
    <w:p w:rsidR="00E75595" w:rsidRPr="005B6772" w:rsidRDefault="00E75595" w:rsidP="00252095">
      <w:pPr>
        <w:keepNext/>
        <w:tabs>
          <w:tab w:val="center" w:pos="284"/>
        </w:tabs>
        <w:ind w:left="266" w:hanging="266"/>
        <w:rPr>
          <w:b/>
          <w:lang w:val="fr-FR"/>
        </w:rPr>
      </w:pPr>
    </w:p>
    <w:p w:rsidR="00E75595" w:rsidRPr="00C23DE4" w:rsidRDefault="00E75595" w:rsidP="00252095">
      <w:pPr>
        <w:keepNext/>
        <w:tabs>
          <w:tab w:val="left" w:pos="1134"/>
        </w:tabs>
      </w:pPr>
      <w:r>
        <w:rPr>
          <w:b/>
        </w:rPr>
        <w:t>Ordfører:</w:t>
      </w:r>
      <w:r>
        <w:t xml:space="preserve"> </w:t>
      </w:r>
      <w:r>
        <w:tab/>
        <w:t>Seamus Boland (Gruppen Diversitet Europa – IE)</w:t>
      </w:r>
    </w:p>
    <w:p w:rsidR="00E75595" w:rsidRPr="00C23DE4" w:rsidRDefault="00E75595" w:rsidP="00252095">
      <w:pPr>
        <w:keepNext/>
        <w:tabs>
          <w:tab w:val="center" w:pos="284"/>
          <w:tab w:val="left" w:pos="1134"/>
        </w:tabs>
        <w:ind w:left="266" w:hanging="266"/>
        <w:rPr>
          <w:lang w:val="fr-FR"/>
        </w:rPr>
      </w:pPr>
    </w:p>
    <w:p w:rsidR="00E75595" w:rsidRPr="00240939" w:rsidRDefault="00941880" w:rsidP="00252095">
      <w:pPr>
        <w:keepNext/>
        <w:tabs>
          <w:tab w:val="center" w:pos="284"/>
          <w:tab w:val="left" w:pos="1134"/>
        </w:tabs>
        <w:ind w:left="266" w:hanging="266"/>
      </w:pPr>
      <w:r>
        <w:rPr>
          <w:b/>
        </w:rPr>
        <w:t>Ref.:</w:t>
      </w:r>
      <w:r w:rsidR="00252095">
        <w:rPr>
          <w:b/>
        </w:rPr>
        <w:tab/>
      </w:r>
      <w:r>
        <w:t>COM(2018) 397 final – 2018/0220 (COD)</w:t>
      </w:r>
    </w:p>
    <w:p w:rsidR="00E75595" w:rsidRPr="00103768" w:rsidRDefault="00E75595" w:rsidP="00252095">
      <w:pPr>
        <w:keepNext/>
        <w:tabs>
          <w:tab w:val="center" w:pos="284"/>
          <w:tab w:val="left" w:pos="1134"/>
        </w:tabs>
        <w:ind w:left="266" w:hanging="266"/>
      </w:pPr>
      <w:r>
        <w:tab/>
      </w:r>
      <w:r>
        <w:tab/>
      </w:r>
      <w:r>
        <w:tab/>
        <w:t>EESC-2018-03799-00-00-AC-TRA</w:t>
      </w:r>
    </w:p>
    <w:p w:rsidR="00E75595" w:rsidRPr="002D46CB" w:rsidRDefault="00E75595" w:rsidP="00252095">
      <w:pPr>
        <w:keepNext/>
        <w:tabs>
          <w:tab w:val="center" w:pos="284"/>
        </w:tabs>
        <w:ind w:left="266" w:hanging="266"/>
        <w:rPr>
          <w:lang w:val="fr-FR"/>
        </w:rPr>
      </w:pPr>
    </w:p>
    <w:p w:rsidR="00E75595" w:rsidRDefault="00941880" w:rsidP="00252095">
      <w:pPr>
        <w:keepNext/>
        <w:tabs>
          <w:tab w:val="center" w:pos="284"/>
        </w:tabs>
        <w:ind w:left="266" w:hanging="266"/>
        <w:rPr>
          <w:b/>
        </w:rPr>
      </w:pPr>
      <w:r>
        <w:rPr>
          <w:b/>
        </w:rPr>
        <w:t>Hovedpunkter:</w:t>
      </w:r>
    </w:p>
    <w:p w:rsidR="00E75595" w:rsidRDefault="00E75595" w:rsidP="00252095">
      <w:pPr>
        <w:keepNext/>
        <w:rPr>
          <w:b/>
          <w:lang w:val="fr-FR"/>
        </w:rPr>
      </w:pPr>
    </w:p>
    <w:p w:rsidR="00E75595" w:rsidRDefault="00E75595" w:rsidP="00252095">
      <w:pPr>
        <w:keepNext/>
      </w:pPr>
      <w:r>
        <w:t>EØSU:</w:t>
      </w:r>
    </w:p>
    <w:p w:rsidR="00941880" w:rsidRDefault="00941880" w:rsidP="00252095">
      <w:pPr>
        <w:keepNext/>
        <w:ind w:left="567" w:hanging="567"/>
      </w:pPr>
    </w:p>
    <w:p w:rsidR="00E75595" w:rsidRDefault="00E75595" w:rsidP="00252095">
      <w:pPr>
        <w:pStyle w:val="ListParagraph"/>
        <w:numPr>
          <w:ilvl w:val="0"/>
          <w:numId w:val="6"/>
        </w:numPr>
        <w:overflowPunct w:val="0"/>
        <w:autoSpaceDE w:val="0"/>
        <w:autoSpaceDN w:val="0"/>
        <w:adjustRightInd w:val="0"/>
        <w:ind w:left="567" w:hanging="567"/>
        <w:textAlignment w:val="baseline"/>
      </w:pPr>
      <w:r>
        <w:t>mener, at forslaget bør fungere som model for mange andre lignende aftaler;</w:t>
      </w:r>
    </w:p>
    <w:p w:rsidR="00941880" w:rsidRDefault="00941880" w:rsidP="00252095">
      <w:pPr>
        <w:overflowPunct w:val="0"/>
        <w:autoSpaceDE w:val="0"/>
        <w:autoSpaceDN w:val="0"/>
        <w:adjustRightInd w:val="0"/>
        <w:ind w:left="567" w:hanging="567"/>
        <w:textAlignment w:val="baseline"/>
      </w:pPr>
    </w:p>
    <w:p w:rsidR="00E75595" w:rsidRDefault="00E75595" w:rsidP="00252095">
      <w:pPr>
        <w:pStyle w:val="ListParagraph"/>
        <w:numPr>
          <w:ilvl w:val="0"/>
          <w:numId w:val="6"/>
        </w:numPr>
        <w:overflowPunct w:val="0"/>
        <w:autoSpaceDE w:val="0"/>
        <w:autoSpaceDN w:val="0"/>
        <w:adjustRightInd w:val="0"/>
        <w:ind w:left="567" w:hanging="567"/>
        <w:textAlignment w:val="baseline"/>
      </w:pPr>
      <w:r>
        <w:lastRenderedPageBreak/>
        <w:t>anerkender, at der bliver behov for en rimelig indføringstid forud for den fulde gennemførelse af det nye system;</w:t>
      </w:r>
    </w:p>
    <w:p w:rsidR="00941880" w:rsidRDefault="00941880" w:rsidP="00252095">
      <w:pPr>
        <w:overflowPunct w:val="0"/>
        <w:autoSpaceDE w:val="0"/>
        <w:autoSpaceDN w:val="0"/>
        <w:adjustRightInd w:val="0"/>
        <w:ind w:left="567" w:hanging="567"/>
        <w:textAlignment w:val="baseline"/>
      </w:pPr>
    </w:p>
    <w:p w:rsidR="00E75595" w:rsidRDefault="00E75595" w:rsidP="00252095">
      <w:pPr>
        <w:pStyle w:val="ListParagraph"/>
        <w:numPr>
          <w:ilvl w:val="0"/>
          <w:numId w:val="6"/>
        </w:numPr>
        <w:overflowPunct w:val="0"/>
        <w:autoSpaceDE w:val="0"/>
        <w:autoSpaceDN w:val="0"/>
        <w:adjustRightInd w:val="0"/>
        <w:ind w:left="567" w:hanging="567"/>
        <w:textAlignment w:val="baseline"/>
      </w:pPr>
      <w:r>
        <w:t>anbefaler, at der bliver tale om den nødvendige fleksibilitet, som tager højde for det enorme marked, der findes i EU og Det Forenede Kongerige;</w:t>
      </w:r>
    </w:p>
    <w:p w:rsidR="00941880" w:rsidRDefault="00941880" w:rsidP="00252095">
      <w:pPr>
        <w:overflowPunct w:val="0"/>
        <w:autoSpaceDE w:val="0"/>
        <w:autoSpaceDN w:val="0"/>
        <w:adjustRightInd w:val="0"/>
        <w:ind w:left="567" w:hanging="567"/>
        <w:textAlignment w:val="baseline"/>
      </w:pPr>
    </w:p>
    <w:p w:rsidR="00E75595" w:rsidRPr="001E54C6" w:rsidRDefault="00E75595" w:rsidP="00252095">
      <w:pPr>
        <w:pStyle w:val="ListParagraph"/>
        <w:numPr>
          <w:ilvl w:val="0"/>
          <w:numId w:val="6"/>
        </w:numPr>
        <w:overflowPunct w:val="0"/>
        <w:autoSpaceDE w:val="0"/>
        <w:autoSpaceDN w:val="0"/>
        <w:adjustRightInd w:val="0"/>
        <w:ind w:left="567" w:hanging="567"/>
        <w:textAlignment w:val="baseline"/>
      </w:pPr>
      <w:r>
        <w:t>anbefaler, at der tildeles tilstrækkelige ressourcer til de nødvendige informationssystemer, uddannelse og rådgivning, der bør være let tilgængelige for alle aktører.</w:t>
      </w:r>
    </w:p>
    <w:p w:rsidR="00E75595" w:rsidRDefault="00E75595" w:rsidP="00252095">
      <w:pPr>
        <w:rPr>
          <w:b/>
          <w:lang w:val="fr-FR"/>
        </w:rPr>
      </w:pPr>
    </w:p>
    <w:p w:rsidR="00E75595" w:rsidRPr="0057460E" w:rsidRDefault="00E75595" w:rsidP="00252095">
      <w:pPr>
        <w:keepNext/>
        <w:tabs>
          <w:tab w:val="left" w:pos="1701"/>
        </w:tabs>
        <w:rPr>
          <w:i/>
        </w:rPr>
      </w:pPr>
      <w:r>
        <w:rPr>
          <w:b/>
          <w:i/>
        </w:rPr>
        <w:t>Kontaktperson:</w:t>
      </w:r>
      <w:r>
        <w:rPr>
          <w:i/>
        </w:rPr>
        <w:tab/>
        <w:t>Jean-Pierre Faure</w:t>
      </w:r>
    </w:p>
    <w:p w:rsidR="00E75595" w:rsidRPr="00AA3C5A" w:rsidRDefault="00941880" w:rsidP="00252095">
      <w:pPr>
        <w:tabs>
          <w:tab w:val="left" w:pos="1701"/>
        </w:tabs>
        <w:rPr>
          <w:i/>
        </w:rPr>
      </w:pPr>
      <w:r>
        <w:rPr>
          <w:i/>
        </w:rPr>
        <w:tab/>
        <w:t xml:space="preserve">(Tlf.: 00 32 2 546 96 15 – e-mail: </w:t>
      </w:r>
      <w:hyperlink r:id="rId35" w:history="1">
        <w:r>
          <w:rPr>
            <w:rStyle w:val="Hyperlink"/>
            <w:i/>
          </w:rPr>
          <w:t>jean-pierre.faure@eesc.europa.eu</w:t>
        </w:r>
      </w:hyperlink>
      <w:r>
        <w:rPr>
          <w:i/>
        </w:rPr>
        <w:t>)</w:t>
      </w:r>
    </w:p>
    <w:p w:rsidR="00E75595" w:rsidRDefault="00E75595" w:rsidP="00252095"/>
    <w:p w:rsidR="00E75595" w:rsidRPr="00DA5A3D" w:rsidRDefault="00A90E72" w:rsidP="00252095">
      <w:pPr>
        <w:keepNext/>
        <w:numPr>
          <w:ilvl w:val="0"/>
          <w:numId w:val="94"/>
        </w:numPr>
        <w:overflowPunct w:val="0"/>
        <w:autoSpaceDE w:val="0"/>
        <w:autoSpaceDN w:val="0"/>
        <w:adjustRightInd w:val="0"/>
        <w:ind w:left="567" w:hanging="567"/>
        <w:textAlignment w:val="baseline"/>
        <w:rPr>
          <w:sz w:val="24"/>
          <w:szCs w:val="24"/>
        </w:rPr>
      </w:pPr>
      <w:r>
        <w:rPr>
          <w:b/>
          <w:i/>
          <w:sz w:val="28"/>
          <w:szCs w:val="28"/>
        </w:rPr>
        <w:t>Supplerende beskyttelsescertifikat for lægemidler</w:t>
      </w:r>
    </w:p>
    <w:p w:rsidR="00E75595" w:rsidRPr="005B6772" w:rsidRDefault="00E75595" w:rsidP="00252095">
      <w:pPr>
        <w:keepNext/>
        <w:tabs>
          <w:tab w:val="center" w:pos="284"/>
        </w:tabs>
        <w:ind w:left="266" w:hanging="266"/>
        <w:rPr>
          <w:b/>
          <w:lang w:val="fr-FR"/>
        </w:rPr>
      </w:pPr>
    </w:p>
    <w:p w:rsidR="00E75595" w:rsidRPr="00C23DE4" w:rsidRDefault="00E75595" w:rsidP="00252095">
      <w:pPr>
        <w:keepNext/>
        <w:tabs>
          <w:tab w:val="left" w:pos="1134"/>
        </w:tabs>
      </w:pPr>
      <w:r>
        <w:rPr>
          <w:b/>
        </w:rPr>
        <w:t>Ordfører:</w:t>
      </w:r>
      <w:r>
        <w:t xml:space="preserve"> </w:t>
      </w:r>
      <w:r>
        <w:tab/>
        <w:t>János Weltner (Arbejdstagergruppen – HU)</w:t>
      </w:r>
    </w:p>
    <w:p w:rsidR="00E75595" w:rsidRPr="00C23DE4" w:rsidRDefault="00E75595" w:rsidP="00252095">
      <w:pPr>
        <w:keepNext/>
        <w:tabs>
          <w:tab w:val="center" w:pos="284"/>
          <w:tab w:val="left" w:pos="1134"/>
        </w:tabs>
        <w:ind w:left="266" w:hanging="266"/>
        <w:rPr>
          <w:lang w:val="fr-FR"/>
        </w:rPr>
      </w:pPr>
    </w:p>
    <w:p w:rsidR="00E75595" w:rsidRPr="00240939" w:rsidRDefault="00FB3C30" w:rsidP="00252095">
      <w:pPr>
        <w:keepNext/>
        <w:tabs>
          <w:tab w:val="center" w:pos="284"/>
          <w:tab w:val="left" w:pos="1134"/>
        </w:tabs>
        <w:ind w:left="266" w:hanging="266"/>
      </w:pPr>
      <w:r>
        <w:rPr>
          <w:b/>
        </w:rPr>
        <w:t>Ref.:</w:t>
      </w:r>
      <w:r w:rsidR="00252095">
        <w:rPr>
          <w:b/>
        </w:rPr>
        <w:tab/>
      </w:r>
      <w:r>
        <w:t>COM(2018) 317 final – 2018/0161 (COD)</w:t>
      </w:r>
    </w:p>
    <w:p w:rsidR="00E75595" w:rsidRPr="00103768" w:rsidRDefault="00E75595" w:rsidP="00252095">
      <w:pPr>
        <w:keepNext/>
        <w:tabs>
          <w:tab w:val="center" w:pos="284"/>
          <w:tab w:val="left" w:pos="1134"/>
        </w:tabs>
        <w:ind w:left="266" w:hanging="266"/>
      </w:pPr>
      <w:r>
        <w:tab/>
      </w:r>
      <w:r>
        <w:tab/>
      </w:r>
      <w:r>
        <w:tab/>
        <w:t>EESC-2018-03800-00-00-AC-TRA</w:t>
      </w:r>
    </w:p>
    <w:p w:rsidR="00E75595" w:rsidRPr="002D46CB" w:rsidRDefault="00E75595" w:rsidP="00252095">
      <w:pPr>
        <w:keepNext/>
        <w:tabs>
          <w:tab w:val="center" w:pos="284"/>
        </w:tabs>
        <w:ind w:left="266" w:hanging="266"/>
        <w:rPr>
          <w:lang w:val="fr-FR"/>
        </w:rPr>
      </w:pPr>
    </w:p>
    <w:p w:rsidR="00E75595" w:rsidRDefault="00FB3C30" w:rsidP="00252095">
      <w:pPr>
        <w:keepNext/>
        <w:tabs>
          <w:tab w:val="center" w:pos="284"/>
        </w:tabs>
        <w:ind w:left="266" w:hanging="266"/>
        <w:rPr>
          <w:b/>
        </w:rPr>
      </w:pPr>
      <w:r>
        <w:rPr>
          <w:b/>
        </w:rPr>
        <w:t>Hovedpunkter:</w:t>
      </w:r>
    </w:p>
    <w:p w:rsidR="00E75595" w:rsidRDefault="00E75595" w:rsidP="00252095">
      <w:pPr>
        <w:keepNext/>
        <w:tabs>
          <w:tab w:val="center" w:pos="284"/>
        </w:tabs>
        <w:ind w:left="266" w:hanging="266"/>
        <w:rPr>
          <w:b/>
          <w:lang w:val="fr-FR"/>
        </w:rPr>
      </w:pPr>
    </w:p>
    <w:p w:rsidR="00E75595" w:rsidRDefault="00E75595" w:rsidP="00252095">
      <w:pPr>
        <w:keepNext/>
      </w:pPr>
      <w:r>
        <w:t>EØSU:</w:t>
      </w:r>
    </w:p>
    <w:p w:rsidR="00FB3C30" w:rsidRDefault="00FB3C30" w:rsidP="00252095">
      <w:pPr>
        <w:keepNext/>
      </w:pPr>
    </w:p>
    <w:p w:rsidR="00E75595" w:rsidRDefault="00E75595" w:rsidP="00252095">
      <w:pPr>
        <w:pStyle w:val="ListParagraph"/>
        <w:numPr>
          <w:ilvl w:val="0"/>
          <w:numId w:val="6"/>
        </w:numPr>
        <w:overflowPunct w:val="0"/>
        <w:autoSpaceDE w:val="0"/>
        <w:autoSpaceDN w:val="0"/>
        <w:adjustRightInd w:val="0"/>
        <w:ind w:left="567" w:hanging="567"/>
        <w:textAlignment w:val="baseline"/>
      </w:pPr>
      <w:r>
        <w:t>bifalder, at beskyttelsen af produkter på EU-markedet under det supplerende beskyttelsescertifikat med forslaget forbliver intakt;</w:t>
      </w:r>
    </w:p>
    <w:p w:rsidR="00FB3C30" w:rsidRDefault="00FB3C30" w:rsidP="00252095">
      <w:pPr>
        <w:overflowPunct w:val="0"/>
        <w:autoSpaceDE w:val="0"/>
        <w:autoSpaceDN w:val="0"/>
        <w:adjustRightInd w:val="0"/>
        <w:ind w:left="567" w:hanging="567"/>
        <w:textAlignment w:val="baseline"/>
      </w:pPr>
    </w:p>
    <w:p w:rsidR="00E75595" w:rsidRDefault="00E75595" w:rsidP="00252095">
      <w:pPr>
        <w:pStyle w:val="ListParagraph"/>
        <w:numPr>
          <w:ilvl w:val="0"/>
          <w:numId w:val="6"/>
        </w:numPr>
        <w:overflowPunct w:val="0"/>
        <w:autoSpaceDE w:val="0"/>
        <w:autoSpaceDN w:val="0"/>
        <w:adjustRightInd w:val="0"/>
        <w:ind w:left="567" w:hanging="567"/>
        <w:textAlignment w:val="baseline"/>
      </w:pPr>
      <w:r>
        <w:t>bifalder, at indehavere af supplerende EU-beskyttelsescertifikater har eneret på markedet i hele certifikatets gyldighedsperiode;</w:t>
      </w:r>
    </w:p>
    <w:p w:rsidR="00FB3C30" w:rsidRDefault="00FB3C30" w:rsidP="00252095">
      <w:pPr>
        <w:overflowPunct w:val="0"/>
        <w:autoSpaceDE w:val="0"/>
        <w:autoSpaceDN w:val="0"/>
        <w:adjustRightInd w:val="0"/>
        <w:ind w:left="567" w:hanging="567"/>
        <w:textAlignment w:val="baseline"/>
      </w:pPr>
    </w:p>
    <w:p w:rsidR="00E75595" w:rsidRDefault="00E75595" w:rsidP="00252095">
      <w:pPr>
        <w:pStyle w:val="ListParagraph"/>
        <w:numPr>
          <w:ilvl w:val="0"/>
          <w:numId w:val="6"/>
        </w:numPr>
        <w:overflowPunct w:val="0"/>
        <w:autoSpaceDE w:val="0"/>
        <w:autoSpaceDN w:val="0"/>
        <w:adjustRightInd w:val="0"/>
        <w:ind w:left="567" w:hanging="567"/>
        <w:textAlignment w:val="baseline"/>
      </w:pPr>
      <w:r>
        <w:t>mener, at producenter etableret i EU på rimelige konkurrencevilkår bør kunne markedsføre generiske og biosimilære lægemidler på de markeder i tredjelande, hvor der ikke er beskyttelse, eller beskyttelsen er udløbet;</w:t>
      </w:r>
    </w:p>
    <w:p w:rsidR="00FB3C30" w:rsidRDefault="00FB3C30" w:rsidP="00252095">
      <w:pPr>
        <w:overflowPunct w:val="0"/>
        <w:autoSpaceDE w:val="0"/>
        <w:autoSpaceDN w:val="0"/>
        <w:adjustRightInd w:val="0"/>
        <w:ind w:left="567" w:hanging="567"/>
        <w:textAlignment w:val="baseline"/>
      </w:pPr>
    </w:p>
    <w:p w:rsidR="00E75595" w:rsidRDefault="00E75595" w:rsidP="00252095">
      <w:pPr>
        <w:pStyle w:val="ListParagraph"/>
        <w:numPr>
          <w:ilvl w:val="0"/>
          <w:numId w:val="6"/>
        </w:numPr>
        <w:overflowPunct w:val="0"/>
        <w:autoSpaceDE w:val="0"/>
        <w:autoSpaceDN w:val="0"/>
        <w:adjustRightInd w:val="0"/>
        <w:ind w:left="567" w:hanging="567"/>
        <w:textAlignment w:val="baseline"/>
      </w:pPr>
      <w:r>
        <w:t>bakker kraftigt op om de sikkerhedsforanstaltninger, der sikrer gennemsigtighed og beskytter mod enhver mulig omledning på EU-markedet af generiske og biosimilære lægemidler;</w:t>
      </w:r>
    </w:p>
    <w:p w:rsidR="00FB3C30" w:rsidRDefault="00FB3C30" w:rsidP="00252095">
      <w:pPr>
        <w:overflowPunct w:val="0"/>
        <w:autoSpaceDE w:val="0"/>
        <w:autoSpaceDN w:val="0"/>
        <w:adjustRightInd w:val="0"/>
        <w:ind w:left="567" w:hanging="567"/>
        <w:textAlignment w:val="baseline"/>
      </w:pPr>
    </w:p>
    <w:p w:rsidR="00E75595" w:rsidRPr="001E54C6" w:rsidRDefault="00E75595" w:rsidP="00252095">
      <w:pPr>
        <w:pStyle w:val="ListParagraph"/>
        <w:numPr>
          <w:ilvl w:val="0"/>
          <w:numId w:val="6"/>
        </w:numPr>
        <w:overflowPunct w:val="0"/>
        <w:autoSpaceDE w:val="0"/>
        <w:autoSpaceDN w:val="0"/>
        <w:adjustRightInd w:val="0"/>
        <w:ind w:left="567" w:hanging="567"/>
        <w:textAlignment w:val="baseline"/>
      </w:pPr>
      <w:r>
        <w:t>støtter Kommissionens holdning vedrørende SMV'er, da de spiller en afgørende rolle i forbindelse med fremstillingen af generiske lægemidler og udviklingen af biosimilære lægemidler.</w:t>
      </w:r>
    </w:p>
    <w:p w:rsidR="00E75595" w:rsidRDefault="00E75595" w:rsidP="00252095">
      <w:pPr>
        <w:rPr>
          <w:b/>
          <w:lang w:val="fr-FR"/>
        </w:rPr>
      </w:pPr>
    </w:p>
    <w:p w:rsidR="00E75595" w:rsidRPr="0057460E" w:rsidRDefault="00E75595" w:rsidP="00252095">
      <w:pPr>
        <w:keepNext/>
        <w:tabs>
          <w:tab w:val="left" w:pos="1701"/>
        </w:tabs>
        <w:rPr>
          <w:i/>
        </w:rPr>
      </w:pPr>
      <w:r>
        <w:rPr>
          <w:b/>
          <w:i/>
        </w:rPr>
        <w:t>Kontaktperson:</w:t>
      </w:r>
      <w:r>
        <w:rPr>
          <w:i/>
        </w:rPr>
        <w:tab/>
        <w:t>Claudia Drewes-Wran</w:t>
      </w:r>
    </w:p>
    <w:p w:rsidR="00E75595" w:rsidRDefault="00FB3C30" w:rsidP="00252095">
      <w:pPr>
        <w:rPr>
          <w:i/>
        </w:rPr>
      </w:pPr>
      <w:r>
        <w:rPr>
          <w:i/>
        </w:rPr>
        <w:tab/>
      </w:r>
      <w:r>
        <w:rPr>
          <w:i/>
        </w:rPr>
        <w:tab/>
      </w:r>
      <w:r>
        <w:rPr>
          <w:i/>
        </w:rPr>
        <w:tab/>
        <w:t xml:space="preserve">(Tlf.: 00 32 2 546 80 67 – e-mail: </w:t>
      </w:r>
      <w:hyperlink r:id="rId36" w:history="1">
        <w:r>
          <w:rPr>
            <w:rStyle w:val="Hyperlink"/>
            <w:i/>
          </w:rPr>
          <w:t>claudia.drewes-wran@eesc.europa.eu</w:t>
        </w:r>
      </w:hyperlink>
      <w:r>
        <w:rPr>
          <w:i/>
        </w:rPr>
        <w:t>)</w:t>
      </w:r>
    </w:p>
    <w:p w:rsidR="00E75595" w:rsidRDefault="00E75595" w:rsidP="00252095"/>
    <w:p w:rsidR="00E75595" w:rsidRPr="001F7C86" w:rsidRDefault="00A90E72" w:rsidP="00252095">
      <w:pPr>
        <w:pStyle w:val="ListParagraph"/>
        <w:keepNext/>
        <w:numPr>
          <w:ilvl w:val="0"/>
          <w:numId w:val="94"/>
        </w:numPr>
        <w:overflowPunct w:val="0"/>
        <w:autoSpaceDE w:val="0"/>
        <w:autoSpaceDN w:val="0"/>
        <w:adjustRightInd w:val="0"/>
        <w:ind w:left="567" w:hanging="567"/>
        <w:textAlignment w:val="baseline"/>
        <w:rPr>
          <w:sz w:val="24"/>
          <w:szCs w:val="24"/>
        </w:rPr>
      </w:pPr>
      <w:r>
        <w:rPr>
          <w:b/>
          <w:i/>
          <w:sz w:val="28"/>
          <w:szCs w:val="28"/>
        </w:rPr>
        <w:lastRenderedPageBreak/>
        <w:t>Godkendelse og markedsovervågning af landbrugs- og skovbrugstraktorer</w:t>
      </w:r>
    </w:p>
    <w:p w:rsidR="00E75595" w:rsidRPr="005B6772" w:rsidRDefault="00E75595" w:rsidP="00252095">
      <w:pPr>
        <w:keepNext/>
        <w:tabs>
          <w:tab w:val="center" w:pos="284"/>
        </w:tabs>
        <w:ind w:left="266" w:hanging="266"/>
        <w:rPr>
          <w:b/>
          <w:lang w:val="fr-FR"/>
        </w:rPr>
      </w:pPr>
    </w:p>
    <w:p w:rsidR="00E75595" w:rsidRPr="00C23DE4" w:rsidRDefault="00E75595" w:rsidP="00252095">
      <w:pPr>
        <w:keepNext/>
        <w:tabs>
          <w:tab w:val="left" w:pos="1134"/>
        </w:tabs>
      </w:pPr>
      <w:r>
        <w:rPr>
          <w:b/>
        </w:rPr>
        <w:t>Ordfører:</w:t>
      </w:r>
      <w:r>
        <w:t xml:space="preserve"> </w:t>
      </w:r>
      <w:r>
        <w:tab/>
        <w:t>Mindaugas Maciulevičius (Gruppen Diversitet Europa – LT)</w:t>
      </w:r>
    </w:p>
    <w:p w:rsidR="00E75595" w:rsidRPr="00C23DE4" w:rsidRDefault="00E75595" w:rsidP="00252095">
      <w:pPr>
        <w:keepNext/>
        <w:tabs>
          <w:tab w:val="center" w:pos="284"/>
          <w:tab w:val="left" w:pos="1134"/>
        </w:tabs>
        <w:ind w:left="266" w:hanging="266"/>
        <w:rPr>
          <w:lang w:val="fr-FR"/>
        </w:rPr>
      </w:pPr>
    </w:p>
    <w:p w:rsidR="00E75595" w:rsidRPr="00240939" w:rsidRDefault="001F7C86" w:rsidP="00252095">
      <w:pPr>
        <w:keepNext/>
        <w:tabs>
          <w:tab w:val="center" w:pos="284"/>
          <w:tab w:val="left" w:pos="1134"/>
        </w:tabs>
        <w:ind w:left="266" w:hanging="266"/>
      </w:pPr>
      <w:r>
        <w:rPr>
          <w:b/>
        </w:rPr>
        <w:t>Ref.:</w:t>
      </w:r>
      <w:r w:rsidR="00252095">
        <w:rPr>
          <w:b/>
        </w:rPr>
        <w:tab/>
      </w:r>
      <w:r>
        <w:t>COM(2018) 289 final – 2018/0142 (COD)</w:t>
      </w:r>
    </w:p>
    <w:p w:rsidR="00E75595" w:rsidRPr="00103768" w:rsidRDefault="00E75595" w:rsidP="00252095">
      <w:pPr>
        <w:keepNext/>
        <w:tabs>
          <w:tab w:val="center" w:pos="284"/>
          <w:tab w:val="left" w:pos="1134"/>
        </w:tabs>
        <w:ind w:left="266" w:hanging="266"/>
      </w:pPr>
      <w:r>
        <w:tab/>
      </w:r>
      <w:r>
        <w:tab/>
      </w:r>
      <w:r>
        <w:tab/>
        <w:t>EESC-2018-03801-00-00-AC-TRA</w:t>
      </w:r>
    </w:p>
    <w:p w:rsidR="00E75595" w:rsidRPr="002D46CB" w:rsidRDefault="00E75595" w:rsidP="00252095">
      <w:pPr>
        <w:keepNext/>
        <w:tabs>
          <w:tab w:val="center" w:pos="284"/>
        </w:tabs>
        <w:ind w:left="266" w:hanging="266"/>
        <w:rPr>
          <w:lang w:val="fr-FR"/>
        </w:rPr>
      </w:pPr>
    </w:p>
    <w:p w:rsidR="00E75595" w:rsidRDefault="001F7C86" w:rsidP="00252095">
      <w:pPr>
        <w:keepNext/>
        <w:tabs>
          <w:tab w:val="center" w:pos="284"/>
        </w:tabs>
        <w:ind w:left="266" w:hanging="266"/>
        <w:rPr>
          <w:b/>
        </w:rPr>
      </w:pPr>
      <w:r>
        <w:rPr>
          <w:b/>
        </w:rPr>
        <w:t>Hovedpunkter:</w:t>
      </w:r>
    </w:p>
    <w:p w:rsidR="00E75595" w:rsidRDefault="00E75595" w:rsidP="00252095">
      <w:pPr>
        <w:keepNext/>
        <w:tabs>
          <w:tab w:val="center" w:pos="284"/>
        </w:tabs>
        <w:ind w:left="266" w:hanging="266"/>
        <w:rPr>
          <w:b/>
          <w:lang w:val="fr-FR"/>
        </w:rPr>
      </w:pPr>
    </w:p>
    <w:p w:rsidR="00E75595" w:rsidRDefault="00E75595" w:rsidP="00252095">
      <w:pPr>
        <w:keepNext/>
      </w:pPr>
      <w:r>
        <w:t>EØSU:</w:t>
      </w:r>
    </w:p>
    <w:p w:rsidR="001F7C86" w:rsidRDefault="001F7C86" w:rsidP="00252095">
      <w:pPr>
        <w:keepNext/>
      </w:pPr>
    </w:p>
    <w:p w:rsidR="00E75595" w:rsidRDefault="00E75595" w:rsidP="00252095">
      <w:pPr>
        <w:pStyle w:val="ListParagraph"/>
        <w:numPr>
          <w:ilvl w:val="0"/>
          <w:numId w:val="6"/>
        </w:numPr>
        <w:overflowPunct w:val="0"/>
        <w:autoSpaceDE w:val="0"/>
        <w:autoSpaceDN w:val="0"/>
        <w:adjustRightInd w:val="0"/>
        <w:ind w:left="567" w:hanging="567"/>
        <w:textAlignment w:val="baseline"/>
      </w:pPr>
      <w:r>
        <w:t>bifalder forslaget, der følger tilbagemeldinger fra interesserede parter og medlemsstater i den første gennemførelsesperiode;</w:t>
      </w:r>
    </w:p>
    <w:p w:rsidR="001F7C86" w:rsidRDefault="001F7C86" w:rsidP="00252095">
      <w:pPr>
        <w:overflowPunct w:val="0"/>
        <w:autoSpaceDE w:val="0"/>
        <w:autoSpaceDN w:val="0"/>
        <w:adjustRightInd w:val="0"/>
        <w:ind w:left="567" w:hanging="567"/>
        <w:textAlignment w:val="baseline"/>
      </w:pPr>
    </w:p>
    <w:p w:rsidR="00E75595" w:rsidRDefault="00E75595" w:rsidP="00252095">
      <w:pPr>
        <w:pStyle w:val="ListParagraph"/>
        <w:numPr>
          <w:ilvl w:val="0"/>
          <w:numId w:val="6"/>
        </w:numPr>
        <w:ind w:left="567" w:hanging="567"/>
      </w:pPr>
      <w:r>
        <w:t>støtter forlængelsen på yderligere fem år af Kommissionens beføjelse til at vedtage delegerede retsakter, da der er et kontinuerligt behov for at opdatere forskellige elementer i typegodkendelsesproceduren;</w:t>
      </w:r>
    </w:p>
    <w:p w:rsidR="001F7C86" w:rsidRDefault="001F7C86" w:rsidP="00252095">
      <w:pPr>
        <w:ind w:left="567" w:hanging="567"/>
      </w:pPr>
    </w:p>
    <w:p w:rsidR="00E75595" w:rsidRDefault="00E75595" w:rsidP="00252095">
      <w:pPr>
        <w:pStyle w:val="ListParagraph"/>
        <w:numPr>
          <w:ilvl w:val="0"/>
          <w:numId w:val="6"/>
        </w:numPr>
        <w:ind w:left="567" w:hanging="567"/>
      </w:pPr>
      <w:r>
        <w:t>glæder sig over de stærke tilsagn fra Kommissionens side om at høre forskellige interessenter og arbejdsmarkedets parter om alle initiativer på dette område;</w:t>
      </w:r>
    </w:p>
    <w:p w:rsidR="001F7C86" w:rsidRDefault="001F7C86" w:rsidP="00252095">
      <w:pPr>
        <w:ind w:left="567" w:hanging="567"/>
      </w:pPr>
    </w:p>
    <w:p w:rsidR="00E75595" w:rsidRPr="001E54C6" w:rsidRDefault="00E75595" w:rsidP="00252095">
      <w:pPr>
        <w:pStyle w:val="ListParagraph"/>
        <w:numPr>
          <w:ilvl w:val="0"/>
          <w:numId w:val="6"/>
        </w:numPr>
        <w:overflowPunct w:val="0"/>
        <w:autoSpaceDE w:val="0"/>
        <w:autoSpaceDN w:val="0"/>
        <w:adjustRightInd w:val="0"/>
        <w:ind w:left="567" w:hanging="567"/>
        <w:textAlignment w:val="baseline"/>
      </w:pPr>
      <w:r>
        <w:t>anerkender Kommissionens indsats på internationalt plan.</w:t>
      </w:r>
    </w:p>
    <w:p w:rsidR="00E75595" w:rsidRDefault="00E75595" w:rsidP="00252095">
      <w:pPr>
        <w:rPr>
          <w:b/>
          <w:lang w:val="fr-FR"/>
        </w:rPr>
      </w:pPr>
    </w:p>
    <w:p w:rsidR="00E75595" w:rsidRPr="0057460E" w:rsidRDefault="00E75595" w:rsidP="00252095">
      <w:pPr>
        <w:keepNext/>
        <w:tabs>
          <w:tab w:val="left" w:pos="1701"/>
        </w:tabs>
        <w:rPr>
          <w:i/>
        </w:rPr>
      </w:pPr>
      <w:r>
        <w:rPr>
          <w:b/>
          <w:i/>
        </w:rPr>
        <w:t>Kontaktperson:</w:t>
      </w:r>
      <w:r>
        <w:rPr>
          <w:i/>
        </w:rPr>
        <w:tab/>
      </w:r>
      <w:r>
        <w:rPr>
          <w:i/>
        </w:rPr>
        <w:tab/>
        <w:t>Alice Tétu</w:t>
      </w:r>
    </w:p>
    <w:p w:rsidR="00991CC2" w:rsidRDefault="001F7C86" w:rsidP="00252095">
      <w:pPr>
        <w:tabs>
          <w:tab w:val="left" w:pos="1701"/>
        </w:tabs>
        <w:rPr>
          <w:i/>
        </w:rPr>
      </w:pPr>
      <w:r>
        <w:rPr>
          <w:i/>
        </w:rPr>
        <w:tab/>
      </w:r>
      <w:r>
        <w:rPr>
          <w:i/>
        </w:rPr>
        <w:tab/>
        <w:t xml:space="preserve">(Tlf.: 00 32 2 546 82 86 – e-mail: </w:t>
      </w:r>
      <w:hyperlink r:id="rId37" w:history="1">
        <w:r>
          <w:rPr>
            <w:rStyle w:val="Hyperlink"/>
            <w:i/>
          </w:rPr>
          <w:t>alice.tetu@eesc.europa.eu</w:t>
        </w:r>
      </w:hyperlink>
      <w:r>
        <w:rPr>
          <w:i/>
        </w:rPr>
        <w:t>)</w:t>
      </w:r>
    </w:p>
    <w:p w:rsidR="00991CC2" w:rsidRDefault="00991CC2" w:rsidP="00252095">
      <w:pPr>
        <w:jc w:val="left"/>
        <w:rPr>
          <w:i/>
        </w:rPr>
      </w:pPr>
      <w:r>
        <w:br w:type="page"/>
      </w:r>
    </w:p>
    <w:p w:rsidR="00C73832" w:rsidRPr="00B02D2C" w:rsidRDefault="00AD00B7" w:rsidP="00252095">
      <w:pPr>
        <w:pStyle w:val="Heading1"/>
        <w:keepNext/>
        <w:ind w:left="567" w:hanging="567"/>
        <w:rPr>
          <w:b/>
          <w:caps/>
        </w:rPr>
      </w:pPr>
      <w:bookmarkStart w:id="993" w:name="_Toc527019936"/>
      <w:r>
        <w:rPr>
          <w:b/>
          <w:caps/>
        </w:rPr>
        <w:lastRenderedPageBreak/>
        <w:t>Transport, Energi, Infrastruktur og Informationssamfundet</w:t>
      </w:r>
      <w:bookmarkEnd w:id="993"/>
    </w:p>
    <w:p w:rsidR="00E42938" w:rsidRPr="00C73832" w:rsidRDefault="00E42938" w:rsidP="00252095">
      <w:pPr>
        <w:keepNext/>
        <w:tabs>
          <w:tab w:val="left" w:pos="1418"/>
        </w:tabs>
        <w:rPr>
          <w:i/>
        </w:rPr>
      </w:pPr>
    </w:p>
    <w:p w:rsidR="00A20917" w:rsidRPr="00F224B5" w:rsidRDefault="00A20917" w:rsidP="00252095">
      <w:pPr>
        <w:pStyle w:val="ListParagraph"/>
        <w:keepNext/>
        <w:numPr>
          <w:ilvl w:val="0"/>
          <w:numId w:val="94"/>
        </w:numPr>
        <w:overflowPunct w:val="0"/>
        <w:autoSpaceDE w:val="0"/>
        <w:autoSpaceDN w:val="0"/>
        <w:adjustRightInd w:val="0"/>
        <w:ind w:left="567" w:hanging="567"/>
        <w:textAlignment w:val="baseline"/>
        <w:rPr>
          <w:bCs/>
          <w:i/>
        </w:rPr>
      </w:pPr>
      <w:r>
        <w:rPr>
          <w:b/>
          <w:i/>
          <w:sz w:val="28"/>
          <w:szCs w:val="28"/>
        </w:rPr>
        <w:t>Connecting Europe-faciliteten (2018)</w:t>
      </w:r>
    </w:p>
    <w:p w:rsidR="00A20917" w:rsidRDefault="00A20917" w:rsidP="00252095">
      <w:pPr>
        <w:keepNext/>
        <w:rPr>
          <w:bCs/>
          <w:highlight w:val="green"/>
          <w:lang w:val="en-GB"/>
        </w:rPr>
      </w:pPr>
    </w:p>
    <w:p w:rsidR="00F224B5" w:rsidRDefault="00F224B5" w:rsidP="00252095">
      <w:pPr>
        <w:keepNext/>
        <w:tabs>
          <w:tab w:val="left" w:pos="1701"/>
        </w:tabs>
      </w:pPr>
      <w:r>
        <w:rPr>
          <w:b/>
        </w:rPr>
        <w:t>Ordfører:</w:t>
      </w:r>
      <w:r w:rsidR="00252095">
        <w:rPr>
          <w:b/>
        </w:rPr>
        <w:tab/>
      </w:r>
      <w:r>
        <w:t>Aurel Laurenţiu Plosceanu (Arbejdsgivergruppen – RO)</w:t>
      </w:r>
    </w:p>
    <w:p w:rsidR="00A20917" w:rsidRPr="000202C4" w:rsidRDefault="00A20917" w:rsidP="00252095">
      <w:pPr>
        <w:keepNext/>
        <w:tabs>
          <w:tab w:val="left" w:pos="1701"/>
        </w:tabs>
      </w:pPr>
      <w:r>
        <w:rPr>
          <w:b/>
        </w:rPr>
        <w:t>Medordfører:</w:t>
      </w:r>
      <w:r>
        <w:tab/>
        <w:t>Graham Watson (Gruppen Diversitet Europa – UK)</w:t>
      </w:r>
    </w:p>
    <w:p w:rsidR="00F224B5" w:rsidRDefault="00F224B5" w:rsidP="00252095">
      <w:pPr>
        <w:keepNext/>
        <w:rPr>
          <w:b/>
          <w:lang w:val="en-GB"/>
        </w:rPr>
      </w:pPr>
    </w:p>
    <w:p w:rsidR="00F224B5" w:rsidRDefault="00A20917" w:rsidP="00252095">
      <w:pPr>
        <w:keepNext/>
        <w:tabs>
          <w:tab w:val="left" w:pos="1701"/>
        </w:tabs>
      </w:pPr>
      <w:r>
        <w:rPr>
          <w:b/>
        </w:rPr>
        <w:t>Ref.:</w:t>
      </w:r>
      <w:r>
        <w:t xml:space="preserve"> </w:t>
      </w:r>
      <w:r>
        <w:tab/>
        <w:t>COM(2018) 438 final – 2018/0228 (COD)</w:t>
      </w:r>
    </w:p>
    <w:p w:rsidR="00A20917" w:rsidRDefault="00F224B5" w:rsidP="00252095">
      <w:pPr>
        <w:keepNext/>
        <w:tabs>
          <w:tab w:val="left" w:pos="1701"/>
        </w:tabs>
      </w:pPr>
      <w:r>
        <w:tab/>
        <w:t>EESC-2018-03271-00-00-AC-TRA</w:t>
      </w:r>
    </w:p>
    <w:p w:rsidR="00A20917" w:rsidRDefault="00A20917" w:rsidP="00252095">
      <w:pPr>
        <w:keepNext/>
        <w:rPr>
          <w:b/>
          <w:lang w:val="en-GB"/>
        </w:rPr>
      </w:pPr>
    </w:p>
    <w:p w:rsidR="00F224B5" w:rsidRDefault="00F224B5" w:rsidP="00252095">
      <w:pPr>
        <w:keepNext/>
        <w:rPr>
          <w:b/>
        </w:rPr>
      </w:pPr>
      <w:r>
        <w:rPr>
          <w:b/>
        </w:rPr>
        <w:t>Hovedpunkter:</w:t>
      </w:r>
    </w:p>
    <w:p w:rsidR="00A20917" w:rsidRDefault="00A20917" w:rsidP="00252095">
      <w:pPr>
        <w:keepNext/>
        <w:rPr>
          <w:color w:val="000000"/>
        </w:rPr>
      </w:pPr>
      <w:r>
        <w:rPr>
          <w:b/>
        </w:rPr>
        <w:t xml:space="preserve"> </w:t>
      </w:r>
    </w:p>
    <w:p w:rsidR="00A20917" w:rsidRPr="00F224B5" w:rsidRDefault="00A20917" w:rsidP="00252095">
      <w:pPr>
        <w:pStyle w:val="ListParagraph"/>
        <w:numPr>
          <w:ilvl w:val="0"/>
          <w:numId w:val="94"/>
        </w:numPr>
        <w:ind w:left="567" w:hanging="567"/>
        <w:rPr>
          <w:color w:val="000000"/>
        </w:rPr>
      </w:pPr>
      <w:r>
        <w:rPr>
          <w:color w:val="000000"/>
        </w:rPr>
        <w:t>EØSU går ind for at styrke budgettet for Connecting Europe-faciliteten i perioden efter 2020.</w:t>
      </w:r>
    </w:p>
    <w:p w:rsidR="00F224B5" w:rsidRDefault="00F224B5" w:rsidP="00252095">
      <w:pPr>
        <w:ind w:left="567" w:hanging="567"/>
        <w:rPr>
          <w:color w:val="000000"/>
        </w:rPr>
      </w:pPr>
    </w:p>
    <w:p w:rsidR="00A20917" w:rsidRPr="00F224B5" w:rsidRDefault="00A20917" w:rsidP="00252095">
      <w:pPr>
        <w:pStyle w:val="ListParagraph"/>
        <w:numPr>
          <w:ilvl w:val="0"/>
          <w:numId w:val="94"/>
        </w:numPr>
        <w:ind w:left="567" w:hanging="567"/>
        <w:rPr>
          <w:color w:val="000000"/>
        </w:rPr>
      </w:pPr>
      <w:r>
        <w:rPr>
          <w:color w:val="000000"/>
        </w:rPr>
        <w:t>EØSU anbefaler, at Kommissionen og medlemsstaterne i højere grad tilskynder til synergivirkninger på projektniveau mellem de tre sektorer. Synergierne er for øjeblikket begrænsede på grund af den manglende fleksibilitet i de budgetmæssige rammer for så vidt angår støtteberettigelsen for projekter og omkostninger.</w:t>
      </w:r>
    </w:p>
    <w:p w:rsidR="00F224B5" w:rsidRDefault="00F224B5" w:rsidP="00252095">
      <w:pPr>
        <w:ind w:left="567" w:hanging="567"/>
        <w:rPr>
          <w:color w:val="000000"/>
        </w:rPr>
      </w:pPr>
    </w:p>
    <w:p w:rsidR="00A20917" w:rsidRPr="00F224B5" w:rsidRDefault="00A20917" w:rsidP="00252095">
      <w:pPr>
        <w:pStyle w:val="ListParagraph"/>
        <w:numPr>
          <w:ilvl w:val="0"/>
          <w:numId w:val="94"/>
        </w:numPr>
        <w:ind w:left="567" w:hanging="567"/>
        <w:rPr>
          <w:color w:val="000000"/>
        </w:rPr>
      </w:pPr>
      <w:r>
        <w:rPr>
          <w:color w:val="000000"/>
        </w:rPr>
        <w:t xml:space="preserve">EØSU opfordrer indtrængende medlovgiverne til at bibeholde </w:t>
      </w:r>
      <w:r w:rsidR="00252095">
        <w:rPr>
          <w:color w:val="000000"/>
        </w:rPr>
        <w:t>tilsagnet i den forudgående CEF</w:t>
      </w:r>
      <w:r w:rsidR="00252095">
        <w:rPr>
          <w:color w:val="000000"/>
        </w:rPr>
        <w:noBreakHyphen/>
      </w:r>
      <w:r>
        <w:rPr>
          <w:color w:val="000000"/>
        </w:rPr>
        <w:t>forordning om at bruge "størstedelen" af energibudgettet på elektricitetsprojekter.</w:t>
      </w:r>
    </w:p>
    <w:p w:rsidR="00A20917" w:rsidRPr="00772281" w:rsidRDefault="00A20917" w:rsidP="00252095">
      <w:pPr>
        <w:ind w:left="567" w:hanging="567"/>
        <w:rPr>
          <w:color w:val="000000"/>
        </w:rPr>
      </w:pPr>
    </w:p>
    <w:p w:rsidR="00A20917" w:rsidRPr="00F224B5" w:rsidRDefault="00A20917" w:rsidP="00252095">
      <w:pPr>
        <w:pStyle w:val="ListParagraph"/>
        <w:numPr>
          <w:ilvl w:val="0"/>
          <w:numId w:val="94"/>
        </w:numPr>
        <w:ind w:left="567" w:hanging="567"/>
        <w:rPr>
          <w:color w:val="000000"/>
        </w:rPr>
      </w:pPr>
      <w:r>
        <w:rPr>
          <w:color w:val="000000"/>
        </w:rPr>
        <w:t>EØSU anbefaler, at Connecting Europe-facilitetens finansielle kapacitet under den næste flerårige finansielle ramme øges. Hvad angår fordelingen af tilskud blandt de tre sektorer, anbefaler EØSU, at der tages højde for hver sektors finansielle behov, f.eks. kapitalintensitet og investeringsafkast, og at der gives forrang til investeringer, der ikke kan finansieres af markedet med henblik på at opretholde den høje troværdighed og tiltrækningskraft for investorer.</w:t>
      </w:r>
    </w:p>
    <w:p w:rsidR="00F224B5" w:rsidRDefault="00F224B5" w:rsidP="00252095">
      <w:pPr>
        <w:ind w:left="567" w:hanging="567"/>
        <w:rPr>
          <w:color w:val="000000"/>
        </w:rPr>
      </w:pPr>
    </w:p>
    <w:p w:rsidR="00F224B5" w:rsidRPr="00F224B5" w:rsidRDefault="00A20917" w:rsidP="00252095">
      <w:pPr>
        <w:pStyle w:val="ListParagraph"/>
        <w:numPr>
          <w:ilvl w:val="0"/>
          <w:numId w:val="94"/>
        </w:numPr>
        <w:ind w:left="567" w:hanging="567"/>
        <w:rPr>
          <w:color w:val="000000"/>
        </w:rPr>
      </w:pPr>
      <w:r>
        <w:rPr>
          <w:color w:val="000000"/>
        </w:rPr>
        <w:t>EØSU fremhæver, at såvel Kommissionen som medlemsstaterne skal fastholde deres opbakning til CEF's vigtigste transportpolitiske mål: færdiggørelsen af det transeuropæiske transportnet TEN-T-hovednettet senest i 2030 og overgangen til ren, konkurrencedygtig og netforbundet mobilitet, herunder et EU-backbone-net af opladningsinfrastruktur senest i 2025. Multimodale og grænseoverskridende forbindelser er uhyre vigtige i den henseende.</w:t>
      </w:r>
    </w:p>
    <w:p w:rsidR="00F224B5" w:rsidRDefault="00F224B5" w:rsidP="00252095">
      <w:pPr>
        <w:ind w:left="567" w:hanging="567"/>
        <w:rPr>
          <w:color w:val="000000"/>
        </w:rPr>
      </w:pPr>
    </w:p>
    <w:p w:rsidR="00F224B5" w:rsidRPr="00F224B5" w:rsidRDefault="00A20917" w:rsidP="00252095">
      <w:pPr>
        <w:pStyle w:val="ListParagraph"/>
        <w:numPr>
          <w:ilvl w:val="0"/>
          <w:numId w:val="94"/>
        </w:numPr>
        <w:ind w:left="567" w:hanging="567"/>
        <w:rPr>
          <w:color w:val="000000"/>
        </w:rPr>
      </w:pPr>
      <w:r>
        <w:rPr>
          <w:color w:val="000000"/>
        </w:rPr>
        <w:t>EØSU støtter i høj grad forslaget om at medtage grænseoverskridende samarbejde om vedvarende energiproduktion i CEF for perioden 2021-2027.</w:t>
      </w:r>
    </w:p>
    <w:p w:rsidR="00F224B5" w:rsidRDefault="00F224B5" w:rsidP="00252095">
      <w:pPr>
        <w:ind w:left="567" w:hanging="567"/>
        <w:rPr>
          <w:color w:val="000000"/>
        </w:rPr>
      </w:pPr>
    </w:p>
    <w:p w:rsidR="00F224B5" w:rsidRPr="00F224B5" w:rsidRDefault="00A20917" w:rsidP="00252095">
      <w:pPr>
        <w:pStyle w:val="ListParagraph"/>
        <w:numPr>
          <w:ilvl w:val="0"/>
          <w:numId w:val="94"/>
        </w:numPr>
        <w:ind w:left="567" w:hanging="567"/>
        <w:rPr>
          <w:color w:val="000000"/>
        </w:rPr>
      </w:pPr>
      <w:r>
        <w:rPr>
          <w:color w:val="000000"/>
        </w:rPr>
        <w:t>EØSU foreslår, at den overordnede vision for tiltagene i forbindelse med vedvarende energikilder i CEF bør være at skabe et EU-dækkende net for vedvarende elektricitet, der skaber mulighed for en mere effektiv integration af vedvarende energiteknologier, og som bedre afspejler de tilgængelige teknologiers potentiale på tværs af kontinentet.</w:t>
      </w:r>
    </w:p>
    <w:p w:rsidR="00F224B5" w:rsidRDefault="00F224B5" w:rsidP="00252095">
      <w:pPr>
        <w:ind w:left="567" w:hanging="567"/>
        <w:rPr>
          <w:color w:val="000000"/>
        </w:rPr>
      </w:pPr>
    </w:p>
    <w:p w:rsidR="00A20917" w:rsidRPr="00F224B5" w:rsidRDefault="00A20917" w:rsidP="00252095">
      <w:pPr>
        <w:pStyle w:val="ListParagraph"/>
        <w:keepNext/>
        <w:keepLines/>
        <w:numPr>
          <w:ilvl w:val="0"/>
          <w:numId w:val="94"/>
        </w:numPr>
        <w:ind w:left="567" w:hanging="567"/>
        <w:rPr>
          <w:color w:val="000000"/>
        </w:rPr>
      </w:pPr>
      <w:r>
        <w:rPr>
          <w:color w:val="000000"/>
        </w:rPr>
        <w:lastRenderedPageBreak/>
        <w:t>EØSU anbefaler, at de muligheder, der opstår som følge af digitaliseringen af energinettene og oprettelsen af intelligente net med det formål at integrere vedvarende energikilder, udnyttes fuldt ud, og udvalget anbefaler, at Kommissionen undersøger, hvordan synergier mellem den digitale sektor og energisektoren i CEF kan udnyttes i den henseende.</w:t>
      </w:r>
    </w:p>
    <w:p w:rsidR="00F224B5" w:rsidRDefault="00F224B5" w:rsidP="00252095">
      <w:pPr>
        <w:ind w:left="567" w:hanging="567"/>
        <w:rPr>
          <w:color w:val="000000"/>
        </w:rPr>
      </w:pPr>
    </w:p>
    <w:p w:rsidR="00A20917" w:rsidRPr="00F224B5" w:rsidRDefault="00A20917" w:rsidP="00252095">
      <w:pPr>
        <w:pStyle w:val="ListParagraph"/>
        <w:numPr>
          <w:ilvl w:val="0"/>
          <w:numId w:val="94"/>
        </w:numPr>
        <w:ind w:left="567" w:hanging="567"/>
        <w:rPr>
          <w:color w:val="000000"/>
        </w:rPr>
      </w:pPr>
      <w:r>
        <w:rPr>
          <w:color w:val="000000"/>
        </w:rPr>
        <w:t>EØSU mener endvidere, at det bør overvejes, hvordan resultaterne af CEF kan formidles mere effektivt. Et budget for kommunikation kan være et nyttigt redskab i denne forbindelse. Øget forudsigelighed bør ligeledes tages i betragtning.</w:t>
      </w:r>
    </w:p>
    <w:p w:rsidR="00F224B5" w:rsidRDefault="00F224B5" w:rsidP="00252095">
      <w:pPr>
        <w:ind w:left="567" w:hanging="567"/>
        <w:rPr>
          <w:color w:val="000000"/>
        </w:rPr>
      </w:pPr>
    </w:p>
    <w:p w:rsidR="00F224B5" w:rsidRPr="00F224B5" w:rsidRDefault="00A20917" w:rsidP="00252095">
      <w:pPr>
        <w:pStyle w:val="ListParagraph"/>
        <w:numPr>
          <w:ilvl w:val="0"/>
          <w:numId w:val="94"/>
        </w:numPr>
        <w:ind w:left="567" w:hanging="567"/>
        <w:rPr>
          <w:color w:val="000000"/>
        </w:rPr>
      </w:pPr>
      <w:r>
        <w:rPr>
          <w:color w:val="000000"/>
        </w:rPr>
        <w:t>EØSU foreslår, at CEF-evalueringsmetoden forbedres. Der bør gennemføres en reel kvantitativ/kvalitativ evaluering ved afslutningen af perioden 2014-2020 for de fuldførte projekter og de projekter, som er langt fremme i anlægsfasen.</w:t>
      </w:r>
    </w:p>
    <w:p w:rsidR="00F224B5" w:rsidRDefault="00F224B5" w:rsidP="00252095">
      <w:pPr>
        <w:ind w:left="567" w:hanging="567"/>
        <w:rPr>
          <w:color w:val="000000"/>
        </w:rPr>
      </w:pPr>
    </w:p>
    <w:p w:rsidR="00A20917" w:rsidRPr="00F224B5" w:rsidRDefault="00A20917" w:rsidP="00252095">
      <w:pPr>
        <w:pStyle w:val="ListParagraph"/>
        <w:numPr>
          <w:ilvl w:val="0"/>
          <w:numId w:val="94"/>
        </w:numPr>
        <w:ind w:left="567" w:hanging="567"/>
        <w:rPr>
          <w:color w:val="000000"/>
        </w:rPr>
      </w:pPr>
      <w:r>
        <w:rPr>
          <w:color w:val="000000"/>
        </w:rPr>
        <w:t>EØSU efterlyser en evaluering af bl.a. fremskridtene i udviklingen af TEN-T samt ændringer i passager- og godstrafikstrømmene. Det efterlyser endvidere en socioøkonomisk cost-benefit-analyse af TEN-T-projekter, som tager hensyn til de relevante sociale, økonomiske, klimarelaterede og miljømæssige fordele og omkostninger.</w:t>
      </w:r>
    </w:p>
    <w:p w:rsidR="00F224B5" w:rsidRDefault="00F224B5" w:rsidP="00252095">
      <w:pPr>
        <w:ind w:left="567" w:hanging="567"/>
        <w:rPr>
          <w:color w:val="000000"/>
        </w:rPr>
      </w:pPr>
    </w:p>
    <w:p w:rsidR="00A20917" w:rsidRPr="00F224B5" w:rsidRDefault="00A20917" w:rsidP="00252095">
      <w:pPr>
        <w:pStyle w:val="ListParagraph"/>
        <w:numPr>
          <w:ilvl w:val="0"/>
          <w:numId w:val="94"/>
        </w:numPr>
        <w:ind w:left="567" w:hanging="567"/>
        <w:rPr>
          <w:color w:val="000000"/>
        </w:rPr>
      </w:pPr>
      <w:r>
        <w:rPr>
          <w:color w:val="000000"/>
        </w:rPr>
        <w:t>EØSU støtter udviklingen af infrastruktur med både civil og militær anvendelse, hvilket gælder for såvel fysisk som teknologisk infrastruktur (såsom ERTMS og SESAR), under CEF-rammen og anbefaler en åben og proaktiv tilgang til den nye geopolitiske internationale kontekst.</w:t>
      </w:r>
    </w:p>
    <w:p w:rsidR="00A20917" w:rsidRDefault="00A20917" w:rsidP="00252095">
      <w:pPr>
        <w:ind w:left="-567"/>
        <w:rPr>
          <w:color w:val="000000"/>
        </w:rPr>
      </w:pPr>
    </w:p>
    <w:p w:rsidR="00A20917" w:rsidRPr="000202C4" w:rsidRDefault="00A20917" w:rsidP="00252095">
      <w:pPr>
        <w:keepNext/>
        <w:tabs>
          <w:tab w:val="left" w:pos="1701"/>
        </w:tabs>
        <w:rPr>
          <w:i/>
        </w:rPr>
      </w:pPr>
      <w:r>
        <w:rPr>
          <w:b/>
          <w:i/>
        </w:rPr>
        <w:t>Kontaktperson:</w:t>
      </w:r>
      <w:r>
        <w:rPr>
          <w:i/>
        </w:rPr>
        <w:tab/>
        <w:t>Agota Bazsik</w:t>
      </w:r>
    </w:p>
    <w:p w:rsidR="00A20917" w:rsidRPr="00554D34" w:rsidRDefault="00F224B5" w:rsidP="00252095">
      <w:pPr>
        <w:tabs>
          <w:tab w:val="left" w:pos="1134"/>
        </w:tabs>
        <w:rPr>
          <w:i/>
        </w:rPr>
      </w:pPr>
      <w:r>
        <w:rPr>
          <w:i/>
        </w:rPr>
        <w:tab/>
      </w:r>
      <w:r>
        <w:rPr>
          <w:i/>
        </w:rPr>
        <w:tab/>
        <w:t xml:space="preserve">(Tlf.: 00 32 2 546 86 58 – e-mail: </w:t>
      </w:r>
      <w:hyperlink r:id="rId38" w:history="1">
        <w:r>
          <w:rPr>
            <w:rStyle w:val="Hyperlink"/>
            <w:i/>
          </w:rPr>
          <w:t>Agota.Bazsik@eesc.europa.eu</w:t>
        </w:r>
      </w:hyperlink>
      <w:r>
        <w:rPr>
          <w:i/>
        </w:rPr>
        <w:t>)</w:t>
      </w:r>
    </w:p>
    <w:p w:rsidR="001E7958" w:rsidRDefault="001E7958" w:rsidP="00252095">
      <w:pPr>
        <w:rPr>
          <w:b/>
          <w:bCs/>
          <w:highlight w:val="yellow"/>
          <w:lang w:val="en-GB"/>
        </w:rPr>
      </w:pPr>
    </w:p>
    <w:p w:rsidR="00A20917" w:rsidRPr="001E7958" w:rsidRDefault="00A20917" w:rsidP="00252095">
      <w:pPr>
        <w:pStyle w:val="ListParagraph"/>
        <w:keepNext/>
        <w:numPr>
          <w:ilvl w:val="0"/>
          <w:numId w:val="95"/>
        </w:numPr>
        <w:ind w:left="567" w:hanging="567"/>
        <w:rPr>
          <w:b/>
          <w:bCs/>
          <w:i/>
          <w:iCs/>
          <w:sz w:val="28"/>
          <w:szCs w:val="28"/>
        </w:rPr>
      </w:pPr>
      <w:r>
        <w:rPr>
          <w:b/>
          <w:bCs/>
          <w:i/>
          <w:iCs/>
          <w:sz w:val="28"/>
          <w:szCs w:val="28"/>
        </w:rPr>
        <w:t>Retfærdighed og gennemsigtighed for brugere af onlineformidlingstjenester og søgemaskiner</w:t>
      </w:r>
    </w:p>
    <w:p w:rsidR="00A20917" w:rsidRPr="00603489" w:rsidRDefault="00A20917" w:rsidP="00252095">
      <w:pPr>
        <w:keepNext/>
        <w:rPr>
          <w:lang w:val="en-GB"/>
        </w:rPr>
      </w:pPr>
    </w:p>
    <w:p w:rsidR="00A20917" w:rsidRDefault="00A20917" w:rsidP="00252095">
      <w:pPr>
        <w:keepNext/>
        <w:tabs>
          <w:tab w:val="left" w:pos="1134"/>
        </w:tabs>
      </w:pPr>
      <w:r>
        <w:rPr>
          <w:b/>
        </w:rPr>
        <w:t>Ordfører:</w:t>
      </w:r>
      <w:r w:rsidR="00252095">
        <w:rPr>
          <w:b/>
        </w:rPr>
        <w:tab/>
      </w:r>
      <w:r>
        <w:t>Marco Vezzani (Arbejdstagergruppen – IT)</w:t>
      </w:r>
    </w:p>
    <w:p w:rsidR="00666AEF" w:rsidRDefault="00666AEF" w:rsidP="00252095">
      <w:pPr>
        <w:keepNext/>
        <w:tabs>
          <w:tab w:val="left" w:pos="1134"/>
          <w:tab w:val="left" w:pos="1418"/>
        </w:tabs>
        <w:rPr>
          <w:b/>
          <w:bCs/>
          <w:kern w:val="28"/>
          <w:lang w:val="en-GB"/>
        </w:rPr>
      </w:pPr>
    </w:p>
    <w:p w:rsidR="00666AEF" w:rsidRDefault="00A20917" w:rsidP="00252095">
      <w:pPr>
        <w:keepNext/>
        <w:tabs>
          <w:tab w:val="left" w:pos="1134"/>
        </w:tabs>
      </w:pPr>
      <w:r>
        <w:rPr>
          <w:b/>
          <w:bCs/>
        </w:rPr>
        <w:t>Ref.:</w:t>
      </w:r>
      <w:r w:rsidR="00252095">
        <w:rPr>
          <w:b/>
          <w:bCs/>
        </w:rPr>
        <w:tab/>
      </w:r>
      <w:r>
        <w:t>COM(2018) 238 final – 2018/0112 (COD)</w:t>
      </w:r>
    </w:p>
    <w:p w:rsidR="00A20917" w:rsidRPr="00603489" w:rsidRDefault="00666AEF" w:rsidP="00252095">
      <w:pPr>
        <w:keepNext/>
        <w:tabs>
          <w:tab w:val="left" w:pos="1134"/>
        </w:tabs>
        <w:rPr>
          <w:kern w:val="28"/>
        </w:rPr>
      </w:pPr>
      <w:r>
        <w:tab/>
        <w:t>EESC-2018-02619-00-00-AC-TRA</w:t>
      </w:r>
    </w:p>
    <w:p w:rsidR="00A20917" w:rsidRPr="00603489" w:rsidRDefault="00A20917" w:rsidP="00252095">
      <w:pPr>
        <w:keepNext/>
        <w:rPr>
          <w:rFonts w:eastAsia="Calibri"/>
          <w:lang w:val="en-GB"/>
        </w:rPr>
      </w:pPr>
    </w:p>
    <w:p w:rsidR="00A20917" w:rsidRPr="00603489" w:rsidRDefault="00A20917" w:rsidP="00252095">
      <w:pPr>
        <w:keepNext/>
        <w:rPr>
          <w:rFonts w:eastAsia="Calibri"/>
          <w:highlight w:val="yellow"/>
        </w:rPr>
      </w:pPr>
      <w:r>
        <w:rPr>
          <w:b/>
          <w:bCs/>
        </w:rPr>
        <w:t>Hovedpunkter:</w:t>
      </w:r>
    </w:p>
    <w:p w:rsidR="00A20917" w:rsidRPr="00E77326" w:rsidRDefault="00A20917" w:rsidP="00252095">
      <w:pPr>
        <w:keepNext/>
        <w:rPr>
          <w:color w:val="000000"/>
        </w:rPr>
      </w:pPr>
    </w:p>
    <w:p w:rsidR="00A20917" w:rsidRPr="00260B3D" w:rsidRDefault="00A20917" w:rsidP="00252095">
      <w:pPr>
        <w:pStyle w:val="ListParagraph"/>
        <w:numPr>
          <w:ilvl w:val="0"/>
          <w:numId w:val="95"/>
        </w:numPr>
        <w:ind w:left="567" w:hanging="567"/>
        <w:rPr>
          <w:color w:val="000000"/>
        </w:rPr>
      </w:pPr>
      <w:r>
        <w:rPr>
          <w:color w:val="000000"/>
        </w:rPr>
        <w:t>EØSU bifalder Kommissionens forslag til forordning og anser det for at være et vigtigt første skridt i forhold til at fremme retfærdighed og gennemsigtighed for brugere af onlineformidlingstjenester. EØSU mener navnlig, at forslaget er meget vigtigt, fordi det for første gang regulerer B2B-forhold i forbindelse med e-handel, og anbefaler en hurtig vedtagelse for at dække et tydeligt hul i lovgivningen.</w:t>
      </w:r>
    </w:p>
    <w:p w:rsidR="00A20917" w:rsidRPr="00E77326" w:rsidRDefault="00A20917" w:rsidP="00252095">
      <w:pPr>
        <w:ind w:left="567" w:hanging="567"/>
        <w:rPr>
          <w:color w:val="000000"/>
        </w:rPr>
      </w:pPr>
    </w:p>
    <w:p w:rsidR="00A20917" w:rsidRPr="00260B3D" w:rsidRDefault="00A20917" w:rsidP="00252095">
      <w:pPr>
        <w:pStyle w:val="ListParagraph"/>
        <w:keepNext/>
        <w:keepLines/>
        <w:numPr>
          <w:ilvl w:val="0"/>
          <w:numId w:val="95"/>
        </w:numPr>
        <w:ind w:left="567" w:hanging="567"/>
        <w:rPr>
          <w:color w:val="000000"/>
        </w:rPr>
      </w:pPr>
      <w:r>
        <w:rPr>
          <w:color w:val="000000"/>
        </w:rPr>
        <w:lastRenderedPageBreak/>
        <w:t>Udvalget mener dog ikke, at forordningen alene vil kunne løse alle problemer i det digitale indre marked, og at "ringen ikke er sluttet". Det bærende element i forordningen er således "gennemsigtighed", men gennemsigtighed i sig selv er ikke tilstrækkeligt til at regulere et yderst dynamisk og komplekst marked som det digitale. Den skæve magtbalance mellem globale spillere og erhvervsbrugere (særlig SMV'er) kan kun rettes op ved at fastsætte klarere grænser og forhold mellem parterne og bekæmpe misbrug af dominerende stilling.</w:t>
      </w:r>
    </w:p>
    <w:p w:rsidR="00A20917" w:rsidRPr="00E77326" w:rsidRDefault="00A20917" w:rsidP="00252095">
      <w:pPr>
        <w:ind w:left="567" w:hanging="567"/>
        <w:rPr>
          <w:color w:val="000000"/>
        </w:rPr>
      </w:pPr>
    </w:p>
    <w:p w:rsidR="00A20917" w:rsidRPr="00260B3D" w:rsidRDefault="00A20917" w:rsidP="00252095">
      <w:pPr>
        <w:pStyle w:val="ListParagraph"/>
        <w:numPr>
          <w:ilvl w:val="0"/>
          <w:numId w:val="95"/>
        </w:numPr>
        <w:ind w:left="567" w:hanging="567"/>
        <w:rPr>
          <w:color w:val="000000"/>
        </w:rPr>
      </w:pPr>
      <w:r>
        <w:rPr>
          <w:color w:val="000000"/>
        </w:rPr>
        <w:t>EØSU anbefaler, at der i forordningen indføres et forbud mod klausuler om prislighed, der hidtil har hæmmet konkurrencen til skade for virksomheder og forbrugere, og som risikerer at give de store onlineplatforme en oligopol- eller monopolstilling. Det har nemlig afgørende betydning, at forbrugerne bliver i stand til at købe varer og tjenesteydelser til lavere priser, at virksomhederne effektivt kan udvikle deres forretning gennem deres websted, og at de nye onlineplatforme kan vokse og indgå i en fair konkurrence med de allerede eksisterende platforme.</w:t>
      </w:r>
    </w:p>
    <w:p w:rsidR="00A20917" w:rsidRPr="00E77326" w:rsidRDefault="00A20917" w:rsidP="00252095">
      <w:pPr>
        <w:ind w:left="567" w:hanging="567"/>
        <w:rPr>
          <w:color w:val="000000"/>
        </w:rPr>
      </w:pPr>
    </w:p>
    <w:p w:rsidR="00A20917" w:rsidRPr="00260B3D" w:rsidRDefault="00A20917" w:rsidP="00252095">
      <w:pPr>
        <w:pStyle w:val="ListParagraph"/>
        <w:numPr>
          <w:ilvl w:val="0"/>
          <w:numId w:val="95"/>
        </w:numPr>
        <w:ind w:left="567" w:hanging="567"/>
        <w:rPr>
          <w:color w:val="000000"/>
        </w:rPr>
      </w:pPr>
      <w:r>
        <w:rPr>
          <w:color w:val="000000"/>
        </w:rPr>
        <w:t>EØSU anbefaler, at man hurtigst muligt ser på spørgsmålet om digitaliseringens sociale dimension inden for rammerne af en social dialog. Lige så stor opmærksomhed fortjener de spørgsmål, der er forbundet med skattedumping, dataøkonomi og ejerskab af data, og som skal løses med en overordnet vision, hvilket Kommissionen i øvrigt allerede gør på andre områder.</w:t>
      </w:r>
    </w:p>
    <w:p w:rsidR="00A20917" w:rsidRDefault="00A20917" w:rsidP="00252095">
      <w:pPr>
        <w:rPr>
          <w:b/>
          <w:i/>
          <w:lang w:val="en-GB"/>
        </w:rPr>
      </w:pPr>
    </w:p>
    <w:p w:rsidR="00A20917" w:rsidRPr="000202C4" w:rsidRDefault="00A20917" w:rsidP="00252095">
      <w:pPr>
        <w:keepNext/>
        <w:tabs>
          <w:tab w:val="left" w:pos="1701"/>
        </w:tabs>
        <w:rPr>
          <w:i/>
        </w:rPr>
      </w:pPr>
      <w:r>
        <w:rPr>
          <w:b/>
          <w:i/>
        </w:rPr>
        <w:t>Kontaktperson:</w:t>
      </w:r>
      <w:r>
        <w:rPr>
          <w:i/>
        </w:rPr>
        <w:tab/>
        <w:t>Maja Radman</w:t>
      </w:r>
    </w:p>
    <w:p w:rsidR="00A20917" w:rsidRDefault="00666AEF" w:rsidP="00252095">
      <w:pPr>
        <w:tabs>
          <w:tab w:val="left" w:pos="1701"/>
        </w:tabs>
        <w:rPr>
          <w:i/>
        </w:rPr>
      </w:pPr>
      <w:r>
        <w:rPr>
          <w:i/>
        </w:rPr>
        <w:tab/>
        <w:t xml:space="preserve">(Tlf.: 00 32 2 546 90 51 – e-mail: </w:t>
      </w:r>
      <w:hyperlink r:id="rId39" w:history="1">
        <w:r>
          <w:rPr>
            <w:rStyle w:val="Hyperlink"/>
            <w:i/>
          </w:rPr>
          <w:t>Maja.Radman@eesc.europa.eu</w:t>
        </w:r>
      </w:hyperlink>
      <w:r>
        <w:rPr>
          <w:i/>
        </w:rPr>
        <w:t>)</w:t>
      </w:r>
    </w:p>
    <w:p w:rsidR="00991CC2" w:rsidRPr="00554D34" w:rsidRDefault="00991CC2" w:rsidP="00252095">
      <w:pPr>
        <w:rPr>
          <w:b/>
          <w:i/>
          <w:lang w:val="en-GB"/>
        </w:rPr>
      </w:pPr>
    </w:p>
    <w:p w:rsidR="00A20917" w:rsidRPr="00260B3D" w:rsidRDefault="00A20917" w:rsidP="00252095">
      <w:pPr>
        <w:pStyle w:val="ListParagraph"/>
        <w:keepNext/>
        <w:numPr>
          <w:ilvl w:val="0"/>
          <w:numId w:val="95"/>
        </w:numPr>
        <w:overflowPunct w:val="0"/>
        <w:autoSpaceDE w:val="0"/>
        <w:autoSpaceDN w:val="0"/>
        <w:adjustRightInd w:val="0"/>
        <w:ind w:left="567" w:hanging="567"/>
        <w:textAlignment w:val="baseline"/>
        <w:rPr>
          <w:bCs/>
          <w:i/>
        </w:rPr>
      </w:pPr>
      <w:r>
        <w:rPr>
          <w:b/>
          <w:i/>
          <w:sz w:val="28"/>
          <w:szCs w:val="28"/>
        </w:rPr>
        <w:t>Initiativ vedrørende udfordringerne for onlineplatforme forbundet med spredning af desinformation</w:t>
      </w:r>
    </w:p>
    <w:p w:rsidR="00A20917" w:rsidRDefault="00A20917" w:rsidP="00252095">
      <w:pPr>
        <w:keepNext/>
        <w:rPr>
          <w:bCs/>
          <w:highlight w:val="green"/>
          <w:lang w:val="en-GB"/>
        </w:rPr>
      </w:pPr>
    </w:p>
    <w:p w:rsidR="00A20917" w:rsidRDefault="00A20917" w:rsidP="0014220B">
      <w:pPr>
        <w:keepNext/>
        <w:tabs>
          <w:tab w:val="left" w:pos="1134"/>
        </w:tabs>
      </w:pPr>
      <w:r>
        <w:rPr>
          <w:b/>
        </w:rPr>
        <w:t>Ordfører:</w:t>
      </w:r>
      <w:r w:rsidR="0014220B">
        <w:rPr>
          <w:b/>
        </w:rPr>
        <w:tab/>
      </w:r>
      <w:r>
        <w:t>Martin Siecker (Arbejdstagergruppen – NL)</w:t>
      </w:r>
    </w:p>
    <w:p w:rsidR="00260B3D" w:rsidRDefault="00260B3D" w:rsidP="0014220B">
      <w:pPr>
        <w:keepNext/>
        <w:tabs>
          <w:tab w:val="left" w:pos="1134"/>
        </w:tabs>
        <w:rPr>
          <w:lang w:val="en-GB"/>
        </w:rPr>
      </w:pPr>
    </w:p>
    <w:p w:rsidR="00260B3D" w:rsidRDefault="00A20917" w:rsidP="0014220B">
      <w:pPr>
        <w:keepNext/>
        <w:tabs>
          <w:tab w:val="left" w:pos="1134"/>
        </w:tabs>
      </w:pPr>
      <w:r>
        <w:rPr>
          <w:b/>
        </w:rPr>
        <w:t>Ref.:</w:t>
      </w:r>
      <w:r>
        <w:t xml:space="preserve"> </w:t>
      </w:r>
      <w:r>
        <w:tab/>
        <w:t>COM(2018) 236 final</w:t>
      </w:r>
    </w:p>
    <w:p w:rsidR="00A20917" w:rsidRDefault="00260B3D" w:rsidP="0014220B">
      <w:pPr>
        <w:keepNext/>
        <w:tabs>
          <w:tab w:val="left" w:pos="1134"/>
        </w:tabs>
      </w:pPr>
      <w:r>
        <w:tab/>
        <w:t>EESC-2018-02425-00-00-AC-TRA</w:t>
      </w:r>
    </w:p>
    <w:p w:rsidR="00A20917" w:rsidRPr="00554D34" w:rsidRDefault="00A20917" w:rsidP="00252095">
      <w:pPr>
        <w:keepNext/>
        <w:tabs>
          <w:tab w:val="num" w:pos="550"/>
        </w:tabs>
        <w:rPr>
          <w:b/>
          <w:highlight w:val="green"/>
          <w:lang w:val="en-GB"/>
        </w:rPr>
      </w:pPr>
    </w:p>
    <w:p w:rsidR="00260B3D" w:rsidRDefault="00260B3D" w:rsidP="00252095">
      <w:pPr>
        <w:keepNext/>
        <w:rPr>
          <w:b/>
        </w:rPr>
      </w:pPr>
      <w:r>
        <w:rPr>
          <w:b/>
        </w:rPr>
        <w:t>Hovedpunkter:</w:t>
      </w:r>
    </w:p>
    <w:p w:rsidR="00A20917" w:rsidRDefault="00A20917" w:rsidP="00252095">
      <w:pPr>
        <w:keepNext/>
        <w:rPr>
          <w:color w:val="000000"/>
        </w:rPr>
      </w:pPr>
    </w:p>
    <w:p w:rsidR="00A20917" w:rsidRPr="008F6358" w:rsidRDefault="00A20917" w:rsidP="00252095">
      <w:pPr>
        <w:pStyle w:val="ListParagraph"/>
        <w:numPr>
          <w:ilvl w:val="0"/>
          <w:numId w:val="95"/>
        </w:numPr>
        <w:ind w:left="567" w:hanging="567"/>
      </w:pPr>
      <w:r>
        <w:t>En række værktøjer og metoder anvendes for øjeblikket til at underminere de europæiske værdier og EU's optræden udadtil samt udvikle og fremkalde separatistiske og nationalistiske holdninger, manipulere offentligheden og foretage direkte indgreb i suveræne landes nationale politik og EU som helhed. Derudover kan det observeres, at offensiv cyberkapacitet får stadig større betydning, hvilket også gælder for brug af teknologier som våben til opfyldelse af politiske målsætninger. Virkningen af disse foranstaltninger undervurderes ofte.</w:t>
      </w:r>
    </w:p>
    <w:p w:rsidR="00A20917" w:rsidRPr="008F6358" w:rsidRDefault="00A20917" w:rsidP="00252095">
      <w:pPr>
        <w:ind w:left="567" w:hanging="567"/>
      </w:pPr>
    </w:p>
    <w:p w:rsidR="00A20917" w:rsidRPr="008F6358" w:rsidRDefault="00A20917" w:rsidP="0014220B">
      <w:pPr>
        <w:pStyle w:val="ListParagraph"/>
        <w:numPr>
          <w:ilvl w:val="0"/>
          <w:numId w:val="95"/>
        </w:numPr>
        <w:ind w:left="567" w:hanging="567"/>
      </w:pPr>
      <w:r>
        <w:t xml:space="preserve">EØSU er enig i Kommissionens opfordring til større ansvarlighed fra de sociale medieplatformes side. Kommissionens meddelelse indeholder imidlertid ingen praktiske forpligtende foranstaltninger, der kan sikre dette. EØSU opfordrer Kommissionen til at afslutte drøftelserne af erstatningsansvarsordningen for onlineplatforme og til at gennemføre en målrettet regulering af onlineplatformene, hvad angår deres definition og karakter. Onlineplatforme og sociale netværk bør forpligte sig til at gennemføre tiltag, som skal sikre </w:t>
      </w:r>
      <w:r>
        <w:lastRenderedPageBreak/>
        <w:t>gennemsigtighed, og de bør tilskyndes til at træffe effektive foranstaltninger til at forbedre synligheden af pålidelige, troværdige nyheder og lette brugernes adgang til disse.</w:t>
      </w:r>
    </w:p>
    <w:p w:rsidR="00A20917" w:rsidRPr="008F6358" w:rsidRDefault="00A20917" w:rsidP="00252095">
      <w:pPr>
        <w:ind w:left="567" w:hanging="567"/>
      </w:pPr>
    </w:p>
    <w:p w:rsidR="00A20917" w:rsidRPr="008F6358" w:rsidRDefault="00A20917" w:rsidP="00252095">
      <w:pPr>
        <w:pStyle w:val="ListParagraph"/>
        <w:numPr>
          <w:ilvl w:val="0"/>
          <w:numId w:val="95"/>
        </w:numPr>
        <w:ind w:left="567" w:hanging="567"/>
      </w:pPr>
      <w:r>
        <w:t>At Kommissionen ikke finder dette presserende og savner ambition, gør, at grundlæggende aspekter ikke tages op, såsom støtteordninger for traditionelle medier med henblik på at sikre borgernes grundlæggende ret til information, som har høj kvalitet og er pålidelig. EØSU er enig med Kommissionen i, at de organisationer, der udfører faktatjek, bør arbejde tæt sammen. Der findes allerede lignende netværk, herunder et under East StratCom-taskforcen. EØSU opfordrer Kommissionen og medlemsstaterne til at yde deres fulde støtte til East StratCom-taskforcens arbejde. Dette bør ikke blot omfatte et egentligt budget, men også alle medlemsstaters aktive deltagelse i arbejdet. Der bør gøres en mere proaktiv indsats for at formidle oplysninger om det websted, der fremlægger resultaterne af taskforcens indsats, med henblik på at øge offentlighedens bevidsthed om truslerne i EU.</w:t>
      </w:r>
    </w:p>
    <w:p w:rsidR="00A20917" w:rsidRPr="00D01677" w:rsidRDefault="00A20917" w:rsidP="00252095">
      <w:pPr>
        <w:rPr>
          <w:rFonts w:eastAsia="Calibri"/>
          <w:highlight w:val="yellow"/>
          <w:lang w:val="en-GB"/>
        </w:rPr>
      </w:pPr>
    </w:p>
    <w:p w:rsidR="00A20917" w:rsidRPr="000202C4" w:rsidRDefault="00A20917" w:rsidP="00252095">
      <w:pPr>
        <w:keepNext/>
        <w:tabs>
          <w:tab w:val="left" w:pos="1701"/>
        </w:tabs>
        <w:rPr>
          <w:i/>
        </w:rPr>
      </w:pPr>
      <w:r>
        <w:rPr>
          <w:b/>
          <w:i/>
        </w:rPr>
        <w:t>Kontaktperson:</w:t>
      </w:r>
      <w:r>
        <w:rPr>
          <w:i/>
        </w:rPr>
        <w:tab/>
        <w:t>Maja Radman</w:t>
      </w:r>
    </w:p>
    <w:p w:rsidR="00991CC2" w:rsidRDefault="00EF1F05" w:rsidP="00252095">
      <w:pPr>
        <w:tabs>
          <w:tab w:val="left" w:pos="1701"/>
        </w:tabs>
        <w:rPr>
          <w:i/>
        </w:rPr>
      </w:pPr>
      <w:r>
        <w:rPr>
          <w:i/>
        </w:rPr>
        <w:tab/>
        <w:t xml:space="preserve">(Tlf.: 00 32 2 546 90 51 – e-mail: </w:t>
      </w:r>
      <w:hyperlink r:id="rId40" w:history="1">
        <w:r>
          <w:rPr>
            <w:rStyle w:val="Hyperlink"/>
            <w:i/>
          </w:rPr>
          <w:t>Maja.Radman@eesc.europa.eu</w:t>
        </w:r>
      </w:hyperlink>
      <w:r>
        <w:rPr>
          <w:i/>
        </w:rPr>
        <w:t>)</w:t>
      </w:r>
    </w:p>
    <w:p w:rsidR="00991CC2" w:rsidRDefault="00991CC2" w:rsidP="00252095">
      <w:pPr>
        <w:jc w:val="left"/>
        <w:rPr>
          <w:i/>
        </w:rPr>
      </w:pPr>
      <w:r>
        <w:br w:type="page"/>
      </w:r>
    </w:p>
    <w:p w:rsidR="00C73832" w:rsidRPr="00B02D2C" w:rsidRDefault="00AD00B7" w:rsidP="00252095">
      <w:pPr>
        <w:pStyle w:val="Heading1"/>
        <w:keepNext/>
        <w:ind w:left="567" w:hanging="567"/>
        <w:rPr>
          <w:b/>
          <w:caps/>
        </w:rPr>
      </w:pPr>
      <w:bookmarkStart w:id="994" w:name="_Toc527019937"/>
      <w:r>
        <w:rPr>
          <w:b/>
          <w:caps/>
        </w:rPr>
        <w:lastRenderedPageBreak/>
        <w:t>Landbrug, Udvikling af Landdistrikterne og Miljø</w:t>
      </w:r>
      <w:bookmarkEnd w:id="994"/>
    </w:p>
    <w:p w:rsidR="00E42938" w:rsidRDefault="00E42938" w:rsidP="00252095">
      <w:pPr>
        <w:keepNext/>
        <w:tabs>
          <w:tab w:val="left" w:pos="1418"/>
        </w:tabs>
        <w:rPr>
          <w:i/>
        </w:rPr>
      </w:pPr>
    </w:p>
    <w:p w:rsidR="00E75595" w:rsidRPr="007826F4" w:rsidRDefault="00E75595" w:rsidP="00252095">
      <w:pPr>
        <w:pStyle w:val="ListParagraph"/>
        <w:keepNext/>
        <w:numPr>
          <w:ilvl w:val="0"/>
          <w:numId w:val="97"/>
        </w:numPr>
        <w:overflowPunct w:val="0"/>
        <w:autoSpaceDE w:val="0"/>
        <w:autoSpaceDN w:val="0"/>
        <w:adjustRightInd w:val="0"/>
        <w:ind w:left="567" w:hanging="567"/>
        <w:textAlignment w:val="baseline"/>
        <w:rPr>
          <w:b/>
          <w:bCs/>
          <w:i/>
          <w:iCs/>
          <w:sz w:val="28"/>
          <w:szCs w:val="28"/>
        </w:rPr>
      </w:pPr>
      <w:r>
        <w:rPr>
          <w:b/>
          <w:bCs/>
          <w:i/>
          <w:iCs/>
          <w:sz w:val="28"/>
          <w:szCs w:val="28"/>
        </w:rPr>
        <w:t>Gennemsigtighed i videnskabelige vurderinger og forvaltning af EFSA</w:t>
      </w:r>
    </w:p>
    <w:p w:rsidR="00E75595" w:rsidRPr="003A5386" w:rsidRDefault="00E75595" w:rsidP="00252095">
      <w:pPr>
        <w:pStyle w:val="ListParagraph"/>
        <w:keepNext/>
        <w:overflowPunct w:val="0"/>
        <w:autoSpaceDE w:val="0"/>
        <w:autoSpaceDN w:val="0"/>
        <w:adjustRightInd w:val="0"/>
        <w:ind w:left="567"/>
        <w:textAlignment w:val="baseline"/>
        <w:rPr>
          <w:b/>
          <w:bCs/>
          <w:i/>
          <w:iCs/>
          <w:sz w:val="28"/>
          <w:szCs w:val="28"/>
          <w:lang w:val="en-GB"/>
        </w:rPr>
      </w:pPr>
    </w:p>
    <w:p w:rsidR="00E75595" w:rsidRPr="002C59A1" w:rsidRDefault="00E75595" w:rsidP="00252095">
      <w:pPr>
        <w:keepNext/>
        <w:tabs>
          <w:tab w:val="left" w:pos="1701"/>
        </w:tabs>
      </w:pPr>
      <w:r>
        <w:rPr>
          <w:b/>
        </w:rPr>
        <w:t>Ordfører:</w:t>
      </w:r>
      <w:r w:rsidR="00E338A4">
        <w:rPr>
          <w:b/>
        </w:rPr>
        <w:tab/>
      </w:r>
      <w:r>
        <w:t>Antonello Pezzini (Arbejdsgivergruppen – IT)</w:t>
      </w:r>
    </w:p>
    <w:p w:rsidR="00E75595" w:rsidRPr="002C59A1" w:rsidRDefault="00E75595" w:rsidP="00252095">
      <w:pPr>
        <w:keepNext/>
      </w:pPr>
      <w:r>
        <w:rPr>
          <w:b/>
        </w:rPr>
        <w:t>Medordfører:</w:t>
      </w:r>
      <w:r w:rsidR="00E338A4">
        <w:rPr>
          <w:b/>
        </w:rPr>
        <w:tab/>
      </w:r>
      <w:r>
        <w:t>Ester Vitale (Arbejdstagergruppen – IT)</w:t>
      </w:r>
    </w:p>
    <w:p w:rsidR="007826F4" w:rsidRDefault="007826F4" w:rsidP="00252095">
      <w:pPr>
        <w:pStyle w:val="Heading1"/>
        <w:keepNext/>
        <w:numPr>
          <w:ilvl w:val="0"/>
          <w:numId w:val="0"/>
        </w:numPr>
        <w:rPr>
          <w:b/>
          <w:bCs/>
          <w:lang w:val="pt-PT"/>
        </w:rPr>
      </w:pPr>
    </w:p>
    <w:p w:rsidR="00E75595" w:rsidRPr="002C59A1" w:rsidRDefault="00E75595" w:rsidP="00252095">
      <w:pPr>
        <w:keepNext/>
      </w:pPr>
      <w:r>
        <w:rPr>
          <w:b/>
          <w:bCs/>
        </w:rPr>
        <w:t>Ref.:</w:t>
      </w:r>
      <w:r w:rsidR="00E338A4">
        <w:rPr>
          <w:b/>
          <w:bCs/>
        </w:rPr>
        <w:tab/>
      </w:r>
      <w:r w:rsidR="00E338A4">
        <w:rPr>
          <w:b/>
          <w:bCs/>
        </w:rPr>
        <w:tab/>
      </w:r>
      <w:r w:rsidR="00E338A4">
        <w:rPr>
          <w:b/>
          <w:bCs/>
        </w:rPr>
        <w:tab/>
      </w:r>
      <w:r>
        <w:t>COM(2018) 179 final – 2018/0088 (COD)</w:t>
      </w:r>
    </w:p>
    <w:p w:rsidR="00E75595" w:rsidRPr="002C59A1" w:rsidRDefault="00E75595" w:rsidP="00252095">
      <w:pPr>
        <w:keepNext/>
      </w:pPr>
      <w:r>
        <w:tab/>
      </w:r>
      <w:r>
        <w:tab/>
      </w:r>
      <w:r>
        <w:tab/>
        <w:t>EESC-2018-02522-00-00-AC-TRA</w:t>
      </w:r>
    </w:p>
    <w:p w:rsidR="007826F4" w:rsidRDefault="007826F4" w:rsidP="00252095">
      <w:pPr>
        <w:keepNext/>
        <w:ind w:left="-5"/>
        <w:rPr>
          <w:b/>
          <w:lang w:val="en-GB"/>
        </w:rPr>
      </w:pPr>
    </w:p>
    <w:p w:rsidR="00E75595" w:rsidRDefault="007826F4" w:rsidP="00252095">
      <w:pPr>
        <w:keepNext/>
        <w:ind w:left="-5"/>
        <w:rPr>
          <w:b/>
        </w:rPr>
      </w:pPr>
      <w:r>
        <w:rPr>
          <w:b/>
        </w:rPr>
        <w:t>Hovedpunkter:</w:t>
      </w:r>
    </w:p>
    <w:p w:rsidR="00AE23AE" w:rsidRPr="003A6E31" w:rsidRDefault="00AE23AE" w:rsidP="00252095">
      <w:pPr>
        <w:keepNext/>
        <w:ind w:left="-5"/>
        <w:rPr>
          <w:bCs/>
          <w:iCs/>
          <w:lang w:val="en-GB"/>
        </w:rPr>
      </w:pPr>
    </w:p>
    <w:p w:rsidR="00E75595" w:rsidRDefault="00E75595" w:rsidP="00252095">
      <w:pPr>
        <w:pStyle w:val="ListParagraph"/>
        <w:numPr>
          <w:ilvl w:val="0"/>
          <w:numId w:val="97"/>
        </w:numPr>
        <w:ind w:left="567" w:hanging="567"/>
      </w:pPr>
      <w:r>
        <w:t>EØSU har altid været tilhænger af en EU-politik, der værner om sundheden i hele fødevarekæden og i alle faser af fremstillingsprocessen fra jord til bord. Med denne politik bør man undgå kontaminering og fødevarerisici og fremme sikkerheden, hygiejnen og en klar, gennemsigtig og sikker produktinformation.</w:t>
      </w:r>
    </w:p>
    <w:p w:rsidR="007826F4" w:rsidRDefault="007826F4" w:rsidP="00252095">
      <w:pPr>
        <w:ind w:left="567" w:hanging="567"/>
      </w:pPr>
    </w:p>
    <w:p w:rsidR="00E75595" w:rsidRDefault="00E75595" w:rsidP="00252095">
      <w:pPr>
        <w:pStyle w:val="ListParagraph"/>
        <w:numPr>
          <w:ilvl w:val="0"/>
          <w:numId w:val="97"/>
        </w:numPr>
        <w:ind w:left="567" w:hanging="567"/>
      </w:pPr>
      <w:r>
        <w:t>EØSU støtter Kommissionens initiativer vedrørende gennemsigtigheden, bæredygtigheden og effektiviteten i hele fødevarekædens kontrolsystem, der skal få borgerne, medierne og civilsamfundet generelt til i højere grad at opfatte det som pålideligt og sikkert.</w:t>
      </w:r>
    </w:p>
    <w:p w:rsidR="00E75595" w:rsidRDefault="00E75595" w:rsidP="00252095">
      <w:pPr>
        <w:ind w:left="567" w:hanging="567"/>
      </w:pPr>
    </w:p>
    <w:p w:rsidR="00E75595" w:rsidRDefault="00E75595" w:rsidP="00252095">
      <w:pPr>
        <w:pStyle w:val="ListParagraph"/>
        <w:numPr>
          <w:ilvl w:val="0"/>
          <w:numId w:val="97"/>
        </w:numPr>
        <w:ind w:left="567" w:hanging="567"/>
      </w:pPr>
      <w:r>
        <w:t>EØSU er helt enig i, at EFSA skal styrkes med det formål at sikre, at de ansvarlige for risikostyringen får den bedst mulige videnskabelige rådgivning via klar og gennemsigtig kommunikation, og at samarbejdet med medlemsstaterne og andre organer på det sociale område bliver tættere, og der tilvejebringes et sammenhængende, sikkert og pålideligt fødevaresikkerhedssystem.</w:t>
      </w:r>
    </w:p>
    <w:p w:rsidR="00E75595" w:rsidRDefault="00E75595" w:rsidP="00252095">
      <w:pPr>
        <w:ind w:left="567" w:hanging="567"/>
      </w:pPr>
    </w:p>
    <w:p w:rsidR="00E75595" w:rsidRDefault="00E75595" w:rsidP="00252095">
      <w:pPr>
        <w:pStyle w:val="ListParagraph"/>
        <w:numPr>
          <w:ilvl w:val="0"/>
          <w:numId w:val="97"/>
        </w:numPr>
        <w:ind w:left="567" w:hanging="567"/>
      </w:pPr>
      <w:r>
        <w:t>EØSU har tidligere understreget, at "EFSA i den tid, det har eksisteret, har vist sin kompetence. Der er ingen tvivl om, at agenturet spiller en meget vigtig rolle i forebyggelsen af sundhedsrisici i Europa".</w:t>
      </w:r>
    </w:p>
    <w:p w:rsidR="00E75595" w:rsidRDefault="00E75595" w:rsidP="00252095">
      <w:pPr>
        <w:ind w:left="567" w:hanging="567"/>
      </w:pPr>
    </w:p>
    <w:p w:rsidR="00E75595" w:rsidRDefault="00E75595" w:rsidP="00252095">
      <w:pPr>
        <w:pStyle w:val="ListParagraph"/>
        <w:numPr>
          <w:ilvl w:val="0"/>
          <w:numId w:val="97"/>
        </w:numPr>
        <w:ind w:left="567" w:hanging="567"/>
      </w:pPr>
      <w:r>
        <w:t>Af hensyn til bæredygtigheden i EU's risikovurderingssystem, der betragtes som et af de bedste i verden, anser udvalget det for absolut nødvendigt at sikre et fortsat højt niveau af uafhængighed i forhold til ekstern indflydelse og den bedste videnskabelige kompetence i EFSA med den størst mulige risikoanalysekapacitet.</w:t>
      </w:r>
    </w:p>
    <w:p w:rsidR="00E75595" w:rsidRDefault="00E75595" w:rsidP="00252095">
      <w:pPr>
        <w:ind w:left="567" w:hanging="567"/>
      </w:pPr>
    </w:p>
    <w:p w:rsidR="00E75595" w:rsidRDefault="00E75595" w:rsidP="00252095">
      <w:pPr>
        <w:pStyle w:val="ListParagraph"/>
        <w:numPr>
          <w:ilvl w:val="0"/>
          <w:numId w:val="97"/>
        </w:numPr>
        <w:ind w:left="567" w:hanging="567"/>
      </w:pPr>
      <w:r>
        <w:t>Efter EØSU's mening bør EFSA og medlemsstaterne gennem et netværk sættes i stand til på bedst mulig måde at udvikle en passende risikokommunikation, der er uafhængig, men sammenhængende og koordineret mellem risikoanalytikerne og risikoforvalterne, således at brugerne på klar og interaktiv vis får adgang til resultater og konklusioner med et tilstrækkeligt niveau af fortrolighed og beskyttelse af de intellektuelle ejendomsrettigheder.</w:t>
      </w:r>
    </w:p>
    <w:p w:rsidR="00E75595" w:rsidRDefault="00E75595" w:rsidP="00252095">
      <w:pPr>
        <w:ind w:left="567" w:hanging="567"/>
      </w:pPr>
    </w:p>
    <w:p w:rsidR="00E75595" w:rsidRDefault="00E75595" w:rsidP="00E338A4">
      <w:pPr>
        <w:pStyle w:val="ListParagraph"/>
        <w:keepNext/>
        <w:keepLines/>
        <w:numPr>
          <w:ilvl w:val="0"/>
          <w:numId w:val="97"/>
        </w:numPr>
        <w:ind w:left="567" w:hanging="567"/>
      </w:pPr>
      <w:r>
        <w:lastRenderedPageBreak/>
        <w:t>EØSU bifalder så afgjort oprettelsen af et register over undersøgelser, som er let at få adgang til online, og som indeholder navne på eksperter og certificerede laboratorier, erklæringer på tro og love om, at der ikke foreligger nogen interessekonflikter, beskrivelse af formålene, de anvendte tekniske og økonomiske ressourcer samt kilderne.</w:t>
      </w:r>
    </w:p>
    <w:p w:rsidR="00E75595" w:rsidRDefault="00E75595" w:rsidP="00252095">
      <w:pPr>
        <w:ind w:left="567" w:hanging="567"/>
      </w:pPr>
    </w:p>
    <w:p w:rsidR="00E75595" w:rsidRDefault="00E75595" w:rsidP="00252095">
      <w:pPr>
        <w:pStyle w:val="ListParagraph"/>
        <w:numPr>
          <w:ilvl w:val="0"/>
          <w:numId w:val="97"/>
        </w:numPr>
        <w:ind w:left="567" w:hanging="567"/>
      </w:pPr>
      <w:r>
        <w:t>Udvalget mener, at forbrugerne i langt højere grad skal gøres bevidste om den risiko, de udsættes for fra fødevarer, gennem en målrettet fødevare- og ernæringskultur og en selektiv risikoanalysekapacitet.</w:t>
      </w:r>
    </w:p>
    <w:p w:rsidR="00E75595" w:rsidRDefault="00E75595" w:rsidP="00252095">
      <w:pPr>
        <w:ind w:left="567" w:hanging="567"/>
      </w:pPr>
    </w:p>
    <w:p w:rsidR="00E75595" w:rsidRDefault="00E75595" w:rsidP="00252095">
      <w:pPr>
        <w:pStyle w:val="ListParagraph"/>
        <w:numPr>
          <w:ilvl w:val="0"/>
          <w:numId w:val="97"/>
        </w:numPr>
        <w:ind w:left="567" w:hanging="567"/>
      </w:pPr>
      <w:r>
        <w:t>Den fremtidige generelle europæiske strategiske plan for risikokommunikation kommer efter EØSU's opfattelse – hvis den udarbejdes i fuldstændig overensstemmelse med og respekt for EFSA's uafhængighed – til at udgøre det grundlag, som de ansvarlige skal henholde sig til, når de skal levere effektive, entydige, hurtige og interaktive svar på brugernes behov for sikkerhed, gennemsigtighed og pålidelighed i fødevarekæden.</w:t>
      </w:r>
    </w:p>
    <w:p w:rsidR="00E75595" w:rsidRDefault="00E75595" w:rsidP="00252095">
      <w:pPr>
        <w:ind w:left="567" w:hanging="567"/>
      </w:pPr>
    </w:p>
    <w:p w:rsidR="00E75595" w:rsidRDefault="00E75595" w:rsidP="00252095">
      <w:pPr>
        <w:pStyle w:val="ListParagraph"/>
        <w:numPr>
          <w:ilvl w:val="0"/>
          <w:numId w:val="97"/>
        </w:numPr>
        <w:ind w:left="567" w:hanging="567"/>
      </w:pPr>
      <w:r>
        <w:t>EØSU foreslår, at den strukturerede og systematiske dialog med civilsamfundet styrkes. En dialog, som EØSU i kraft af sine særlige organer for bæredygtige fødevaresystemer kan levere et nyttigt og konkret bidrag til.</w:t>
      </w:r>
    </w:p>
    <w:p w:rsidR="00E75595" w:rsidRDefault="00E75595" w:rsidP="00252095">
      <w:pPr>
        <w:ind w:left="567" w:hanging="567"/>
      </w:pPr>
    </w:p>
    <w:p w:rsidR="00E75595" w:rsidRDefault="00E75595" w:rsidP="00252095">
      <w:pPr>
        <w:pStyle w:val="ListParagraph"/>
        <w:numPr>
          <w:ilvl w:val="0"/>
          <w:numId w:val="97"/>
        </w:numPr>
        <w:ind w:left="567" w:hanging="567"/>
      </w:pPr>
      <w:r>
        <w:t>Hvad angår EFSA's ledelse, bifalder EØSU kraftigt forslaget om i højere grad at inddrage medlemsstaterne og civilsamfundet i ledelsesstrukturen og i ekspertpanelerne og mener, at sammensætningen af bestyrelsen bør afspejle standarderne i den fælles tilgang til decentrale agenturer.</w:t>
      </w:r>
    </w:p>
    <w:p w:rsidR="00E75595" w:rsidRDefault="00E75595" w:rsidP="00252095">
      <w:pPr>
        <w:ind w:left="567" w:hanging="567"/>
      </w:pPr>
    </w:p>
    <w:p w:rsidR="00E75595" w:rsidRDefault="00E75595" w:rsidP="00252095">
      <w:pPr>
        <w:pStyle w:val="ListParagraph"/>
        <w:numPr>
          <w:ilvl w:val="0"/>
          <w:numId w:val="97"/>
        </w:numPr>
        <w:ind w:left="567" w:hanging="567"/>
      </w:pPr>
      <w:r>
        <w:t>Der bør efter EØSU's opfattelse følges op på aftalen mellem EFSA og Det Fælles Forskningscenter, især med hensyn til fælles aktiviteter vedrørende fødevarer og foder og for at udvikle en harmoniseret videnskabelig analysemetode af høj kvalitet, der sikrer gennemsigtighed, sammenlignelighed, inklusion og lighed i forhold til alle interessenter.</w:t>
      </w:r>
    </w:p>
    <w:p w:rsidR="00E75595" w:rsidRDefault="00E75595" w:rsidP="00252095"/>
    <w:p w:rsidR="00E75595" w:rsidRPr="000202C4" w:rsidRDefault="00E75595" w:rsidP="00252095">
      <w:pPr>
        <w:keepNext/>
        <w:tabs>
          <w:tab w:val="left" w:pos="1701"/>
        </w:tabs>
        <w:rPr>
          <w:i/>
        </w:rPr>
      </w:pPr>
      <w:r>
        <w:rPr>
          <w:b/>
          <w:i/>
        </w:rPr>
        <w:t>Kontaktperson:</w:t>
      </w:r>
      <w:r>
        <w:rPr>
          <w:i/>
        </w:rPr>
        <w:tab/>
        <w:t>Monica Guarinoni</w:t>
      </w:r>
    </w:p>
    <w:p w:rsidR="00E75595" w:rsidRDefault="007826F4" w:rsidP="00252095">
      <w:pPr>
        <w:tabs>
          <w:tab w:val="left" w:pos="1701"/>
        </w:tabs>
        <w:rPr>
          <w:i/>
          <w:iCs/>
        </w:rPr>
      </w:pPr>
      <w:r>
        <w:rPr>
          <w:i/>
          <w:iCs/>
        </w:rPr>
        <w:tab/>
        <w:t>(Tlf.: 00 32 2 546 81 27 – e-mail:</w:t>
      </w:r>
      <w:r>
        <w:t xml:space="preserve"> </w:t>
      </w:r>
      <w:hyperlink r:id="rId41" w:history="1">
        <w:r>
          <w:rPr>
            <w:rStyle w:val="Hyperlink"/>
            <w:i/>
            <w:iCs/>
          </w:rPr>
          <w:t>Monica.Guarinoni@eesc.europa.eu</w:t>
        </w:r>
      </w:hyperlink>
      <w:r>
        <w:rPr>
          <w:i/>
          <w:iCs/>
        </w:rPr>
        <w:t>)</w:t>
      </w:r>
    </w:p>
    <w:p w:rsidR="00DA4775" w:rsidRDefault="00DA4775" w:rsidP="00252095">
      <w:pPr>
        <w:rPr>
          <w:i/>
          <w:iCs/>
          <w:lang w:val="en-GB"/>
        </w:rPr>
      </w:pPr>
    </w:p>
    <w:p w:rsidR="00E75595" w:rsidRPr="007826F4" w:rsidRDefault="00E75595" w:rsidP="00252095">
      <w:pPr>
        <w:pStyle w:val="ListParagraph"/>
        <w:numPr>
          <w:ilvl w:val="0"/>
          <w:numId w:val="98"/>
        </w:numPr>
        <w:ind w:left="567" w:hanging="567"/>
        <w:rPr>
          <w:b/>
          <w:bCs/>
          <w:i/>
          <w:iCs/>
          <w:sz w:val="28"/>
          <w:szCs w:val="28"/>
        </w:rPr>
      </w:pPr>
      <w:r>
        <w:rPr>
          <w:b/>
          <w:bCs/>
          <w:i/>
          <w:iCs/>
          <w:sz w:val="28"/>
          <w:szCs w:val="28"/>
        </w:rPr>
        <w:t>Forbedring af fødevareforsyningskæden</w:t>
      </w:r>
    </w:p>
    <w:p w:rsidR="00E75595" w:rsidRPr="00EA39C9" w:rsidRDefault="00E75595" w:rsidP="00252095">
      <w:pPr>
        <w:overflowPunct w:val="0"/>
        <w:autoSpaceDE w:val="0"/>
        <w:autoSpaceDN w:val="0"/>
        <w:adjustRightInd w:val="0"/>
        <w:ind w:left="567"/>
        <w:textAlignment w:val="baseline"/>
        <w:rPr>
          <w:b/>
          <w:bCs/>
          <w:i/>
          <w:iCs/>
          <w:sz w:val="28"/>
          <w:szCs w:val="28"/>
          <w:lang w:val="en-GB"/>
        </w:rPr>
      </w:pPr>
    </w:p>
    <w:p w:rsidR="00E75595" w:rsidRPr="002C59A1" w:rsidRDefault="00E75595" w:rsidP="00E338A4">
      <w:pPr>
        <w:tabs>
          <w:tab w:val="left" w:pos="1134"/>
        </w:tabs>
      </w:pPr>
      <w:r>
        <w:rPr>
          <w:b/>
        </w:rPr>
        <w:t>Ordfører:</w:t>
      </w:r>
      <w:r>
        <w:tab/>
        <w:t>Peter Schmidt (Arbejdstagergruppen – DE)</w:t>
      </w:r>
    </w:p>
    <w:p w:rsidR="00E75595" w:rsidRPr="002C59A1" w:rsidRDefault="00E75595" w:rsidP="00252095">
      <w:pPr>
        <w:rPr>
          <w:lang w:val="fr-BE"/>
        </w:rPr>
      </w:pPr>
    </w:p>
    <w:p w:rsidR="00E75595" w:rsidRPr="002C59A1" w:rsidRDefault="00E75595" w:rsidP="00252095">
      <w:r>
        <w:rPr>
          <w:b/>
          <w:bCs/>
        </w:rPr>
        <w:t>Ref.:</w:t>
      </w:r>
      <w:r w:rsidR="00E338A4">
        <w:rPr>
          <w:b/>
          <w:bCs/>
        </w:rPr>
        <w:tab/>
      </w:r>
      <w:r w:rsidR="00E338A4">
        <w:rPr>
          <w:b/>
          <w:bCs/>
        </w:rPr>
        <w:tab/>
      </w:r>
      <w:r>
        <w:t>COM(2018) 173 final</w:t>
      </w:r>
    </w:p>
    <w:p w:rsidR="00E75595" w:rsidRPr="002C59A1" w:rsidRDefault="00E75595" w:rsidP="00252095">
      <w:r>
        <w:tab/>
      </w:r>
      <w:r>
        <w:tab/>
        <w:t>EESC-2018-02438-00-00-AC-TRA</w:t>
      </w:r>
    </w:p>
    <w:p w:rsidR="007826F4" w:rsidRDefault="007826F4" w:rsidP="00252095">
      <w:pPr>
        <w:ind w:left="-5"/>
        <w:rPr>
          <w:b/>
          <w:lang w:val="en-GB"/>
        </w:rPr>
      </w:pPr>
    </w:p>
    <w:p w:rsidR="00E75595" w:rsidRDefault="007826F4" w:rsidP="00252095">
      <w:pPr>
        <w:ind w:left="-5"/>
        <w:rPr>
          <w:b/>
        </w:rPr>
      </w:pPr>
      <w:r>
        <w:rPr>
          <w:b/>
        </w:rPr>
        <w:t>Hovedpunkter:</w:t>
      </w:r>
    </w:p>
    <w:p w:rsidR="00AE23AE" w:rsidRPr="003A6E31" w:rsidRDefault="00AE23AE" w:rsidP="00252095">
      <w:pPr>
        <w:ind w:left="-5"/>
        <w:rPr>
          <w:bCs/>
          <w:iCs/>
          <w:lang w:val="en-GB"/>
        </w:rPr>
      </w:pPr>
    </w:p>
    <w:p w:rsidR="00E75595" w:rsidRPr="00817C93" w:rsidRDefault="00E75595" w:rsidP="00252095">
      <w:pPr>
        <w:pStyle w:val="ListParagraph"/>
        <w:numPr>
          <w:ilvl w:val="0"/>
          <w:numId w:val="98"/>
        </w:numPr>
        <w:overflowPunct w:val="0"/>
        <w:autoSpaceDE w:val="0"/>
        <w:autoSpaceDN w:val="0"/>
        <w:adjustRightInd w:val="0"/>
        <w:ind w:left="567" w:hanging="567"/>
        <w:textAlignment w:val="baseline"/>
        <w:outlineLvl w:val="1"/>
      </w:pPr>
      <w:r>
        <w:t xml:space="preserve">Illoyal handelspraksis i fødevareforsyningskæden stammer fra ubalancer i magtfordelingen mellem aktører i hele forsyningskæden og fører til negative økonomiske, sociale og miljømæssige konsekvenser. EØSU glæder sig over Kommissionens forslag om at reducere forekomsten af illoyal handelspraksis som et nødvendigt første skridt for at beskytte svagere </w:t>
      </w:r>
      <w:r>
        <w:lastRenderedPageBreak/>
        <w:t>aktører, navnlig landbrugere, arbejdstagere og visse operatører, og for at forbedre forvaltningen i fødevareforsyningskæden. En regelbaseret tilgang og en lovgivningsmæssig ramme med effektive og robuste håndhævelsesmekanismer er den måde, hvorpå man effektivt kan bekæmpe illoyal handelspraksis på EU-niveau.</w:t>
      </w:r>
    </w:p>
    <w:p w:rsidR="00E75595" w:rsidRPr="00817C93" w:rsidRDefault="00E75595" w:rsidP="00252095">
      <w:pPr>
        <w:ind w:left="567" w:hanging="567"/>
        <w:outlineLvl w:val="0"/>
        <w:rPr>
          <w:b/>
        </w:rPr>
      </w:pPr>
    </w:p>
    <w:p w:rsidR="00E75595" w:rsidRDefault="00E75595" w:rsidP="00252095">
      <w:pPr>
        <w:pStyle w:val="ListParagraph"/>
        <w:numPr>
          <w:ilvl w:val="0"/>
          <w:numId w:val="98"/>
        </w:numPr>
        <w:overflowPunct w:val="0"/>
        <w:autoSpaceDE w:val="0"/>
        <w:autoSpaceDN w:val="0"/>
        <w:adjustRightInd w:val="0"/>
        <w:ind w:left="567" w:hanging="567"/>
        <w:textAlignment w:val="baseline"/>
        <w:outlineLvl w:val="1"/>
      </w:pPr>
      <w:r>
        <w:t>EØSU beklager imidlertid, at Kommissionen kun har indført en fælles minimumsstandard for beskyttelse i hele EU, som forbyder et begrænset antal former for illoyal handelspraksis. Der er behov for et forbud mod alle former for urimelig praksis.</w:t>
      </w:r>
    </w:p>
    <w:p w:rsidR="00E75595" w:rsidRPr="00E90A07" w:rsidRDefault="00E75595" w:rsidP="00252095">
      <w:pPr>
        <w:ind w:left="567" w:hanging="567"/>
        <w:outlineLvl w:val="0"/>
      </w:pPr>
    </w:p>
    <w:p w:rsidR="00E75595" w:rsidRPr="00E90A07" w:rsidRDefault="00E75595" w:rsidP="00252095">
      <w:pPr>
        <w:pStyle w:val="ListParagraph"/>
        <w:numPr>
          <w:ilvl w:val="0"/>
          <w:numId w:val="98"/>
        </w:numPr>
        <w:overflowPunct w:val="0"/>
        <w:autoSpaceDE w:val="0"/>
        <w:autoSpaceDN w:val="0"/>
        <w:adjustRightInd w:val="0"/>
        <w:ind w:left="567" w:hanging="567"/>
        <w:textAlignment w:val="baseline"/>
        <w:outlineLvl w:val="1"/>
      </w:pPr>
      <w:r>
        <w:t>Med hensyn til at begrænsning af beskyttelsen mod illoyal handelspraksis til kun at omfatte SMV-leverandører i deres salg til købere, som ikke er SMV'er, mener EØSU, at dette ikke er tilstrækkeligt for effektivt at løse problemet med manglende magtbalance, og at dette ikke vil have nogen gennemslagskraft. Beskyttelsen bør udvides til at omfatte alle aktører, store og små, inden for og uden for EU. Selv når store leverandører udsættes for illoyal handelspraksis, rammer den økonomiske effekt ofte de svageste aktører i kæden.</w:t>
      </w:r>
    </w:p>
    <w:p w:rsidR="00E75595" w:rsidRPr="00817C93" w:rsidRDefault="00E75595" w:rsidP="00252095">
      <w:pPr>
        <w:ind w:left="567" w:hanging="567"/>
        <w:outlineLvl w:val="1"/>
        <w:rPr>
          <w:b/>
        </w:rPr>
      </w:pPr>
    </w:p>
    <w:p w:rsidR="00E75595" w:rsidRPr="00817C93" w:rsidRDefault="00E75595" w:rsidP="00252095">
      <w:pPr>
        <w:pStyle w:val="ListParagraph"/>
        <w:numPr>
          <w:ilvl w:val="0"/>
          <w:numId w:val="98"/>
        </w:numPr>
        <w:overflowPunct w:val="0"/>
        <w:autoSpaceDE w:val="0"/>
        <w:autoSpaceDN w:val="0"/>
        <w:adjustRightInd w:val="0"/>
        <w:ind w:left="567" w:hanging="567"/>
        <w:textAlignment w:val="baseline"/>
        <w:outlineLvl w:val="1"/>
      </w:pPr>
      <w:r>
        <w:t>Med hensyn til håndhævelsen glæder EØSU sig over Kommissionens forslag om at oprette en harmoniseret ramme for håndhævelsesmyndigheder i EU. Men håndhævelsesmekanismerne bør også styrkes, f.eks. med en særlig ombudsmandsprocedure, gruppesøgsmål og retshåndhævelse fra myndighedernes side for at beskytte klagerens identitet. Sådanne mekanismer bør også ledsages af muligheden for at indføre sanktioner. For at lette klageproceduren bør det være obligatorisk med skriftlige kontrakter, og dette vil også sikre større rimelighed i forhandlingerne.</w:t>
      </w:r>
    </w:p>
    <w:p w:rsidR="00E75595" w:rsidRPr="00817C93" w:rsidRDefault="00E75595" w:rsidP="00252095">
      <w:pPr>
        <w:ind w:left="567" w:hanging="567"/>
        <w:outlineLvl w:val="0"/>
        <w:rPr>
          <w:b/>
        </w:rPr>
      </w:pPr>
    </w:p>
    <w:p w:rsidR="00E75595" w:rsidRPr="00817C93" w:rsidRDefault="00E75595" w:rsidP="00252095">
      <w:pPr>
        <w:pStyle w:val="ListParagraph"/>
        <w:numPr>
          <w:ilvl w:val="0"/>
          <w:numId w:val="98"/>
        </w:numPr>
        <w:overflowPunct w:val="0"/>
        <w:autoSpaceDE w:val="0"/>
        <w:autoSpaceDN w:val="0"/>
        <w:adjustRightInd w:val="0"/>
        <w:ind w:left="567" w:hanging="567"/>
        <w:textAlignment w:val="baseline"/>
        <w:outlineLvl w:val="1"/>
      </w:pPr>
      <w:r>
        <w:t>Ud over at løse problemerne med illoyal handelspraksis, anbefaler EØSU Kommissionen at tilskynde til og støtte forretningsmodeller, der spiller en rolle for at gøre forsyningskæden bæredygtig (eksempelvis gøre den kortere, øge gennemsigtigheden osv.), gøre den mere velafbalanceret og øge effektiviteten for at rette op på magtbalancen.</w:t>
      </w:r>
    </w:p>
    <w:p w:rsidR="00E75595" w:rsidRPr="00817C93" w:rsidRDefault="00E75595" w:rsidP="00252095">
      <w:pPr>
        <w:ind w:left="567" w:hanging="567"/>
        <w:outlineLvl w:val="0"/>
        <w:rPr>
          <w:b/>
        </w:rPr>
      </w:pPr>
    </w:p>
    <w:p w:rsidR="00E75595" w:rsidRPr="007826F4" w:rsidRDefault="00E75595" w:rsidP="00252095">
      <w:pPr>
        <w:pStyle w:val="ListParagraph"/>
        <w:numPr>
          <w:ilvl w:val="0"/>
          <w:numId w:val="98"/>
        </w:numPr>
        <w:ind w:left="567" w:hanging="567"/>
      </w:pPr>
      <w:r>
        <w:t>Sidst, men ikke mindst, gentager EØSU, at fremme af en mere retfærdig handelspraksis bør være en del af en omfattende EU-fødevarepolitik, hvor man sikrer, at fødevareforsyningskæden er mere økonomisk, socialt og miljømæssigt bæredygtig med henblik på gennemførelsen af FN's mål for bæredygtig udvikling.</w:t>
      </w:r>
    </w:p>
    <w:p w:rsidR="00E75595" w:rsidRDefault="00E75595" w:rsidP="00252095">
      <w:pPr>
        <w:rPr>
          <w:lang w:val="en-GB"/>
        </w:rPr>
      </w:pPr>
    </w:p>
    <w:p w:rsidR="00E75595" w:rsidRPr="000202C4" w:rsidRDefault="00E75595" w:rsidP="00252095">
      <w:pPr>
        <w:keepNext/>
        <w:tabs>
          <w:tab w:val="left" w:pos="1701"/>
        </w:tabs>
        <w:rPr>
          <w:i/>
        </w:rPr>
      </w:pPr>
      <w:r>
        <w:rPr>
          <w:b/>
          <w:i/>
        </w:rPr>
        <w:t>Kontaktperson:</w:t>
      </w:r>
      <w:r>
        <w:rPr>
          <w:i/>
        </w:rPr>
        <w:tab/>
        <w:t>Monica Guarinoni</w:t>
      </w:r>
    </w:p>
    <w:p w:rsidR="00E75595" w:rsidRDefault="007826F4" w:rsidP="00252095">
      <w:pPr>
        <w:tabs>
          <w:tab w:val="left" w:pos="1701"/>
        </w:tabs>
        <w:rPr>
          <w:i/>
          <w:iCs/>
        </w:rPr>
      </w:pPr>
      <w:r>
        <w:rPr>
          <w:i/>
          <w:iCs/>
        </w:rPr>
        <w:tab/>
        <w:t>(Tlf.: 00 32 2 546 81 27 – e-mail:</w:t>
      </w:r>
      <w:r>
        <w:t xml:space="preserve"> </w:t>
      </w:r>
      <w:hyperlink r:id="rId42" w:history="1">
        <w:r>
          <w:rPr>
            <w:rStyle w:val="Hyperlink"/>
            <w:i/>
            <w:iCs/>
          </w:rPr>
          <w:t>Monica.Guarinoni@eesc.europa.eu</w:t>
        </w:r>
      </w:hyperlink>
      <w:r>
        <w:rPr>
          <w:i/>
          <w:iCs/>
        </w:rPr>
        <w:t>)</w:t>
      </w:r>
    </w:p>
    <w:p w:rsidR="00435BBC" w:rsidRPr="002C59A1" w:rsidRDefault="00435BBC" w:rsidP="00252095">
      <w:pPr>
        <w:tabs>
          <w:tab w:val="left" w:pos="1701"/>
        </w:tabs>
        <w:rPr>
          <w:i/>
          <w:iCs/>
          <w:lang w:val="en-GB"/>
        </w:rPr>
      </w:pPr>
    </w:p>
    <w:p w:rsidR="00E75595" w:rsidRPr="007826F4" w:rsidRDefault="00E75595" w:rsidP="00252095">
      <w:pPr>
        <w:pStyle w:val="ListParagraph"/>
        <w:keepNext/>
        <w:keepLines/>
        <w:numPr>
          <w:ilvl w:val="0"/>
          <w:numId w:val="99"/>
        </w:numPr>
        <w:ind w:left="567" w:hanging="567"/>
        <w:rPr>
          <w:b/>
          <w:bCs/>
          <w:i/>
          <w:iCs/>
          <w:sz w:val="28"/>
          <w:szCs w:val="28"/>
        </w:rPr>
      </w:pPr>
      <w:r>
        <w:rPr>
          <w:b/>
          <w:bCs/>
          <w:i/>
          <w:iCs/>
          <w:sz w:val="28"/>
          <w:szCs w:val="28"/>
        </w:rPr>
        <w:lastRenderedPageBreak/>
        <w:t>"Indikatorer, som er bedre egnet til at evaluere målene for bæredygtig udvikling – civilsamfundets bidrag"</w:t>
      </w:r>
    </w:p>
    <w:p w:rsidR="00E75595" w:rsidRPr="00E949D7" w:rsidRDefault="00E75595" w:rsidP="00252095">
      <w:pPr>
        <w:pStyle w:val="ListParagraph"/>
        <w:keepNext/>
        <w:keepLines/>
        <w:ind w:left="567"/>
        <w:rPr>
          <w:b/>
          <w:bCs/>
          <w:i/>
          <w:iCs/>
          <w:sz w:val="28"/>
          <w:szCs w:val="28"/>
          <w:lang w:val="en-GB"/>
        </w:rPr>
      </w:pPr>
    </w:p>
    <w:p w:rsidR="00E75595" w:rsidRPr="001625AD" w:rsidRDefault="00E75595" w:rsidP="00252095">
      <w:pPr>
        <w:keepNext/>
        <w:keepLines/>
      </w:pPr>
      <w:r>
        <w:rPr>
          <w:b/>
        </w:rPr>
        <w:t>Ordfører:</w:t>
      </w:r>
      <w:r>
        <w:tab/>
      </w:r>
      <w:r w:rsidR="00E338A4">
        <w:tab/>
      </w:r>
      <w:r>
        <w:t>Brenda King (Arbejdsgivergruppen – UK)</w:t>
      </w:r>
    </w:p>
    <w:p w:rsidR="00E75595" w:rsidRPr="005409A0" w:rsidRDefault="00E75595" w:rsidP="00252095">
      <w:pPr>
        <w:keepNext/>
        <w:keepLines/>
        <w:rPr>
          <w:b/>
        </w:rPr>
      </w:pPr>
      <w:r>
        <w:rPr>
          <w:b/>
        </w:rPr>
        <w:t>Medordfører:</w:t>
      </w:r>
      <w:r w:rsidR="00E338A4">
        <w:rPr>
          <w:b/>
        </w:rPr>
        <w:tab/>
      </w:r>
      <w:r>
        <w:t>Thierry Libaert (Gruppen Diversitet Europa – FR)</w:t>
      </w:r>
    </w:p>
    <w:p w:rsidR="007826F4" w:rsidRDefault="007826F4" w:rsidP="00252095">
      <w:pPr>
        <w:pStyle w:val="Heading1"/>
        <w:keepNext/>
        <w:keepLines/>
        <w:numPr>
          <w:ilvl w:val="0"/>
          <w:numId w:val="0"/>
        </w:numPr>
        <w:rPr>
          <w:b/>
          <w:bCs/>
          <w:lang w:val="en-GB"/>
        </w:rPr>
      </w:pPr>
    </w:p>
    <w:p w:rsidR="00E75595" w:rsidRDefault="00E75595" w:rsidP="00252095">
      <w:pPr>
        <w:keepNext/>
        <w:keepLines/>
      </w:pPr>
      <w:r>
        <w:rPr>
          <w:b/>
          <w:bCs/>
        </w:rPr>
        <w:t>Ref.:</w:t>
      </w:r>
      <w:r w:rsidR="00E338A4">
        <w:rPr>
          <w:b/>
          <w:bCs/>
        </w:rPr>
        <w:tab/>
      </w:r>
      <w:r w:rsidR="00E338A4">
        <w:rPr>
          <w:b/>
          <w:bCs/>
        </w:rPr>
        <w:tab/>
      </w:r>
      <w:r w:rsidR="00E338A4">
        <w:rPr>
          <w:b/>
          <w:bCs/>
        </w:rPr>
        <w:tab/>
      </w:r>
      <w:r>
        <w:t>EESC-2018-01470-00-00-AC-TRA</w:t>
      </w:r>
    </w:p>
    <w:p w:rsidR="00E75595" w:rsidRPr="00FE2BD8" w:rsidRDefault="00E75595" w:rsidP="00252095">
      <w:pPr>
        <w:pStyle w:val="Heading1"/>
        <w:keepNext/>
        <w:keepLines/>
        <w:numPr>
          <w:ilvl w:val="0"/>
          <w:numId w:val="0"/>
        </w:numPr>
        <w:rPr>
          <w:lang w:val="en-GB"/>
        </w:rPr>
      </w:pPr>
    </w:p>
    <w:p w:rsidR="00E75595" w:rsidRPr="003A6E31" w:rsidRDefault="007826F4" w:rsidP="00252095">
      <w:pPr>
        <w:keepNext/>
        <w:keepLines/>
        <w:ind w:left="-5"/>
        <w:rPr>
          <w:bCs/>
          <w:iCs/>
        </w:rPr>
      </w:pPr>
      <w:r>
        <w:rPr>
          <w:b/>
        </w:rPr>
        <w:t>Hovedpunkter:</w:t>
      </w:r>
    </w:p>
    <w:p w:rsidR="00E75595" w:rsidRDefault="00E75595" w:rsidP="00252095">
      <w:pPr>
        <w:keepNext/>
        <w:keepLines/>
        <w:rPr>
          <w:lang w:val="en-GB"/>
        </w:rPr>
      </w:pPr>
    </w:p>
    <w:p w:rsidR="00E75595" w:rsidRDefault="00E75595" w:rsidP="00252095">
      <w:pPr>
        <w:pStyle w:val="ListParagraph"/>
        <w:keepNext/>
        <w:keepLines/>
        <w:numPr>
          <w:ilvl w:val="0"/>
          <w:numId w:val="99"/>
        </w:numPr>
        <w:ind w:left="567" w:hanging="567"/>
      </w:pPr>
      <w:r>
        <w:t>Lige siden de europæiske institutioners vedtagelse af FN's 2030-dagsorden for bæredygtig udvikling i 2015 har EØSU opfordret til, at det nuværende EU-styringssystem tilpasses gennemførelsen af 2030-dagsordenen. Kommissionen bør indføre en overordnet EU-strategi for bæredygtig udvikling med konkrete målsætninger, mål og handlinger med det formål at nå målene for bæredygtig udvikling. Strategien bør være i</w:t>
      </w:r>
      <w:r w:rsidR="00E338A4">
        <w:t xml:space="preserve"> fuld overensstemmelse med 2030</w:t>
      </w:r>
      <w:r w:rsidR="00E338A4">
        <w:noBreakHyphen/>
      </w:r>
      <w:r>
        <w:t>dagsordenen for at sikre, at SDG'erne integreres i alle EU's politikker, og samtidig danne ramme for politisk samordning og overvågning af EU's og medlemsstaternes gennemførelse af SDG'erne. Manglen på en sådan strategi gør det svært at sikre en sammenhængende gennemførelse af 2030-dagsordenen i EU og på nationalt plan.</w:t>
      </w:r>
    </w:p>
    <w:p w:rsidR="00E75595" w:rsidRDefault="00E75595" w:rsidP="00252095">
      <w:pPr>
        <w:ind w:left="567" w:hanging="567"/>
      </w:pPr>
    </w:p>
    <w:p w:rsidR="00E75595" w:rsidRDefault="00E75595" w:rsidP="00252095">
      <w:pPr>
        <w:pStyle w:val="ListParagraph"/>
        <w:numPr>
          <w:ilvl w:val="0"/>
          <w:numId w:val="99"/>
        </w:numPr>
        <w:ind w:left="567" w:hanging="567"/>
      </w:pPr>
      <w:r>
        <w:t>EØSU glæder sig over Eurostats første årlige SDG-overvågningsrapport for 2017</w:t>
      </w:r>
      <w:r>
        <w:rPr>
          <w:sz w:val="24"/>
          <w:szCs w:val="24"/>
          <w:vertAlign w:val="superscript"/>
        </w:rPr>
        <w:footnoteReference w:id="2"/>
      </w:r>
      <w:r>
        <w:t>. EØSU har imidlertid identificeret en række mangler i forhold til de nuværende indikatorer, og de bør tages i betragtning i forbindelse med fremtidige publik</w:t>
      </w:r>
      <w:r w:rsidR="00E338A4">
        <w:t>ationer af Eurostats årlige SDG</w:t>
      </w:r>
      <w:r w:rsidR="00E338A4">
        <w:noBreakHyphen/>
      </w:r>
      <w:r>
        <w:t>overvågningsrapport.</w:t>
      </w:r>
    </w:p>
    <w:p w:rsidR="00E75595" w:rsidRDefault="00E75595" w:rsidP="00252095">
      <w:pPr>
        <w:ind w:left="567" w:hanging="567"/>
      </w:pPr>
    </w:p>
    <w:p w:rsidR="00E75595" w:rsidRDefault="00E75595" w:rsidP="00252095">
      <w:pPr>
        <w:pStyle w:val="ListParagraph"/>
        <w:numPr>
          <w:ilvl w:val="0"/>
          <w:numId w:val="99"/>
        </w:numPr>
        <w:ind w:left="567" w:hanging="567"/>
      </w:pPr>
      <w:r>
        <w:t>EØSU efterlyser indikatorer, der kan danne grundlag for politisk planlægning og politikudformning. Der skal fastlægges specifikke EU-politiske mål for SDG'erne, og indikatorerne skal kunne overvåge deres resultater. EØSU kan ligeledes se visse tekniske begrænsninger, der skal løses for at sikre, at man anvender de bedste indikatorer.</w:t>
      </w:r>
    </w:p>
    <w:p w:rsidR="00E75595" w:rsidRDefault="00E75595" w:rsidP="00252095">
      <w:pPr>
        <w:ind w:left="567" w:hanging="567"/>
      </w:pPr>
    </w:p>
    <w:p w:rsidR="00E75595" w:rsidRPr="009C770D" w:rsidRDefault="00E75595" w:rsidP="00252095">
      <w:pPr>
        <w:pStyle w:val="ListParagraph"/>
        <w:numPr>
          <w:ilvl w:val="0"/>
          <w:numId w:val="99"/>
        </w:numPr>
        <w:ind w:left="567" w:hanging="567"/>
      </w:pPr>
      <w:r>
        <w:t>Eurostat og de nationale statistiske kontorer skal sikre, at de anvender en sammenhængende ramme for indikatorer, for at sikre at overvågningen af gennemførelsen af SDG på europæisk og nationalt plan er pålidelig. En sammenhængende strategisk</w:t>
      </w:r>
      <w:r w:rsidR="00E338A4">
        <w:t xml:space="preserve"> ramme kræver også, at andre EU</w:t>
      </w:r>
      <w:r w:rsidR="00E338A4">
        <w:noBreakHyphen/>
      </w:r>
      <w:r>
        <w:t>indikatorer (f.eks. indikatorerne i den sociale resultattavle eller de europæiske indikatorer for biodiversitet) skal være i overensstemmelse med rammen for 2030-dagsordenen. Til opnåelse af dette efterlyser EØSU tilstrækkelige ressourcer til Eurostat og de nationale statistiske kontorer.</w:t>
      </w:r>
    </w:p>
    <w:p w:rsidR="00E75595" w:rsidRPr="009C770D" w:rsidRDefault="00E75595" w:rsidP="00252095">
      <w:pPr>
        <w:ind w:left="567" w:hanging="567"/>
      </w:pPr>
    </w:p>
    <w:p w:rsidR="00E75595" w:rsidRDefault="00E75595" w:rsidP="00252095">
      <w:pPr>
        <w:pStyle w:val="ListParagraph"/>
        <w:numPr>
          <w:ilvl w:val="0"/>
          <w:numId w:val="99"/>
        </w:numPr>
        <w:ind w:left="567" w:hanging="567"/>
      </w:pPr>
      <w:r>
        <w:t xml:space="preserve">EØSU opfordrer til, at civilsamfundet i høj grad inddrages i definitionen af indikatorer og i vurderingen af EU's fremskridt hen imod målene. Den tværgående karakter af SDG'erne kræver et integreret samarbejde mellem flere forskellige interessenter. EØSU anbefaler, at indikatorsættet suppleres med en kvalitativ skyggerapport, der er udarbejdet i nært samarbejde </w:t>
      </w:r>
      <w:r>
        <w:lastRenderedPageBreak/>
        <w:t>med civilsamfundsorganisationer for at øge alle interessenters følelse af ejerskab af SDG'erne. EØSU foreslår desuden, at Kommissionen samarbejder om tilrettelæggelsen af et europæisk SDG-topmøde, hvor der med deltagelse af samtlige relevante interessenter vil blive gjort status.</w:t>
      </w:r>
    </w:p>
    <w:p w:rsidR="00E75595" w:rsidRDefault="00E75595" w:rsidP="00252095">
      <w:pPr>
        <w:ind w:left="567" w:hanging="567"/>
      </w:pPr>
    </w:p>
    <w:p w:rsidR="00E75595" w:rsidRPr="007826F4" w:rsidRDefault="00E75595" w:rsidP="00252095">
      <w:pPr>
        <w:pStyle w:val="ListParagraph"/>
        <w:numPr>
          <w:ilvl w:val="0"/>
          <w:numId w:val="99"/>
        </w:numPr>
        <w:ind w:left="567" w:hanging="567"/>
      </w:pPr>
      <w:r>
        <w:t>Endelig efterlyser EØSU en aftale vedrørende et EU-budget, som gør bæredygtig udvikling til det centrale mål. EØSU minder om, at den endelige flerårige finansielle ramme (FFR) for perioden 2021-2027 vil være et signal om, hvorvidt EU vil være i stand til at opfylde sine forpligtelser under 2030-dagsordenen.</w:t>
      </w:r>
    </w:p>
    <w:p w:rsidR="00E75595" w:rsidRDefault="00E75595" w:rsidP="00252095">
      <w:pPr>
        <w:rPr>
          <w:lang w:val="en-GB"/>
        </w:rPr>
      </w:pPr>
    </w:p>
    <w:p w:rsidR="00E75595" w:rsidRPr="000202C4" w:rsidRDefault="00E75595" w:rsidP="00252095">
      <w:pPr>
        <w:keepNext/>
        <w:tabs>
          <w:tab w:val="left" w:pos="1701"/>
        </w:tabs>
        <w:rPr>
          <w:i/>
        </w:rPr>
      </w:pPr>
      <w:r>
        <w:rPr>
          <w:b/>
          <w:i/>
        </w:rPr>
        <w:t>Kontaktperson:</w:t>
      </w:r>
      <w:r>
        <w:rPr>
          <w:i/>
        </w:rPr>
        <w:tab/>
        <w:t>Monica Guarinoni</w:t>
      </w:r>
    </w:p>
    <w:p w:rsidR="00E75595" w:rsidRDefault="007826F4" w:rsidP="00252095">
      <w:pPr>
        <w:tabs>
          <w:tab w:val="left" w:pos="1701"/>
        </w:tabs>
        <w:rPr>
          <w:i/>
          <w:iCs/>
        </w:rPr>
      </w:pPr>
      <w:r>
        <w:rPr>
          <w:i/>
          <w:iCs/>
        </w:rPr>
        <w:tab/>
        <w:t>(Tlf.: 00 32 2 546 81 27 – e-mail:</w:t>
      </w:r>
      <w:r>
        <w:t xml:space="preserve"> </w:t>
      </w:r>
      <w:hyperlink r:id="rId43" w:history="1">
        <w:r>
          <w:rPr>
            <w:rStyle w:val="Hyperlink"/>
            <w:i/>
            <w:iCs/>
          </w:rPr>
          <w:t>Monica.Guarinoni@eesc.europa.eu</w:t>
        </w:r>
      </w:hyperlink>
      <w:r>
        <w:rPr>
          <w:i/>
          <w:iCs/>
        </w:rPr>
        <w:t>)</w:t>
      </w:r>
    </w:p>
    <w:p w:rsidR="00DA4775" w:rsidRPr="001625AD" w:rsidRDefault="00DA4775" w:rsidP="00252095">
      <w:pPr>
        <w:rPr>
          <w:b/>
          <w:iCs/>
          <w:highlight w:val="yellow"/>
          <w:u w:val="single"/>
          <w:lang w:val="en-GB"/>
        </w:rPr>
      </w:pPr>
    </w:p>
    <w:p w:rsidR="00E75595" w:rsidRPr="00626CAF" w:rsidRDefault="00E75595" w:rsidP="00252095">
      <w:pPr>
        <w:pStyle w:val="ListParagraph"/>
        <w:keepNext/>
        <w:numPr>
          <w:ilvl w:val="0"/>
          <w:numId w:val="101"/>
        </w:numPr>
        <w:overflowPunct w:val="0"/>
        <w:autoSpaceDE w:val="0"/>
        <w:autoSpaceDN w:val="0"/>
        <w:adjustRightInd w:val="0"/>
        <w:ind w:left="567" w:hanging="567"/>
        <w:textAlignment w:val="baseline"/>
        <w:rPr>
          <w:b/>
          <w:bCs/>
          <w:i/>
          <w:iCs/>
          <w:sz w:val="28"/>
          <w:szCs w:val="28"/>
        </w:rPr>
      </w:pPr>
      <w:r>
        <w:rPr>
          <w:b/>
          <w:bCs/>
          <w:i/>
          <w:iCs/>
          <w:sz w:val="28"/>
          <w:szCs w:val="28"/>
        </w:rPr>
        <w:t>Landdistrikternes bidrag til det europæiske år for kulturarv 2018</w:t>
      </w:r>
    </w:p>
    <w:p w:rsidR="00E75595" w:rsidRPr="00E949D7" w:rsidRDefault="00E75595" w:rsidP="00252095">
      <w:pPr>
        <w:pStyle w:val="ListParagraph"/>
        <w:keepNext/>
        <w:overflowPunct w:val="0"/>
        <w:autoSpaceDE w:val="0"/>
        <w:autoSpaceDN w:val="0"/>
        <w:adjustRightInd w:val="0"/>
        <w:ind w:left="360"/>
        <w:textAlignment w:val="baseline"/>
        <w:rPr>
          <w:b/>
          <w:bCs/>
          <w:i/>
          <w:iCs/>
          <w:sz w:val="28"/>
          <w:szCs w:val="28"/>
          <w:lang w:val="en-GB"/>
        </w:rPr>
      </w:pPr>
    </w:p>
    <w:p w:rsidR="00E75595" w:rsidRPr="001625AD" w:rsidRDefault="00E75595" w:rsidP="00252095">
      <w:pPr>
        <w:keepNext/>
      </w:pPr>
      <w:r>
        <w:rPr>
          <w:b/>
        </w:rPr>
        <w:t>Ordfører:</w:t>
      </w:r>
      <w:r>
        <w:tab/>
        <w:t>Tom Jones (Gruppen Diversitet Europa – UK)</w:t>
      </w:r>
    </w:p>
    <w:p w:rsidR="00E75595" w:rsidRPr="001625AD" w:rsidRDefault="00E75595" w:rsidP="00252095">
      <w:pPr>
        <w:keepNext/>
        <w:rPr>
          <w:lang w:val="en-GB"/>
        </w:rPr>
      </w:pPr>
    </w:p>
    <w:p w:rsidR="00E75595" w:rsidRPr="002C59A1" w:rsidRDefault="00E75595" w:rsidP="00252095">
      <w:pPr>
        <w:keepNext/>
      </w:pPr>
      <w:r>
        <w:rPr>
          <w:b/>
          <w:bCs/>
        </w:rPr>
        <w:t>Ref.:</w:t>
      </w:r>
      <w:r w:rsidR="00E338A4">
        <w:rPr>
          <w:b/>
          <w:bCs/>
        </w:rPr>
        <w:tab/>
      </w:r>
      <w:r w:rsidR="00E338A4">
        <w:rPr>
          <w:b/>
          <w:bCs/>
        </w:rPr>
        <w:tab/>
      </w:r>
      <w:r>
        <w:t>EESC-2018-01641-00-00-AC-TRA</w:t>
      </w:r>
    </w:p>
    <w:p w:rsidR="00E75595" w:rsidRPr="002C59A1" w:rsidRDefault="00E75595" w:rsidP="00252095">
      <w:pPr>
        <w:pStyle w:val="Heading1"/>
        <w:keepNext/>
        <w:numPr>
          <w:ilvl w:val="0"/>
          <w:numId w:val="0"/>
        </w:numPr>
        <w:rPr>
          <w:lang w:val="pt-PT"/>
        </w:rPr>
      </w:pPr>
    </w:p>
    <w:p w:rsidR="00E75595" w:rsidRDefault="00626CAF" w:rsidP="00252095">
      <w:pPr>
        <w:keepNext/>
        <w:ind w:left="-5"/>
        <w:rPr>
          <w:b/>
        </w:rPr>
      </w:pPr>
      <w:r>
        <w:rPr>
          <w:b/>
        </w:rPr>
        <w:t>Hovedpunkter:</w:t>
      </w:r>
    </w:p>
    <w:p w:rsidR="00435BBC" w:rsidRPr="003A6E31" w:rsidRDefault="00435BBC" w:rsidP="00252095">
      <w:pPr>
        <w:keepNext/>
        <w:ind w:left="-5"/>
        <w:rPr>
          <w:bCs/>
          <w:iCs/>
          <w:lang w:val="en-GB"/>
        </w:rPr>
      </w:pPr>
    </w:p>
    <w:p w:rsidR="00E75595" w:rsidRDefault="00E75595" w:rsidP="00252095">
      <w:pPr>
        <w:pStyle w:val="ListParagraph"/>
        <w:numPr>
          <w:ilvl w:val="0"/>
          <w:numId w:val="101"/>
        </w:numPr>
        <w:ind w:left="567" w:hanging="567"/>
      </w:pPr>
      <w:r>
        <w:t>EØSU støtter fuldt ud, at 2018 er udpeget til europæisk år for kulturarv, og roser alle bestræbelser fra initiativtagere og arrangører på alle niveauer for at øge synligheden af og fejre Europas mangfoldige og rige kulturarv.</w:t>
      </w:r>
    </w:p>
    <w:p w:rsidR="00626CAF" w:rsidRDefault="00626CAF" w:rsidP="00252095">
      <w:pPr>
        <w:ind w:left="567" w:hanging="567"/>
      </w:pPr>
    </w:p>
    <w:p w:rsidR="00E75595" w:rsidRDefault="00E75595" w:rsidP="00252095">
      <w:pPr>
        <w:pStyle w:val="ListParagraph"/>
        <w:numPr>
          <w:ilvl w:val="0"/>
          <w:numId w:val="101"/>
        </w:numPr>
        <w:ind w:left="567" w:hanging="567"/>
      </w:pPr>
      <w:r>
        <w:t>EØSU tilskynder alle aktører og deltagere til at anvende den bredest mulige definition af kultur og til at gøre året inklusivt for alle borgere.</w:t>
      </w:r>
    </w:p>
    <w:p w:rsidR="00626CAF" w:rsidRDefault="00626CAF" w:rsidP="00252095">
      <w:pPr>
        <w:ind w:left="567" w:hanging="567"/>
      </w:pPr>
    </w:p>
    <w:p w:rsidR="00E75595" w:rsidRDefault="00E75595" w:rsidP="00252095">
      <w:pPr>
        <w:pStyle w:val="ListParagraph"/>
        <w:numPr>
          <w:ilvl w:val="0"/>
          <w:numId w:val="101"/>
        </w:numPr>
        <w:ind w:left="567" w:hanging="567"/>
      </w:pPr>
      <w:r>
        <w:t>Året bør ikke kun være en fejring af fortiden, men også fremme de nye og udfordrende udtryk for menneskers inspiration og færdigheder, der er under udvikling og ofte har rødder i traditioner, som er forankret i landdistrikternes kulturarv i de enkelte lande.</w:t>
      </w:r>
    </w:p>
    <w:p w:rsidR="00626CAF" w:rsidRDefault="00626CAF" w:rsidP="00252095">
      <w:pPr>
        <w:ind w:left="567" w:hanging="567"/>
      </w:pPr>
    </w:p>
    <w:p w:rsidR="00E75595" w:rsidRDefault="00E75595" w:rsidP="00252095">
      <w:pPr>
        <w:pStyle w:val="ListParagraph"/>
        <w:numPr>
          <w:ilvl w:val="0"/>
          <w:numId w:val="101"/>
        </w:numPr>
        <w:ind w:left="567" w:hanging="567"/>
      </w:pPr>
      <w:r>
        <w:t>Udvalget glæder sig over Kommissionens satsning på kultur i sit budgetforslag fra maj 2018 og tilsagnene i den nye dagsorden for kultur.</w:t>
      </w:r>
    </w:p>
    <w:p w:rsidR="00626CAF" w:rsidRDefault="00626CAF" w:rsidP="00252095">
      <w:pPr>
        <w:ind w:left="567" w:hanging="567"/>
      </w:pPr>
    </w:p>
    <w:p w:rsidR="00E75595" w:rsidRDefault="00E75595" w:rsidP="00252095">
      <w:pPr>
        <w:pStyle w:val="ListParagraph"/>
        <w:numPr>
          <w:ilvl w:val="0"/>
          <w:numId w:val="101"/>
        </w:numPr>
        <w:ind w:left="567" w:hanging="567"/>
      </w:pPr>
      <w:r>
        <w:t>Den rige og mangfoldige kulturarv i landdistrikter bør formelt anerkendes for sin iboende kunstneriske værdi og sit økonomiske og sociale bidrag til alle europæiske borgeres velvære.</w:t>
      </w:r>
    </w:p>
    <w:p w:rsidR="00626CAF" w:rsidRDefault="00626CAF" w:rsidP="00252095">
      <w:pPr>
        <w:ind w:left="567" w:hanging="567"/>
      </w:pPr>
    </w:p>
    <w:p w:rsidR="00E75595" w:rsidRDefault="00E75595" w:rsidP="00252095">
      <w:pPr>
        <w:pStyle w:val="ListParagraph"/>
        <w:numPr>
          <w:ilvl w:val="0"/>
          <w:numId w:val="101"/>
        </w:numPr>
        <w:ind w:left="567" w:hanging="567"/>
      </w:pPr>
      <w:r>
        <w:t>Eksisterende EU-finansieringsstrømme, herunder programmet for udvikling af landdistrikter, bør i stigende grad opfatte kultur som en horisontal værdi og støtte kulturprojekter, herunder dem, der beskytter, fremmer og forbedrer landskaber med biologisk mangfoldighed.</w:t>
      </w:r>
    </w:p>
    <w:p w:rsidR="00626CAF" w:rsidRDefault="00626CAF" w:rsidP="00252095">
      <w:pPr>
        <w:ind w:left="567" w:hanging="567"/>
      </w:pPr>
    </w:p>
    <w:p w:rsidR="00E75595" w:rsidRDefault="00E75595" w:rsidP="00E338A4">
      <w:pPr>
        <w:pStyle w:val="ListParagraph"/>
        <w:numPr>
          <w:ilvl w:val="0"/>
          <w:numId w:val="101"/>
        </w:numPr>
        <w:ind w:left="567" w:hanging="567"/>
      </w:pPr>
      <w:r>
        <w:t>Bidraget fra åbent hus-arrangementer i landbruget, skolebesøg i landdistrikter, udstillinger, håndværksmarkeder, andre markeder og kulturfestivaler hjælper byboere til bedre at forstå og værdsætte landdistrikterne og bør gives offentlig støtte, og det samme gælder foranstaltninger, der skal bygge bro mellem land- og byboere gennem kulturprojekter.</w:t>
      </w:r>
    </w:p>
    <w:p w:rsidR="00626CAF" w:rsidRDefault="00626CAF" w:rsidP="00252095">
      <w:pPr>
        <w:ind w:left="567" w:hanging="567"/>
      </w:pPr>
    </w:p>
    <w:p w:rsidR="00E75595" w:rsidRDefault="00E75595" w:rsidP="00252095">
      <w:pPr>
        <w:pStyle w:val="ListParagraph"/>
        <w:numPr>
          <w:ilvl w:val="0"/>
          <w:numId w:val="101"/>
        </w:numPr>
        <w:ind w:left="567" w:hanging="567"/>
      </w:pPr>
      <w:r>
        <w:t>Foranstaltninger for at lære nye generationer om landbokultur og -traditioner gennem innovative moderne udtryk bør fremmes, og de økonomiske og sociale fordele måles, samtidig med at god praksis deles og fejres.</w:t>
      </w:r>
    </w:p>
    <w:p w:rsidR="00626CAF" w:rsidRDefault="00626CAF" w:rsidP="00252095">
      <w:pPr>
        <w:ind w:left="567" w:hanging="567"/>
      </w:pPr>
    </w:p>
    <w:p w:rsidR="00E75595" w:rsidRDefault="00E75595" w:rsidP="00252095">
      <w:pPr>
        <w:pStyle w:val="ListParagraph"/>
        <w:numPr>
          <w:ilvl w:val="0"/>
          <w:numId w:val="101"/>
        </w:numPr>
        <w:ind w:left="567" w:hanging="567"/>
      </w:pPr>
      <w:r>
        <w:t>Det alvorlige tab af håndværksfærdigheder skal afhjælpes gennem øgede investeringer i uddannelse, så tidligere tiders viden overføres fra den ene generation til den næste, og der skabes incitamenter for innovation.</w:t>
      </w:r>
    </w:p>
    <w:p w:rsidR="00626CAF" w:rsidRDefault="00626CAF" w:rsidP="00252095">
      <w:pPr>
        <w:ind w:left="567" w:hanging="567"/>
      </w:pPr>
    </w:p>
    <w:p w:rsidR="00E75595" w:rsidRDefault="00E75595" w:rsidP="00252095">
      <w:pPr>
        <w:pStyle w:val="ListParagraph"/>
        <w:numPr>
          <w:ilvl w:val="0"/>
          <w:numId w:val="101"/>
        </w:numPr>
        <w:ind w:left="567" w:hanging="567"/>
      </w:pPr>
      <w:r>
        <w:t>Kulturarven i landdistrikter bør blandt andet fremmes bæredygtigt med henblik på turisme, således at byboere lærer at påskønne de kulturelle værdier i landdistrikterne, og flere vælger at slå sig ned i landdistrikter og arbejde mere afsidesliggende steder.</w:t>
      </w:r>
    </w:p>
    <w:p w:rsidR="00626CAF" w:rsidRDefault="00626CAF" w:rsidP="00252095">
      <w:pPr>
        <w:ind w:left="567" w:hanging="567"/>
      </w:pPr>
    </w:p>
    <w:p w:rsidR="00E75595" w:rsidRDefault="00E75595" w:rsidP="00252095">
      <w:pPr>
        <w:pStyle w:val="ListParagraph"/>
        <w:numPr>
          <w:ilvl w:val="0"/>
          <w:numId w:val="101"/>
        </w:numPr>
        <w:ind w:left="567" w:hanging="567"/>
      </w:pPr>
      <w:r>
        <w:t>Kulturprodukter fra landdistrikter, herunder den gastronomiske arv, bør markedsføres og deres status med geografiske betegnelser beskyttes, så man giver borgerne sikkerhed for kvalitet og sporbarhed.</w:t>
      </w:r>
    </w:p>
    <w:p w:rsidR="00626CAF" w:rsidRDefault="00626CAF" w:rsidP="00252095">
      <w:pPr>
        <w:ind w:left="567" w:hanging="567"/>
      </w:pPr>
    </w:p>
    <w:p w:rsidR="00E75595" w:rsidRDefault="00E75595" w:rsidP="00252095">
      <w:pPr>
        <w:pStyle w:val="ListParagraph"/>
        <w:numPr>
          <w:ilvl w:val="0"/>
          <w:numId w:val="101"/>
        </w:numPr>
        <w:ind w:left="567" w:hanging="567"/>
      </w:pPr>
      <w:r>
        <w:t>Der blev afsat omkring 8 mio. EUR til det europæiske år efter trepartsforhandlingerne mellem Europa-Parlamentet og Rådet i 2017. Det må være rimeligt at antage, at en kvantificerbar del af denne støtte blev afsat til landdistrikter.</w:t>
      </w:r>
    </w:p>
    <w:p w:rsidR="00626CAF" w:rsidRDefault="00626CAF" w:rsidP="00252095">
      <w:pPr>
        <w:ind w:left="567" w:hanging="567"/>
      </w:pPr>
    </w:p>
    <w:p w:rsidR="00E75595" w:rsidRPr="00626CAF" w:rsidRDefault="00E75595" w:rsidP="00252095">
      <w:pPr>
        <w:pStyle w:val="ListParagraph"/>
        <w:numPr>
          <w:ilvl w:val="0"/>
          <w:numId w:val="101"/>
        </w:numPr>
        <w:ind w:left="567" w:hanging="567"/>
      </w:pPr>
      <w:r>
        <w:t>Det haster med foranstaltninger vedrørende konnektivitet inden for transport og digital infrastruktur, som er helt afgørende for, at folk slår sig ned i landdistrikter, og for udviklingen af kulturturisme.</w:t>
      </w:r>
    </w:p>
    <w:p w:rsidR="00E75595" w:rsidRDefault="00E75595" w:rsidP="00252095">
      <w:pPr>
        <w:rPr>
          <w:lang w:val="en-GB"/>
        </w:rPr>
      </w:pPr>
    </w:p>
    <w:p w:rsidR="00E75595" w:rsidRPr="000202C4" w:rsidRDefault="00E75595" w:rsidP="00252095">
      <w:pPr>
        <w:keepNext/>
        <w:ind w:left="1701" w:hanging="1701"/>
        <w:rPr>
          <w:i/>
        </w:rPr>
      </w:pPr>
      <w:r>
        <w:rPr>
          <w:b/>
          <w:i/>
        </w:rPr>
        <w:t>Kontaktperson:</w:t>
      </w:r>
      <w:r>
        <w:rPr>
          <w:i/>
        </w:rPr>
        <w:tab/>
        <w:t>Maarit Laurila</w:t>
      </w:r>
    </w:p>
    <w:p w:rsidR="00E75595" w:rsidRDefault="00626CAF" w:rsidP="00252095">
      <w:pPr>
        <w:tabs>
          <w:tab w:val="left" w:pos="1701"/>
        </w:tabs>
        <w:rPr>
          <w:i/>
          <w:iCs/>
        </w:rPr>
      </w:pPr>
      <w:r>
        <w:rPr>
          <w:i/>
          <w:iCs/>
        </w:rPr>
        <w:tab/>
        <w:t>(Tlf.: 00 32 2 546 97 39 – e-mail:</w:t>
      </w:r>
      <w:r>
        <w:t xml:space="preserve"> </w:t>
      </w:r>
      <w:hyperlink r:id="rId44" w:history="1">
        <w:r>
          <w:rPr>
            <w:rStyle w:val="Hyperlink"/>
            <w:i/>
          </w:rPr>
          <w:t>Maarit.Laurila@eesc.europa.eu</w:t>
        </w:r>
      </w:hyperlink>
      <w:r>
        <w:rPr>
          <w:i/>
          <w:iCs/>
        </w:rPr>
        <w:t>)</w:t>
      </w:r>
    </w:p>
    <w:p w:rsidR="00DA4775" w:rsidRPr="002C59A1" w:rsidRDefault="00DA4775" w:rsidP="00252095">
      <w:pPr>
        <w:rPr>
          <w:i/>
          <w:iCs/>
          <w:lang w:val="en-GB"/>
        </w:rPr>
      </w:pPr>
    </w:p>
    <w:p w:rsidR="00E75595" w:rsidRPr="0004127A" w:rsidRDefault="00E75595" w:rsidP="00252095">
      <w:pPr>
        <w:pStyle w:val="ListParagraph"/>
        <w:keepNext/>
        <w:numPr>
          <w:ilvl w:val="0"/>
          <w:numId w:val="103"/>
        </w:numPr>
        <w:ind w:left="567" w:hanging="567"/>
        <w:rPr>
          <w:b/>
          <w:bCs/>
          <w:i/>
          <w:iCs/>
          <w:sz w:val="28"/>
          <w:szCs w:val="28"/>
        </w:rPr>
      </w:pPr>
      <w:r>
        <w:rPr>
          <w:b/>
          <w:bCs/>
          <w:i/>
          <w:iCs/>
          <w:sz w:val="28"/>
          <w:szCs w:val="28"/>
        </w:rPr>
        <w:t>Bioøkonomi – bidrag til gennemførelsen af EU's klima- og energimål samt FN's mål for bæredygtig udvikling</w:t>
      </w:r>
    </w:p>
    <w:p w:rsidR="00E75595" w:rsidRPr="002A5422" w:rsidRDefault="00E75595" w:rsidP="00252095">
      <w:pPr>
        <w:pStyle w:val="ListParagraph"/>
        <w:keepNext/>
        <w:ind w:left="567"/>
        <w:rPr>
          <w:b/>
          <w:bCs/>
          <w:i/>
          <w:iCs/>
          <w:sz w:val="28"/>
          <w:szCs w:val="28"/>
          <w:lang w:val="en-GB"/>
        </w:rPr>
      </w:pPr>
    </w:p>
    <w:p w:rsidR="00E75595" w:rsidRPr="001625AD" w:rsidRDefault="00E75595" w:rsidP="00252095">
      <w:pPr>
        <w:keepNext/>
      </w:pPr>
      <w:r>
        <w:rPr>
          <w:b/>
        </w:rPr>
        <w:t>Ordfører:</w:t>
      </w:r>
      <w:r>
        <w:tab/>
      </w:r>
      <w:r w:rsidR="00E338A4">
        <w:tab/>
      </w:r>
      <w:r>
        <w:t>Tellervo Kylä-Harakka-Ruonala (Arbejdsgivergruppen – FI)</w:t>
      </w:r>
    </w:p>
    <w:p w:rsidR="00E75595" w:rsidRPr="005409A0" w:rsidRDefault="00E75595" w:rsidP="00252095">
      <w:pPr>
        <w:keepNext/>
        <w:rPr>
          <w:b/>
        </w:rPr>
      </w:pPr>
      <w:r>
        <w:rPr>
          <w:b/>
        </w:rPr>
        <w:t>Medordfører:</w:t>
      </w:r>
      <w:r w:rsidR="00E338A4">
        <w:rPr>
          <w:b/>
        </w:rPr>
        <w:tab/>
      </w:r>
      <w:r>
        <w:t>Andreas Thurner (Gruppen Diversitet Europa – AT)</w:t>
      </w:r>
    </w:p>
    <w:p w:rsidR="00E75595" w:rsidRPr="001625AD" w:rsidRDefault="00E75595" w:rsidP="00252095">
      <w:pPr>
        <w:keepNext/>
        <w:rPr>
          <w:lang w:val="en-GB"/>
        </w:rPr>
      </w:pPr>
    </w:p>
    <w:p w:rsidR="00E75595" w:rsidRPr="00E949D7" w:rsidRDefault="00E75595" w:rsidP="00252095">
      <w:pPr>
        <w:keepNext/>
        <w:tabs>
          <w:tab w:val="left" w:pos="1701"/>
        </w:tabs>
        <w:ind w:left="-5"/>
        <w:rPr>
          <w:bCs/>
        </w:rPr>
      </w:pPr>
      <w:r>
        <w:rPr>
          <w:b/>
          <w:bCs/>
        </w:rPr>
        <w:t>Ref.:</w:t>
      </w:r>
      <w:r w:rsidR="00E338A4">
        <w:rPr>
          <w:b/>
          <w:bCs/>
        </w:rPr>
        <w:tab/>
      </w:r>
      <w:r>
        <w:t>EESC-2018-02466-00-00-AC-TRA</w:t>
      </w:r>
    </w:p>
    <w:p w:rsidR="00E75595" w:rsidRPr="00FC3741" w:rsidRDefault="00E75595" w:rsidP="00252095">
      <w:pPr>
        <w:keepNext/>
        <w:ind w:left="-5"/>
      </w:pPr>
      <w:r>
        <w:tab/>
      </w:r>
    </w:p>
    <w:p w:rsidR="00E75595" w:rsidRDefault="00E75595" w:rsidP="00252095">
      <w:pPr>
        <w:keepNext/>
        <w:rPr>
          <w:b/>
        </w:rPr>
      </w:pPr>
      <w:r>
        <w:rPr>
          <w:b/>
        </w:rPr>
        <w:t>Hovedpunkter:</w:t>
      </w:r>
    </w:p>
    <w:p w:rsidR="00435BBC" w:rsidRPr="000202C4" w:rsidRDefault="00435BBC" w:rsidP="00252095">
      <w:pPr>
        <w:keepNext/>
        <w:rPr>
          <w:lang w:val="en-GB"/>
        </w:rPr>
      </w:pPr>
    </w:p>
    <w:p w:rsidR="00E75595" w:rsidRPr="00FA122E" w:rsidRDefault="00E75595" w:rsidP="00252095">
      <w:pPr>
        <w:pStyle w:val="ListParagraph"/>
        <w:numPr>
          <w:ilvl w:val="0"/>
          <w:numId w:val="103"/>
        </w:numPr>
        <w:ind w:left="567" w:hanging="567"/>
        <w:outlineLvl w:val="1"/>
      </w:pPr>
      <w:r>
        <w:t>EØSU mener, at bioøkonomien handler om at skabe merværdi for samfundet gennem produktion, omdannelse og anvendelse af biologiske naturressourcer. Omstillingen til kulstofneutralitet og cirkularitet vil i stigende grad fungere som en drivkraft for bioøkonomien, eftersom en bæredygtig bioøkonomi har potentiale til at skabe både økonomiske, sociale og klimamæssige fordele på samme tid.</w:t>
      </w:r>
    </w:p>
    <w:p w:rsidR="00E75595" w:rsidRPr="00FA122E" w:rsidRDefault="00E75595" w:rsidP="00252095">
      <w:pPr>
        <w:ind w:left="567" w:hanging="567"/>
      </w:pPr>
    </w:p>
    <w:p w:rsidR="00E75595" w:rsidRPr="00FA122E" w:rsidRDefault="00E75595" w:rsidP="00252095">
      <w:pPr>
        <w:pStyle w:val="ListParagraph"/>
        <w:numPr>
          <w:ilvl w:val="0"/>
          <w:numId w:val="103"/>
        </w:numPr>
        <w:ind w:left="567" w:hanging="567"/>
        <w:outlineLvl w:val="1"/>
      </w:pPr>
      <w:r>
        <w:lastRenderedPageBreak/>
        <w:t>EØSU påpeger, at bioøkonomien bidrager til at modvirke klimaforandringerne på flere måder: ved at binde CO</w:t>
      </w:r>
      <w:r>
        <w:rPr>
          <w:vertAlign w:val="subscript"/>
        </w:rPr>
        <w:t>2</w:t>
      </w:r>
      <w:r>
        <w:t xml:space="preserve"> fra atmosfæren i biomasse, ved at lagre kulstof i biobaserede produkter og ved at erstatte fossile råstoffer og produkter med biobaserede alternativer.</w:t>
      </w:r>
    </w:p>
    <w:p w:rsidR="00E75595" w:rsidRPr="00FA122E" w:rsidRDefault="00E75595" w:rsidP="00252095">
      <w:pPr>
        <w:ind w:left="567" w:hanging="567"/>
      </w:pPr>
    </w:p>
    <w:p w:rsidR="00E75595" w:rsidRPr="00FA122E" w:rsidRDefault="00E75595" w:rsidP="00252095">
      <w:pPr>
        <w:pStyle w:val="ListParagraph"/>
        <w:numPr>
          <w:ilvl w:val="0"/>
          <w:numId w:val="103"/>
        </w:numPr>
        <w:ind w:left="567" w:hanging="567"/>
        <w:outlineLvl w:val="1"/>
      </w:pPr>
      <w:r>
        <w:t>Udvalget fremhæver også, at bioøkonomien bidrager til EU's klima- og energimål ved at erstatte fossile brændstoffer med bioenergi inden for elproduktion, opvarmning, nedkøling og transport. Den bidrager også til energieffektivitet og energiforsyningssikkerhed.</w:t>
      </w:r>
    </w:p>
    <w:p w:rsidR="00E75595" w:rsidRPr="00FA122E" w:rsidRDefault="00E75595" w:rsidP="00252095">
      <w:pPr>
        <w:ind w:left="567" w:hanging="567"/>
      </w:pPr>
    </w:p>
    <w:p w:rsidR="00E75595" w:rsidRPr="00FA122E" w:rsidRDefault="00E75595" w:rsidP="00252095">
      <w:pPr>
        <w:pStyle w:val="ListParagraph"/>
        <w:numPr>
          <w:ilvl w:val="0"/>
          <w:numId w:val="103"/>
        </w:numPr>
        <w:ind w:left="567" w:hanging="567"/>
        <w:outlineLvl w:val="1"/>
      </w:pPr>
      <w:r>
        <w:t>EØSU er overbevist om, at bioøkonomien spiller en vigtig rolle for realiseringen af de overordnede økonomiske, miljømæssige og sociale mål, der er opstillet i FN's 2030-dagsorden (verdensmålene for bæredygtig udvikling). Bioøkonomiens rolle hænger tæt sammen med målene for industri og landbrug og med jobskabelsen på disse områder.</w:t>
      </w:r>
    </w:p>
    <w:p w:rsidR="00E75595" w:rsidRPr="00FA122E" w:rsidRDefault="00E75595" w:rsidP="00252095">
      <w:pPr>
        <w:ind w:left="567" w:hanging="567"/>
        <w:rPr>
          <w:lang w:eastAsia="fi-FI"/>
        </w:rPr>
      </w:pPr>
    </w:p>
    <w:p w:rsidR="00E75595" w:rsidRPr="00FA122E" w:rsidRDefault="00E75595" w:rsidP="00252095">
      <w:pPr>
        <w:pStyle w:val="ListParagraph"/>
        <w:numPr>
          <w:ilvl w:val="0"/>
          <w:numId w:val="103"/>
        </w:numPr>
        <w:ind w:left="567" w:hanging="567"/>
        <w:outlineLvl w:val="1"/>
      </w:pPr>
      <w:r>
        <w:t>Udvalget opfordrer til, at EU's bioøkonomiske strategi tilpasses, så den i tråd med den økonomiske, miljømæssige og sociale bæredygtighed skaber de mest fordelagtige vilkår for den europæiske bioøkonomi, og EU dermed får en konkurrencefordel.</w:t>
      </w:r>
    </w:p>
    <w:p w:rsidR="00E75595" w:rsidRPr="00FA122E" w:rsidRDefault="00E75595" w:rsidP="00252095">
      <w:pPr>
        <w:ind w:left="567" w:hanging="567"/>
        <w:rPr>
          <w:lang w:eastAsia="fi-FI"/>
        </w:rPr>
      </w:pPr>
    </w:p>
    <w:p w:rsidR="00E75595" w:rsidRPr="00FA122E" w:rsidRDefault="00E75595" w:rsidP="00252095">
      <w:pPr>
        <w:pStyle w:val="ListParagraph"/>
        <w:numPr>
          <w:ilvl w:val="0"/>
          <w:numId w:val="103"/>
        </w:numPr>
        <w:ind w:left="567" w:hanging="567"/>
        <w:outlineLvl w:val="1"/>
      </w:pPr>
      <w:r>
        <w:t>EØSU understreger, at de politiske beslutningstagere skal fremme en bæredygtig biomasseproduktion og -anvendelse i EU og sikre en stabil, pålidelig og sammenhængende ramme for investeringer i bioøkonomien i hele værdikæden. Derudover bør de politiske beslutningstagere øge efterspørgslen efter biobaserede produkter gennem offentlige indkøb og vedtage en sammenhængende ramme for de tekniske og sikkerhedsmæssige regler og reglerne for statsstøtte, så der skabes lige konkurrencevilkår for biobaserede produkter.</w:t>
      </w:r>
    </w:p>
    <w:p w:rsidR="00E75595" w:rsidRPr="00FA122E" w:rsidRDefault="00E75595" w:rsidP="00252095">
      <w:pPr>
        <w:rPr>
          <w:lang w:eastAsia="fi-FI"/>
        </w:rPr>
      </w:pPr>
    </w:p>
    <w:p w:rsidR="00E75595" w:rsidRPr="00FA122E" w:rsidRDefault="00E75595" w:rsidP="00252095">
      <w:pPr>
        <w:pStyle w:val="ListParagraph"/>
        <w:numPr>
          <w:ilvl w:val="0"/>
          <w:numId w:val="103"/>
        </w:numPr>
        <w:ind w:left="567" w:hanging="567"/>
        <w:outlineLvl w:val="1"/>
      </w:pPr>
      <w:r>
        <w:t>EØSU anser forskning og innovation for at være afgørende for, at der kan udvikles en fremtidssikret bioøkonomi. Den innovationsindsats, som den bioøkonomiske strategi fremmer, bør således videreføres, herunder fællesforetagendet for biobaserede industrier.</w:t>
      </w:r>
    </w:p>
    <w:p w:rsidR="00E75595" w:rsidRPr="00FA122E" w:rsidRDefault="00E75595" w:rsidP="00252095">
      <w:pPr>
        <w:ind w:left="567" w:hanging="567"/>
        <w:rPr>
          <w:lang w:eastAsia="fi-FI"/>
        </w:rPr>
      </w:pPr>
    </w:p>
    <w:p w:rsidR="00E75595" w:rsidRPr="00FA122E" w:rsidRDefault="00E75595" w:rsidP="00252095">
      <w:pPr>
        <w:pStyle w:val="ListParagraph"/>
        <w:keepNext/>
        <w:keepLines/>
        <w:numPr>
          <w:ilvl w:val="0"/>
          <w:numId w:val="103"/>
        </w:numPr>
        <w:ind w:left="567" w:hanging="567"/>
        <w:outlineLvl w:val="1"/>
      </w:pPr>
      <w:r>
        <w:t>Udvalget understreger, at uddannelse, rådgivningstjenester, videnoverførsel og efteruddannelse spiller en vigtig rolle, når det skal sikres, at arbejdstagere og iværksættere er i besiddelse af de nødvendige oplysninger og kvalifikationer. Borgerne bør være velinformerede om bioøkonomien og gøres bevidste om deres ansvar, således at de kan være aktive forbrugere og træffe bæredygtige forbrugsbeslutninger.</w:t>
      </w:r>
    </w:p>
    <w:p w:rsidR="00E75595" w:rsidRPr="00FA122E" w:rsidRDefault="00E75595" w:rsidP="00252095">
      <w:pPr>
        <w:ind w:left="567" w:hanging="567"/>
        <w:rPr>
          <w:lang w:eastAsia="fi-FI"/>
        </w:rPr>
      </w:pPr>
    </w:p>
    <w:p w:rsidR="00E75595" w:rsidRPr="00FA122E" w:rsidRDefault="00E75595" w:rsidP="00252095">
      <w:pPr>
        <w:pStyle w:val="ListParagraph"/>
        <w:numPr>
          <w:ilvl w:val="0"/>
          <w:numId w:val="103"/>
        </w:numPr>
        <w:ind w:left="567" w:hanging="567"/>
        <w:outlineLvl w:val="1"/>
      </w:pPr>
      <w:r>
        <w:t>EØSU fremhæver, at det er en forudsætning for bioøkonomien, at der findes en god infrastruktur, hvilket kræver en passende finansiering. Der er brug for effektive transportsystemer, som kan sikre adgangen til råvarer og distributionen af produkter til markederne.</w:t>
      </w:r>
    </w:p>
    <w:p w:rsidR="00E75595" w:rsidRPr="00FA122E" w:rsidRDefault="00E75595" w:rsidP="00252095">
      <w:pPr>
        <w:ind w:left="567" w:hanging="567"/>
        <w:rPr>
          <w:lang w:eastAsia="fi-FI"/>
        </w:rPr>
      </w:pPr>
    </w:p>
    <w:p w:rsidR="00E75595" w:rsidRPr="00FA122E" w:rsidRDefault="00E75595" w:rsidP="00252095">
      <w:pPr>
        <w:pStyle w:val="ListParagraph"/>
        <w:numPr>
          <w:ilvl w:val="0"/>
          <w:numId w:val="103"/>
        </w:numPr>
        <w:ind w:left="567" w:hanging="567"/>
        <w:outlineLvl w:val="1"/>
      </w:pPr>
      <w:r>
        <w:t>EØSU anbefaler, at EU bør stræbe efter at få indført et globalt prisfastsættelsessystem for kulstofemissioner, som vil være en neutral og effektiv metode til at fremme bioøkonomien og inddrage samtlige markedsaktører i modvirkningen af klimaforandringerne.</w:t>
      </w:r>
    </w:p>
    <w:p w:rsidR="00E75595" w:rsidRPr="00FA122E" w:rsidRDefault="00E75595" w:rsidP="00252095">
      <w:pPr>
        <w:ind w:left="567" w:hanging="567"/>
      </w:pPr>
    </w:p>
    <w:p w:rsidR="00E75595" w:rsidRPr="00FA122E" w:rsidRDefault="00E75595" w:rsidP="00252095">
      <w:pPr>
        <w:pStyle w:val="ListParagraph"/>
        <w:numPr>
          <w:ilvl w:val="0"/>
          <w:numId w:val="103"/>
        </w:numPr>
        <w:ind w:left="567" w:hanging="567"/>
        <w:outlineLvl w:val="1"/>
      </w:pPr>
      <w:r>
        <w:lastRenderedPageBreak/>
        <w:t>EØSU er overbevist om, at det er afgørende, at civilsamfundet involveres i bioøkonomiske initiativer og beslutningsprocesser. Udvalget understreger, at det er vigtigt at sikre, at omstillingen til en kulstoffattig økonomi sker på en retfærdig måde.</w:t>
      </w:r>
    </w:p>
    <w:p w:rsidR="00E75595" w:rsidRPr="00FA122E" w:rsidRDefault="00E75595" w:rsidP="00252095">
      <w:pPr>
        <w:ind w:left="567" w:hanging="567"/>
      </w:pPr>
    </w:p>
    <w:p w:rsidR="00E75595" w:rsidRPr="00FA122E" w:rsidRDefault="00E75595" w:rsidP="00252095">
      <w:pPr>
        <w:pStyle w:val="ListParagraph"/>
        <w:numPr>
          <w:ilvl w:val="0"/>
          <w:numId w:val="103"/>
        </w:numPr>
        <w:ind w:left="567" w:hanging="567"/>
        <w:outlineLvl w:val="1"/>
      </w:pPr>
      <w:r>
        <w:t>EØSU fremhæver, at en bæredygtig bioøkonomi kun kan realiseres ved hjælp af en tværsektoriel tilgang. Der er derfor behov for sammenhæng og koordinering mellem de forskellige EU-politikker og -mål. Det er også vigtigt at sikre, at der er sammenhæng mellem foranstaltningerne på medlemsstatsniveau.</w:t>
      </w:r>
    </w:p>
    <w:p w:rsidR="00E75595" w:rsidRDefault="00E75595" w:rsidP="00252095">
      <w:pPr>
        <w:ind w:left="-567"/>
        <w:rPr>
          <w:b/>
          <w:iCs/>
          <w:highlight w:val="yellow"/>
          <w:u w:val="single"/>
          <w:lang w:val="en-GB"/>
        </w:rPr>
      </w:pPr>
    </w:p>
    <w:p w:rsidR="00E75595" w:rsidRPr="000202C4" w:rsidRDefault="00E75595" w:rsidP="00252095">
      <w:pPr>
        <w:keepNext/>
        <w:tabs>
          <w:tab w:val="left" w:pos="1701"/>
        </w:tabs>
        <w:ind w:left="1701" w:hanging="1701"/>
        <w:rPr>
          <w:i/>
        </w:rPr>
      </w:pPr>
      <w:r>
        <w:rPr>
          <w:b/>
          <w:i/>
        </w:rPr>
        <w:t>Kontaktperson:</w:t>
      </w:r>
      <w:r>
        <w:rPr>
          <w:i/>
        </w:rPr>
        <w:tab/>
        <w:t>Laura Broomfield</w:t>
      </w:r>
    </w:p>
    <w:p w:rsidR="00E75595" w:rsidRDefault="0004127A" w:rsidP="00252095">
      <w:pPr>
        <w:tabs>
          <w:tab w:val="left" w:pos="1701"/>
        </w:tabs>
        <w:rPr>
          <w:i/>
          <w:iCs/>
        </w:rPr>
      </w:pPr>
      <w:r>
        <w:rPr>
          <w:i/>
          <w:iCs/>
        </w:rPr>
        <w:tab/>
        <w:t xml:space="preserve">(Tlf.: 00 32 2 546 82 58 – e-mail: </w:t>
      </w:r>
      <w:hyperlink r:id="rId45" w:history="1">
        <w:r>
          <w:rPr>
            <w:rStyle w:val="Hyperlink"/>
            <w:i/>
            <w:iCs/>
          </w:rPr>
          <w:t>Laura.Broomfield@eesc.europa.eu</w:t>
        </w:r>
      </w:hyperlink>
      <w:r>
        <w:rPr>
          <w:i/>
          <w:iCs/>
        </w:rPr>
        <w:t xml:space="preserve"> )</w:t>
      </w:r>
    </w:p>
    <w:p w:rsidR="00435BBC" w:rsidRPr="001E2F85" w:rsidRDefault="00435BBC" w:rsidP="00252095">
      <w:pPr>
        <w:tabs>
          <w:tab w:val="left" w:pos="1701"/>
        </w:tabs>
        <w:rPr>
          <w:b/>
          <w:iCs/>
          <w:highlight w:val="yellow"/>
          <w:u w:val="single"/>
          <w:lang w:val="en-GB"/>
        </w:rPr>
      </w:pPr>
    </w:p>
    <w:p w:rsidR="00E75595" w:rsidRDefault="00E75595" w:rsidP="00252095">
      <w:pPr>
        <w:pStyle w:val="ListParagraph"/>
        <w:keepNext/>
        <w:numPr>
          <w:ilvl w:val="0"/>
          <w:numId w:val="104"/>
        </w:numPr>
        <w:ind w:left="567" w:hanging="567"/>
        <w:rPr>
          <w:b/>
          <w:bCs/>
          <w:i/>
          <w:iCs/>
          <w:sz w:val="28"/>
          <w:szCs w:val="28"/>
        </w:rPr>
      </w:pPr>
      <w:r>
        <w:rPr>
          <w:b/>
          <w:bCs/>
          <w:i/>
          <w:iCs/>
          <w:sz w:val="28"/>
          <w:szCs w:val="28"/>
        </w:rPr>
        <w:t>Flerårig plan for fiskebestandene i de vestlige farvande</w:t>
      </w:r>
    </w:p>
    <w:p w:rsidR="006F7395" w:rsidRPr="006F7395" w:rsidRDefault="006F7395" w:rsidP="00252095">
      <w:pPr>
        <w:keepNext/>
        <w:ind w:left="360"/>
        <w:rPr>
          <w:b/>
          <w:bCs/>
          <w:i/>
          <w:iCs/>
          <w:sz w:val="28"/>
          <w:szCs w:val="28"/>
          <w:lang w:val="en-GB"/>
        </w:rPr>
      </w:pPr>
    </w:p>
    <w:p w:rsidR="00E75595" w:rsidRDefault="00CF50B1" w:rsidP="00252095">
      <w:pPr>
        <w:keepNext/>
        <w:ind w:left="266" w:hanging="266"/>
      </w:pPr>
      <w:r>
        <w:rPr>
          <w:b/>
        </w:rPr>
        <w:t>Ordfører:</w:t>
      </w:r>
      <w:r>
        <w:t xml:space="preserve"> </w:t>
      </w:r>
      <w:r>
        <w:tab/>
        <w:t>Gabriel Sarró Iparraguirre (Gruppen Diversitet Europa – ES)</w:t>
      </w:r>
    </w:p>
    <w:p w:rsidR="00CF50B1" w:rsidRPr="001625AD" w:rsidRDefault="00CF50B1" w:rsidP="00252095">
      <w:pPr>
        <w:keepNext/>
        <w:ind w:left="266" w:hanging="266"/>
        <w:rPr>
          <w:lang w:val="en-GB"/>
        </w:rPr>
      </w:pPr>
    </w:p>
    <w:p w:rsidR="00E75595" w:rsidRPr="00E949D7" w:rsidRDefault="00E75595" w:rsidP="00E338A4">
      <w:pPr>
        <w:keepNext/>
        <w:tabs>
          <w:tab w:val="left" w:pos="1134"/>
        </w:tabs>
        <w:ind w:left="-5"/>
        <w:rPr>
          <w:bCs/>
        </w:rPr>
      </w:pPr>
      <w:r>
        <w:rPr>
          <w:b/>
          <w:bCs/>
        </w:rPr>
        <w:t>Ref.:</w:t>
      </w:r>
      <w:r w:rsidR="00E338A4">
        <w:rPr>
          <w:b/>
          <w:bCs/>
        </w:rPr>
        <w:tab/>
      </w:r>
      <w:r>
        <w:t>COM(2018) 149 final – 2018/0074 (COD)</w:t>
      </w:r>
    </w:p>
    <w:p w:rsidR="00E75595" w:rsidRPr="00FC3741" w:rsidRDefault="00E75595" w:rsidP="00E338A4">
      <w:pPr>
        <w:keepNext/>
        <w:tabs>
          <w:tab w:val="left" w:pos="1134"/>
        </w:tabs>
        <w:ind w:left="-5"/>
      </w:pPr>
      <w:r>
        <w:tab/>
        <w:t>EESC-2018-02511-00-00-AC-TRA</w:t>
      </w:r>
    </w:p>
    <w:p w:rsidR="0004127A" w:rsidRDefault="0004127A" w:rsidP="00252095">
      <w:pPr>
        <w:keepNext/>
        <w:rPr>
          <w:b/>
          <w:lang w:val="en-GB"/>
        </w:rPr>
      </w:pPr>
    </w:p>
    <w:p w:rsidR="00E75595" w:rsidRDefault="00E75595" w:rsidP="00252095">
      <w:pPr>
        <w:keepNext/>
        <w:rPr>
          <w:b/>
        </w:rPr>
      </w:pPr>
      <w:r>
        <w:rPr>
          <w:b/>
        </w:rPr>
        <w:t>Hovedpunkter:</w:t>
      </w:r>
    </w:p>
    <w:p w:rsidR="00435BBC" w:rsidRDefault="00435BBC" w:rsidP="00252095">
      <w:pPr>
        <w:keepNext/>
        <w:rPr>
          <w:b/>
          <w:iCs/>
          <w:highlight w:val="yellow"/>
          <w:u w:val="single"/>
          <w:lang w:val="en-GB"/>
        </w:rPr>
      </w:pPr>
    </w:p>
    <w:p w:rsidR="00E75595" w:rsidRPr="00CB658F" w:rsidRDefault="00E75595" w:rsidP="00252095">
      <w:pPr>
        <w:pStyle w:val="ListParagraph"/>
        <w:numPr>
          <w:ilvl w:val="0"/>
          <w:numId w:val="104"/>
        </w:numPr>
        <w:overflowPunct w:val="0"/>
        <w:adjustRightInd w:val="0"/>
        <w:ind w:left="567" w:hanging="567"/>
        <w:textAlignment w:val="baseline"/>
      </w:pPr>
      <w:r>
        <w:t>EØSU finder, at fastlæggelsen af en flerårig plan for forvaltningen af de vestlige farvande er en egnet foranstaltning, selv om der også bør tages højde for særlige lokale forhold i forbindelse med det fiskeri, der finder sted i de nordvestlige og sydvestlige farvande.</w:t>
      </w:r>
    </w:p>
    <w:p w:rsidR="00E75595" w:rsidRPr="00CB658F" w:rsidRDefault="00E75595" w:rsidP="00252095">
      <w:pPr>
        <w:overflowPunct w:val="0"/>
        <w:adjustRightInd w:val="0"/>
        <w:ind w:left="567" w:hanging="567"/>
        <w:textAlignment w:val="baseline"/>
      </w:pPr>
    </w:p>
    <w:p w:rsidR="00E75595" w:rsidRPr="00CB658F" w:rsidRDefault="00E75595" w:rsidP="00252095">
      <w:pPr>
        <w:pStyle w:val="ListParagraph"/>
        <w:keepNext/>
        <w:keepLines/>
        <w:numPr>
          <w:ilvl w:val="0"/>
          <w:numId w:val="104"/>
        </w:numPr>
        <w:overflowPunct w:val="0"/>
        <w:adjustRightInd w:val="0"/>
        <w:ind w:left="567" w:hanging="567"/>
        <w:textAlignment w:val="baseline"/>
      </w:pPr>
      <w:r>
        <w:t>EØSU opfordrer til, at listerne over arter, der er berørt af denne forordning, skal kunne ajourføres på regionalt plan, da nogle af arterne vanskeliggør forvaltningen af det blandede fiskeri, fordi fangsttallene for dem er lave, fordi de betragtes som bifangst, eller fordi der i nogle medlemsstater ikke er nogen kvote for dem. Dette er navnlig vigtigt i betragtning af den forestående ikrafttræden af landingsforpligtelsen og fremkomsten af fænomenet choke species ("spærrearter"), som i visse tilfælde vil kunne føre til, at fiskeriet må indstilles.</w:t>
      </w:r>
    </w:p>
    <w:p w:rsidR="00E75595" w:rsidRPr="00CB658F" w:rsidRDefault="00E75595" w:rsidP="00252095">
      <w:pPr>
        <w:overflowPunct w:val="0"/>
        <w:adjustRightInd w:val="0"/>
        <w:ind w:left="567" w:hanging="567"/>
        <w:textAlignment w:val="baseline"/>
      </w:pPr>
    </w:p>
    <w:p w:rsidR="00E75595" w:rsidRPr="00CB658F" w:rsidRDefault="00E75595" w:rsidP="00252095">
      <w:pPr>
        <w:pStyle w:val="ListParagraph"/>
        <w:numPr>
          <w:ilvl w:val="0"/>
          <w:numId w:val="104"/>
        </w:numPr>
        <w:overflowPunct w:val="0"/>
        <w:adjustRightInd w:val="0"/>
        <w:ind w:left="567" w:hanging="567"/>
        <w:textAlignment w:val="baseline"/>
      </w:pPr>
      <w:r>
        <w:t>Udvalget understreger nødvendigheden af gennem Den Europæiske Hav- og Fiskerifond at øge indsatsen inden for den videnskabelige forskning for at skabe øget viden om den konkrete situation med hensyn til fiskebestandene, og således i videst muligt omfang undgå anvendelse af forsigtighedsprincippet og med tiden opnå en bæredygtig udnyttelse af disse ressourcer.</w:t>
      </w:r>
    </w:p>
    <w:p w:rsidR="00E75595" w:rsidRDefault="00E75595" w:rsidP="00252095">
      <w:pPr>
        <w:ind w:left="-567"/>
        <w:rPr>
          <w:b/>
          <w:iCs/>
          <w:highlight w:val="yellow"/>
          <w:u w:val="single"/>
          <w:lang w:val="en-GB"/>
        </w:rPr>
      </w:pPr>
    </w:p>
    <w:p w:rsidR="00E75595" w:rsidRPr="000202C4" w:rsidRDefault="00E75595" w:rsidP="00252095">
      <w:pPr>
        <w:keepNext/>
        <w:ind w:left="1701" w:hanging="1701"/>
        <w:rPr>
          <w:i/>
        </w:rPr>
      </w:pPr>
      <w:r>
        <w:rPr>
          <w:b/>
          <w:i/>
        </w:rPr>
        <w:t>Kontaktperson:</w:t>
      </w:r>
      <w:r>
        <w:rPr>
          <w:i/>
        </w:rPr>
        <w:tab/>
        <w:t>Arturo Iniguez</w:t>
      </w:r>
    </w:p>
    <w:p w:rsidR="00E75595" w:rsidRDefault="0004127A" w:rsidP="00252095">
      <w:pPr>
        <w:tabs>
          <w:tab w:val="left" w:pos="1701"/>
        </w:tabs>
        <w:rPr>
          <w:i/>
          <w:iCs/>
        </w:rPr>
      </w:pPr>
      <w:r>
        <w:rPr>
          <w:i/>
          <w:iCs/>
        </w:rPr>
        <w:tab/>
        <w:t>(Tlf.: 00 32 2 546 87 68 – e-mail:</w:t>
      </w:r>
      <w:r>
        <w:rPr>
          <w:i/>
          <w:iCs/>
          <w:color w:val="0000FF"/>
          <w:u w:val="single"/>
        </w:rPr>
        <w:t xml:space="preserve"> </w:t>
      </w:r>
      <w:hyperlink r:id="rId46" w:history="1">
        <w:r>
          <w:rPr>
            <w:rStyle w:val="Hyperlink"/>
            <w:i/>
            <w:iCs/>
          </w:rPr>
          <w:t>Arturo.Iniguez@eesc.europa.eu</w:t>
        </w:r>
      </w:hyperlink>
      <w:r>
        <w:rPr>
          <w:i/>
          <w:iCs/>
        </w:rPr>
        <w:t>)</w:t>
      </w:r>
    </w:p>
    <w:p w:rsidR="00435BBC" w:rsidRPr="001E2F85" w:rsidRDefault="00435BBC" w:rsidP="00252095">
      <w:pPr>
        <w:tabs>
          <w:tab w:val="left" w:pos="1701"/>
        </w:tabs>
        <w:rPr>
          <w:b/>
          <w:iCs/>
          <w:highlight w:val="yellow"/>
          <w:u w:val="single"/>
          <w:lang w:val="en-GB"/>
        </w:rPr>
      </w:pPr>
    </w:p>
    <w:p w:rsidR="004033AB" w:rsidRDefault="004033AB" w:rsidP="00252095">
      <w:pPr>
        <w:rPr>
          <w:b/>
          <w:iCs/>
          <w:highlight w:val="yellow"/>
          <w:u w:val="single"/>
          <w:lang w:val="en-GB"/>
        </w:rPr>
      </w:pPr>
    </w:p>
    <w:p w:rsidR="00E75595" w:rsidRPr="002A5422" w:rsidRDefault="00E75595" w:rsidP="00252095">
      <w:pPr>
        <w:pStyle w:val="ListParagraph"/>
        <w:keepNext/>
        <w:numPr>
          <w:ilvl w:val="0"/>
          <w:numId w:val="12"/>
        </w:numPr>
        <w:ind w:left="567" w:hanging="567"/>
        <w:rPr>
          <w:b/>
          <w:bCs/>
          <w:i/>
          <w:iCs/>
          <w:sz w:val="28"/>
          <w:szCs w:val="28"/>
        </w:rPr>
      </w:pPr>
      <w:r>
        <w:rPr>
          <w:b/>
          <w:bCs/>
          <w:i/>
          <w:iCs/>
          <w:sz w:val="28"/>
          <w:szCs w:val="28"/>
        </w:rPr>
        <w:lastRenderedPageBreak/>
        <w:t>Flerårig genopretningsplan for sværdfisk i Middelhavet</w:t>
      </w:r>
    </w:p>
    <w:p w:rsidR="00E75595" w:rsidRDefault="00E75595" w:rsidP="00252095">
      <w:pPr>
        <w:keepNext/>
        <w:rPr>
          <w:lang w:val="en-GB"/>
        </w:rPr>
      </w:pPr>
    </w:p>
    <w:p w:rsidR="00CF50B1" w:rsidRDefault="00CF50B1" w:rsidP="00252095">
      <w:pPr>
        <w:keepNext/>
      </w:pPr>
      <w:r>
        <w:rPr>
          <w:b/>
        </w:rPr>
        <w:t>Ordfører:</w:t>
      </w:r>
      <w:r>
        <w:t xml:space="preserve"> </w:t>
      </w:r>
      <w:r>
        <w:tab/>
        <w:t>Gabriel Sarró Iparraguirre (Gruppen Diversitet Europa – ES)</w:t>
      </w:r>
    </w:p>
    <w:p w:rsidR="00CF50B1" w:rsidRPr="001625AD" w:rsidRDefault="00CF50B1" w:rsidP="00252095">
      <w:pPr>
        <w:keepNext/>
        <w:rPr>
          <w:lang w:val="en-GB"/>
        </w:rPr>
      </w:pPr>
    </w:p>
    <w:p w:rsidR="00E75595" w:rsidRPr="00E949D7" w:rsidRDefault="00E75595" w:rsidP="00E338A4">
      <w:pPr>
        <w:keepNext/>
        <w:tabs>
          <w:tab w:val="left" w:pos="1134"/>
        </w:tabs>
        <w:ind w:left="-5"/>
        <w:rPr>
          <w:bCs/>
        </w:rPr>
      </w:pPr>
      <w:r>
        <w:rPr>
          <w:b/>
          <w:bCs/>
        </w:rPr>
        <w:t>Ref.:</w:t>
      </w:r>
      <w:r w:rsidR="00E338A4">
        <w:rPr>
          <w:b/>
          <w:bCs/>
        </w:rPr>
        <w:tab/>
      </w:r>
      <w:r>
        <w:t>COM (2018) 229 final – 2018/0109 (COD)</w:t>
      </w:r>
    </w:p>
    <w:p w:rsidR="00E75595" w:rsidRPr="00FC3741" w:rsidRDefault="00E75595" w:rsidP="00E338A4">
      <w:pPr>
        <w:keepNext/>
        <w:tabs>
          <w:tab w:val="left" w:pos="1134"/>
        </w:tabs>
        <w:ind w:left="-5"/>
      </w:pPr>
      <w:r>
        <w:tab/>
        <w:t>EESC-2018-03230-00-00-AC-TRA</w:t>
      </w:r>
    </w:p>
    <w:p w:rsidR="0004127A" w:rsidRDefault="0004127A" w:rsidP="00252095">
      <w:pPr>
        <w:keepNext/>
        <w:rPr>
          <w:b/>
          <w:lang w:val="en-GB"/>
        </w:rPr>
      </w:pPr>
    </w:p>
    <w:p w:rsidR="00E75595" w:rsidRDefault="00E75595" w:rsidP="00252095">
      <w:pPr>
        <w:keepNext/>
        <w:rPr>
          <w:b/>
        </w:rPr>
      </w:pPr>
      <w:r>
        <w:rPr>
          <w:b/>
        </w:rPr>
        <w:t>Hovedpunkter:</w:t>
      </w:r>
    </w:p>
    <w:p w:rsidR="0004127A" w:rsidRPr="000202C4" w:rsidRDefault="0004127A" w:rsidP="00252095">
      <w:pPr>
        <w:keepNext/>
        <w:rPr>
          <w:iCs/>
          <w:highlight w:val="yellow"/>
          <w:lang w:val="en-GB"/>
        </w:rPr>
      </w:pPr>
    </w:p>
    <w:p w:rsidR="00E75595" w:rsidRDefault="00E75595" w:rsidP="00252095">
      <w:pPr>
        <w:pStyle w:val="ListParagraph"/>
        <w:numPr>
          <w:ilvl w:val="0"/>
          <w:numId w:val="105"/>
        </w:numPr>
        <w:overflowPunct w:val="0"/>
        <w:adjustRightInd w:val="0"/>
        <w:ind w:left="567" w:hanging="567"/>
        <w:textAlignment w:val="baseline"/>
      </w:pPr>
      <w:r>
        <w:t>EØSU støtter overordnet set Kommissionens forslag, der har til formål at omsætte henstilling 16-05 fra Den Internationale Kommission for Bevarelse af Tunfiskebestanden i Atlanterhavet (ICCAT) til EU-ret. Henstillingen fastsætter en flerårig genopretningsplan for sværdfisk i Middelhavet og har til formål er at opnå en biomasse for denne bestand svarende til et maksimalt bæredygtigt udbytte senest i 2031 med en sandsynlighed for at opnå denne målsætning på mindst 60 %.</w:t>
      </w:r>
    </w:p>
    <w:p w:rsidR="00E75595" w:rsidRDefault="00E75595" w:rsidP="00252095">
      <w:pPr>
        <w:overflowPunct w:val="0"/>
        <w:adjustRightInd w:val="0"/>
        <w:ind w:left="567" w:hanging="567"/>
        <w:textAlignment w:val="baseline"/>
      </w:pPr>
    </w:p>
    <w:p w:rsidR="00E75595" w:rsidRDefault="00E75595" w:rsidP="00252095">
      <w:pPr>
        <w:pStyle w:val="ListParagraph"/>
        <w:numPr>
          <w:ilvl w:val="0"/>
          <w:numId w:val="105"/>
        </w:numPr>
        <w:overflowPunct w:val="0"/>
        <w:adjustRightInd w:val="0"/>
        <w:ind w:left="567" w:hanging="567"/>
        <w:textAlignment w:val="baseline"/>
      </w:pPr>
      <w:r>
        <w:t>Udvalget har kunnet konstatere, at Kommissionen ikke har begrænset sig til at omsætte henstillingen fra ICCAT, men derimod har indført en række punkter i sit forslag, der ikke fremgår af henstillingen, og som kan stille EU-fartøjerne dårligere konkurrencemæssigt i forhold til fartøjerne i tredjelande med kyster, såsom Marokko, Algeriet, Tunesien og Tyrkiet, der også anvender denne form for fiskeri. I lyset af dette og med henblik på at undgå mere alvorlige samfundsøkonomiske konsekvenser for europæiske arbejdsgivere og arbejdstagere end i andre lande opfordrer EØSU medlovgiverne til at tage hensyn til udvalgets særlige bemærkninger.</w:t>
      </w:r>
    </w:p>
    <w:p w:rsidR="00E75595" w:rsidRDefault="00E75595" w:rsidP="00252095">
      <w:pPr>
        <w:ind w:left="-567"/>
        <w:rPr>
          <w:b/>
          <w:iCs/>
          <w:highlight w:val="yellow"/>
          <w:u w:val="single"/>
          <w:lang w:val="en-GB"/>
        </w:rPr>
      </w:pPr>
    </w:p>
    <w:p w:rsidR="00E75595" w:rsidRPr="000202C4" w:rsidRDefault="00E75595" w:rsidP="00252095">
      <w:pPr>
        <w:keepNext/>
        <w:tabs>
          <w:tab w:val="left" w:pos="1701"/>
        </w:tabs>
        <w:ind w:left="1701" w:hanging="1701"/>
        <w:rPr>
          <w:i/>
        </w:rPr>
      </w:pPr>
      <w:r>
        <w:rPr>
          <w:b/>
          <w:i/>
        </w:rPr>
        <w:t>Kontaktperson:</w:t>
      </w:r>
      <w:r>
        <w:rPr>
          <w:i/>
        </w:rPr>
        <w:tab/>
        <w:t>Arturo Iniguez</w:t>
      </w:r>
    </w:p>
    <w:p w:rsidR="004033AB" w:rsidRDefault="0004127A" w:rsidP="00252095">
      <w:pPr>
        <w:tabs>
          <w:tab w:val="left" w:pos="1701"/>
        </w:tabs>
        <w:rPr>
          <w:i/>
          <w:iCs/>
        </w:rPr>
      </w:pPr>
      <w:r>
        <w:rPr>
          <w:i/>
          <w:iCs/>
        </w:rPr>
        <w:tab/>
        <w:t>(Tlf.: 00 32 2 546 87 68 – e-mail:</w:t>
      </w:r>
      <w:r>
        <w:rPr>
          <w:i/>
          <w:iCs/>
          <w:color w:val="0000FF"/>
          <w:u w:val="single"/>
        </w:rPr>
        <w:t xml:space="preserve"> </w:t>
      </w:r>
      <w:hyperlink r:id="rId47" w:history="1">
        <w:r>
          <w:rPr>
            <w:rStyle w:val="Hyperlink"/>
            <w:i/>
            <w:iCs/>
          </w:rPr>
          <w:t>Arturo.Iniguez@eesc.europa.eu</w:t>
        </w:r>
      </w:hyperlink>
      <w:r>
        <w:rPr>
          <w:i/>
          <w:iCs/>
        </w:rPr>
        <w:t>)</w:t>
      </w:r>
    </w:p>
    <w:p w:rsidR="00E338A4" w:rsidRDefault="00E338A4">
      <w:pPr>
        <w:spacing w:line="240" w:lineRule="auto"/>
        <w:jc w:val="left"/>
        <w:rPr>
          <w:i/>
          <w:iCs/>
        </w:rPr>
      </w:pPr>
      <w:r>
        <w:rPr>
          <w:i/>
          <w:iCs/>
        </w:rPr>
        <w:br w:type="page"/>
      </w:r>
    </w:p>
    <w:p w:rsidR="00C73832" w:rsidRDefault="00B02D2C" w:rsidP="00252095">
      <w:pPr>
        <w:pStyle w:val="Heading1"/>
        <w:keepNext/>
        <w:ind w:left="567" w:hanging="567"/>
        <w:rPr>
          <w:b/>
          <w:caps/>
        </w:rPr>
      </w:pPr>
      <w:bookmarkStart w:id="995" w:name="_Toc527019938"/>
      <w:r>
        <w:rPr>
          <w:b/>
          <w:caps/>
        </w:rPr>
        <w:lastRenderedPageBreak/>
        <w:t>Beskæftigelse, Sociale Spørgsmål og Unionsborgerskab</w:t>
      </w:r>
      <w:bookmarkEnd w:id="995"/>
    </w:p>
    <w:p w:rsidR="00435BBC" w:rsidRPr="000202C4" w:rsidRDefault="00435BBC" w:rsidP="00252095">
      <w:pPr>
        <w:keepNext/>
      </w:pPr>
    </w:p>
    <w:p w:rsidR="00E75595" w:rsidRPr="00AB524F" w:rsidRDefault="00E75595" w:rsidP="00252095">
      <w:pPr>
        <w:keepNext/>
        <w:numPr>
          <w:ilvl w:val="0"/>
          <w:numId w:val="94"/>
        </w:numPr>
        <w:overflowPunct w:val="0"/>
        <w:autoSpaceDE w:val="0"/>
        <w:autoSpaceDN w:val="0"/>
        <w:adjustRightInd w:val="0"/>
        <w:ind w:left="567" w:hanging="567"/>
        <w:textAlignment w:val="baseline"/>
        <w:rPr>
          <w:sz w:val="24"/>
          <w:szCs w:val="24"/>
        </w:rPr>
      </w:pPr>
      <w:r>
        <w:rPr>
          <w:b/>
          <w:bCs/>
          <w:i/>
          <w:iCs/>
          <w:sz w:val="28"/>
          <w:szCs w:val="28"/>
        </w:rPr>
        <w:t>En europæisk arbejdsmarkedsmyndighed</w:t>
      </w:r>
    </w:p>
    <w:p w:rsidR="00E75595" w:rsidRPr="00AB524F" w:rsidRDefault="00E75595" w:rsidP="00252095">
      <w:pPr>
        <w:keepNext/>
        <w:tabs>
          <w:tab w:val="center" w:pos="284"/>
        </w:tabs>
        <w:ind w:left="266" w:hanging="266"/>
        <w:rPr>
          <w:b/>
          <w:lang w:val="fr-FR"/>
        </w:rPr>
      </w:pPr>
    </w:p>
    <w:p w:rsidR="00E75595" w:rsidRPr="00AB524F" w:rsidRDefault="00E75595" w:rsidP="00E338A4">
      <w:pPr>
        <w:keepNext/>
        <w:tabs>
          <w:tab w:val="center" w:pos="284"/>
          <w:tab w:val="left" w:pos="1134"/>
        </w:tabs>
        <w:ind w:left="266" w:hanging="266"/>
      </w:pPr>
      <w:r>
        <w:rPr>
          <w:b/>
        </w:rPr>
        <w:t>Ordfører:</w:t>
      </w:r>
      <w:r>
        <w:tab/>
        <w:t>Carlos Manuel Trindade (Arbejdstagergruppen – PT)</w:t>
      </w:r>
    </w:p>
    <w:p w:rsidR="00E75595" w:rsidRPr="00AB524F" w:rsidRDefault="00E75595" w:rsidP="00E338A4">
      <w:pPr>
        <w:keepNext/>
        <w:tabs>
          <w:tab w:val="center" w:pos="284"/>
          <w:tab w:val="left" w:pos="1134"/>
          <w:tab w:val="left" w:pos="1985"/>
        </w:tabs>
        <w:ind w:left="266" w:hanging="266"/>
        <w:rPr>
          <w:b/>
          <w:lang w:val="fr-FR"/>
        </w:rPr>
      </w:pPr>
    </w:p>
    <w:p w:rsidR="00E75595" w:rsidRPr="000B3D81" w:rsidRDefault="008943D8" w:rsidP="00E338A4">
      <w:pPr>
        <w:keepNext/>
        <w:tabs>
          <w:tab w:val="center" w:pos="284"/>
          <w:tab w:val="left" w:pos="1134"/>
        </w:tabs>
        <w:ind w:left="266" w:hanging="266"/>
      </w:pPr>
      <w:r>
        <w:rPr>
          <w:b/>
        </w:rPr>
        <w:t>Ref.:</w:t>
      </w:r>
      <w:r w:rsidR="00E338A4">
        <w:rPr>
          <w:b/>
        </w:rPr>
        <w:tab/>
      </w:r>
      <w:r>
        <w:t>COM(2018) 131 final – 2018/0064 (COD)</w:t>
      </w:r>
    </w:p>
    <w:p w:rsidR="00E75595" w:rsidRPr="00AB524F" w:rsidRDefault="00E338A4" w:rsidP="00E338A4">
      <w:pPr>
        <w:keepNext/>
      </w:pPr>
      <w:r>
        <w:tab/>
      </w:r>
      <w:r>
        <w:tab/>
      </w:r>
      <w:r w:rsidR="00E75595">
        <w:t>EESC-2018-01490-00-00-AC-TRA</w:t>
      </w:r>
    </w:p>
    <w:p w:rsidR="00E75595" w:rsidRPr="00AB524F" w:rsidRDefault="00E75595" w:rsidP="00252095">
      <w:pPr>
        <w:keepNext/>
        <w:tabs>
          <w:tab w:val="center" w:pos="284"/>
        </w:tabs>
        <w:ind w:left="266" w:hanging="266"/>
        <w:rPr>
          <w:lang w:val="fr-FR"/>
        </w:rPr>
      </w:pPr>
    </w:p>
    <w:p w:rsidR="00E75595" w:rsidRDefault="00E75595" w:rsidP="00252095">
      <w:pPr>
        <w:keepNext/>
        <w:tabs>
          <w:tab w:val="center" w:pos="284"/>
        </w:tabs>
        <w:ind w:left="266" w:hanging="266"/>
        <w:rPr>
          <w:b/>
        </w:rPr>
      </w:pPr>
      <w:r>
        <w:rPr>
          <w:b/>
        </w:rPr>
        <w:t>Hovedpunkter:</w:t>
      </w:r>
    </w:p>
    <w:p w:rsidR="00E75595" w:rsidRDefault="00E75595" w:rsidP="00252095">
      <w:pPr>
        <w:keepNext/>
        <w:ind w:left="567" w:hanging="567"/>
        <w:rPr>
          <w:szCs w:val="24"/>
          <w:lang w:val="fr-FR"/>
        </w:rPr>
      </w:pPr>
    </w:p>
    <w:p w:rsidR="00E75595" w:rsidRDefault="00E75595" w:rsidP="00252095">
      <w:pPr>
        <w:pStyle w:val="Footer"/>
        <w:numPr>
          <w:ilvl w:val="0"/>
          <w:numId w:val="94"/>
        </w:numPr>
        <w:overflowPunct w:val="0"/>
        <w:autoSpaceDE w:val="0"/>
        <w:autoSpaceDN w:val="0"/>
        <w:adjustRightInd w:val="0"/>
        <w:ind w:left="567" w:hanging="567"/>
        <w:textAlignment w:val="baseline"/>
      </w:pPr>
      <w:r>
        <w:t>EØSU mener, at Kommissionens forslag til forordning om oprettelse af en europæisk arbejdsmarkedsmyndighed (arbejdsmarkedsmyndigheden) er, hvis gennemført korrekt, et vigtigt skridt i den rigtige retning for at forbedre den grænseoverskridende mobilitet, håndhæve den europæiske og nationale lovgivning, fremme samarbejdet mellem de nationale arbejdsmarkedsmyndigheder, forbedre adgangen til tilstrækkelige og aktuelle oplysninger, bekæmpe ulovligheder og styrke det indre marked, forudsat at arbejdsmarkedsmyndigheden respekterer de nationale og europæiske kompetencer, og medlemsstaterne samarbejder og bakker op herom.</w:t>
      </w:r>
    </w:p>
    <w:p w:rsidR="00E75595" w:rsidRDefault="00E75595" w:rsidP="00252095">
      <w:pPr>
        <w:pStyle w:val="Footer"/>
        <w:ind w:left="567" w:hanging="567"/>
      </w:pPr>
    </w:p>
    <w:p w:rsidR="00E75595" w:rsidRDefault="00E75595" w:rsidP="00252095">
      <w:pPr>
        <w:pStyle w:val="Footer"/>
        <w:numPr>
          <w:ilvl w:val="0"/>
          <w:numId w:val="94"/>
        </w:numPr>
        <w:overflowPunct w:val="0"/>
        <w:autoSpaceDE w:val="0"/>
        <w:autoSpaceDN w:val="0"/>
        <w:adjustRightInd w:val="0"/>
        <w:ind w:left="567" w:hanging="567"/>
        <w:textAlignment w:val="baseline"/>
      </w:pPr>
      <w:r>
        <w:t>Udvalget støtter Kommissionens initiativ, som skal hjælpe med til at løse problemerne i forbindelse med grænseoverskridende mobilitet. Udvalget bemærker, at Kommissionen stiller forslag om en forordning om oprettelse af en europæisk arbejdsmarkedsmyndighed og understreger, at der på afbalanceret vis er blevet etableret et struktureret samarbejde mellem medlemsstaterne med henblik på at finde innovative løsninger og merværdi for virksomheder, arbejdstagere, nationale myndigheder og arbejdstilsyn under overholdelse af nærhedsprincippet.</w:t>
      </w:r>
    </w:p>
    <w:p w:rsidR="00E75595" w:rsidRDefault="00E75595" w:rsidP="00252095">
      <w:pPr>
        <w:pStyle w:val="Footer"/>
        <w:ind w:left="567" w:hanging="567"/>
      </w:pPr>
    </w:p>
    <w:p w:rsidR="00E75595" w:rsidRDefault="00E75595" w:rsidP="00252095">
      <w:pPr>
        <w:pStyle w:val="Footer"/>
        <w:numPr>
          <w:ilvl w:val="0"/>
          <w:numId w:val="94"/>
        </w:numPr>
        <w:overflowPunct w:val="0"/>
        <w:autoSpaceDE w:val="0"/>
        <w:autoSpaceDN w:val="0"/>
        <w:adjustRightInd w:val="0"/>
        <w:ind w:left="567" w:hanging="567"/>
        <w:textAlignment w:val="baseline"/>
      </w:pPr>
      <w:r>
        <w:t>Generelt er EØSU enigt i Kommissionens bestræbelser på at forbedre det grænseoverskridende samarbejde og forebygge ulovlig praksis.</w:t>
      </w:r>
    </w:p>
    <w:p w:rsidR="00E75595" w:rsidRDefault="00E75595" w:rsidP="00252095">
      <w:pPr>
        <w:pStyle w:val="Footer"/>
        <w:ind w:left="567" w:hanging="567"/>
      </w:pPr>
    </w:p>
    <w:p w:rsidR="00E75595" w:rsidRPr="00C545A1" w:rsidRDefault="00E75595" w:rsidP="00252095">
      <w:pPr>
        <w:pStyle w:val="Footer"/>
        <w:numPr>
          <w:ilvl w:val="0"/>
          <w:numId w:val="94"/>
        </w:numPr>
        <w:overflowPunct w:val="0"/>
        <w:autoSpaceDE w:val="0"/>
        <w:autoSpaceDN w:val="0"/>
        <w:adjustRightInd w:val="0"/>
        <w:ind w:left="567" w:hanging="567"/>
        <w:textAlignment w:val="baseline"/>
      </w:pPr>
      <w:r>
        <w:t>ESØU anbefaler mere specifikt, at Kommissionen er særligt opmærksom, når den integrerer de respektive organer i den europæiske arbejdsmarkedsmyndighed, så man udnytter de indhøstede erfaringer og know-how, og så man sikrer, at der ingen overlapninger er med andre instrumenter og strukturer, i sidste ende for at sikre, at den europæiske arbejdsmarkedsmyndighed bliver mere effektiv. Det er vigtigt at sikre arbejdsmarkedsmyndighedens uafhængighed gennem tildeling af egne ressourcer, så den kan udføre sine opgaver. EØSU advarer dog mod, at arbejdsmarkedsmyndigheden kan komme i en situation, hvor den har for få ressourcer, hvilket kan bringe dens effektivitet i fare. Samtidig med at man noterer sig disse betænkeligheder, hvoraf nogle vedrører dens lønsomhed, er det således vigtigt at garantere, at myndighedens ressourcer forvaltes ordentligt.</w:t>
      </w:r>
    </w:p>
    <w:p w:rsidR="00E75595" w:rsidRPr="00C545A1" w:rsidRDefault="00E75595" w:rsidP="00252095">
      <w:pPr>
        <w:ind w:left="567" w:hanging="567"/>
        <w:outlineLvl w:val="1"/>
      </w:pPr>
    </w:p>
    <w:p w:rsidR="00E75595" w:rsidRPr="008943D8" w:rsidRDefault="00E75595" w:rsidP="00252095">
      <w:pPr>
        <w:pStyle w:val="ListParagraph"/>
        <w:keepNext/>
        <w:keepLines/>
        <w:numPr>
          <w:ilvl w:val="0"/>
          <w:numId w:val="94"/>
        </w:numPr>
        <w:overflowPunct w:val="0"/>
        <w:autoSpaceDE w:val="0"/>
        <w:autoSpaceDN w:val="0"/>
        <w:adjustRightInd w:val="0"/>
        <w:ind w:left="567" w:hanging="567"/>
        <w:textAlignment w:val="baseline"/>
      </w:pPr>
      <w:r>
        <w:lastRenderedPageBreak/>
        <w:t>EØSU fremlægger desuden et forslag om inddragelse af arbejdsmarkedets parter, da udvalget mener, at det vil være lettere at finde løsninger på problemet med grænseoverskridende mobilitet, hvis arbejdsmarkedets parter mere aktivt involveret på europæisk, nationalt og sektormæssigt niveau. Endelig foreslår EØSU, at arbejdsmarkedsmyndighedens gruppe af interesserede parter omdannes til et rådgivende råd for arbejdsmarkedsmyndigheden, og at arbejdsmarkedets parters deltagelse heri styrkes.</w:t>
      </w:r>
    </w:p>
    <w:p w:rsidR="00E75595" w:rsidRPr="00AB524F" w:rsidRDefault="00E75595" w:rsidP="00252095">
      <w:pPr>
        <w:keepNext/>
        <w:keepLines/>
        <w:rPr>
          <w:szCs w:val="24"/>
          <w:lang w:val="fr-FR"/>
        </w:rPr>
      </w:pPr>
    </w:p>
    <w:p w:rsidR="00E75595" w:rsidRPr="000202C4" w:rsidRDefault="00E75595" w:rsidP="00252095">
      <w:pPr>
        <w:keepNext/>
        <w:keepLines/>
        <w:tabs>
          <w:tab w:val="left" w:pos="1701"/>
        </w:tabs>
        <w:ind w:left="1701" w:hanging="1701"/>
        <w:rPr>
          <w:i/>
        </w:rPr>
      </w:pPr>
      <w:r>
        <w:rPr>
          <w:b/>
          <w:i/>
        </w:rPr>
        <w:t>Kontaktperson:</w:t>
      </w:r>
      <w:r>
        <w:rPr>
          <w:i/>
        </w:rPr>
        <w:tab/>
        <w:t>Ana Dumitrache</w:t>
      </w:r>
    </w:p>
    <w:p w:rsidR="00E75595" w:rsidRDefault="008943D8" w:rsidP="00252095">
      <w:pPr>
        <w:keepNext/>
        <w:keepLines/>
        <w:tabs>
          <w:tab w:val="left" w:pos="1701"/>
        </w:tabs>
        <w:rPr>
          <w:i/>
        </w:rPr>
      </w:pPr>
      <w:r>
        <w:rPr>
          <w:i/>
        </w:rPr>
        <w:tab/>
        <w:t xml:space="preserve">(Tlf.: 00 32 2 546 81 31 – e-mail: </w:t>
      </w:r>
      <w:hyperlink r:id="rId48" w:history="1">
        <w:r>
          <w:rPr>
            <w:rStyle w:val="Hyperlink"/>
            <w:i/>
          </w:rPr>
          <w:t>ana.dumitrache@eesc.europa.eu</w:t>
        </w:r>
      </w:hyperlink>
      <w:r>
        <w:rPr>
          <w:i/>
        </w:rPr>
        <w:t>)</w:t>
      </w:r>
    </w:p>
    <w:p w:rsidR="004033AB" w:rsidRPr="008B4546" w:rsidRDefault="004033AB" w:rsidP="00252095">
      <w:pPr>
        <w:rPr>
          <w:b/>
          <w:u w:val="single"/>
          <w:lang w:val="fr-BE"/>
        </w:rPr>
      </w:pPr>
    </w:p>
    <w:p w:rsidR="00E75595" w:rsidRPr="00F107F6" w:rsidRDefault="00E75595" w:rsidP="00252095">
      <w:pPr>
        <w:pStyle w:val="ListParagraph"/>
        <w:keepNext/>
        <w:numPr>
          <w:ilvl w:val="0"/>
          <w:numId w:val="106"/>
        </w:numPr>
        <w:ind w:left="567" w:hanging="567"/>
        <w:rPr>
          <w:b/>
          <w:i/>
          <w:sz w:val="28"/>
          <w:szCs w:val="28"/>
        </w:rPr>
      </w:pPr>
      <w:r>
        <w:rPr>
          <w:b/>
          <w:i/>
          <w:sz w:val="28"/>
          <w:szCs w:val="28"/>
        </w:rPr>
        <w:t>Adgang til social beskyttelse</w:t>
      </w:r>
    </w:p>
    <w:p w:rsidR="00E75595" w:rsidRDefault="00E75595" w:rsidP="00252095">
      <w:pPr>
        <w:keepNext/>
        <w:rPr>
          <w:lang w:val="fr-BE"/>
        </w:rPr>
      </w:pPr>
    </w:p>
    <w:p w:rsidR="00E75595" w:rsidRDefault="00E75595" w:rsidP="00252095">
      <w:pPr>
        <w:keepNext/>
        <w:overflowPunct w:val="0"/>
        <w:autoSpaceDE w:val="0"/>
        <w:autoSpaceDN w:val="0"/>
        <w:adjustRightInd w:val="0"/>
        <w:textAlignment w:val="baseline"/>
        <w:rPr>
          <w:b/>
          <w:color w:val="000000"/>
        </w:rPr>
      </w:pPr>
      <w:r>
        <w:rPr>
          <w:b/>
          <w:szCs w:val="20"/>
        </w:rPr>
        <w:t>Ordfører:</w:t>
      </w:r>
      <w:r w:rsidR="00E338A4">
        <w:rPr>
          <w:b/>
          <w:szCs w:val="20"/>
        </w:rPr>
        <w:tab/>
      </w:r>
      <w:r>
        <w:t>Giulia Barbucci (Arbejdstagergruppen – IT)</w:t>
      </w:r>
    </w:p>
    <w:p w:rsidR="00F107F6" w:rsidRDefault="00F107F6" w:rsidP="00252095">
      <w:pPr>
        <w:keepNext/>
        <w:overflowPunct w:val="0"/>
        <w:autoSpaceDE w:val="0"/>
        <w:autoSpaceDN w:val="0"/>
        <w:adjustRightInd w:val="0"/>
        <w:textAlignment w:val="baseline"/>
        <w:rPr>
          <w:b/>
          <w:szCs w:val="20"/>
          <w:lang w:val="en-GB"/>
        </w:rPr>
      </w:pPr>
    </w:p>
    <w:p w:rsidR="00653245" w:rsidRDefault="00E75595" w:rsidP="00E338A4">
      <w:pPr>
        <w:keepNext/>
        <w:tabs>
          <w:tab w:val="left" w:pos="1134"/>
        </w:tabs>
        <w:overflowPunct w:val="0"/>
        <w:autoSpaceDE w:val="0"/>
        <w:autoSpaceDN w:val="0"/>
        <w:adjustRightInd w:val="0"/>
        <w:textAlignment w:val="baseline"/>
      </w:pPr>
      <w:r>
        <w:rPr>
          <w:b/>
        </w:rPr>
        <w:t>Ref.:</w:t>
      </w:r>
      <w:r>
        <w:tab/>
        <w:t>COM(2018) 132 final</w:t>
      </w:r>
    </w:p>
    <w:p w:rsidR="00E75595" w:rsidRDefault="00A406F3" w:rsidP="00E338A4">
      <w:pPr>
        <w:keepNext/>
        <w:tabs>
          <w:tab w:val="left" w:pos="1134"/>
        </w:tabs>
        <w:overflowPunct w:val="0"/>
        <w:autoSpaceDE w:val="0"/>
        <w:autoSpaceDN w:val="0"/>
        <w:adjustRightInd w:val="0"/>
        <w:textAlignment w:val="baseline"/>
      </w:pPr>
      <w:r>
        <w:rPr>
          <w:b/>
          <w:szCs w:val="20"/>
        </w:rPr>
        <w:tab/>
      </w:r>
      <w:r>
        <w:t>EESC-2018-02514-00-00-AC-TRA</w:t>
      </w:r>
    </w:p>
    <w:p w:rsidR="00435BBC" w:rsidRPr="008B4546" w:rsidRDefault="00435BBC" w:rsidP="00252095">
      <w:pPr>
        <w:keepNext/>
        <w:tabs>
          <w:tab w:val="left" w:pos="1701"/>
        </w:tabs>
        <w:overflowPunct w:val="0"/>
        <w:autoSpaceDE w:val="0"/>
        <w:autoSpaceDN w:val="0"/>
        <w:adjustRightInd w:val="0"/>
        <w:textAlignment w:val="baseline"/>
        <w:rPr>
          <w:b/>
          <w:szCs w:val="20"/>
          <w:lang w:val="en-GB"/>
        </w:rPr>
      </w:pPr>
    </w:p>
    <w:p w:rsidR="00E75595" w:rsidRPr="00E45BB9" w:rsidRDefault="00E75595" w:rsidP="00252095">
      <w:pPr>
        <w:pStyle w:val="ListParagraph"/>
        <w:keepNext/>
        <w:ind w:left="0"/>
      </w:pPr>
      <w:r>
        <w:t>EØSU:</w:t>
      </w:r>
    </w:p>
    <w:p w:rsidR="00E75595" w:rsidRPr="00E45BB9" w:rsidRDefault="00E75595" w:rsidP="00252095">
      <w:pPr>
        <w:pStyle w:val="ListParagraph"/>
        <w:keepNext/>
      </w:pPr>
    </w:p>
    <w:p w:rsidR="00E75595" w:rsidRPr="00E45BB9" w:rsidRDefault="00E75595" w:rsidP="00252095">
      <w:pPr>
        <w:pStyle w:val="ListParagraph"/>
        <w:numPr>
          <w:ilvl w:val="0"/>
          <w:numId w:val="106"/>
        </w:numPr>
        <w:ind w:left="567" w:hanging="567"/>
      </w:pPr>
      <w:r>
        <w:t>mener, at alle bør have ret til et anstændigt liv, social beskyttelse og beskyttelse mod alle større risikofaktorer på arbejdspladsen og gennem hele livet, herunder sundhedsydelser og retten til en værdig pensionisttilværelse. Ordentlig dækning af arbejdstagere i ikkestandardmæssige former for arbejde og af selvstændige vil bidrage til dette mål i tråd med principperne i den europæiske søjle for sociale rettigheder;</w:t>
      </w:r>
    </w:p>
    <w:p w:rsidR="00E75595" w:rsidRPr="00E45BB9" w:rsidRDefault="00E75595" w:rsidP="00252095">
      <w:pPr>
        <w:pStyle w:val="ListParagraph"/>
        <w:ind w:left="567" w:hanging="567"/>
      </w:pPr>
    </w:p>
    <w:p w:rsidR="00E75595" w:rsidRPr="00E45BB9" w:rsidRDefault="00E75595" w:rsidP="00252095">
      <w:pPr>
        <w:pStyle w:val="ListParagraph"/>
        <w:numPr>
          <w:ilvl w:val="0"/>
          <w:numId w:val="106"/>
        </w:numPr>
        <w:ind w:left="567" w:hanging="567"/>
      </w:pPr>
      <w:r>
        <w:t>minder om, at adgang til sociale beskyttelsessystemer er en væsentlig forudsætning for mere retfærdige samfund og afgørende for en produktiv, sund og aktiv arbejdsstyrke;</w:t>
      </w:r>
    </w:p>
    <w:p w:rsidR="00E75595" w:rsidRPr="00E45BB9" w:rsidRDefault="00E75595" w:rsidP="00252095">
      <w:pPr>
        <w:pStyle w:val="ListParagraph"/>
        <w:ind w:left="567" w:hanging="567"/>
      </w:pPr>
    </w:p>
    <w:p w:rsidR="00E75595" w:rsidRPr="00E45BB9" w:rsidRDefault="00E75595" w:rsidP="00252095">
      <w:pPr>
        <w:pStyle w:val="ListParagraph"/>
        <w:numPr>
          <w:ilvl w:val="0"/>
          <w:numId w:val="106"/>
        </w:numPr>
        <w:ind w:left="567" w:hanging="567"/>
      </w:pPr>
      <w:r>
        <w:t>anbefaler, at medlemsstaterne gennemfører henstillingen og i det nødvendige omfang foretager indberetninger om de huller, der er identificeret i konsekvensanalysen, som ledsager henstillingen, og med fuld inddragelse af arbejdsmarkedets parter og det organiserede civilsamfund;</w:t>
      </w:r>
    </w:p>
    <w:p w:rsidR="00E75595" w:rsidRPr="00E45BB9" w:rsidRDefault="00E75595" w:rsidP="00252095">
      <w:pPr>
        <w:pStyle w:val="ListParagraph"/>
        <w:ind w:left="567" w:hanging="567"/>
      </w:pPr>
    </w:p>
    <w:p w:rsidR="00E75595" w:rsidRPr="00E45BB9" w:rsidRDefault="00E75595" w:rsidP="00252095">
      <w:pPr>
        <w:pStyle w:val="ListParagraph"/>
        <w:numPr>
          <w:ilvl w:val="0"/>
          <w:numId w:val="106"/>
        </w:numPr>
        <w:ind w:left="567" w:hanging="567"/>
      </w:pPr>
      <w:r>
        <w:t>bifalder de vigtigste forventede virkninger af gennemførelsen af henstillingen: gensidiggørelsen af risici vil blive forøget, indkomstsikkerheden forbedret, dynamikken på arbejdsmarkedet og produktiviteten øget og ressourceallokeringen forbedret, og den økonomiske usikkerhed og fattigdommen vil blive mindsket for den enkelte borger;</w:t>
      </w:r>
    </w:p>
    <w:p w:rsidR="00E75595" w:rsidRPr="00E45BB9" w:rsidRDefault="00E75595" w:rsidP="00252095">
      <w:pPr>
        <w:pStyle w:val="ListParagraph"/>
        <w:ind w:left="567" w:hanging="567"/>
      </w:pPr>
    </w:p>
    <w:p w:rsidR="00E75595" w:rsidRPr="00E45BB9" w:rsidRDefault="00E75595" w:rsidP="00252095">
      <w:pPr>
        <w:pStyle w:val="ListParagraph"/>
        <w:numPr>
          <w:ilvl w:val="0"/>
          <w:numId w:val="106"/>
        </w:numPr>
        <w:ind w:left="567" w:hanging="567"/>
      </w:pPr>
      <w:r>
        <w:t>henstiller til, at initiativer, der iværksættes inden for rammerne af henstillingen, sikrer passende ydelser og foranstaltninger, herunder sikkerhedsnet for dem, der ikke opfylder minimumskravene for at opnå ret til ydelser, især personer, der er uarbejdsdygtige, og deres familier;</w:t>
      </w:r>
    </w:p>
    <w:p w:rsidR="00E75595" w:rsidRPr="00E45BB9" w:rsidRDefault="00E75595" w:rsidP="00252095">
      <w:pPr>
        <w:pStyle w:val="ListParagraph"/>
        <w:ind w:left="567" w:hanging="567"/>
      </w:pPr>
    </w:p>
    <w:p w:rsidR="00E75595" w:rsidRPr="00E45BB9" w:rsidRDefault="00E75595" w:rsidP="00252095">
      <w:pPr>
        <w:pStyle w:val="ListParagraph"/>
        <w:numPr>
          <w:ilvl w:val="0"/>
          <w:numId w:val="106"/>
        </w:numPr>
        <w:ind w:left="567" w:hanging="567"/>
      </w:pPr>
      <w:r>
        <w:t>anbefaler, at der bør være særlig fokus på alder og køn, når der fastlægges foranstaltninger inden for rammerne af henstillingen;</w:t>
      </w:r>
    </w:p>
    <w:p w:rsidR="00E75595" w:rsidRPr="00E45BB9" w:rsidRDefault="00E75595" w:rsidP="00252095">
      <w:pPr>
        <w:pStyle w:val="ListParagraph"/>
        <w:ind w:left="567" w:hanging="567"/>
      </w:pPr>
    </w:p>
    <w:p w:rsidR="00E75595" w:rsidRPr="00E45BB9" w:rsidRDefault="00E75595" w:rsidP="00252095">
      <w:pPr>
        <w:pStyle w:val="ListParagraph"/>
        <w:numPr>
          <w:ilvl w:val="0"/>
          <w:numId w:val="106"/>
        </w:numPr>
        <w:ind w:left="567" w:hanging="567"/>
      </w:pPr>
      <w:r>
        <w:t>finder, at sociale rettigheder bør kunne overføres, når borgerne skifter mellem forskellige ansættelsesforhold og mellem ordninger, ligesom rettigheder bør kunne aggregeres;</w:t>
      </w:r>
    </w:p>
    <w:p w:rsidR="00E75595" w:rsidRPr="00E45BB9" w:rsidRDefault="00E75595" w:rsidP="00252095">
      <w:pPr>
        <w:pStyle w:val="ListParagraph"/>
        <w:ind w:left="567" w:hanging="567"/>
      </w:pPr>
    </w:p>
    <w:p w:rsidR="00E75595" w:rsidRDefault="00E75595" w:rsidP="00252095">
      <w:pPr>
        <w:pStyle w:val="ListParagraph"/>
        <w:numPr>
          <w:ilvl w:val="0"/>
          <w:numId w:val="106"/>
        </w:numPr>
        <w:ind w:left="567" w:hanging="567"/>
      </w:pPr>
      <w:r>
        <w:t>mener, at der bør gøres noget ved de meget komplekse regler og andre administrative aspekter for at sikre fuld gennemsigtighed. Dette omfatter forbedring af kvaliteten af de statistiske data (opdelt efter ansættelsesforholdets art, alder, køn, invaliditet, nationalitet osv.).</w:t>
      </w:r>
    </w:p>
    <w:p w:rsidR="00E75595" w:rsidRDefault="00E75595" w:rsidP="00252095">
      <w:pPr>
        <w:rPr>
          <w:i/>
          <w:iCs/>
        </w:rPr>
      </w:pPr>
    </w:p>
    <w:p w:rsidR="00E75595" w:rsidRPr="000202C4" w:rsidRDefault="00E75595" w:rsidP="00252095">
      <w:pPr>
        <w:keepNext/>
        <w:tabs>
          <w:tab w:val="left" w:pos="1701"/>
        </w:tabs>
        <w:ind w:left="1701" w:hanging="1701"/>
        <w:rPr>
          <w:i/>
        </w:rPr>
      </w:pPr>
      <w:r>
        <w:rPr>
          <w:b/>
          <w:i/>
        </w:rPr>
        <w:t>Kontaktperson:</w:t>
      </w:r>
      <w:r>
        <w:rPr>
          <w:i/>
        </w:rPr>
        <w:tab/>
        <w:t>June Bedaton</w:t>
      </w:r>
    </w:p>
    <w:p w:rsidR="00E75595" w:rsidRPr="00D37D0A" w:rsidRDefault="00F107F6" w:rsidP="00252095">
      <w:pPr>
        <w:tabs>
          <w:tab w:val="left" w:pos="1701"/>
        </w:tabs>
        <w:overflowPunct w:val="0"/>
        <w:autoSpaceDE w:val="0"/>
        <w:autoSpaceDN w:val="0"/>
        <w:adjustRightInd w:val="0"/>
        <w:textAlignment w:val="baseline"/>
        <w:rPr>
          <w:i/>
          <w:szCs w:val="20"/>
        </w:rPr>
      </w:pPr>
      <w:r>
        <w:rPr>
          <w:i/>
          <w:szCs w:val="20"/>
        </w:rPr>
        <w:tab/>
        <w:t xml:space="preserve">(Tlf.: 00 32 2 546 81 34 – e-mail: </w:t>
      </w:r>
      <w:hyperlink r:id="rId49" w:history="1">
        <w:r>
          <w:rPr>
            <w:rStyle w:val="Hyperlink"/>
            <w:i/>
            <w:szCs w:val="20"/>
          </w:rPr>
          <w:t>june.bedaton@eesc.europa.eu</w:t>
        </w:r>
      </w:hyperlink>
      <w:r>
        <w:rPr>
          <w:i/>
          <w:szCs w:val="20"/>
        </w:rPr>
        <w:t>)</w:t>
      </w:r>
    </w:p>
    <w:p w:rsidR="00E75595" w:rsidRDefault="00E75595" w:rsidP="00252095">
      <w:pPr>
        <w:overflowPunct w:val="0"/>
        <w:autoSpaceDE w:val="0"/>
        <w:autoSpaceDN w:val="0"/>
        <w:adjustRightInd w:val="0"/>
        <w:textAlignment w:val="baseline"/>
        <w:rPr>
          <w:szCs w:val="20"/>
          <w:lang w:val="en-GB"/>
        </w:rPr>
      </w:pPr>
    </w:p>
    <w:p w:rsidR="00E75595" w:rsidRPr="00DF16B0" w:rsidRDefault="00E75595" w:rsidP="00252095">
      <w:pPr>
        <w:keepNext/>
        <w:numPr>
          <w:ilvl w:val="0"/>
          <w:numId w:val="94"/>
        </w:numPr>
        <w:overflowPunct w:val="0"/>
        <w:autoSpaceDE w:val="0"/>
        <w:autoSpaceDN w:val="0"/>
        <w:adjustRightInd w:val="0"/>
        <w:ind w:left="567" w:hanging="567"/>
        <w:textAlignment w:val="baseline"/>
        <w:rPr>
          <w:i/>
          <w:sz w:val="28"/>
          <w:szCs w:val="28"/>
        </w:rPr>
      </w:pPr>
      <w:r>
        <w:rPr>
          <w:b/>
          <w:bCs/>
          <w:i/>
          <w:sz w:val="28"/>
          <w:szCs w:val="28"/>
        </w:rPr>
        <w:t>Revision af visumkodeksen</w:t>
      </w:r>
    </w:p>
    <w:p w:rsidR="00E75595" w:rsidRPr="00DF16B0" w:rsidRDefault="00E75595" w:rsidP="00252095">
      <w:pPr>
        <w:keepNext/>
        <w:tabs>
          <w:tab w:val="center" w:pos="284"/>
        </w:tabs>
        <w:ind w:left="266" w:hanging="266"/>
        <w:rPr>
          <w:b/>
        </w:rPr>
      </w:pPr>
    </w:p>
    <w:p w:rsidR="00E75595" w:rsidRPr="00DF16B0" w:rsidRDefault="00E75595" w:rsidP="00E338A4">
      <w:pPr>
        <w:keepNext/>
        <w:tabs>
          <w:tab w:val="center" w:pos="284"/>
          <w:tab w:val="left" w:pos="1134"/>
        </w:tabs>
        <w:ind w:left="266" w:hanging="266"/>
      </w:pPr>
      <w:r>
        <w:rPr>
          <w:b/>
        </w:rPr>
        <w:t>Ordfører:</w:t>
      </w:r>
      <w:r>
        <w:tab/>
        <w:t>Ionuț Sibian (Gruppen Diversitet Europa – RO)</w:t>
      </w:r>
    </w:p>
    <w:p w:rsidR="00E75595" w:rsidRPr="00DF16B0" w:rsidRDefault="00E75595" w:rsidP="00E338A4">
      <w:pPr>
        <w:keepNext/>
        <w:tabs>
          <w:tab w:val="center" w:pos="284"/>
          <w:tab w:val="left" w:pos="1134"/>
          <w:tab w:val="left" w:pos="1985"/>
        </w:tabs>
        <w:ind w:left="266" w:hanging="266"/>
        <w:rPr>
          <w:b/>
        </w:rPr>
      </w:pPr>
    </w:p>
    <w:p w:rsidR="00F107F6" w:rsidRDefault="00E75595" w:rsidP="00E338A4">
      <w:pPr>
        <w:keepNext/>
        <w:tabs>
          <w:tab w:val="center" w:pos="284"/>
          <w:tab w:val="left" w:pos="1134"/>
        </w:tabs>
        <w:ind w:left="266" w:hanging="266"/>
      </w:pPr>
      <w:r>
        <w:rPr>
          <w:b/>
        </w:rPr>
        <w:t>Ref.:</w:t>
      </w:r>
      <w:r w:rsidR="00E338A4">
        <w:rPr>
          <w:b/>
        </w:rPr>
        <w:tab/>
      </w:r>
      <w:r>
        <w:t>COM(2018) 251 final</w:t>
      </w:r>
    </w:p>
    <w:p w:rsidR="00E75595" w:rsidRPr="00DF16B0" w:rsidRDefault="00F107F6" w:rsidP="00E338A4">
      <w:pPr>
        <w:keepNext/>
        <w:tabs>
          <w:tab w:val="center" w:pos="284"/>
          <w:tab w:val="left" w:pos="1134"/>
        </w:tabs>
        <w:ind w:left="266" w:hanging="266"/>
      </w:pPr>
      <w:r>
        <w:rPr>
          <w:b/>
        </w:rPr>
        <w:tab/>
      </w:r>
      <w:r>
        <w:rPr>
          <w:b/>
        </w:rPr>
        <w:tab/>
      </w:r>
      <w:r>
        <w:rPr>
          <w:b/>
        </w:rPr>
        <w:tab/>
      </w:r>
      <w:r>
        <w:t>COM(2018) 252 final</w:t>
      </w:r>
    </w:p>
    <w:p w:rsidR="00E75595" w:rsidRPr="00DF16B0" w:rsidRDefault="00E338A4" w:rsidP="00E338A4">
      <w:pPr>
        <w:keepNext/>
      </w:pPr>
      <w:r>
        <w:tab/>
      </w:r>
      <w:r>
        <w:tab/>
      </w:r>
      <w:r w:rsidR="00E75595">
        <w:t>EESC-2018-01658-00-00-AC-TRA</w:t>
      </w:r>
    </w:p>
    <w:p w:rsidR="00E75595" w:rsidRPr="00DF16B0" w:rsidRDefault="00E75595" w:rsidP="00252095">
      <w:pPr>
        <w:keepNext/>
        <w:tabs>
          <w:tab w:val="center" w:pos="284"/>
        </w:tabs>
        <w:ind w:left="266" w:hanging="266"/>
      </w:pPr>
    </w:p>
    <w:p w:rsidR="00E75595" w:rsidRDefault="00F107F6" w:rsidP="00252095">
      <w:pPr>
        <w:keepNext/>
        <w:tabs>
          <w:tab w:val="center" w:pos="284"/>
        </w:tabs>
        <w:ind w:left="266" w:hanging="266"/>
        <w:rPr>
          <w:b/>
        </w:rPr>
      </w:pPr>
      <w:r>
        <w:rPr>
          <w:b/>
        </w:rPr>
        <w:t>Hovedpunkter:</w:t>
      </w:r>
    </w:p>
    <w:p w:rsidR="00435BBC" w:rsidRDefault="00435BBC" w:rsidP="00252095">
      <w:pPr>
        <w:keepNext/>
        <w:tabs>
          <w:tab w:val="center" w:pos="284"/>
        </w:tabs>
        <w:ind w:left="266" w:hanging="266"/>
        <w:rPr>
          <w:b/>
        </w:rPr>
      </w:pPr>
    </w:p>
    <w:p w:rsidR="00E75595" w:rsidRPr="00DF16B0" w:rsidRDefault="00E75595" w:rsidP="00252095">
      <w:pPr>
        <w:keepNext/>
      </w:pPr>
      <w:r>
        <w:t>EØSU:</w:t>
      </w:r>
    </w:p>
    <w:p w:rsidR="00E75595" w:rsidRPr="00DF16B0" w:rsidRDefault="00E75595" w:rsidP="00252095">
      <w:pPr>
        <w:pStyle w:val="ListParagraph"/>
        <w:keepNext/>
      </w:pPr>
    </w:p>
    <w:p w:rsidR="00E75595" w:rsidRPr="00DF16B0" w:rsidRDefault="00E75595" w:rsidP="00252095">
      <w:pPr>
        <w:pStyle w:val="ListParagraph"/>
        <w:numPr>
          <w:ilvl w:val="0"/>
          <w:numId w:val="81"/>
        </w:numPr>
        <w:overflowPunct w:val="0"/>
        <w:autoSpaceDE w:val="0"/>
        <w:autoSpaceDN w:val="0"/>
        <w:adjustRightInd w:val="0"/>
        <w:ind w:left="567" w:hanging="567"/>
        <w:textAlignment w:val="baseline"/>
      </w:pPr>
      <w:r>
        <w:t>anerkender, at visumkodeksen er et kerneelement i den fælles visumpolitik, idet den fastsætter et sæt fælles retlige bestemmelser og operationelle instrukser;</w:t>
      </w:r>
    </w:p>
    <w:p w:rsidR="00E75595" w:rsidRPr="00DF16B0" w:rsidRDefault="00E75595" w:rsidP="00252095">
      <w:pPr>
        <w:pStyle w:val="ListParagraph"/>
        <w:ind w:left="567" w:hanging="567"/>
      </w:pPr>
    </w:p>
    <w:p w:rsidR="00E75595" w:rsidRPr="00DF16B0" w:rsidRDefault="00E75595" w:rsidP="00252095">
      <w:pPr>
        <w:pStyle w:val="ListParagraph"/>
        <w:numPr>
          <w:ilvl w:val="0"/>
          <w:numId w:val="81"/>
        </w:numPr>
        <w:overflowPunct w:val="0"/>
        <w:autoSpaceDE w:val="0"/>
        <w:autoSpaceDN w:val="0"/>
        <w:adjustRightInd w:val="0"/>
        <w:ind w:left="567" w:hanging="567"/>
        <w:textAlignment w:val="baseline"/>
      </w:pPr>
      <w:r>
        <w:t>støtter forslagene til harmoniserede procedurer og betingelser, der fastsættes i visumkodeksen, og som giver mulighed for at undgå situationer, hvor sager, der minder om hinanden, behandles forskelligt af EU's medlemsstater, samtidig med at man giver mulighed for en differentieret behandling på grundlag af "visum-historikken";</w:t>
      </w:r>
    </w:p>
    <w:p w:rsidR="00E75595" w:rsidRPr="00DF16B0" w:rsidRDefault="00E75595" w:rsidP="00252095">
      <w:pPr>
        <w:pStyle w:val="ListParagraph"/>
        <w:ind w:left="567" w:hanging="567"/>
      </w:pPr>
    </w:p>
    <w:p w:rsidR="00E75595" w:rsidRPr="00DF16B0" w:rsidRDefault="00E75595" w:rsidP="00252095">
      <w:pPr>
        <w:pStyle w:val="ListParagraph"/>
        <w:numPr>
          <w:ilvl w:val="0"/>
          <w:numId w:val="81"/>
        </w:numPr>
        <w:overflowPunct w:val="0"/>
        <w:autoSpaceDE w:val="0"/>
        <w:autoSpaceDN w:val="0"/>
        <w:adjustRightInd w:val="0"/>
        <w:ind w:left="567" w:hanging="567"/>
        <w:textAlignment w:val="baseline"/>
      </w:pPr>
      <w:r>
        <w:t>glæder sig over den harmoniserede løsning for visa til flere indrejser, som vil give indehaverne mulighed for at rejse til EU gentagne gange i visummets gyldighedsperiode, eftersom dette vil bidrage til økonomisk vækst, kulturel og social udvikling og udveksling. Visa til en enkelt indrejse, der skal udstedes ved de ydre grænser, og som medtages for at fremme turisme med korte ophold, er tegn på medlemsstaternes fleksibilitet og pragmatiske tilgang;</w:t>
      </w:r>
    </w:p>
    <w:p w:rsidR="00E75595" w:rsidRPr="00DF16B0" w:rsidRDefault="00E75595" w:rsidP="00252095">
      <w:pPr>
        <w:pStyle w:val="ListParagraph"/>
        <w:ind w:left="567" w:hanging="567"/>
      </w:pPr>
    </w:p>
    <w:p w:rsidR="00E75595" w:rsidRPr="00DF16B0" w:rsidRDefault="00E75595" w:rsidP="00252095">
      <w:pPr>
        <w:pStyle w:val="ListParagraph"/>
        <w:numPr>
          <w:ilvl w:val="0"/>
          <w:numId w:val="81"/>
        </w:numPr>
        <w:overflowPunct w:val="0"/>
        <w:autoSpaceDE w:val="0"/>
        <w:autoSpaceDN w:val="0"/>
        <w:adjustRightInd w:val="0"/>
        <w:ind w:left="567" w:hanging="567"/>
        <w:textAlignment w:val="baseline"/>
      </w:pPr>
      <w:r>
        <w:t>maner til forsigtighed ved beslutningen om den løbende opjustering af de foreslåede visumgebyrer. Opjusteringen bør ikke ske automatisk, eftersom den foreslåede pris allerede er høj sammenlignet med vækst-/udviklingsniveauet i nogle af de pågældende tredjelande;</w:t>
      </w:r>
    </w:p>
    <w:p w:rsidR="00E75595" w:rsidRPr="00DF16B0" w:rsidRDefault="00E75595" w:rsidP="00252095">
      <w:pPr>
        <w:pStyle w:val="ListParagraph"/>
        <w:ind w:left="567" w:hanging="567"/>
      </w:pPr>
    </w:p>
    <w:p w:rsidR="00E75595" w:rsidRPr="00DF16B0" w:rsidRDefault="00E75595" w:rsidP="00252095">
      <w:pPr>
        <w:pStyle w:val="ListParagraph"/>
        <w:numPr>
          <w:ilvl w:val="0"/>
          <w:numId w:val="81"/>
        </w:numPr>
        <w:overflowPunct w:val="0"/>
        <w:autoSpaceDE w:val="0"/>
        <w:autoSpaceDN w:val="0"/>
        <w:adjustRightInd w:val="0"/>
        <w:ind w:left="567" w:hanging="567"/>
        <w:textAlignment w:val="baseline"/>
      </w:pPr>
      <w:r>
        <w:t>er tilhænger af ændringer af visumkodeksen, der vedrører den supplerende mulighed for at udfylde og underskrive ansøgningsformularen elektronisk, så proceduren bringes i overensstemmelse med den teknologiske udvikling, og tilskynder alle medlemsstater til at gennemføre de nødvendige opdateringer/ændringer for at understøtte denne onlineprocedure;</w:t>
      </w:r>
    </w:p>
    <w:p w:rsidR="00E75595" w:rsidRPr="00DF16B0" w:rsidRDefault="00E75595" w:rsidP="00252095">
      <w:pPr>
        <w:pStyle w:val="ListParagraph"/>
        <w:ind w:left="567" w:hanging="567"/>
      </w:pPr>
    </w:p>
    <w:p w:rsidR="00E75595" w:rsidRPr="00DF16B0" w:rsidRDefault="00E75595" w:rsidP="00252095">
      <w:pPr>
        <w:pStyle w:val="ListParagraph"/>
        <w:numPr>
          <w:ilvl w:val="0"/>
          <w:numId w:val="81"/>
        </w:numPr>
        <w:overflowPunct w:val="0"/>
        <w:autoSpaceDE w:val="0"/>
        <w:autoSpaceDN w:val="0"/>
        <w:adjustRightInd w:val="0"/>
        <w:ind w:left="567" w:hanging="567"/>
        <w:textAlignment w:val="baseline"/>
        <w:rPr>
          <w:szCs w:val="24"/>
        </w:rPr>
      </w:pPr>
      <w:r>
        <w:t>mener, at man bør stræbe efter, at visumansøgninger skal kunne indgives på den mest praktiske og hurtige måde fra visumansøgerens bopæl, hvilket om nødvendigt omfatter øget brug af eksterne tjenesteudbydere og tilvejebringelse af bedre repræsentationstjenester samt øget samarbejde mellem de diplomatiske repræsentationer i EU-medlemsstaterne.</w:t>
      </w:r>
    </w:p>
    <w:p w:rsidR="00E75595" w:rsidRPr="00DF16B0" w:rsidRDefault="00E75595" w:rsidP="00252095">
      <w:pPr>
        <w:rPr>
          <w:b/>
          <w:i/>
        </w:rPr>
      </w:pPr>
    </w:p>
    <w:p w:rsidR="00E75595" w:rsidRPr="001B06D8" w:rsidRDefault="00E75595" w:rsidP="00252095">
      <w:pPr>
        <w:keepNext/>
        <w:tabs>
          <w:tab w:val="left" w:pos="1701"/>
        </w:tabs>
        <w:ind w:left="1701" w:hanging="1701"/>
        <w:rPr>
          <w:i/>
        </w:rPr>
      </w:pPr>
      <w:r>
        <w:rPr>
          <w:b/>
          <w:i/>
        </w:rPr>
        <w:t>Kontaktperson:</w:t>
      </w:r>
      <w:r>
        <w:rPr>
          <w:i/>
        </w:rPr>
        <w:tab/>
        <w:t>Triin Aasmaa</w:t>
      </w:r>
    </w:p>
    <w:p w:rsidR="00E75595" w:rsidRDefault="00F107F6" w:rsidP="00252095">
      <w:pPr>
        <w:tabs>
          <w:tab w:val="left" w:pos="1701"/>
        </w:tabs>
        <w:rPr>
          <w:i/>
        </w:rPr>
      </w:pPr>
      <w:r>
        <w:rPr>
          <w:i/>
        </w:rPr>
        <w:tab/>
        <w:t xml:space="preserve">(Tlf.: 00 32 2 546 95 24 – e-mail: </w:t>
      </w:r>
      <w:hyperlink r:id="rId50" w:history="1">
        <w:r>
          <w:rPr>
            <w:rStyle w:val="Hyperlink"/>
            <w:i/>
          </w:rPr>
          <w:t>triin.aasmaa@eesc.europa.eu</w:t>
        </w:r>
      </w:hyperlink>
      <w:r>
        <w:rPr>
          <w:i/>
        </w:rPr>
        <w:t>)</w:t>
      </w:r>
    </w:p>
    <w:p w:rsidR="004033AB" w:rsidRPr="00AB524F" w:rsidRDefault="004033AB" w:rsidP="00252095">
      <w:pPr>
        <w:rPr>
          <w:i/>
          <w:iCs/>
          <w:u w:val="single"/>
          <w:lang w:val="fr-FR"/>
        </w:rPr>
      </w:pPr>
    </w:p>
    <w:p w:rsidR="00E75595" w:rsidRPr="00AB524F" w:rsidRDefault="00E75595" w:rsidP="00252095">
      <w:pPr>
        <w:keepNext/>
        <w:numPr>
          <w:ilvl w:val="0"/>
          <w:numId w:val="94"/>
        </w:numPr>
        <w:overflowPunct w:val="0"/>
        <w:autoSpaceDE w:val="0"/>
        <w:autoSpaceDN w:val="0"/>
        <w:adjustRightInd w:val="0"/>
        <w:ind w:left="567" w:hanging="567"/>
        <w:textAlignment w:val="baseline"/>
        <w:rPr>
          <w:sz w:val="24"/>
          <w:szCs w:val="24"/>
        </w:rPr>
      </w:pPr>
      <w:r>
        <w:rPr>
          <w:b/>
          <w:bCs/>
          <w:i/>
          <w:iCs/>
          <w:sz w:val="28"/>
          <w:szCs w:val="28"/>
        </w:rPr>
        <w:t>Den kønsbestemte digitale kløft</w:t>
      </w:r>
    </w:p>
    <w:p w:rsidR="00E75595" w:rsidRPr="00AB524F" w:rsidRDefault="00E75595" w:rsidP="00252095">
      <w:pPr>
        <w:keepNext/>
        <w:tabs>
          <w:tab w:val="center" w:pos="284"/>
        </w:tabs>
        <w:ind w:left="266" w:hanging="266"/>
        <w:rPr>
          <w:b/>
          <w:lang w:val="fr-FR"/>
        </w:rPr>
      </w:pPr>
    </w:p>
    <w:p w:rsidR="00E75595" w:rsidRPr="00AB524F" w:rsidRDefault="00E75595" w:rsidP="00E338A4">
      <w:pPr>
        <w:keepNext/>
        <w:tabs>
          <w:tab w:val="center" w:pos="284"/>
          <w:tab w:val="left" w:pos="1134"/>
        </w:tabs>
        <w:ind w:left="266" w:hanging="266"/>
      </w:pPr>
      <w:r>
        <w:rPr>
          <w:b/>
        </w:rPr>
        <w:t>Ordfører:</w:t>
      </w:r>
      <w:r>
        <w:tab/>
        <w:t>Giulia Barbucci (Arbejdstagergruppen – IT)</w:t>
      </w:r>
    </w:p>
    <w:p w:rsidR="00E75595" w:rsidRPr="00AB524F" w:rsidRDefault="00E75595" w:rsidP="00E338A4">
      <w:pPr>
        <w:keepNext/>
        <w:tabs>
          <w:tab w:val="center" w:pos="284"/>
          <w:tab w:val="left" w:pos="1134"/>
          <w:tab w:val="left" w:pos="1985"/>
        </w:tabs>
        <w:ind w:left="266" w:hanging="266"/>
        <w:rPr>
          <w:b/>
          <w:lang w:val="fr-FR"/>
        </w:rPr>
      </w:pPr>
    </w:p>
    <w:p w:rsidR="00A406F3" w:rsidRDefault="00F107F6" w:rsidP="00E338A4">
      <w:pPr>
        <w:keepNext/>
        <w:tabs>
          <w:tab w:val="center" w:pos="284"/>
          <w:tab w:val="left" w:pos="1134"/>
        </w:tabs>
        <w:ind w:left="266" w:hanging="266"/>
      </w:pPr>
      <w:r>
        <w:rPr>
          <w:b/>
        </w:rPr>
        <w:t>Ref.:</w:t>
      </w:r>
      <w:r w:rsidR="00E338A4">
        <w:rPr>
          <w:b/>
        </w:rPr>
        <w:tab/>
      </w:r>
      <w:r>
        <w:t>Sonderende udtalelse på anmodning af Europa-Parlamentet</w:t>
      </w:r>
    </w:p>
    <w:p w:rsidR="00E75595" w:rsidRPr="00AB524F" w:rsidRDefault="00A406F3" w:rsidP="00E338A4">
      <w:pPr>
        <w:keepNext/>
        <w:tabs>
          <w:tab w:val="center" w:pos="284"/>
          <w:tab w:val="left" w:pos="1134"/>
        </w:tabs>
        <w:ind w:left="266" w:hanging="266"/>
      </w:pPr>
      <w:r>
        <w:rPr>
          <w:b/>
        </w:rPr>
        <w:tab/>
      </w:r>
      <w:r>
        <w:rPr>
          <w:b/>
        </w:rPr>
        <w:tab/>
      </w:r>
      <w:r>
        <w:rPr>
          <w:b/>
        </w:rPr>
        <w:tab/>
      </w:r>
      <w:r>
        <w:t>EESC-2018-02156-00-00-AC-TRA</w:t>
      </w:r>
    </w:p>
    <w:p w:rsidR="00E75595" w:rsidRPr="00AB524F" w:rsidRDefault="00E75595" w:rsidP="00252095">
      <w:pPr>
        <w:keepNext/>
        <w:tabs>
          <w:tab w:val="center" w:pos="284"/>
        </w:tabs>
        <w:ind w:left="266" w:hanging="266"/>
        <w:rPr>
          <w:lang w:val="fr-FR"/>
        </w:rPr>
      </w:pPr>
    </w:p>
    <w:p w:rsidR="00E75595" w:rsidRPr="00AB524F" w:rsidRDefault="00E75595" w:rsidP="00252095">
      <w:pPr>
        <w:keepNext/>
        <w:tabs>
          <w:tab w:val="center" w:pos="284"/>
        </w:tabs>
        <w:ind w:left="266" w:hanging="266"/>
        <w:rPr>
          <w:b/>
        </w:rPr>
      </w:pPr>
      <w:r>
        <w:rPr>
          <w:b/>
        </w:rPr>
        <w:t>Hovedpunkter:</w:t>
      </w:r>
    </w:p>
    <w:p w:rsidR="00E75595" w:rsidRPr="000202C4" w:rsidRDefault="00E75595" w:rsidP="00252095">
      <w:pPr>
        <w:keepNext/>
        <w:tabs>
          <w:tab w:val="center" w:pos="284"/>
        </w:tabs>
        <w:ind w:left="266" w:hanging="266"/>
        <w:rPr>
          <w:lang w:val="fr-FR"/>
        </w:rPr>
      </w:pPr>
    </w:p>
    <w:p w:rsidR="00E75595" w:rsidRPr="00F107F6" w:rsidRDefault="00E75595" w:rsidP="00252095">
      <w:pPr>
        <w:pStyle w:val="ListParagraph"/>
        <w:numPr>
          <w:ilvl w:val="0"/>
          <w:numId w:val="94"/>
        </w:numPr>
        <w:ind w:left="567" w:hanging="567"/>
        <w:rPr>
          <w:color w:val="000000"/>
        </w:rPr>
      </w:pPr>
      <w:r>
        <w:rPr>
          <w:color w:val="000000"/>
        </w:rPr>
        <w:t>Der er mange årsager til den kønsbestemte digitale kløft. Det anbefales at anvende en tværfaglig tilgang, som samler de forskellige innovationsaspekter (teknologiske, sociale, kulturelle osv.).</w:t>
      </w:r>
    </w:p>
    <w:p w:rsidR="00E75595" w:rsidRPr="00567039" w:rsidRDefault="00E75595" w:rsidP="00252095">
      <w:pPr>
        <w:ind w:left="567" w:hanging="567"/>
        <w:rPr>
          <w:color w:val="000000"/>
        </w:rPr>
      </w:pPr>
    </w:p>
    <w:p w:rsidR="00E75595" w:rsidRPr="00F107F6" w:rsidRDefault="00E75595" w:rsidP="00252095">
      <w:pPr>
        <w:pStyle w:val="ListParagraph"/>
        <w:numPr>
          <w:ilvl w:val="0"/>
          <w:numId w:val="94"/>
        </w:numPr>
        <w:ind w:left="567" w:hanging="567"/>
        <w:rPr>
          <w:color w:val="000000"/>
        </w:rPr>
      </w:pPr>
      <w:r>
        <w:rPr>
          <w:color w:val="000000"/>
        </w:rPr>
        <w:t>Det er vigtigt at styrke de digitale færdigheder hos piger og øge antallet af kvinder i STEM- og IKT-studier. Flere kvindelige digitale rollemodeller er af afgørende betydning for at overvinde stereotyper.</w:t>
      </w:r>
    </w:p>
    <w:p w:rsidR="00E75595" w:rsidRPr="00567039" w:rsidRDefault="00E75595" w:rsidP="00252095">
      <w:pPr>
        <w:ind w:left="567" w:hanging="567"/>
        <w:rPr>
          <w:color w:val="000000"/>
        </w:rPr>
      </w:pPr>
    </w:p>
    <w:p w:rsidR="00E75595" w:rsidRPr="00F107F6" w:rsidRDefault="00E75595" w:rsidP="00252095">
      <w:pPr>
        <w:pStyle w:val="ListParagraph"/>
        <w:numPr>
          <w:ilvl w:val="0"/>
          <w:numId w:val="94"/>
        </w:numPr>
        <w:ind w:left="567" w:hanging="567"/>
        <w:rPr>
          <w:color w:val="000000"/>
        </w:rPr>
      </w:pPr>
      <w:r>
        <w:rPr>
          <w:color w:val="000000"/>
        </w:rPr>
        <w:t>Det er nødvendigt at opmuntre kvinder til at varetage tekniske jobs og høje stillinger ved at overvinde de uddannelses- og erhvervsmæssige barrierer og garantere livslang digital læring for kvinder.</w:t>
      </w:r>
    </w:p>
    <w:p w:rsidR="00E75595" w:rsidRPr="00567039" w:rsidRDefault="00E75595" w:rsidP="00252095">
      <w:pPr>
        <w:ind w:left="567" w:hanging="567"/>
        <w:rPr>
          <w:color w:val="000000"/>
        </w:rPr>
      </w:pPr>
    </w:p>
    <w:p w:rsidR="00E75595" w:rsidRPr="00F107F6" w:rsidRDefault="00E75595" w:rsidP="00252095">
      <w:pPr>
        <w:pStyle w:val="ListParagraph"/>
        <w:numPr>
          <w:ilvl w:val="0"/>
          <w:numId w:val="108"/>
        </w:numPr>
        <w:ind w:left="567" w:hanging="567"/>
        <w:rPr>
          <w:color w:val="000000"/>
        </w:rPr>
      </w:pPr>
      <w:r>
        <w:rPr>
          <w:color w:val="000000"/>
        </w:rPr>
        <w:t>Hvis spiralen med feminisering af fattigdom skal forebygges, kræver det, at retfærdige arbejdsvilkår og adgang til social beskyttelse garanteres for kvinder.</w:t>
      </w:r>
    </w:p>
    <w:p w:rsidR="00E75595" w:rsidRPr="00256031" w:rsidRDefault="00E75595" w:rsidP="00252095">
      <w:pPr>
        <w:ind w:left="567" w:hanging="567"/>
        <w:contextualSpacing/>
        <w:rPr>
          <w:color w:val="000000"/>
        </w:rPr>
      </w:pPr>
    </w:p>
    <w:p w:rsidR="00E75595" w:rsidRPr="00F107F6" w:rsidRDefault="00E75595" w:rsidP="00252095">
      <w:pPr>
        <w:pStyle w:val="ListParagraph"/>
        <w:numPr>
          <w:ilvl w:val="0"/>
          <w:numId w:val="107"/>
        </w:numPr>
        <w:ind w:left="567" w:hanging="567"/>
        <w:rPr>
          <w:color w:val="000000"/>
        </w:rPr>
      </w:pPr>
      <w:r>
        <w:rPr>
          <w:color w:val="000000"/>
        </w:rPr>
        <w:t>Der skal bakkes op om kvindelige iværksættere ved at nedbryde de mange barrierer, som kvinder står over for.</w:t>
      </w:r>
    </w:p>
    <w:p w:rsidR="00E75595" w:rsidRPr="00567039" w:rsidRDefault="00E75595" w:rsidP="00252095">
      <w:pPr>
        <w:ind w:left="567" w:hanging="567"/>
        <w:rPr>
          <w:color w:val="000000"/>
        </w:rPr>
      </w:pPr>
    </w:p>
    <w:p w:rsidR="00E75595" w:rsidRPr="00F107F6" w:rsidRDefault="00E75595" w:rsidP="00252095">
      <w:pPr>
        <w:pStyle w:val="ListParagraph"/>
        <w:numPr>
          <w:ilvl w:val="0"/>
          <w:numId w:val="107"/>
        </w:numPr>
        <w:ind w:left="567" w:hanging="567"/>
        <w:rPr>
          <w:color w:val="000000"/>
        </w:rPr>
      </w:pPr>
      <w:r>
        <w:rPr>
          <w:color w:val="000000"/>
        </w:rPr>
        <w:t>Det er vigtigt at forbedre handicappede kvinders deltagelse på arbejdsmarkedet ved at gennemføre FN's konvention om rettigheder for personer med handicap (UNCRPD).</w:t>
      </w:r>
    </w:p>
    <w:p w:rsidR="00E75595" w:rsidRPr="00567039" w:rsidRDefault="00E75595" w:rsidP="00252095">
      <w:pPr>
        <w:ind w:left="567" w:hanging="567"/>
        <w:rPr>
          <w:color w:val="000000"/>
        </w:rPr>
      </w:pPr>
    </w:p>
    <w:p w:rsidR="00E75595" w:rsidRPr="00F107F6" w:rsidRDefault="00E75595" w:rsidP="00252095">
      <w:pPr>
        <w:pStyle w:val="ListParagraph"/>
        <w:numPr>
          <w:ilvl w:val="0"/>
          <w:numId w:val="107"/>
        </w:numPr>
        <w:ind w:left="567" w:hanging="567"/>
        <w:rPr>
          <w:color w:val="000000"/>
        </w:rPr>
      </w:pPr>
      <w:r>
        <w:rPr>
          <w:color w:val="000000"/>
        </w:rPr>
        <w:t>I forbindelse med "smart working" og telearbejde bør man undgå risikoen for, at grænserne mellem omsorgsarbejde, arbejde og privatliv udviskes.</w:t>
      </w:r>
    </w:p>
    <w:p w:rsidR="00E75595" w:rsidRPr="00567039" w:rsidRDefault="00E75595" w:rsidP="00252095">
      <w:pPr>
        <w:ind w:left="567" w:hanging="567"/>
        <w:rPr>
          <w:color w:val="000000"/>
        </w:rPr>
      </w:pPr>
    </w:p>
    <w:p w:rsidR="00E75595" w:rsidRPr="00F107F6" w:rsidRDefault="00E75595" w:rsidP="00252095">
      <w:pPr>
        <w:pStyle w:val="ListParagraph"/>
        <w:numPr>
          <w:ilvl w:val="0"/>
          <w:numId w:val="107"/>
        </w:numPr>
        <w:ind w:left="567" w:hanging="567"/>
        <w:rPr>
          <w:color w:val="000000"/>
        </w:rPr>
      </w:pPr>
      <w:r>
        <w:rPr>
          <w:color w:val="000000"/>
        </w:rPr>
        <w:t>En af de største hindringer, som kvinder står over for, når de deltager i onlineaktiviteter og sociale netværk, er cybermobning. Istanbulkonventionen skal ratificeres og anvendes hurtigst muligt.</w:t>
      </w:r>
    </w:p>
    <w:p w:rsidR="00E75595" w:rsidRPr="00567039" w:rsidRDefault="00E75595" w:rsidP="00252095">
      <w:pPr>
        <w:ind w:left="567" w:hanging="567"/>
        <w:rPr>
          <w:color w:val="000000"/>
        </w:rPr>
      </w:pPr>
    </w:p>
    <w:p w:rsidR="00E75595" w:rsidRPr="00F107F6" w:rsidRDefault="00E75595" w:rsidP="00252095">
      <w:pPr>
        <w:pStyle w:val="ListParagraph"/>
        <w:numPr>
          <w:ilvl w:val="0"/>
          <w:numId w:val="107"/>
        </w:numPr>
        <w:ind w:left="567" w:hanging="567"/>
        <w:rPr>
          <w:color w:val="000000"/>
        </w:rPr>
      </w:pPr>
      <w:r>
        <w:rPr>
          <w:color w:val="000000"/>
        </w:rPr>
        <w:lastRenderedPageBreak/>
        <w:t>Der bør tages højde for kønsaspektet i alle politikker på alle niveauer (kønsmainstreaming). Kønsbudgettering og inddragelse af kønsaspektet (gender lens) kan være nyttige redskaber i den henseende.</w:t>
      </w:r>
    </w:p>
    <w:p w:rsidR="00E75595" w:rsidRPr="00567039" w:rsidRDefault="00E75595" w:rsidP="00252095">
      <w:pPr>
        <w:ind w:left="567" w:hanging="567"/>
        <w:rPr>
          <w:color w:val="000000"/>
        </w:rPr>
      </w:pPr>
    </w:p>
    <w:p w:rsidR="00E75595" w:rsidRPr="00F107F6" w:rsidRDefault="00E75595" w:rsidP="00252095">
      <w:pPr>
        <w:pStyle w:val="ListParagraph"/>
        <w:numPr>
          <w:ilvl w:val="0"/>
          <w:numId w:val="109"/>
        </w:numPr>
        <w:ind w:left="567" w:hanging="567"/>
        <w:rPr>
          <w:color w:val="000000"/>
        </w:rPr>
      </w:pPr>
      <w:r>
        <w:rPr>
          <w:color w:val="000000"/>
        </w:rPr>
        <w:t>Kommissionen bør styrke taskforcen "Women in Digital" og "Digital4Her"-initiativet samt opfordre medlemsstaterne til at opstille nationale mål på dette område.</w:t>
      </w:r>
    </w:p>
    <w:p w:rsidR="00E75595" w:rsidRPr="00567039" w:rsidRDefault="00E75595" w:rsidP="00252095">
      <w:pPr>
        <w:ind w:left="567" w:hanging="567"/>
        <w:rPr>
          <w:color w:val="000000"/>
        </w:rPr>
      </w:pPr>
    </w:p>
    <w:p w:rsidR="00E75595" w:rsidRPr="00F107F6" w:rsidRDefault="00E75595" w:rsidP="00252095">
      <w:pPr>
        <w:pStyle w:val="ListParagraph"/>
        <w:numPr>
          <w:ilvl w:val="0"/>
          <w:numId w:val="109"/>
        </w:numPr>
        <w:ind w:left="567" w:hanging="567"/>
        <w:rPr>
          <w:color w:val="000000"/>
        </w:rPr>
      </w:pPr>
      <w:r>
        <w:rPr>
          <w:color w:val="000000"/>
        </w:rPr>
        <w:t>Arbejdsmarkedets parter spiller en nøglerolle i arbejdet med kønsroller på arbejdsmarkedet, i forbindelse med fremme af kvinders rolle i beslutningstagningen samt i indsatsen for at understøtte balancen mellem arbejde og privatliv og bekæmpe kønsbestemte lønforskelle.</w:t>
      </w:r>
    </w:p>
    <w:p w:rsidR="00E75595" w:rsidRPr="00567039" w:rsidRDefault="00E75595" w:rsidP="00252095">
      <w:pPr>
        <w:ind w:left="567" w:hanging="567"/>
        <w:rPr>
          <w:color w:val="000000"/>
        </w:rPr>
      </w:pPr>
    </w:p>
    <w:p w:rsidR="00E75595" w:rsidRPr="00F107F6" w:rsidRDefault="00E75595" w:rsidP="00252095">
      <w:pPr>
        <w:pStyle w:val="ListParagraph"/>
        <w:numPr>
          <w:ilvl w:val="0"/>
          <w:numId w:val="109"/>
        </w:numPr>
        <w:ind w:left="567" w:hanging="567"/>
        <w:rPr>
          <w:color w:val="000000"/>
        </w:rPr>
      </w:pPr>
      <w:r>
        <w:rPr>
          <w:color w:val="000000"/>
        </w:rPr>
        <w:t>Europa-Parlamentet bør støtte disse anbefalinger i sin næste valgperiode.</w:t>
      </w:r>
    </w:p>
    <w:p w:rsidR="00E75595" w:rsidRPr="00AB524F" w:rsidRDefault="00E75595" w:rsidP="00252095">
      <w:pPr>
        <w:rPr>
          <w:szCs w:val="24"/>
          <w:lang w:val="fr-FR"/>
        </w:rPr>
      </w:pPr>
    </w:p>
    <w:p w:rsidR="00E75595" w:rsidRPr="000202C4" w:rsidRDefault="00E75595" w:rsidP="00252095">
      <w:pPr>
        <w:keepNext/>
        <w:tabs>
          <w:tab w:val="left" w:pos="1701"/>
        </w:tabs>
        <w:ind w:left="1701" w:hanging="1701"/>
        <w:rPr>
          <w:i/>
        </w:rPr>
      </w:pPr>
      <w:r>
        <w:rPr>
          <w:b/>
          <w:i/>
        </w:rPr>
        <w:t>Kontaktperson:</w:t>
      </w:r>
      <w:r>
        <w:rPr>
          <w:i/>
        </w:rPr>
        <w:tab/>
        <w:t>Judite Berkemeier</w:t>
      </w:r>
    </w:p>
    <w:p w:rsidR="00435BBC" w:rsidRPr="000202C4" w:rsidRDefault="00F107F6" w:rsidP="00252095">
      <w:pPr>
        <w:tabs>
          <w:tab w:val="left" w:pos="1701"/>
        </w:tabs>
      </w:pPr>
      <w:r>
        <w:rPr>
          <w:i/>
        </w:rPr>
        <w:tab/>
        <w:t xml:space="preserve">(Tlf.: 00 32 2 546 98 97 – e-mail: </w:t>
      </w:r>
      <w:hyperlink r:id="rId51" w:history="1">
        <w:r>
          <w:rPr>
            <w:rStyle w:val="Hyperlink"/>
            <w:i/>
          </w:rPr>
          <w:t>mariajudite.berkemeier@eesc.europa.eu</w:t>
        </w:r>
      </w:hyperlink>
      <w:r>
        <w:t>)</w:t>
      </w:r>
    </w:p>
    <w:p w:rsidR="00E75595" w:rsidRDefault="00E75595" w:rsidP="00252095">
      <w:pPr>
        <w:tabs>
          <w:tab w:val="left" w:pos="1701"/>
        </w:tabs>
        <w:rPr>
          <w:i/>
          <w:lang w:val="fr-FR"/>
        </w:rPr>
      </w:pPr>
    </w:p>
    <w:p w:rsidR="00E75595" w:rsidRPr="00F107F6" w:rsidRDefault="00E75595" w:rsidP="00252095">
      <w:pPr>
        <w:pStyle w:val="ListParagraph"/>
        <w:keepNext/>
        <w:numPr>
          <w:ilvl w:val="0"/>
          <w:numId w:val="110"/>
        </w:numPr>
        <w:overflowPunct w:val="0"/>
        <w:autoSpaceDE w:val="0"/>
        <w:autoSpaceDN w:val="0"/>
        <w:adjustRightInd w:val="0"/>
        <w:ind w:left="567" w:hanging="567"/>
        <w:textAlignment w:val="baseline"/>
        <w:rPr>
          <w:sz w:val="24"/>
          <w:szCs w:val="24"/>
        </w:rPr>
      </w:pPr>
      <w:r>
        <w:rPr>
          <w:b/>
          <w:bCs/>
          <w:i/>
          <w:iCs/>
          <w:sz w:val="28"/>
          <w:szCs w:val="28"/>
        </w:rPr>
        <w:t>Beskyttelse af arbejdstagerne mod kræftfremkaldende stoffer og mutagener på arbejdspladsen</w:t>
      </w:r>
    </w:p>
    <w:p w:rsidR="00E75595" w:rsidRPr="00AB524F" w:rsidRDefault="00E75595" w:rsidP="00252095">
      <w:pPr>
        <w:keepNext/>
        <w:tabs>
          <w:tab w:val="center" w:pos="284"/>
        </w:tabs>
        <w:ind w:left="266" w:hanging="266"/>
        <w:rPr>
          <w:b/>
          <w:lang w:val="fr-FR"/>
        </w:rPr>
      </w:pPr>
    </w:p>
    <w:p w:rsidR="00E75595" w:rsidRPr="00AB524F" w:rsidRDefault="00E75595" w:rsidP="00E338A4">
      <w:pPr>
        <w:keepNext/>
        <w:tabs>
          <w:tab w:val="center" w:pos="284"/>
          <w:tab w:val="left" w:pos="1134"/>
        </w:tabs>
        <w:ind w:left="266" w:hanging="266"/>
      </w:pPr>
      <w:r>
        <w:rPr>
          <w:b/>
        </w:rPr>
        <w:t>Ordfører:</w:t>
      </w:r>
      <w:r>
        <w:tab/>
        <w:t>János Weltner (Arbejdstagergruppen – HU)</w:t>
      </w:r>
    </w:p>
    <w:p w:rsidR="00E75595" w:rsidRPr="00AB524F" w:rsidRDefault="00E75595" w:rsidP="00E338A4">
      <w:pPr>
        <w:keepNext/>
        <w:tabs>
          <w:tab w:val="center" w:pos="284"/>
          <w:tab w:val="left" w:pos="1134"/>
          <w:tab w:val="left" w:pos="1985"/>
        </w:tabs>
        <w:ind w:left="266" w:hanging="266"/>
        <w:rPr>
          <w:b/>
          <w:lang w:val="fr-FR"/>
        </w:rPr>
      </w:pPr>
    </w:p>
    <w:p w:rsidR="00F107F6" w:rsidRDefault="00F107F6" w:rsidP="00E338A4">
      <w:pPr>
        <w:keepNext/>
        <w:tabs>
          <w:tab w:val="center" w:pos="284"/>
          <w:tab w:val="left" w:pos="1134"/>
        </w:tabs>
        <w:ind w:left="266" w:hanging="266"/>
      </w:pPr>
      <w:r>
        <w:rPr>
          <w:b/>
        </w:rPr>
        <w:t>Ref.:</w:t>
      </w:r>
      <w:r w:rsidR="00E338A4">
        <w:rPr>
          <w:b/>
        </w:rPr>
        <w:tab/>
      </w:r>
      <w:r>
        <w:t>COM(2018) 171 final – 2018/0081 (COD)</w:t>
      </w:r>
    </w:p>
    <w:p w:rsidR="00E75595" w:rsidRPr="00AB524F" w:rsidRDefault="00A406F3" w:rsidP="00E338A4">
      <w:pPr>
        <w:keepNext/>
        <w:tabs>
          <w:tab w:val="center" w:pos="284"/>
          <w:tab w:val="left" w:pos="1134"/>
        </w:tabs>
        <w:ind w:left="266" w:hanging="266"/>
      </w:pPr>
      <w:r>
        <w:rPr>
          <w:b/>
        </w:rPr>
        <w:tab/>
      </w:r>
      <w:r>
        <w:rPr>
          <w:b/>
        </w:rPr>
        <w:tab/>
      </w:r>
      <w:r>
        <w:rPr>
          <w:b/>
        </w:rPr>
        <w:tab/>
      </w:r>
      <w:r>
        <w:t>EESC-2018-02158-00-00-AC-TRA</w:t>
      </w:r>
    </w:p>
    <w:p w:rsidR="00E75595" w:rsidRPr="00AB524F" w:rsidRDefault="00E75595" w:rsidP="00252095">
      <w:pPr>
        <w:keepNext/>
        <w:tabs>
          <w:tab w:val="center" w:pos="284"/>
        </w:tabs>
        <w:ind w:left="266" w:hanging="266"/>
        <w:rPr>
          <w:lang w:val="fr-FR"/>
        </w:rPr>
      </w:pPr>
    </w:p>
    <w:p w:rsidR="00E75595" w:rsidRDefault="00E75595" w:rsidP="00252095">
      <w:pPr>
        <w:keepNext/>
        <w:tabs>
          <w:tab w:val="center" w:pos="284"/>
        </w:tabs>
        <w:ind w:left="266" w:hanging="266"/>
        <w:rPr>
          <w:b/>
        </w:rPr>
      </w:pPr>
      <w:r>
        <w:rPr>
          <w:b/>
        </w:rPr>
        <w:t>Hovedpunkter:</w:t>
      </w:r>
    </w:p>
    <w:p w:rsidR="00435BBC" w:rsidRPr="00AB524F" w:rsidRDefault="00435BBC" w:rsidP="00252095">
      <w:pPr>
        <w:keepNext/>
        <w:tabs>
          <w:tab w:val="center" w:pos="284"/>
        </w:tabs>
        <w:ind w:left="266" w:hanging="266"/>
        <w:rPr>
          <w:b/>
          <w:lang w:val="fr-FR"/>
        </w:rPr>
      </w:pPr>
    </w:p>
    <w:p w:rsidR="00E75595" w:rsidRDefault="00E75595" w:rsidP="00252095">
      <w:pPr>
        <w:pStyle w:val="Heading2"/>
        <w:numPr>
          <w:ilvl w:val="0"/>
          <w:numId w:val="110"/>
        </w:numPr>
        <w:ind w:left="567" w:hanging="567"/>
      </w:pPr>
      <w:r>
        <w:t>EØSU glæder sig over Kommissionens foreslåede ændring af direktivet om kræftfremkaldende stoffer og mutagener, og at de bindende grænseværdier for erhvervsmæssig eksponering er fastlagt på grundlag af videnskabelig og statistisk evidens.</w:t>
      </w:r>
    </w:p>
    <w:p w:rsidR="00E75595" w:rsidRPr="00D71DED" w:rsidRDefault="00E75595" w:rsidP="00252095">
      <w:pPr>
        <w:pStyle w:val="Heading2"/>
        <w:numPr>
          <w:ilvl w:val="0"/>
          <w:numId w:val="0"/>
        </w:numPr>
        <w:ind w:left="567" w:hanging="567"/>
      </w:pPr>
    </w:p>
    <w:p w:rsidR="00E75595" w:rsidRDefault="00E75595" w:rsidP="00252095">
      <w:pPr>
        <w:pStyle w:val="Heading2"/>
        <w:numPr>
          <w:ilvl w:val="0"/>
          <w:numId w:val="110"/>
        </w:numPr>
        <w:ind w:left="567" w:hanging="567"/>
      </w:pPr>
      <w:r>
        <w:t>Som i sin tidligere udtalelse</w:t>
      </w:r>
      <w:r>
        <w:rPr>
          <w:rStyle w:val="FootnoteReference"/>
        </w:rPr>
        <w:footnoteReference w:id="3"/>
      </w:r>
      <w:r>
        <w:t xml:space="preserve"> opfordrer EØSU indtrængende Kommissionen til at gennemføre en konsekvensanalyse for at vurdere en mulig udvidelse af direktivet om kræftfremkaldende stoffer og mutagener til at omfatte stoffer, der er skadelige for forplantningsevnen.</w:t>
      </w:r>
    </w:p>
    <w:p w:rsidR="00E75595" w:rsidRDefault="00E75595" w:rsidP="00252095">
      <w:pPr>
        <w:pStyle w:val="Heading2"/>
        <w:numPr>
          <w:ilvl w:val="0"/>
          <w:numId w:val="0"/>
        </w:numPr>
        <w:ind w:left="567" w:hanging="567"/>
      </w:pPr>
    </w:p>
    <w:p w:rsidR="00E75595" w:rsidRDefault="00E75595" w:rsidP="00252095">
      <w:pPr>
        <w:pStyle w:val="Heading2"/>
        <w:numPr>
          <w:ilvl w:val="0"/>
          <w:numId w:val="110"/>
        </w:numPr>
        <w:ind w:left="567" w:hanging="567"/>
      </w:pPr>
      <w:r>
        <w:t>EØSU finder det nødvendigt i første omgang at nedsætte pilotforskningsprogrammer og efterfølgende EU-dækkende programmer for at udvikle livslang helbredskontrol inden for rammerne af de nationale sociale sikringsordninger eller offentlige sundhedssystemer for alle, der har været udsat for kræftfremkaldende stoffer, mutagener og reproduktionstoksiske stoffer. I henhold til databeskyttelsesforordningen</w:t>
      </w:r>
      <w:r w:rsidRPr="009A4717">
        <w:rPr>
          <w:sz w:val="24"/>
          <w:vertAlign w:val="superscript"/>
        </w:rPr>
        <w:footnoteReference w:id="4"/>
      </w:r>
      <w:r>
        <w:t xml:space="preserve"> bør denne overvågning foregå anonymt.</w:t>
      </w:r>
    </w:p>
    <w:p w:rsidR="00E75595" w:rsidRPr="00D71DED" w:rsidRDefault="00E75595" w:rsidP="00252095">
      <w:pPr>
        <w:ind w:left="567" w:hanging="567"/>
      </w:pPr>
    </w:p>
    <w:p w:rsidR="00E75595" w:rsidRDefault="00F107F6" w:rsidP="00E338A4">
      <w:pPr>
        <w:pStyle w:val="Heading2"/>
        <w:keepNext/>
        <w:keepLines/>
        <w:numPr>
          <w:ilvl w:val="0"/>
          <w:numId w:val="110"/>
        </w:numPr>
        <w:ind w:left="567" w:hanging="567"/>
      </w:pPr>
      <w:r>
        <w:lastRenderedPageBreak/>
        <w:t>Med henblik på at forbedre beskyttelsen af arbejdstagere mod kræftfremkaldende stoffer, mutagener og reproduktionstoksiske stoffer på arbejdspladsen understreger EØSU, at medlemsstaterne bør sikre, at arbejdstilsynene har de fornødne økonomiske og menneskelige ressourcer til at udføre deres opgaver.</w:t>
      </w:r>
    </w:p>
    <w:p w:rsidR="00E75595" w:rsidRPr="00D71DED" w:rsidRDefault="00E75595" w:rsidP="00252095">
      <w:pPr>
        <w:ind w:left="567" w:hanging="567"/>
      </w:pPr>
    </w:p>
    <w:p w:rsidR="00E75595" w:rsidRPr="000202C4" w:rsidRDefault="00E75595" w:rsidP="00252095">
      <w:pPr>
        <w:pStyle w:val="Heading2"/>
        <w:numPr>
          <w:ilvl w:val="0"/>
          <w:numId w:val="110"/>
        </w:numPr>
        <w:ind w:left="567" w:hanging="567"/>
        <w:rPr>
          <w:szCs w:val="20"/>
        </w:rPr>
      </w:pPr>
      <w:r>
        <w:t>EØSU anbefaler, at alle forbindelser, som mistænkes for at være kræftfremkaldende, mutagene og/eller reproduktionstoksiske, bør underkastes en videnskabelig analyse, og at de om nødvendigt optages i direktivet.</w:t>
      </w:r>
    </w:p>
    <w:p w:rsidR="00E75595" w:rsidRDefault="00E75595" w:rsidP="00252095">
      <w:pPr>
        <w:rPr>
          <w:szCs w:val="24"/>
          <w:lang w:val="fr-FR"/>
        </w:rPr>
      </w:pPr>
    </w:p>
    <w:p w:rsidR="00E75595" w:rsidRPr="000202C4" w:rsidRDefault="00E75595" w:rsidP="00252095">
      <w:pPr>
        <w:keepNext/>
        <w:tabs>
          <w:tab w:val="left" w:pos="1701"/>
        </w:tabs>
        <w:rPr>
          <w:i/>
        </w:rPr>
      </w:pPr>
      <w:r>
        <w:rPr>
          <w:b/>
          <w:i/>
        </w:rPr>
        <w:t>Kontaktperson:</w:t>
      </w:r>
      <w:r>
        <w:rPr>
          <w:i/>
        </w:rPr>
        <w:tab/>
        <w:t>Valeria Atzori</w:t>
      </w:r>
    </w:p>
    <w:p w:rsidR="00E75595" w:rsidRDefault="00921382" w:rsidP="00252095">
      <w:pPr>
        <w:tabs>
          <w:tab w:val="left" w:pos="1701"/>
        </w:tabs>
        <w:rPr>
          <w:i/>
        </w:rPr>
      </w:pPr>
      <w:r>
        <w:rPr>
          <w:i/>
        </w:rPr>
        <w:tab/>
        <w:t xml:space="preserve">(Tlf.: 00 32 2 546 87 74 – e-mail: </w:t>
      </w:r>
      <w:hyperlink r:id="rId52" w:history="1">
        <w:r>
          <w:rPr>
            <w:rStyle w:val="Hyperlink"/>
            <w:i/>
          </w:rPr>
          <w:t>valeria.atzori@eesc.europa.eu</w:t>
        </w:r>
      </w:hyperlink>
      <w:r>
        <w:rPr>
          <w:i/>
        </w:rPr>
        <w:t>)</w:t>
      </w:r>
    </w:p>
    <w:p w:rsidR="00435BBC" w:rsidRDefault="00435BBC" w:rsidP="00252095">
      <w:pPr>
        <w:tabs>
          <w:tab w:val="left" w:pos="1701"/>
        </w:tabs>
        <w:rPr>
          <w:i/>
          <w:lang w:val="fr-FR"/>
        </w:rPr>
      </w:pPr>
    </w:p>
    <w:p w:rsidR="00285BC7" w:rsidRPr="00734B56" w:rsidRDefault="00285BC7" w:rsidP="00252095">
      <w:pPr>
        <w:pStyle w:val="ListParagraph"/>
        <w:keepNext/>
        <w:numPr>
          <w:ilvl w:val="0"/>
          <w:numId w:val="111"/>
        </w:numPr>
        <w:overflowPunct w:val="0"/>
        <w:autoSpaceDE w:val="0"/>
        <w:autoSpaceDN w:val="0"/>
        <w:adjustRightInd w:val="0"/>
        <w:ind w:left="567" w:hanging="567"/>
        <w:textAlignment w:val="baseline"/>
        <w:rPr>
          <w:sz w:val="24"/>
          <w:szCs w:val="24"/>
        </w:rPr>
      </w:pPr>
      <w:r>
        <w:rPr>
          <w:b/>
          <w:bCs/>
          <w:i/>
          <w:iCs/>
          <w:sz w:val="28"/>
          <w:szCs w:val="28"/>
        </w:rPr>
        <w:t>Et styrket samarbejde mod sygdomme, der kan forebygges ved vaccination</w:t>
      </w:r>
    </w:p>
    <w:p w:rsidR="00285BC7" w:rsidRPr="00AB524F" w:rsidRDefault="00285BC7" w:rsidP="00252095">
      <w:pPr>
        <w:keepNext/>
        <w:tabs>
          <w:tab w:val="center" w:pos="284"/>
        </w:tabs>
        <w:ind w:left="266" w:hanging="266"/>
        <w:rPr>
          <w:b/>
          <w:lang w:val="fr-FR"/>
        </w:rPr>
      </w:pPr>
    </w:p>
    <w:p w:rsidR="00285BC7" w:rsidRPr="00AB524F" w:rsidRDefault="00285BC7" w:rsidP="00E338A4">
      <w:pPr>
        <w:keepNext/>
        <w:tabs>
          <w:tab w:val="center" w:pos="284"/>
          <w:tab w:val="left" w:pos="1134"/>
        </w:tabs>
        <w:ind w:left="266" w:hanging="266"/>
      </w:pPr>
      <w:r>
        <w:rPr>
          <w:b/>
        </w:rPr>
        <w:t>Ordfører:</w:t>
      </w:r>
      <w:r>
        <w:tab/>
        <w:t>Renate Heinisch (Gruppen Diversitet Europa – DE)</w:t>
      </w:r>
    </w:p>
    <w:p w:rsidR="00285BC7" w:rsidRPr="00AB524F" w:rsidRDefault="00285BC7" w:rsidP="00E338A4">
      <w:pPr>
        <w:keepNext/>
        <w:tabs>
          <w:tab w:val="center" w:pos="284"/>
          <w:tab w:val="left" w:pos="1134"/>
          <w:tab w:val="left" w:pos="1985"/>
        </w:tabs>
        <w:ind w:left="266" w:hanging="266"/>
        <w:rPr>
          <w:b/>
          <w:lang w:val="fr-FR"/>
        </w:rPr>
      </w:pPr>
    </w:p>
    <w:p w:rsidR="00734B56" w:rsidRDefault="00734B56" w:rsidP="00E338A4">
      <w:pPr>
        <w:keepNext/>
        <w:tabs>
          <w:tab w:val="center" w:pos="284"/>
          <w:tab w:val="left" w:pos="1134"/>
        </w:tabs>
        <w:ind w:left="266" w:hanging="266"/>
      </w:pPr>
      <w:r>
        <w:rPr>
          <w:b/>
        </w:rPr>
        <w:t>Ref.:</w:t>
      </w:r>
      <w:r w:rsidR="00E338A4">
        <w:rPr>
          <w:b/>
        </w:rPr>
        <w:tab/>
      </w:r>
      <w:r>
        <w:t>COM(2018) 244 final – SWD(2018) 149 final</w:t>
      </w:r>
    </w:p>
    <w:p w:rsidR="00285BC7" w:rsidRPr="00AB524F" w:rsidRDefault="00734B56" w:rsidP="00E338A4">
      <w:pPr>
        <w:keepNext/>
        <w:tabs>
          <w:tab w:val="center" w:pos="284"/>
          <w:tab w:val="left" w:pos="1134"/>
        </w:tabs>
        <w:ind w:left="266" w:hanging="266"/>
      </w:pPr>
      <w:r>
        <w:rPr>
          <w:b/>
        </w:rPr>
        <w:tab/>
      </w:r>
      <w:r>
        <w:rPr>
          <w:b/>
        </w:rPr>
        <w:tab/>
      </w:r>
      <w:r>
        <w:rPr>
          <w:b/>
        </w:rPr>
        <w:tab/>
      </w:r>
      <w:r>
        <w:t>EESC-2018-02159-00-00-AC-TRA</w:t>
      </w:r>
    </w:p>
    <w:p w:rsidR="00285BC7" w:rsidRPr="00AB524F" w:rsidRDefault="00285BC7" w:rsidP="00252095">
      <w:pPr>
        <w:keepNext/>
        <w:tabs>
          <w:tab w:val="center" w:pos="284"/>
        </w:tabs>
        <w:ind w:left="266" w:hanging="266"/>
        <w:rPr>
          <w:lang w:val="fr-FR"/>
        </w:rPr>
      </w:pPr>
    </w:p>
    <w:p w:rsidR="00285BC7" w:rsidRDefault="00285BC7" w:rsidP="00252095">
      <w:pPr>
        <w:keepNext/>
        <w:tabs>
          <w:tab w:val="center" w:pos="284"/>
        </w:tabs>
        <w:ind w:left="266" w:hanging="266"/>
        <w:rPr>
          <w:b/>
        </w:rPr>
      </w:pPr>
      <w:r>
        <w:rPr>
          <w:b/>
        </w:rPr>
        <w:t>Hovedpunkter:</w:t>
      </w:r>
    </w:p>
    <w:p w:rsidR="00435BBC" w:rsidRPr="00AB524F" w:rsidRDefault="00435BBC" w:rsidP="00252095">
      <w:pPr>
        <w:keepNext/>
        <w:tabs>
          <w:tab w:val="center" w:pos="284"/>
        </w:tabs>
        <w:ind w:left="266" w:hanging="266"/>
        <w:rPr>
          <w:b/>
          <w:lang w:val="fr-FR"/>
        </w:rPr>
      </w:pPr>
    </w:p>
    <w:p w:rsidR="00285BC7" w:rsidRPr="000202C4" w:rsidRDefault="00285BC7" w:rsidP="00252095">
      <w:pPr>
        <w:pStyle w:val="Heading3"/>
        <w:numPr>
          <w:ilvl w:val="0"/>
          <w:numId w:val="111"/>
        </w:numPr>
        <w:ind w:left="567" w:hanging="567"/>
        <w:rPr>
          <w:szCs w:val="20"/>
        </w:rPr>
      </w:pPr>
      <w:r>
        <w:t>EØSU støtter Kommissionens forslag, som det opfatter som en passende reaktion på de akutte sundhedstrusler, som EU står over for i dag, dvs. vaccinationsskepsis, faldende dækning for bestemte sygdomme, hidtil usete udbrud af sygdomme, der kan forebygges ved vaccination, uoverensstemmelser mellem nationale vaccinationsprogrammer og mangel på vacciner.</w:t>
      </w:r>
    </w:p>
    <w:p w:rsidR="00285BC7" w:rsidRDefault="00285BC7" w:rsidP="00252095">
      <w:pPr>
        <w:ind w:left="567" w:hanging="567"/>
        <w:rPr>
          <w:szCs w:val="24"/>
          <w:lang w:val="fr-FR"/>
        </w:rPr>
      </w:pPr>
    </w:p>
    <w:p w:rsidR="00285BC7" w:rsidRDefault="00285BC7" w:rsidP="00252095">
      <w:pPr>
        <w:pStyle w:val="Heading3"/>
        <w:numPr>
          <w:ilvl w:val="0"/>
          <w:numId w:val="111"/>
        </w:numPr>
        <w:ind w:left="567" w:hanging="567"/>
      </w:pPr>
      <w:r>
        <w:t>EØSU opfordrer Kommissionen til at skabe opmærksomhed om betydningen af vaccination. Alle kommunikationskanaler, herunder traditionelle medier og sociale medier, bør tages i brug for at levere videnskabeligt baseret og forståelig information til borgere og organisationer. Unionen er endvidere nødt til at gøre en indsats for at forbedre europæernes viden om vaccination gennem en forbedring af de digitale færdigheder på sundhedsområdet.</w:t>
      </w:r>
    </w:p>
    <w:p w:rsidR="00285BC7" w:rsidRPr="0009580A" w:rsidRDefault="00285BC7" w:rsidP="00252095">
      <w:pPr>
        <w:ind w:left="567" w:hanging="567"/>
      </w:pPr>
    </w:p>
    <w:p w:rsidR="00285BC7" w:rsidRPr="0009580A" w:rsidRDefault="00285BC7" w:rsidP="00252095">
      <w:pPr>
        <w:pStyle w:val="Heading3"/>
        <w:numPr>
          <w:ilvl w:val="0"/>
          <w:numId w:val="111"/>
        </w:numPr>
        <w:ind w:left="567" w:hanging="567"/>
      </w:pPr>
      <w:r>
        <w:t>EØSU opfordrer medlemsstaterne til at træffe forholdsregler, som beskytter de sundhedsprofessionelle mod at blive udsat for en lang række sygdomme, hvilket bør ske gennem fuldstændig og effektiv gennemførelse af direktiv 2000/54/EF.</w:t>
      </w:r>
    </w:p>
    <w:p w:rsidR="00285BC7" w:rsidRPr="0009580A" w:rsidRDefault="00285BC7" w:rsidP="00252095">
      <w:pPr>
        <w:pStyle w:val="Heading3"/>
        <w:numPr>
          <w:ilvl w:val="0"/>
          <w:numId w:val="0"/>
        </w:numPr>
        <w:ind w:left="567" w:hanging="567"/>
      </w:pPr>
    </w:p>
    <w:p w:rsidR="00285BC7" w:rsidRPr="0009580A" w:rsidRDefault="00285BC7" w:rsidP="00E338A4">
      <w:pPr>
        <w:pStyle w:val="Heading3"/>
        <w:numPr>
          <w:ilvl w:val="0"/>
          <w:numId w:val="111"/>
        </w:numPr>
        <w:ind w:left="567" w:hanging="567"/>
      </w:pPr>
      <w:r>
        <w:t>EØSU anbefaler endvidere, at medlemsstaterne intensiverer bestræbelserne for at nå ud til de mere sårbare befolkningsgrupper som børn, gravide, ældre, mindretal og befolkningsgrupper med specifikke underliggende sygdomstilstande. De udfordringer, som medlemsstaterne i øjeblikket står over for, går fra vaccinationsskepsis til demografiske ændringer som følge af befolkningens aldring og borgernes øgede bevægelighed, som har betydning for risikoen for at blive udsat for patogener i hele Unionen. EØSU opfordrer medlemsstaterne til at udveksle bedste praksis og knowhow med henblik på at løse disse udfordringer.</w:t>
      </w:r>
    </w:p>
    <w:p w:rsidR="00285BC7" w:rsidRDefault="00285BC7" w:rsidP="00252095">
      <w:pPr>
        <w:keepNext/>
        <w:keepLines/>
        <w:rPr>
          <w:szCs w:val="24"/>
          <w:lang w:val="fr-FR"/>
        </w:rPr>
      </w:pPr>
    </w:p>
    <w:p w:rsidR="00285BC7" w:rsidRPr="000202C4" w:rsidRDefault="00285BC7" w:rsidP="00252095">
      <w:pPr>
        <w:keepNext/>
        <w:keepLines/>
        <w:tabs>
          <w:tab w:val="left" w:pos="1701"/>
        </w:tabs>
        <w:rPr>
          <w:i/>
        </w:rPr>
      </w:pPr>
      <w:r>
        <w:rPr>
          <w:b/>
          <w:i/>
        </w:rPr>
        <w:t>Kontaktperson:</w:t>
      </w:r>
      <w:r>
        <w:rPr>
          <w:i/>
        </w:rPr>
        <w:tab/>
        <w:t>Valeria Atzori</w:t>
      </w:r>
    </w:p>
    <w:p w:rsidR="00285BC7" w:rsidRDefault="00734B56" w:rsidP="00252095">
      <w:pPr>
        <w:keepNext/>
        <w:keepLines/>
        <w:tabs>
          <w:tab w:val="left" w:pos="1701"/>
        </w:tabs>
        <w:rPr>
          <w:i/>
        </w:rPr>
      </w:pPr>
      <w:r>
        <w:rPr>
          <w:i/>
        </w:rPr>
        <w:tab/>
        <w:t xml:space="preserve">(Tlf.: 00 32 2 546 87 74 – e-mail: </w:t>
      </w:r>
      <w:hyperlink r:id="rId53" w:history="1">
        <w:r>
          <w:rPr>
            <w:rStyle w:val="Hyperlink"/>
            <w:i/>
          </w:rPr>
          <w:t>valeria.atzori@eesc.europa.eu</w:t>
        </w:r>
      </w:hyperlink>
      <w:r>
        <w:rPr>
          <w:i/>
        </w:rPr>
        <w:t>)</w:t>
      </w:r>
    </w:p>
    <w:p w:rsidR="00435BBC" w:rsidRDefault="00435BBC" w:rsidP="00252095">
      <w:pPr>
        <w:tabs>
          <w:tab w:val="left" w:pos="1701"/>
        </w:tabs>
        <w:rPr>
          <w:i/>
          <w:lang w:val="fr-FR"/>
        </w:rPr>
      </w:pPr>
    </w:p>
    <w:p w:rsidR="00285BC7" w:rsidRPr="0026317F" w:rsidRDefault="00285BC7" w:rsidP="00252095">
      <w:pPr>
        <w:pStyle w:val="ListParagraph"/>
        <w:keepNext/>
        <w:numPr>
          <w:ilvl w:val="0"/>
          <w:numId w:val="3"/>
        </w:numPr>
        <w:overflowPunct w:val="0"/>
        <w:autoSpaceDE w:val="0"/>
        <w:autoSpaceDN w:val="0"/>
        <w:adjustRightInd w:val="0"/>
        <w:ind w:left="567" w:hanging="567"/>
        <w:textAlignment w:val="baseline"/>
        <w:rPr>
          <w:b/>
          <w:i/>
          <w:sz w:val="28"/>
        </w:rPr>
      </w:pPr>
      <w:r>
        <w:rPr>
          <w:b/>
          <w:i/>
          <w:sz w:val="28"/>
          <w:szCs w:val="28"/>
        </w:rPr>
        <w:t>Visuminformationssystemet (VIS)</w:t>
      </w:r>
    </w:p>
    <w:p w:rsidR="00285BC7" w:rsidRPr="000509CD" w:rsidRDefault="00285BC7" w:rsidP="00252095">
      <w:pPr>
        <w:keepNext/>
        <w:rPr>
          <w:b/>
          <w:i/>
          <w:sz w:val="28"/>
        </w:rPr>
      </w:pPr>
    </w:p>
    <w:p w:rsidR="00285BC7" w:rsidRDefault="00285BC7" w:rsidP="00E338A4">
      <w:pPr>
        <w:keepNext/>
        <w:tabs>
          <w:tab w:val="left" w:pos="1701"/>
        </w:tabs>
      </w:pPr>
      <w:r>
        <w:rPr>
          <w:b/>
        </w:rPr>
        <w:t>Hovedordfører:</w:t>
      </w:r>
      <w:r>
        <w:tab/>
        <w:t>Ionuț Sibian (Gruppen Diversitet Europa – RO)</w:t>
      </w:r>
    </w:p>
    <w:p w:rsidR="00285BC7" w:rsidRDefault="00285BC7" w:rsidP="00E338A4">
      <w:pPr>
        <w:keepNext/>
        <w:tabs>
          <w:tab w:val="left" w:pos="1701"/>
        </w:tabs>
      </w:pPr>
    </w:p>
    <w:p w:rsidR="000139D9" w:rsidRDefault="00285BC7" w:rsidP="00E338A4">
      <w:pPr>
        <w:keepNext/>
        <w:tabs>
          <w:tab w:val="left" w:pos="1701"/>
        </w:tabs>
      </w:pPr>
      <w:r>
        <w:rPr>
          <w:b/>
        </w:rPr>
        <w:t>Ref.:</w:t>
      </w:r>
      <w:r>
        <w:tab/>
        <w:t>COM(2018) 302 final</w:t>
      </w:r>
    </w:p>
    <w:p w:rsidR="00285BC7" w:rsidRPr="000509CD" w:rsidRDefault="000139D9" w:rsidP="00E338A4">
      <w:pPr>
        <w:keepNext/>
        <w:tabs>
          <w:tab w:val="left" w:pos="1701"/>
        </w:tabs>
      </w:pPr>
      <w:r>
        <w:tab/>
        <w:t>EESC-2018-03954-00-00-AC-TRA</w:t>
      </w:r>
    </w:p>
    <w:p w:rsidR="00285BC7" w:rsidRPr="000509CD" w:rsidRDefault="00285BC7" w:rsidP="00252095">
      <w:pPr>
        <w:keepNext/>
        <w:rPr>
          <w:b/>
        </w:rPr>
      </w:pPr>
    </w:p>
    <w:p w:rsidR="00285BC7" w:rsidRDefault="00285BC7" w:rsidP="00252095">
      <w:pPr>
        <w:keepNext/>
        <w:rPr>
          <w:b/>
        </w:rPr>
      </w:pPr>
      <w:r>
        <w:rPr>
          <w:b/>
        </w:rPr>
        <w:t>Hovedpunkter:</w:t>
      </w:r>
    </w:p>
    <w:p w:rsidR="00435BBC" w:rsidRPr="000509CD" w:rsidRDefault="00435BBC" w:rsidP="00252095">
      <w:pPr>
        <w:keepNext/>
        <w:rPr>
          <w:b/>
          <w:highlight w:val="yellow"/>
        </w:rPr>
      </w:pPr>
    </w:p>
    <w:p w:rsidR="00285BC7" w:rsidRDefault="00285BC7" w:rsidP="00252095">
      <w:pPr>
        <w:keepNext/>
      </w:pPr>
      <w:r>
        <w:t>EØSU:</w:t>
      </w:r>
    </w:p>
    <w:p w:rsidR="00734B56" w:rsidRDefault="00734B56" w:rsidP="00252095">
      <w:pPr>
        <w:keepNext/>
      </w:pPr>
    </w:p>
    <w:p w:rsidR="00285BC7" w:rsidRDefault="00285BC7" w:rsidP="00252095">
      <w:pPr>
        <w:pStyle w:val="ListParagraph"/>
        <w:numPr>
          <w:ilvl w:val="0"/>
          <w:numId w:val="111"/>
        </w:numPr>
        <w:ind w:left="567" w:hanging="567"/>
        <w:outlineLvl w:val="1"/>
      </w:pPr>
      <w:r>
        <w:t>støtter en visumpolitik, der er og bør forblive et middel til at fremme turismen og erhvervslivet, samtidig med at den skal forebygge sikkerhedsrisici og risikoen for irregulær migration til Unionen;</w:t>
      </w:r>
    </w:p>
    <w:p w:rsidR="00734B56" w:rsidRPr="00C31E3D" w:rsidRDefault="00734B56" w:rsidP="00252095">
      <w:pPr>
        <w:ind w:left="567" w:hanging="567"/>
        <w:outlineLvl w:val="1"/>
      </w:pPr>
    </w:p>
    <w:p w:rsidR="00285BC7" w:rsidRDefault="00285BC7" w:rsidP="00252095">
      <w:pPr>
        <w:pStyle w:val="ListParagraph"/>
        <w:numPr>
          <w:ilvl w:val="0"/>
          <w:numId w:val="111"/>
        </w:numPr>
        <w:ind w:left="567" w:hanging="567"/>
        <w:outlineLvl w:val="1"/>
      </w:pPr>
      <w:r>
        <w:t>støtter videreudviklingen af visuminformationssystemet (VIS) som den bedste teknologiske løsning, der fremmer proceduren for visum til kortvarigt ophold og hjælper visum-, grænse-, asyl- og migrationsmyndighederne med hurtigt og effektivt at kontrollere de nødvendige oplysninger om tredjelandsstatsborgere, som skal have et visum for at rejse til Unionen;</w:t>
      </w:r>
    </w:p>
    <w:p w:rsidR="00734B56" w:rsidRPr="00481B46" w:rsidRDefault="00734B56" w:rsidP="00252095">
      <w:pPr>
        <w:ind w:left="567" w:hanging="567"/>
        <w:outlineLvl w:val="1"/>
      </w:pPr>
    </w:p>
    <w:p w:rsidR="00285BC7" w:rsidRDefault="00285BC7" w:rsidP="00252095">
      <w:pPr>
        <w:pStyle w:val="ListParagraph"/>
        <w:numPr>
          <w:ilvl w:val="0"/>
          <w:numId w:val="111"/>
        </w:numPr>
        <w:ind w:left="567" w:hanging="567"/>
        <w:outlineLvl w:val="1"/>
      </w:pPr>
      <w:r>
        <w:t>mener, at et af de centrale mål for indsatsen på dette område bør være harmonisering af medlemsstaternes procedurer, praksis og resultater, når det gælder visumpolitikken;</w:t>
      </w:r>
    </w:p>
    <w:p w:rsidR="00734B56" w:rsidRPr="00481B46" w:rsidRDefault="00734B56" w:rsidP="00252095">
      <w:pPr>
        <w:ind w:left="567" w:hanging="567"/>
        <w:outlineLvl w:val="1"/>
      </w:pPr>
    </w:p>
    <w:p w:rsidR="00285BC7" w:rsidRDefault="00285BC7" w:rsidP="00252095">
      <w:pPr>
        <w:pStyle w:val="ListParagraph"/>
        <w:numPr>
          <w:ilvl w:val="0"/>
          <w:numId w:val="111"/>
        </w:numPr>
        <w:ind w:left="567" w:hanging="567"/>
        <w:outlineLvl w:val="1"/>
      </w:pPr>
      <w:r>
        <w:t>støtter målet om at gøre det lettere at identificere forsvundne personer. Nedsættelse af alderen for, hvornår der kan optages fingeraftryk af ansøgere, der er børn, fra 12 år til seks år, kan imidlertid være problematisk. Forslaget har ikke inddraget input og udtalelser fra børnebeskyttelsesorganisationer, hvorfor EØSU ikke fuldt ud er i stand til at vurdere forslagets konsekvenser for børn og beskyttelsen af børn;</w:t>
      </w:r>
    </w:p>
    <w:p w:rsidR="00734B56" w:rsidRPr="00481B46" w:rsidRDefault="00734B56" w:rsidP="00252095">
      <w:pPr>
        <w:ind w:left="567" w:hanging="567"/>
        <w:outlineLvl w:val="1"/>
      </w:pPr>
    </w:p>
    <w:p w:rsidR="00285BC7" w:rsidRDefault="00285BC7" w:rsidP="00252095">
      <w:pPr>
        <w:pStyle w:val="ListParagraph"/>
        <w:numPr>
          <w:ilvl w:val="0"/>
          <w:numId w:val="111"/>
        </w:numPr>
        <w:ind w:left="567" w:hanging="567"/>
        <w:outlineLvl w:val="1"/>
      </w:pPr>
      <w:r>
        <w:t>understreger betydningen af strenge adgangsbetingelser, for så vidt angår målet om at give nationale retshåndhævende myndigheder og Europol adgang til VIS-oplysninger med henblik på retshåndhævelse. Ideelt set bør det kræve en domstolsafgørelse at få adgang, hvilket vil sikre, at en sådan adgang er udtryk for en nødvendig indskrænkning af princippet om beskyttelse af personoplysninger;</w:t>
      </w:r>
    </w:p>
    <w:p w:rsidR="00734B56" w:rsidRPr="00481B46" w:rsidRDefault="00734B56" w:rsidP="00252095">
      <w:pPr>
        <w:ind w:left="567" w:hanging="567"/>
        <w:outlineLvl w:val="1"/>
      </w:pPr>
    </w:p>
    <w:p w:rsidR="00285BC7" w:rsidRDefault="00285BC7" w:rsidP="00252095">
      <w:pPr>
        <w:pStyle w:val="ListParagraph"/>
        <w:numPr>
          <w:ilvl w:val="0"/>
          <w:numId w:val="111"/>
        </w:numPr>
        <w:ind w:left="567" w:hanging="567"/>
        <w:outlineLvl w:val="1"/>
      </w:pPr>
      <w:r>
        <w:t>påpeger, at det ville have klædt forslaget med mere detaljerede og konkrete oplysninger om visa for kortvarigt eller længerevarende ophold og opholdstilladelser</w:t>
      </w:r>
      <w:r w:rsidR="00E338A4">
        <w:t>, fordelt efter land, i både EU</w:t>
      </w:r>
      <w:r w:rsidR="00E338A4">
        <w:noBreakHyphen/>
      </w:r>
      <w:r>
        <w:t>medlemsstater og tredjelande;</w:t>
      </w:r>
    </w:p>
    <w:p w:rsidR="00734B56" w:rsidRPr="00481B46" w:rsidRDefault="00734B56" w:rsidP="00252095">
      <w:pPr>
        <w:ind w:left="567" w:hanging="567"/>
        <w:outlineLvl w:val="1"/>
      </w:pPr>
    </w:p>
    <w:p w:rsidR="00285BC7" w:rsidRDefault="00285BC7" w:rsidP="00252095">
      <w:pPr>
        <w:pStyle w:val="ListParagraph"/>
        <w:numPr>
          <w:ilvl w:val="0"/>
          <w:numId w:val="111"/>
        </w:numPr>
        <w:overflowPunct w:val="0"/>
        <w:autoSpaceDE w:val="0"/>
        <w:autoSpaceDN w:val="0"/>
        <w:adjustRightInd w:val="0"/>
        <w:ind w:left="567" w:hanging="567"/>
        <w:textAlignment w:val="baseline"/>
      </w:pPr>
      <w:r>
        <w:lastRenderedPageBreak/>
        <w:t>anbefaler et stærkere engagement med hensyn til at samarbejde med regeringer og civilsamfundet i tredjelande, så de kan informere, forberede og bistå borgerne i deres lande hele vejen gennem visumansøgningsproceduren.</w:t>
      </w:r>
    </w:p>
    <w:p w:rsidR="00285BC7" w:rsidRPr="00FE652D" w:rsidRDefault="00285BC7" w:rsidP="00252095">
      <w:pPr>
        <w:rPr>
          <w:highlight w:val="yellow"/>
        </w:rPr>
      </w:pPr>
    </w:p>
    <w:p w:rsidR="00285BC7" w:rsidRPr="001B06D8" w:rsidRDefault="00285BC7" w:rsidP="00252095">
      <w:pPr>
        <w:keepNext/>
        <w:tabs>
          <w:tab w:val="left" w:pos="1701"/>
        </w:tabs>
        <w:rPr>
          <w:i/>
        </w:rPr>
      </w:pPr>
      <w:r>
        <w:rPr>
          <w:b/>
          <w:i/>
        </w:rPr>
        <w:t>Kontaktperson:</w:t>
      </w:r>
      <w:r>
        <w:rPr>
          <w:i/>
        </w:rPr>
        <w:tab/>
        <w:t>Triin Aasmaa</w:t>
      </w:r>
    </w:p>
    <w:p w:rsidR="00285BC7" w:rsidRDefault="00285BC7" w:rsidP="00252095">
      <w:pPr>
        <w:ind w:left="567"/>
      </w:pPr>
      <w:r>
        <w:tab/>
      </w:r>
      <w:r>
        <w:tab/>
      </w:r>
      <w:r>
        <w:rPr>
          <w:i/>
        </w:rPr>
        <w:t xml:space="preserve">(Tlf.: 00 32 2 546 95 24 – e-mail: </w:t>
      </w:r>
      <w:hyperlink r:id="rId54" w:history="1">
        <w:r>
          <w:rPr>
            <w:rStyle w:val="Hyperlink"/>
            <w:i/>
          </w:rPr>
          <w:t>triin.aasmaa@eesc.europa.eu</w:t>
        </w:r>
      </w:hyperlink>
      <w:r>
        <w:rPr>
          <w:i/>
        </w:rPr>
        <w:t>)</w:t>
      </w:r>
    </w:p>
    <w:p w:rsidR="00285BC7" w:rsidRPr="00AB524F" w:rsidRDefault="00285BC7" w:rsidP="00252095">
      <w:pPr>
        <w:rPr>
          <w:lang w:val="fr-FR"/>
        </w:rPr>
      </w:pPr>
    </w:p>
    <w:p w:rsidR="00E75595" w:rsidRPr="00DF16B0" w:rsidRDefault="00E75595" w:rsidP="00252095">
      <w:pPr>
        <w:jc w:val="center"/>
      </w:pPr>
      <w:r>
        <w:t>_____________</w:t>
      </w:r>
    </w:p>
    <w:sectPr w:rsidR="00E75595" w:rsidRPr="00DF16B0" w:rsidSect="00841A9C">
      <w:headerReference w:type="even" r:id="rId55"/>
      <w:headerReference w:type="default" r:id="rId56"/>
      <w:footerReference w:type="even" r:id="rId57"/>
      <w:footerReference w:type="default" r:id="rId58"/>
      <w:headerReference w:type="first" r:id="rId59"/>
      <w:footerReference w:type="first" r:id="rId60"/>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095" w:rsidRDefault="00252095" w:rsidP="003B283B">
      <w:pPr>
        <w:spacing w:line="240" w:lineRule="auto"/>
      </w:pPr>
      <w:r>
        <w:separator/>
      </w:r>
    </w:p>
  </w:endnote>
  <w:endnote w:type="continuationSeparator" w:id="0">
    <w:p w:rsidR="00252095" w:rsidRDefault="00252095" w:rsidP="003B283B">
      <w:pPr>
        <w:spacing w:line="240" w:lineRule="auto"/>
      </w:pPr>
      <w:r>
        <w:continuationSeparator/>
      </w:r>
    </w:p>
  </w:endnote>
  <w:endnote w:type="continuationNotice" w:id="1">
    <w:p w:rsidR="00252095" w:rsidRDefault="002520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095" w:rsidRPr="00841A9C" w:rsidRDefault="00252095" w:rsidP="00841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095" w:rsidRPr="00841A9C" w:rsidRDefault="00252095" w:rsidP="00841A9C">
    <w:pPr>
      <w:pStyle w:val="Footer"/>
    </w:pPr>
    <w:r>
      <w:t xml:space="preserve">EESC-2018-03847-00-01-TCD-TRA (FR/EN) </w:t>
    </w:r>
    <w:r>
      <w:fldChar w:fldCharType="begin"/>
    </w:r>
    <w:r>
      <w:instrText xml:space="preserve"> PAGE  \* Arabic  \* MERGEFORMAT </w:instrText>
    </w:r>
    <w:r>
      <w:fldChar w:fldCharType="separate"/>
    </w:r>
    <w:r w:rsidR="00497B45">
      <w:rPr>
        <w:noProof/>
      </w:rPr>
      <w:t>1</w:t>
    </w:r>
    <w:r>
      <w:fldChar w:fldCharType="end"/>
    </w:r>
    <w:r>
      <w:t>/</w:t>
    </w:r>
    <w:r>
      <w:fldChar w:fldCharType="begin"/>
    </w:r>
    <w:r>
      <w:instrText xml:space="preserve"> = </w:instrText>
    </w:r>
    <w:fldSimple w:instr=" NUMPAGES ">
      <w:r w:rsidR="00497B45">
        <w:rPr>
          <w:noProof/>
        </w:rPr>
        <w:instrText>39</w:instrText>
      </w:r>
    </w:fldSimple>
    <w:r>
      <w:instrText xml:space="preserve"> </w:instrText>
    </w:r>
    <w:r>
      <w:fldChar w:fldCharType="separate"/>
    </w:r>
    <w:r w:rsidR="00497B45">
      <w:rPr>
        <w:noProof/>
      </w:rPr>
      <w:t>39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095" w:rsidRPr="00841A9C" w:rsidRDefault="00252095" w:rsidP="00841A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095" w:rsidRPr="00841A9C" w:rsidRDefault="00252095" w:rsidP="00841A9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095" w:rsidRPr="00841A9C" w:rsidRDefault="00252095" w:rsidP="00841A9C">
    <w:pPr>
      <w:pStyle w:val="Footer"/>
    </w:pPr>
    <w:r>
      <w:t xml:space="preserve">EESC-2018-03847-00-01-TCD-TRA (FR/EN) </w:t>
    </w:r>
    <w:r>
      <w:fldChar w:fldCharType="begin"/>
    </w:r>
    <w:r>
      <w:instrText xml:space="preserve"> PAGE  \* Arabic  \* MERGEFORMAT </w:instrText>
    </w:r>
    <w:r>
      <w:fldChar w:fldCharType="separate"/>
    </w:r>
    <w:r w:rsidR="00497B45">
      <w:rPr>
        <w:noProof/>
      </w:rPr>
      <w:t>2</w:t>
    </w:r>
    <w:r>
      <w:fldChar w:fldCharType="end"/>
    </w:r>
    <w:r>
      <w:t>/</w:t>
    </w:r>
    <w:r>
      <w:fldChar w:fldCharType="begin"/>
    </w:r>
    <w:r>
      <w:instrText xml:space="preserve"> = </w:instrText>
    </w:r>
    <w:fldSimple w:instr=" NUMPAGES ">
      <w:r w:rsidR="00497B45">
        <w:rPr>
          <w:noProof/>
        </w:rPr>
        <w:instrText>39</w:instrText>
      </w:r>
    </w:fldSimple>
    <w:r>
      <w:instrText xml:space="preserve"> </w:instrText>
    </w:r>
    <w:r>
      <w:fldChar w:fldCharType="separate"/>
    </w:r>
    <w:r w:rsidR="00497B45">
      <w:rPr>
        <w:noProof/>
      </w:rPr>
      <w:t>39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095" w:rsidRPr="00841A9C" w:rsidRDefault="00252095" w:rsidP="00841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095" w:rsidRDefault="00252095" w:rsidP="003B283B">
      <w:pPr>
        <w:spacing w:line="240" w:lineRule="auto"/>
      </w:pPr>
      <w:r>
        <w:separator/>
      </w:r>
    </w:p>
  </w:footnote>
  <w:footnote w:type="continuationSeparator" w:id="0">
    <w:p w:rsidR="00252095" w:rsidRDefault="00252095" w:rsidP="003B283B">
      <w:pPr>
        <w:spacing w:line="240" w:lineRule="auto"/>
      </w:pPr>
      <w:r>
        <w:continuationSeparator/>
      </w:r>
    </w:p>
  </w:footnote>
  <w:footnote w:type="continuationNotice" w:id="1">
    <w:p w:rsidR="00252095" w:rsidRPr="00377A77" w:rsidRDefault="00252095">
      <w:pPr>
        <w:spacing w:line="240" w:lineRule="auto"/>
        <w:rPr>
          <w:sz w:val="2"/>
          <w:szCs w:val="2"/>
        </w:rPr>
      </w:pPr>
    </w:p>
  </w:footnote>
  <w:footnote w:id="2">
    <w:p w:rsidR="00252095" w:rsidRDefault="00252095" w:rsidP="00E75595">
      <w:pPr>
        <w:keepLines/>
        <w:spacing w:after="60" w:line="240" w:lineRule="auto"/>
        <w:ind w:left="567" w:hanging="567"/>
        <w:rPr>
          <w:color w:val="000000"/>
          <w:sz w:val="16"/>
          <w:szCs w:val="16"/>
        </w:rPr>
      </w:pPr>
      <w:r w:rsidRPr="00D0713E">
        <w:rPr>
          <w:sz w:val="24"/>
          <w:szCs w:val="24"/>
          <w:vertAlign w:val="superscript"/>
        </w:rPr>
        <w:footnoteRef/>
      </w:r>
      <w:r>
        <w:rPr>
          <w:color w:val="000000"/>
          <w:sz w:val="16"/>
          <w:szCs w:val="16"/>
        </w:rPr>
        <w:tab/>
        <w:t>"Sustainable development in the European Union: Monitoring report on progress towards the SDGs in an EU context. 2017 edition" (Bæredygtig udvikling i EU: overvågningsrapport i EU-kontekst om fremskridt i retning af SDG'erne. 2017 udgave).</w:t>
      </w:r>
    </w:p>
  </w:footnote>
  <w:footnote w:id="3">
    <w:p w:rsidR="00252095" w:rsidRPr="00D33352" w:rsidRDefault="00252095" w:rsidP="00E75595">
      <w:pPr>
        <w:pStyle w:val="FootnoteText"/>
      </w:pPr>
      <w:r>
        <w:rPr>
          <w:rStyle w:val="FootnoteReference"/>
        </w:rPr>
        <w:footnoteRef/>
      </w:r>
      <w:r>
        <w:t xml:space="preserve"> </w:t>
      </w:r>
      <w:r>
        <w:tab/>
      </w:r>
      <w:hyperlink r:id="rId1" w:history="1">
        <w:r>
          <w:rPr>
            <w:rStyle w:val="Hyperlink"/>
          </w:rPr>
          <w:t>EUT C 288 af 31.8 2017, s. 56</w:t>
        </w:r>
      </w:hyperlink>
      <w:r>
        <w:t>.</w:t>
      </w:r>
    </w:p>
  </w:footnote>
  <w:footnote w:id="4">
    <w:p w:rsidR="00252095" w:rsidRPr="00DA323B" w:rsidRDefault="00252095" w:rsidP="00E75595">
      <w:pPr>
        <w:pStyle w:val="FootnoteText"/>
      </w:pPr>
      <w:r>
        <w:rPr>
          <w:rStyle w:val="FootnoteReference"/>
        </w:rPr>
        <w:footnoteRef/>
      </w:r>
      <w:r>
        <w:t xml:space="preserve"> </w:t>
      </w:r>
      <w:r>
        <w:tab/>
      </w:r>
      <w:hyperlink r:id="rId2" w:history="1">
        <w:r>
          <w:rPr>
            <w:rStyle w:val="Hyperlink"/>
          </w:rPr>
          <w:t>EUT L 119 af 4.5.2016, s. 33, art. 4. Se også punkterne 35, 45, 52, 53 og 155</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095" w:rsidRPr="00841A9C" w:rsidRDefault="00252095" w:rsidP="00841A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095" w:rsidRPr="00841A9C" w:rsidRDefault="00252095" w:rsidP="00841A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095" w:rsidRPr="00841A9C" w:rsidRDefault="00252095" w:rsidP="00841A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095" w:rsidRPr="00841A9C" w:rsidRDefault="00252095" w:rsidP="00841A9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095" w:rsidRPr="00841A9C" w:rsidRDefault="00252095" w:rsidP="00841A9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095" w:rsidRPr="00841A9C" w:rsidRDefault="00252095" w:rsidP="00841A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750758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CD4CDB0"/>
    <w:lvl w:ilvl="0">
      <w:numFmt w:val="decimal"/>
      <w:lvlText w:val="*"/>
      <w:lvlJc w:val="left"/>
      <w:rPr>
        <w:rFonts w:cs="Times New Roman"/>
      </w:rPr>
    </w:lvl>
  </w:abstractNum>
  <w:abstractNum w:abstractNumId="2" w15:restartNumberingAfterBreak="0">
    <w:nsid w:val="00211B4A"/>
    <w:multiLevelType w:val="hybridMultilevel"/>
    <w:tmpl w:val="1B1EB3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03F2C0C"/>
    <w:multiLevelType w:val="hybridMultilevel"/>
    <w:tmpl w:val="11D2EE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1CF00BB"/>
    <w:multiLevelType w:val="hybridMultilevel"/>
    <w:tmpl w:val="71B25D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2E258C9"/>
    <w:multiLevelType w:val="hybridMultilevel"/>
    <w:tmpl w:val="A97A3E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2E40210"/>
    <w:multiLevelType w:val="hybridMultilevel"/>
    <w:tmpl w:val="E86AD1FE"/>
    <w:lvl w:ilvl="0" w:tplc="ACD4CD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76763F"/>
    <w:multiLevelType w:val="hybridMultilevel"/>
    <w:tmpl w:val="34A287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59D7B34"/>
    <w:multiLevelType w:val="hybridMultilevel"/>
    <w:tmpl w:val="A7A29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5B82429"/>
    <w:multiLevelType w:val="hybridMultilevel"/>
    <w:tmpl w:val="EEEC58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076448AE"/>
    <w:multiLevelType w:val="hybridMultilevel"/>
    <w:tmpl w:val="15328E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07FF72FD"/>
    <w:multiLevelType w:val="hybridMultilevel"/>
    <w:tmpl w:val="3E6C10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095B2A5D"/>
    <w:multiLevelType w:val="hybridMultilevel"/>
    <w:tmpl w:val="BD620D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0A9D53DF"/>
    <w:multiLevelType w:val="hybridMultilevel"/>
    <w:tmpl w:val="B7326A7E"/>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92013A"/>
    <w:multiLevelType w:val="hybridMultilevel"/>
    <w:tmpl w:val="56623F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0CF30300"/>
    <w:multiLevelType w:val="hybridMultilevel"/>
    <w:tmpl w:val="9D707A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0CF37767"/>
    <w:multiLevelType w:val="hybridMultilevel"/>
    <w:tmpl w:val="DCCE81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0D0061E5"/>
    <w:multiLevelType w:val="hybridMultilevel"/>
    <w:tmpl w:val="965EFC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0D3E2C3B"/>
    <w:multiLevelType w:val="hybridMultilevel"/>
    <w:tmpl w:val="41D4B1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0D756997"/>
    <w:multiLevelType w:val="hybridMultilevel"/>
    <w:tmpl w:val="4740EBF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0DF641C3"/>
    <w:multiLevelType w:val="hybridMultilevel"/>
    <w:tmpl w:val="0E3C9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ED35776"/>
    <w:multiLevelType w:val="hybridMultilevel"/>
    <w:tmpl w:val="FEB2A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0F67142E"/>
    <w:multiLevelType w:val="hybridMultilevel"/>
    <w:tmpl w:val="FAF635A4"/>
    <w:lvl w:ilvl="0" w:tplc="ACD4CD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2464B2D"/>
    <w:multiLevelType w:val="hybridMultilevel"/>
    <w:tmpl w:val="697E8F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13FD0AD0"/>
    <w:multiLevelType w:val="hybridMultilevel"/>
    <w:tmpl w:val="E05A93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15F050C2"/>
    <w:multiLevelType w:val="hybridMultilevel"/>
    <w:tmpl w:val="B4662E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17622F59"/>
    <w:multiLevelType w:val="hybridMultilevel"/>
    <w:tmpl w:val="D6A4D4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178E5EB1"/>
    <w:multiLevelType w:val="hybridMultilevel"/>
    <w:tmpl w:val="0B6466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19F33496"/>
    <w:multiLevelType w:val="hybridMultilevel"/>
    <w:tmpl w:val="523C3496"/>
    <w:lvl w:ilvl="0" w:tplc="ACD4CD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1D174074"/>
    <w:multiLevelType w:val="hybridMultilevel"/>
    <w:tmpl w:val="AD48206A"/>
    <w:lvl w:ilvl="0" w:tplc="ACD4CD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007532D"/>
    <w:multiLevelType w:val="hybridMultilevel"/>
    <w:tmpl w:val="507047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204E156C"/>
    <w:multiLevelType w:val="hybridMultilevel"/>
    <w:tmpl w:val="EBB2CD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231B6CFE"/>
    <w:multiLevelType w:val="hybridMultilevel"/>
    <w:tmpl w:val="534CDD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23746354"/>
    <w:multiLevelType w:val="hybridMultilevel"/>
    <w:tmpl w:val="CC66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A5170F"/>
    <w:multiLevelType w:val="hybridMultilevel"/>
    <w:tmpl w:val="5D8C33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24E7779C"/>
    <w:multiLevelType w:val="hybridMultilevel"/>
    <w:tmpl w:val="853A6446"/>
    <w:lvl w:ilvl="0" w:tplc="ACD4CD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6013EB3"/>
    <w:multiLevelType w:val="hybridMultilevel"/>
    <w:tmpl w:val="214A98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26193645"/>
    <w:multiLevelType w:val="hybridMultilevel"/>
    <w:tmpl w:val="4434FC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26D91BC7"/>
    <w:multiLevelType w:val="hybridMultilevel"/>
    <w:tmpl w:val="9DC2B6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27A8217C"/>
    <w:multiLevelType w:val="hybridMultilevel"/>
    <w:tmpl w:val="B1FA3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7A94256"/>
    <w:multiLevelType w:val="hybridMultilevel"/>
    <w:tmpl w:val="BA909E7A"/>
    <w:lvl w:ilvl="0" w:tplc="ACD4CD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C40606D"/>
    <w:multiLevelType w:val="hybridMultilevel"/>
    <w:tmpl w:val="F9F8404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2" w15:restartNumberingAfterBreak="0">
    <w:nsid w:val="2E7D2DC0"/>
    <w:multiLevelType w:val="hybridMultilevel"/>
    <w:tmpl w:val="DA243696"/>
    <w:lvl w:ilvl="0" w:tplc="ACD4CDB0">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43" w15:restartNumberingAfterBreak="0">
    <w:nsid w:val="2EAF19AB"/>
    <w:multiLevelType w:val="hybridMultilevel"/>
    <w:tmpl w:val="D3FAC866"/>
    <w:lvl w:ilvl="0" w:tplc="04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44" w15:restartNumberingAfterBreak="0">
    <w:nsid w:val="2F52127E"/>
    <w:multiLevelType w:val="hybridMultilevel"/>
    <w:tmpl w:val="1EDC54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5" w15:restartNumberingAfterBreak="0">
    <w:nsid w:val="300327B9"/>
    <w:multiLevelType w:val="singleLevel"/>
    <w:tmpl w:val="ACD4CDB0"/>
    <w:lvl w:ilvl="0">
      <w:numFmt w:val="decimal"/>
      <w:lvlText w:val="*"/>
      <w:lvlJc w:val="left"/>
      <w:rPr>
        <w:rFonts w:cs="Times New Roman"/>
      </w:rPr>
    </w:lvl>
  </w:abstractNum>
  <w:abstractNum w:abstractNumId="46" w15:restartNumberingAfterBreak="0">
    <w:nsid w:val="32202109"/>
    <w:multiLevelType w:val="hybridMultilevel"/>
    <w:tmpl w:val="FFB8E7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324B1194"/>
    <w:multiLevelType w:val="hybridMultilevel"/>
    <w:tmpl w:val="1B9A27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365B0304"/>
    <w:multiLevelType w:val="hybridMultilevel"/>
    <w:tmpl w:val="A49C9F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38F97854"/>
    <w:multiLevelType w:val="hybridMultilevel"/>
    <w:tmpl w:val="171AAE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3A3A704D"/>
    <w:multiLevelType w:val="hybridMultilevel"/>
    <w:tmpl w:val="33F6EF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3A906711"/>
    <w:multiLevelType w:val="hybridMultilevel"/>
    <w:tmpl w:val="936E6A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3A906907"/>
    <w:multiLevelType w:val="hybridMultilevel"/>
    <w:tmpl w:val="E65AD0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3CCB7640"/>
    <w:multiLevelType w:val="hybridMultilevel"/>
    <w:tmpl w:val="B2F63EE0"/>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3D25013E"/>
    <w:multiLevelType w:val="hybridMultilevel"/>
    <w:tmpl w:val="523A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FA977C8"/>
    <w:multiLevelType w:val="hybridMultilevel"/>
    <w:tmpl w:val="19205D70"/>
    <w:lvl w:ilvl="0" w:tplc="ACD4CD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402E6D69"/>
    <w:multiLevelType w:val="hybridMultilevel"/>
    <w:tmpl w:val="39282D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15:restartNumberingAfterBreak="0">
    <w:nsid w:val="41342236"/>
    <w:multiLevelType w:val="hybridMultilevel"/>
    <w:tmpl w:val="4E045D9C"/>
    <w:lvl w:ilvl="0" w:tplc="890CFCDC">
      <w:start w:val="1"/>
      <w:numFmt w:val="bullet"/>
      <w:lvlText w:val="-"/>
      <w:lvlJc w:val="left"/>
      <w:pPr>
        <w:ind w:left="1845" w:hanging="360"/>
      </w:pPr>
      <w:rPr>
        <w:rFonts w:ascii="Times New Roman" w:eastAsia="Times New Roman" w:hAnsi="Times New Roman" w:cs="Times New Roman" w:hint="default"/>
      </w:rPr>
    </w:lvl>
    <w:lvl w:ilvl="1" w:tplc="18090003" w:tentative="1">
      <w:start w:val="1"/>
      <w:numFmt w:val="bullet"/>
      <w:lvlText w:val="o"/>
      <w:lvlJc w:val="left"/>
      <w:pPr>
        <w:ind w:left="2565" w:hanging="360"/>
      </w:pPr>
      <w:rPr>
        <w:rFonts w:ascii="Courier New" w:hAnsi="Courier New" w:cs="Courier New" w:hint="default"/>
      </w:rPr>
    </w:lvl>
    <w:lvl w:ilvl="2" w:tplc="18090005" w:tentative="1">
      <w:start w:val="1"/>
      <w:numFmt w:val="bullet"/>
      <w:lvlText w:val=""/>
      <w:lvlJc w:val="left"/>
      <w:pPr>
        <w:ind w:left="3285" w:hanging="360"/>
      </w:pPr>
      <w:rPr>
        <w:rFonts w:ascii="Wingdings" w:hAnsi="Wingdings" w:hint="default"/>
      </w:rPr>
    </w:lvl>
    <w:lvl w:ilvl="3" w:tplc="18090001" w:tentative="1">
      <w:start w:val="1"/>
      <w:numFmt w:val="bullet"/>
      <w:lvlText w:val=""/>
      <w:lvlJc w:val="left"/>
      <w:pPr>
        <w:ind w:left="4005" w:hanging="360"/>
      </w:pPr>
      <w:rPr>
        <w:rFonts w:ascii="Symbol" w:hAnsi="Symbol" w:hint="default"/>
      </w:rPr>
    </w:lvl>
    <w:lvl w:ilvl="4" w:tplc="18090003" w:tentative="1">
      <w:start w:val="1"/>
      <w:numFmt w:val="bullet"/>
      <w:lvlText w:val="o"/>
      <w:lvlJc w:val="left"/>
      <w:pPr>
        <w:ind w:left="4725" w:hanging="360"/>
      </w:pPr>
      <w:rPr>
        <w:rFonts w:ascii="Courier New" w:hAnsi="Courier New" w:cs="Courier New" w:hint="default"/>
      </w:rPr>
    </w:lvl>
    <w:lvl w:ilvl="5" w:tplc="18090005" w:tentative="1">
      <w:start w:val="1"/>
      <w:numFmt w:val="bullet"/>
      <w:lvlText w:val=""/>
      <w:lvlJc w:val="left"/>
      <w:pPr>
        <w:ind w:left="5445" w:hanging="360"/>
      </w:pPr>
      <w:rPr>
        <w:rFonts w:ascii="Wingdings" w:hAnsi="Wingdings" w:hint="default"/>
      </w:rPr>
    </w:lvl>
    <w:lvl w:ilvl="6" w:tplc="18090001" w:tentative="1">
      <w:start w:val="1"/>
      <w:numFmt w:val="bullet"/>
      <w:lvlText w:val=""/>
      <w:lvlJc w:val="left"/>
      <w:pPr>
        <w:ind w:left="6165" w:hanging="360"/>
      </w:pPr>
      <w:rPr>
        <w:rFonts w:ascii="Symbol" w:hAnsi="Symbol" w:hint="default"/>
      </w:rPr>
    </w:lvl>
    <w:lvl w:ilvl="7" w:tplc="18090003" w:tentative="1">
      <w:start w:val="1"/>
      <w:numFmt w:val="bullet"/>
      <w:lvlText w:val="o"/>
      <w:lvlJc w:val="left"/>
      <w:pPr>
        <w:ind w:left="6885" w:hanging="360"/>
      </w:pPr>
      <w:rPr>
        <w:rFonts w:ascii="Courier New" w:hAnsi="Courier New" w:cs="Courier New" w:hint="default"/>
      </w:rPr>
    </w:lvl>
    <w:lvl w:ilvl="8" w:tplc="18090005" w:tentative="1">
      <w:start w:val="1"/>
      <w:numFmt w:val="bullet"/>
      <w:lvlText w:val=""/>
      <w:lvlJc w:val="left"/>
      <w:pPr>
        <w:ind w:left="7605" w:hanging="360"/>
      </w:pPr>
      <w:rPr>
        <w:rFonts w:ascii="Wingdings" w:hAnsi="Wingdings" w:hint="default"/>
      </w:rPr>
    </w:lvl>
  </w:abstractNum>
  <w:abstractNum w:abstractNumId="58" w15:restartNumberingAfterBreak="0">
    <w:nsid w:val="43555D1B"/>
    <w:multiLevelType w:val="hybridMultilevel"/>
    <w:tmpl w:val="5C2099BA"/>
    <w:lvl w:ilvl="0" w:tplc="ACD4CD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3AE2CEB"/>
    <w:multiLevelType w:val="singleLevel"/>
    <w:tmpl w:val="ACD4CDB0"/>
    <w:lvl w:ilvl="0">
      <w:numFmt w:val="decimal"/>
      <w:lvlText w:val="*"/>
      <w:lvlJc w:val="left"/>
      <w:rPr>
        <w:rFonts w:cs="Times New Roman"/>
      </w:rPr>
    </w:lvl>
  </w:abstractNum>
  <w:abstractNum w:abstractNumId="60" w15:restartNumberingAfterBreak="0">
    <w:nsid w:val="45B279FC"/>
    <w:multiLevelType w:val="hybridMultilevel"/>
    <w:tmpl w:val="F6E659BC"/>
    <w:lvl w:ilvl="0" w:tplc="A992E7A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15:restartNumberingAfterBreak="0">
    <w:nsid w:val="46851389"/>
    <w:multiLevelType w:val="hybridMultilevel"/>
    <w:tmpl w:val="31E0C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6E32B4C"/>
    <w:multiLevelType w:val="hybridMultilevel"/>
    <w:tmpl w:val="8278C3D6"/>
    <w:lvl w:ilvl="0" w:tplc="ACD4CD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7F42FAE"/>
    <w:multiLevelType w:val="hybridMultilevel"/>
    <w:tmpl w:val="AAB8D0FA"/>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9FD36BE"/>
    <w:multiLevelType w:val="hybridMultilevel"/>
    <w:tmpl w:val="BDC6D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15:restartNumberingAfterBreak="0">
    <w:nsid w:val="4A0B3C40"/>
    <w:multiLevelType w:val="hybridMultilevel"/>
    <w:tmpl w:val="62B0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BE00B24"/>
    <w:multiLevelType w:val="hybridMultilevel"/>
    <w:tmpl w:val="3C10AA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15:restartNumberingAfterBreak="0">
    <w:nsid w:val="50190312"/>
    <w:multiLevelType w:val="hybridMultilevel"/>
    <w:tmpl w:val="060EAE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0A5139E"/>
    <w:multiLevelType w:val="hybridMultilevel"/>
    <w:tmpl w:val="908A95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 w15:restartNumberingAfterBreak="0">
    <w:nsid w:val="53412081"/>
    <w:multiLevelType w:val="hybridMultilevel"/>
    <w:tmpl w:val="68EEF7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0" w15:restartNumberingAfterBreak="0">
    <w:nsid w:val="53983D63"/>
    <w:multiLevelType w:val="hybridMultilevel"/>
    <w:tmpl w:val="6FD840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1" w15:restartNumberingAfterBreak="0">
    <w:nsid w:val="53D26C97"/>
    <w:multiLevelType w:val="hybridMultilevel"/>
    <w:tmpl w:val="7794C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73" w15:restartNumberingAfterBreak="0">
    <w:nsid w:val="55055A6B"/>
    <w:multiLevelType w:val="hybridMultilevel"/>
    <w:tmpl w:val="FC02A2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4" w15:restartNumberingAfterBreak="0">
    <w:nsid w:val="55531EC3"/>
    <w:multiLevelType w:val="hybridMultilevel"/>
    <w:tmpl w:val="2514CB7C"/>
    <w:lvl w:ilvl="0" w:tplc="ACD4CD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5C36F7E"/>
    <w:multiLevelType w:val="hybridMultilevel"/>
    <w:tmpl w:val="078E56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6" w15:restartNumberingAfterBreak="0">
    <w:nsid w:val="571335BC"/>
    <w:multiLevelType w:val="hybridMultilevel"/>
    <w:tmpl w:val="3898869E"/>
    <w:lvl w:ilvl="0" w:tplc="ACD4CD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57B87B9F"/>
    <w:multiLevelType w:val="hybridMultilevel"/>
    <w:tmpl w:val="29AAA1B4"/>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92A6061"/>
    <w:multiLevelType w:val="hybridMultilevel"/>
    <w:tmpl w:val="7D14EF02"/>
    <w:lvl w:ilvl="0" w:tplc="BCCEB338">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9" w15:restartNumberingAfterBreak="0">
    <w:nsid w:val="59376402"/>
    <w:multiLevelType w:val="hybridMultilevel"/>
    <w:tmpl w:val="E85836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0" w15:restartNumberingAfterBreak="0">
    <w:nsid w:val="596B2A19"/>
    <w:multiLevelType w:val="hybridMultilevel"/>
    <w:tmpl w:val="9DB803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1" w15:restartNumberingAfterBreak="0">
    <w:nsid w:val="59BF459B"/>
    <w:multiLevelType w:val="hybridMultilevel"/>
    <w:tmpl w:val="2B745C0A"/>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9E9184B"/>
    <w:multiLevelType w:val="hybridMultilevel"/>
    <w:tmpl w:val="51E07A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3" w15:restartNumberingAfterBreak="0">
    <w:nsid w:val="5A441DE2"/>
    <w:multiLevelType w:val="hybridMultilevel"/>
    <w:tmpl w:val="29EE18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4" w15:restartNumberingAfterBreak="0">
    <w:nsid w:val="5A6B084B"/>
    <w:multiLevelType w:val="hybridMultilevel"/>
    <w:tmpl w:val="999686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5" w15:restartNumberingAfterBreak="0">
    <w:nsid w:val="5ADE3757"/>
    <w:multiLevelType w:val="hybridMultilevel"/>
    <w:tmpl w:val="030C38EA"/>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C0A4643"/>
    <w:multiLevelType w:val="hybridMultilevel"/>
    <w:tmpl w:val="8AA0AD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7" w15:restartNumberingAfterBreak="0">
    <w:nsid w:val="5D107300"/>
    <w:multiLevelType w:val="hybridMultilevel"/>
    <w:tmpl w:val="F802149A"/>
    <w:lvl w:ilvl="0" w:tplc="ACD4CD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5D361CA7"/>
    <w:multiLevelType w:val="hybridMultilevel"/>
    <w:tmpl w:val="C4FA67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9" w15:restartNumberingAfterBreak="0">
    <w:nsid w:val="5D3B7043"/>
    <w:multiLevelType w:val="hybridMultilevel"/>
    <w:tmpl w:val="F0FA4F4A"/>
    <w:lvl w:ilvl="0" w:tplc="ACD4CD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91" w15:restartNumberingAfterBreak="0">
    <w:nsid w:val="616062A3"/>
    <w:multiLevelType w:val="hybridMultilevel"/>
    <w:tmpl w:val="AB3A7F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2" w15:restartNumberingAfterBreak="0">
    <w:nsid w:val="618F7F69"/>
    <w:multiLevelType w:val="hybridMultilevel"/>
    <w:tmpl w:val="836654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3" w15:restartNumberingAfterBreak="0">
    <w:nsid w:val="61E90096"/>
    <w:multiLevelType w:val="hybridMultilevel"/>
    <w:tmpl w:val="722220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4" w15:restartNumberingAfterBreak="0">
    <w:nsid w:val="637B3816"/>
    <w:multiLevelType w:val="hybridMultilevel"/>
    <w:tmpl w:val="AA5CFC12"/>
    <w:lvl w:ilvl="0" w:tplc="ACD4CD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38E7AA1"/>
    <w:multiLevelType w:val="singleLevel"/>
    <w:tmpl w:val="ACD4CDB0"/>
    <w:lvl w:ilvl="0">
      <w:numFmt w:val="decimal"/>
      <w:lvlText w:val="*"/>
      <w:lvlJc w:val="left"/>
      <w:rPr>
        <w:rFonts w:cs="Times New Roman"/>
      </w:rPr>
    </w:lvl>
  </w:abstractNum>
  <w:abstractNum w:abstractNumId="96" w15:restartNumberingAfterBreak="0">
    <w:nsid w:val="67AC7EB4"/>
    <w:multiLevelType w:val="hybridMultilevel"/>
    <w:tmpl w:val="1AAA3D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7" w15:restartNumberingAfterBreak="0">
    <w:nsid w:val="67D815B4"/>
    <w:multiLevelType w:val="hybridMultilevel"/>
    <w:tmpl w:val="AAC83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A383A60"/>
    <w:multiLevelType w:val="hybridMultilevel"/>
    <w:tmpl w:val="8E96A8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9" w15:restartNumberingAfterBreak="0">
    <w:nsid w:val="6C7B7DB1"/>
    <w:multiLevelType w:val="hybridMultilevel"/>
    <w:tmpl w:val="9CD632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0" w15:restartNumberingAfterBreak="0">
    <w:nsid w:val="6CEF4FC0"/>
    <w:multiLevelType w:val="hybridMultilevel"/>
    <w:tmpl w:val="03A66444"/>
    <w:lvl w:ilvl="0" w:tplc="08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6D4C3A3F"/>
    <w:multiLevelType w:val="hybridMultilevel"/>
    <w:tmpl w:val="63F630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2" w15:restartNumberingAfterBreak="0">
    <w:nsid w:val="6E97739E"/>
    <w:multiLevelType w:val="hybridMultilevel"/>
    <w:tmpl w:val="659454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3" w15:restartNumberingAfterBreak="0">
    <w:nsid w:val="6EBC6068"/>
    <w:multiLevelType w:val="hybridMultilevel"/>
    <w:tmpl w:val="9AF05E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4" w15:restartNumberingAfterBreak="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0CA3440"/>
    <w:multiLevelType w:val="hybridMultilevel"/>
    <w:tmpl w:val="4D288B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6" w15:restartNumberingAfterBreak="0">
    <w:nsid w:val="72CB1A0F"/>
    <w:multiLevelType w:val="hybridMultilevel"/>
    <w:tmpl w:val="D2C0CC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7" w15:restartNumberingAfterBreak="0">
    <w:nsid w:val="75AB0543"/>
    <w:multiLevelType w:val="hybridMultilevel"/>
    <w:tmpl w:val="5D1EC8D6"/>
    <w:lvl w:ilvl="0" w:tplc="04090001">
      <w:start w:val="1"/>
      <w:numFmt w:val="bullet"/>
      <w:lvlText w:val=""/>
      <w:lvlJc w:val="left"/>
      <w:pPr>
        <w:ind w:left="1440" w:hanging="720"/>
      </w:pPr>
      <w:rPr>
        <w:rFonts w:ascii="Symbol" w:hAnsi="Symbol" w:hint="default"/>
      </w:rPr>
    </w:lvl>
    <w:lvl w:ilvl="1" w:tplc="A992E7A6">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760B42AB"/>
    <w:multiLevelType w:val="hybridMultilevel"/>
    <w:tmpl w:val="364EABEE"/>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6446A56"/>
    <w:multiLevelType w:val="hybridMultilevel"/>
    <w:tmpl w:val="D6FE64AA"/>
    <w:lvl w:ilvl="0" w:tplc="ACD4CD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76CE030C"/>
    <w:multiLevelType w:val="hybridMultilevel"/>
    <w:tmpl w:val="2AEE4D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1" w15:restartNumberingAfterBreak="0">
    <w:nsid w:val="77B11B2B"/>
    <w:multiLevelType w:val="hybridMultilevel"/>
    <w:tmpl w:val="DEAAD2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2" w15:restartNumberingAfterBreak="0">
    <w:nsid w:val="7AB00584"/>
    <w:multiLevelType w:val="hybridMultilevel"/>
    <w:tmpl w:val="8760DFC0"/>
    <w:lvl w:ilvl="0" w:tplc="ACD4CD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B1C319E"/>
    <w:multiLevelType w:val="hybridMultilevel"/>
    <w:tmpl w:val="7736D6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4" w15:restartNumberingAfterBreak="0">
    <w:nsid w:val="7C533CAB"/>
    <w:multiLevelType w:val="hybridMultilevel"/>
    <w:tmpl w:val="390CDE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5" w15:restartNumberingAfterBreak="0">
    <w:nsid w:val="7C644AB0"/>
    <w:multiLevelType w:val="hybridMultilevel"/>
    <w:tmpl w:val="FAECB9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6" w15:restartNumberingAfterBreak="0">
    <w:nsid w:val="7D840B3A"/>
    <w:multiLevelType w:val="hybridMultilevel"/>
    <w:tmpl w:val="3FD8A5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7" w15:restartNumberingAfterBreak="0">
    <w:nsid w:val="7EE01FA9"/>
    <w:multiLevelType w:val="hybridMultilevel"/>
    <w:tmpl w:val="1C3C7DAC"/>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EFC6185"/>
    <w:multiLevelType w:val="hybridMultilevel"/>
    <w:tmpl w:val="D26063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90"/>
  </w:num>
  <w:num w:numId="3">
    <w:abstractNumId w:val="33"/>
  </w:num>
  <w:num w:numId="4">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25"/>
  </w:num>
  <w:num w:numId="6">
    <w:abstractNumId w:val="96"/>
  </w:num>
  <w:num w:numId="7">
    <w:abstractNumId w:val="65"/>
  </w:num>
  <w:num w:numId="8">
    <w:abstractNumId w:val="64"/>
  </w:num>
  <w:num w:numId="9">
    <w:abstractNumId w:val="107"/>
  </w:num>
  <w:num w:numId="10">
    <w:abstractNumId w:val="53"/>
  </w:num>
  <w:num w:numId="11">
    <w:abstractNumId w:val="39"/>
  </w:num>
  <w:num w:numId="12">
    <w:abstractNumId w:val="71"/>
  </w:num>
  <w:num w:numId="13">
    <w:abstractNumId w:val="49"/>
  </w:num>
  <w:num w:numId="14">
    <w:abstractNumId w:val="84"/>
  </w:num>
  <w:num w:numId="15">
    <w:abstractNumId w:val="46"/>
  </w:num>
  <w:num w:numId="16">
    <w:abstractNumId w:val="14"/>
  </w:num>
  <w:num w:numId="17">
    <w:abstractNumId w:val="111"/>
  </w:num>
  <w:num w:numId="18">
    <w:abstractNumId w:val="118"/>
  </w:num>
  <w:num w:numId="19">
    <w:abstractNumId w:val="105"/>
  </w:num>
  <w:num w:numId="20">
    <w:abstractNumId w:val="60"/>
  </w:num>
  <w:num w:numId="21">
    <w:abstractNumId w:val="79"/>
  </w:num>
  <w:num w:numId="22">
    <w:abstractNumId w:val="88"/>
  </w:num>
  <w:num w:numId="23">
    <w:abstractNumId w:val="7"/>
  </w:num>
  <w:num w:numId="24">
    <w:abstractNumId w:val="11"/>
  </w:num>
  <w:num w:numId="25">
    <w:abstractNumId w:val="32"/>
  </w:num>
  <w:num w:numId="26">
    <w:abstractNumId w:val="21"/>
  </w:num>
  <w:num w:numId="27">
    <w:abstractNumId w:val="110"/>
  </w:num>
  <w:num w:numId="28">
    <w:abstractNumId w:val="115"/>
  </w:num>
  <w:num w:numId="29">
    <w:abstractNumId w:val="9"/>
  </w:num>
  <w:num w:numId="30">
    <w:abstractNumId w:val="3"/>
  </w:num>
  <w:num w:numId="31">
    <w:abstractNumId w:val="75"/>
  </w:num>
  <w:num w:numId="32">
    <w:abstractNumId w:val="1"/>
    <w:lvlOverride w:ilvl="0">
      <w:lvl w:ilvl="0">
        <w:start w:val="1"/>
        <w:numFmt w:val="bullet"/>
        <w:lvlText w:val=""/>
        <w:lvlJc w:val="left"/>
        <w:pPr>
          <w:ind w:left="720" w:hanging="360"/>
        </w:pPr>
        <w:rPr>
          <w:rFonts w:ascii="Symbol" w:hAnsi="Symbol" w:hint="default"/>
        </w:rPr>
      </w:lvl>
    </w:lvlOverride>
  </w:num>
  <w:num w:numId="33">
    <w:abstractNumId w:val="97"/>
  </w:num>
  <w:num w:numId="34">
    <w:abstractNumId w:val="20"/>
  </w:num>
  <w:num w:numId="35">
    <w:abstractNumId w:val="17"/>
  </w:num>
  <w:num w:numId="36">
    <w:abstractNumId w:val="54"/>
  </w:num>
  <w:num w:numId="37">
    <w:abstractNumId w:val="116"/>
  </w:num>
  <w:num w:numId="38">
    <w:abstractNumId w:val="19"/>
  </w:num>
  <w:num w:numId="39">
    <w:abstractNumId w:val="44"/>
  </w:num>
  <w:num w:numId="40">
    <w:abstractNumId w:val="61"/>
  </w:num>
  <w:num w:numId="41">
    <w:abstractNumId w:val="103"/>
  </w:num>
  <w:num w:numId="42">
    <w:abstractNumId w:val="8"/>
  </w:num>
  <w:num w:numId="43">
    <w:abstractNumId w:val="95"/>
  </w:num>
  <w:num w:numId="44">
    <w:abstractNumId w:val="57"/>
  </w:num>
  <w:num w:numId="45">
    <w:abstractNumId w:val="102"/>
  </w:num>
  <w:num w:numId="46">
    <w:abstractNumId w:val="4"/>
  </w:num>
  <w:num w:numId="47">
    <w:abstractNumId w:val="113"/>
  </w:num>
  <w:num w:numId="48">
    <w:abstractNumId w:val="68"/>
  </w:num>
  <w:num w:numId="49">
    <w:abstractNumId w:val="18"/>
  </w:num>
  <w:num w:numId="50">
    <w:abstractNumId w:val="5"/>
  </w:num>
  <w:num w:numId="51">
    <w:abstractNumId w:val="73"/>
  </w:num>
  <w:num w:numId="52">
    <w:abstractNumId w:val="82"/>
  </w:num>
  <w:num w:numId="53">
    <w:abstractNumId w:val="16"/>
  </w:num>
  <w:num w:numId="54">
    <w:abstractNumId w:val="52"/>
  </w:num>
  <w:num w:numId="55">
    <w:abstractNumId w:val="36"/>
  </w:num>
  <w:num w:numId="56">
    <w:abstractNumId w:val="69"/>
  </w:num>
  <w:num w:numId="57">
    <w:abstractNumId w:val="106"/>
  </w:num>
  <w:num w:numId="58">
    <w:abstractNumId w:val="56"/>
  </w:num>
  <w:num w:numId="59">
    <w:abstractNumId w:val="47"/>
  </w:num>
  <w:num w:numId="60">
    <w:abstractNumId w:val="51"/>
  </w:num>
  <w:num w:numId="61">
    <w:abstractNumId w:val="15"/>
  </w:num>
  <w:num w:numId="62">
    <w:abstractNumId w:val="30"/>
  </w:num>
  <w:num w:numId="63">
    <w:abstractNumId w:val="12"/>
  </w:num>
  <w:num w:numId="64">
    <w:abstractNumId w:val="91"/>
  </w:num>
  <w:num w:numId="65">
    <w:abstractNumId w:val="27"/>
  </w:num>
  <w:num w:numId="66">
    <w:abstractNumId w:val="31"/>
  </w:num>
  <w:num w:numId="67">
    <w:abstractNumId w:val="2"/>
  </w:num>
  <w:num w:numId="68">
    <w:abstractNumId w:val="92"/>
  </w:num>
  <w:num w:numId="69">
    <w:abstractNumId w:val="50"/>
  </w:num>
  <w:num w:numId="70">
    <w:abstractNumId w:val="37"/>
  </w:num>
  <w:num w:numId="71">
    <w:abstractNumId w:val="48"/>
  </w:num>
  <w:num w:numId="72">
    <w:abstractNumId w:val="83"/>
  </w:num>
  <w:num w:numId="73">
    <w:abstractNumId w:val="41"/>
  </w:num>
  <w:num w:numId="74">
    <w:abstractNumId w:val="0"/>
  </w:num>
  <w:num w:numId="75">
    <w:abstractNumId w:val="0"/>
  </w:num>
  <w:num w:numId="76">
    <w:abstractNumId w:val="0"/>
  </w:num>
  <w:num w:numId="77">
    <w:abstractNumId w:val="0"/>
  </w:num>
  <w:num w:numId="78">
    <w:abstractNumId w:val="43"/>
  </w:num>
  <w:num w:numId="79">
    <w:abstractNumId w:val="34"/>
  </w:num>
  <w:num w:numId="80">
    <w:abstractNumId w:val="104"/>
  </w:num>
  <w:num w:numId="81">
    <w:abstractNumId w:val="66"/>
  </w:num>
  <w:num w:numId="82">
    <w:abstractNumId w:val="85"/>
  </w:num>
  <w:num w:numId="83">
    <w:abstractNumId w:val="45"/>
  </w:num>
  <w:num w:numId="84">
    <w:abstractNumId w:val="59"/>
  </w:num>
  <w:num w:numId="85">
    <w:abstractNumId w:val="44"/>
  </w:num>
  <w:num w:numId="86">
    <w:abstractNumId w:val="70"/>
  </w:num>
  <w:num w:numId="87">
    <w:abstractNumId w:val="86"/>
  </w:num>
  <w:num w:numId="88">
    <w:abstractNumId w:val="38"/>
  </w:num>
  <w:num w:numId="89">
    <w:abstractNumId w:val="23"/>
  </w:num>
  <w:num w:numId="90">
    <w:abstractNumId w:val="101"/>
  </w:num>
  <w:num w:numId="91">
    <w:abstractNumId w:val="10"/>
  </w:num>
  <w:num w:numId="92">
    <w:abstractNumId w:val="74"/>
  </w:num>
  <w:num w:numId="93">
    <w:abstractNumId w:val="42"/>
  </w:num>
  <w:num w:numId="94">
    <w:abstractNumId w:val="22"/>
  </w:num>
  <w:num w:numId="95">
    <w:abstractNumId w:val="87"/>
  </w:num>
  <w:num w:numId="96">
    <w:abstractNumId w:val="40"/>
  </w:num>
  <w:num w:numId="97">
    <w:abstractNumId w:val="109"/>
  </w:num>
  <w:num w:numId="98">
    <w:abstractNumId w:val="35"/>
  </w:num>
  <w:num w:numId="99">
    <w:abstractNumId w:val="55"/>
  </w:num>
  <w:num w:numId="100">
    <w:abstractNumId w:val="112"/>
  </w:num>
  <w:num w:numId="101">
    <w:abstractNumId w:val="29"/>
  </w:num>
  <w:num w:numId="102">
    <w:abstractNumId w:val="94"/>
  </w:num>
  <w:num w:numId="103">
    <w:abstractNumId w:val="6"/>
  </w:num>
  <w:num w:numId="104">
    <w:abstractNumId w:val="89"/>
  </w:num>
  <w:num w:numId="105">
    <w:abstractNumId w:val="58"/>
  </w:num>
  <w:num w:numId="106">
    <w:abstractNumId w:val="76"/>
  </w:num>
  <w:num w:numId="107">
    <w:abstractNumId w:val="28"/>
  </w:num>
  <w:num w:numId="108">
    <w:abstractNumId w:val="62"/>
  </w:num>
  <w:num w:numId="109">
    <w:abstractNumId w:val="100"/>
  </w:num>
  <w:num w:numId="110">
    <w:abstractNumId w:val="117"/>
  </w:num>
  <w:num w:numId="111">
    <w:abstractNumId w:val="108"/>
  </w:num>
  <w:num w:numId="112">
    <w:abstractNumId w:val="93"/>
  </w:num>
  <w:num w:numId="113">
    <w:abstractNumId w:val="26"/>
  </w:num>
  <w:num w:numId="114">
    <w:abstractNumId w:val="114"/>
  </w:num>
  <w:num w:numId="115">
    <w:abstractNumId w:val="80"/>
  </w:num>
  <w:num w:numId="116">
    <w:abstractNumId w:val="24"/>
  </w:num>
  <w:num w:numId="117">
    <w:abstractNumId w:val="98"/>
  </w:num>
  <w:num w:numId="118">
    <w:abstractNumId w:val="99"/>
  </w:num>
  <w:num w:numId="119">
    <w:abstractNumId w:val="78"/>
  </w:num>
  <w:num w:numId="120">
    <w:abstractNumId w:val="67"/>
  </w:num>
  <w:num w:numId="121">
    <w:abstractNumId w:val="63"/>
  </w:num>
  <w:num w:numId="122">
    <w:abstractNumId w:val="77"/>
  </w:num>
  <w:num w:numId="123">
    <w:abstractNumId w:val="13"/>
  </w:num>
  <w:num w:numId="124">
    <w:abstractNumId w:val="81"/>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50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1E9"/>
    <w:rsid w:val="00004D0F"/>
    <w:rsid w:val="00005B0A"/>
    <w:rsid w:val="00007617"/>
    <w:rsid w:val="00007B94"/>
    <w:rsid w:val="000104CB"/>
    <w:rsid w:val="000115A9"/>
    <w:rsid w:val="00012B39"/>
    <w:rsid w:val="00013610"/>
    <w:rsid w:val="000138A1"/>
    <w:rsid w:val="000139D9"/>
    <w:rsid w:val="0001686B"/>
    <w:rsid w:val="00017703"/>
    <w:rsid w:val="000202C4"/>
    <w:rsid w:val="00020612"/>
    <w:rsid w:val="00020A28"/>
    <w:rsid w:val="000215A9"/>
    <w:rsid w:val="00022B6C"/>
    <w:rsid w:val="000240FE"/>
    <w:rsid w:val="000244F9"/>
    <w:rsid w:val="00024FEF"/>
    <w:rsid w:val="00026BD2"/>
    <w:rsid w:val="00030B04"/>
    <w:rsid w:val="0003128F"/>
    <w:rsid w:val="000316FF"/>
    <w:rsid w:val="00031C70"/>
    <w:rsid w:val="00032D96"/>
    <w:rsid w:val="00032E3A"/>
    <w:rsid w:val="000338E8"/>
    <w:rsid w:val="00033C6E"/>
    <w:rsid w:val="00033DA8"/>
    <w:rsid w:val="00034832"/>
    <w:rsid w:val="000349EE"/>
    <w:rsid w:val="00034A75"/>
    <w:rsid w:val="00035B58"/>
    <w:rsid w:val="00035EF4"/>
    <w:rsid w:val="00036976"/>
    <w:rsid w:val="000378CC"/>
    <w:rsid w:val="00037B11"/>
    <w:rsid w:val="0004006B"/>
    <w:rsid w:val="0004042B"/>
    <w:rsid w:val="0004127A"/>
    <w:rsid w:val="00041C6C"/>
    <w:rsid w:val="00041EB7"/>
    <w:rsid w:val="00042751"/>
    <w:rsid w:val="000432D1"/>
    <w:rsid w:val="00044DCB"/>
    <w:rsid w:val="00045054"/>
    <w:rsid w:val="000451B3"/>
    <w:rsid w:val="0005077B"/>
    <w:rsid w:val="00051C81"/>
    <w:rsid w:val="0005250A"/>
    <w:rsid w:val="000529F2"/>
    <w:rsid w:val="00054BA6"/>
    <w:rsid w:val="00054E26"/>
    <w:rsid w:val="00055735"/>
    <w:rsid w:val="000557CE"/>
    <w:rsid w:val="000559BE"/>
    <w:rsid w:val="000562AF"/>
    <w:rsid w:val="000571C2"/>
    <w:rsid w:val="0006052C"/>
    <w:rsid w:val="00060853"/>
    <w:rsid w:val="00060E5C"/>
    <w:rsid w:val="00061952"/>
    <w:rsid w:val="00065751"/>
    <w:rsid w:val="00066490"/>
    <w:rsid w:val="00067189"/>
    <w:rsid w:val="00067BC4"/>
    <w:rsid w:val="0007026C"/>
    <w:rsid w:val="00070282"/>
    <w:rsid w:val="00070C28"/>
    <w:rsid w:val="00070DC9"/>
    <w:rsid w:val="000714D6"/>
    <w:rsid w:val="00071E53"/>
    <w:rsid w:val="0007365D"/>
    <w:rsid w:val="00073A46"/>
    <w:rsid w:val="000747E4"/>
    <w:rsid w:val="00074A88"/>
    <w:rsid w:val="00074CD8"/>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3786"/>
    <w:rsid w:val="00094645"/>
    <w:rsid w:val="000967CA"/>
    <w:rsid w:val="00096999"/>
    <w:rsid w:val="00097F0D"/>
    <w:rsid w:val="000A2809"/>
    <w:rsid w:val="000A4202"/>
    <w:rsid w:val="000A62E2"/>
    <w:rsid w:val="000B1EEE"/>
    <w:rsid w:val="000B59DE"/>
    <w:rsid w:val="000C07F0"/>
    <w:rsid w:val="000C0946"/>
    <w:rsid w:val="000C0AA0"/>
    <w:rsid w:val="000C139C"/>
    <w:rsid w:val="000C2679"/>
    <w:rsid w:val="000C37E9"/>
    <w:rsid w:val="000C3BFD"/>
    <w:rsid w:val="000C3DF6"/>
    <w:rsid w:val="000C469F"/>
    <w:rsid w:val="000C491C"/>
    <w:rsid w:val="000C56D4"/>
    <w:rsid w:val="000C6808"/>
    <w:rsid w:val="000C6F0E"/>
    <w:rsid w:val="000D007F"/>
    <w:rsid w:val="000D28F0"/>
    <w:rsid w:val="000D3F88"/>
    <w:rsid w:val="000D4AF3"/>
    <w:rsid w:val="000D50A8"/>
    <w:rsid w:val="000D59D3"/>
    <w:rsid w:val="000D6B2F"/>
    <w:rsid w:val="000D77C2"/>
    <w:rsid w:val="000D7E59"/>
    <w:rsid w:val="000D7F5A"/>
    <w:rsid w:val="000E26A2"/>
    <w:rsid w:val="000E4C16"/>
    <w:rsid w:val="000E6466"/>
    <w:rsid w:val="000E6F41"/>
    <w:rsid w:val="000E7D79"/>
    <w:rsid w:val="000F0112"/>
    <w:rsid w:val="000F035E"/>
    <w:rsid w:val="000F0AFF"/>
    <w:rsid w:val="000F16CE"/>
    <w:rsid w:val="000F181E"/>
    <w:rsid w:val="000F3021"/>
    <w:rsid w:val="000F3050"/>
    <w:rsid w:val="000F42C4"/>
    <w:rsid w:val="000F4A9A"/>
    <w:rsid w:val="000F558D"/>
    <w:rsid w:val="000F55B5"/>
    <w:rsid w:val="000F77C3"/>
    <w:rsid w:val="000F795C"/>
    <w:rsid w:val="000F7B4B"/>
    <w:rsid w:val="0010339F"/>
    <w:rsid w:val="001036E0"/>
    <w:rsid w:val="0010391E"/>
    <w:rsid w:val="00103CC0"/>
    <w:rsid w:val="00104975"/>
    <w:rsid w:val="001052AF"/>
    <w:rsid w:val="001053BA"/>
    <w:rsid w:val="001055E6"/>
    <w:rsid w:val="001063E3"/>
    <w:rsid w:val="0010786D"/>
    <w:rsid w:val="00110344"/>
    <w:rsid w:val="001126F6"/>
    <w:rsid w:val="001127C6"/>
    <w:rsid w:val="00113882"/>
    <w:rsid w:val="001138AF"/>
    <w:rsid w:val="001138B0"/>
    <w:rsid w:val="00114E69"/>
    <w:rsid w:val="001158DF"/>
    <w:rsid w:val="00116CFB"/>
    <w:rsid w:val="00120CC5"/>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1D4F"/>
    <w:rsid w:val="0014220B"/>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950"/>
    <w:rsid w:val="00157649"/>
    <w:rsid w:val="00160DCC"/>
    <w:rsid w:val="001657F4"/>
    <w:rsid w:val="00166FCB"/>
    <w:rsid w:val="0017241F"/>
    <w:rsid w:val="001737B7"/>
    <w:rsid w:val="0017469D"/>
    <w:rsid w:val="00175D41"/>
    <w:rsid w:val="001764F7"/>
    <w:rsid w:val="001768E2"/>
    <w:rsid w:val="0018061D"/>
    <w:rsid w:val="00180A82"/>
    <w:rsid w:val="001811FF"/>
    <w:rsid w:val="00182B42"/>
    <w:rsid w:val="00182D03"/>
    <w:rsid w:val="00184AE4"/>
    <w:rsid w:val="00184C46"/>
    <w:rsid w:val="00186D96"/>
    <w:rsid w:val="00191C0B"/>
    <w:rsid w:val="00192F9E"/>
    <w:rsid w:val="001940FA"/>
    <w:rsid w:val="00194447"/>
    <w:rsid w:val="0019516A"/>
    <w:rsid w:val="00195479"/>
    <w:rsid w:val="001970B2"/>
    <w:rsid w:val="001979F8"/>
    <w:rsid w:val="001A1064"/>
    <w:rsid w:val="001A141E"/>
    <w:rsid w:val="001A3D0C"/>
    <w:rsid w:val="001A56E8"/>
    <w:rsid w:val="001B01AC"/>
    <w:rsid w:val="001B06D8"/>
    <w:rsid w:val="001B0D26"/>
    <w:rsid w:val="001B1504"/>
    <w:rsid w:val="001B15BB"/>
    <w:rsid w:val="001B18C2"/>
    <w:rsid w:val="001B232C"/>
    <w:rsid w:val="001B28BC"/>
    <w:rsid w:val="001B424E"/>
    <w:rsid w:val="001B4CC9"/>
    <w:rsid w:val="001B5DF7"/>
    <w:rsid w:val="001B65A1"/>
    <w:rsid w:val="001B6A12"/>
    <w:rsid w:val="001C0535"/>
    <w:rsid w:val="001C05B2"/>
    <w:rsid w:val="001C07DD"/>
    <w:rsid w:val="001C0B67"/>
    <w:rsid w:val="001C12BE"/>
    <w:rsid w:val="001C17BE"/>
    <w:rsid w:val="001C365D"/>
    <w:rsid w:val="001C39EC"/>
    <w:rsid w:val="001C4264"/>
    <w:rsid w:val="001C52C8"/>
    <w:rsid w:val="001C6C93"/>
    <w:rsid w:val="001C76BE"/>
    <w:rsid w:val="001C782A"/>
    <w:rsid w:val="001D00DF"/>
    <w:rsid w:val="001D013F"/>
    <w:rsid w:val="001D078A"/>
    <w:rsid w:val="001D4E3C"/>
    <w:rsid w:val="001D52CB"/>
    <w:rsid w:val="001D69DD"/>
    <w:rsid w:val="001D6C48"/>
    <w:rsid w:val="001D74DC"/>
    <w:rsid w:val="001E0E97"/>
    <w:rsid w:val="001E2338"/>
    <w:rsid w:val="001E558F"/>
    <w:rsid w:val="001E5961"/>
    <w:rsid w:val="001E717B"/>
    <w:rsid w:val="001E74A2"/>
    <w:rsid w:val="001E76FC"/>
    <w:rsid w:val="001E7958"/>
    <w:rsid w:val="001F0881"/>
    <w:rsid w:val="001F0BC4"/>
    <w:rsid w:val="001F1D17"/>
    <w:rsid w:val="001F1F3D"/>
    <w:rsid w:val="001F4D66"/>
    <w:rsid w:val="001F4DA7"/>
    <w:rsid w:val="001F59A5"/>
    <w:rsid w:val="001F689E"/>
    <w:rsid w:val="001F7C86"/>
    <w:rsid w:val="00200F03"/>
    <w:rsid w:val="002013C3"/>
    <w:rsid w:val="002022AD"/>
    <w:rsid w:val="00202634"/>
    <w:rsid w:val="0020320F"/>
    <w:rsid w:val="00203A8F"/>
    <w:rsid w:val="00203D01"/>
    <w:rsid w:val="00204864"/>
    <w:rsid w:val="002052D8"/>
    <w:rsid w:val="00205EFC"/>
    <w:rsid w:val="0020780F"/>
    <w:rsid w:val="00211393"/>
    <w:rsid w:val="00211FAE"/>
    <w:rsid w:val="00211FF4"/>
    <w:rsid w:val="00212787"/>
    <w:rsid w:val="002138A9"/>
    <w:rsid w:val="00214451"/>
    <w:rsid w:val="002156FD"/>
    <w:rsid w:val="0021639E"/>
    <w:rsid w:val="00221123"/>
    <w:rsid w:val="00223339"/>
    <w:rsid w:val="002236A6"/>
    <w:rsid w:val="00224DE6"/>
    <w:rsid w:val="00224E75"/>
    <w:rsid w:val="002259C0"/>
    <w:rsid w:val="00226823"/>
    <w:rsid w:val="002276DD"/>
    <w:rsid w:val="0023002B"/>
    <w:rsid w:val="002327D5"/>
    <w:rsid w:val="002327E9"/>
    <w:rsid w:val="00233285"/>
    <w:rsid w:val="002337A6"/>
    <w:rsid w:val="00233CAC"/>
    <w:rsid w:val="00234CD4"/>
    <w:rsid w:val="0023548F"/>
    <w:rsid w:val="002358E8"/>
    <w:rsid w:val="00236FB9"/>
    <w:rsid w:val="00237A97"/>
    <w:rsid w:val="002407AA"/>
    <w:rsid w:val="002411E0"/>
    <w:rsid w:val="00241C29"/>
    <w:rsid w:val="00242408"/>
    <w:rsid w:val="00242759"/>
    <w:rsid w:val="00242890"/>
    <w:rsid w:val="00242B03"/>
    <w:rsid w:val="00243514"/>
    <w:rsid w:val="002469F7"/>
    <w:rsid w:val="00247F50"/>
    <w:rsid w:val="00252095"/>
    <w:rsid w:val="002532B5"/>
    <w:rsid w:val="002539A1"/>
    <w:rsid w:val="00253B72"/>
    <w:rsid w:val="00254175"/>
    <w:rsid w:val="002542CC"/>
    <w:rsid w:val="002559A2"/>
    <w:rsid w:val="002563ED"/>
    <w:rsid w:val="00256406"/>
    <w:rsid w:val="0026049D"/>
    <w:rsid w:val="00260B3D"/>
    <w:rsid w:val="00260E92"/>
    <w:rsid w:val="00263B55"/>
    <w:rsid w:val="002653BB"/>
    <w:rsid w:val="0026557C"/>
    <w:rsid w:val="002659B2"/>
    <w:rsid w:val="00266729"/>
    <w:rsid w:val="00266BC6"/>
    <w:rsid w:val="00266F4F"/>
    <w:rsid w:val="00267947"/>
    <w:rsid w:val="00267AB2"/>
    <w:rsid w:val="0027137C"/>
    <w:rsid w:val="0027413E"/>
    <w:rsid w:val="00274585"/>
    <w:rsid w:val="00274E55"/>
    <w:rsid w:val="002751DD"/>
    <w:rsid w:val="00276777"/>
    <w:rsid w:val="00276ED9"/>
    <w:rsid w:val="00281365"/>
    <w:rsid w:val="0028188E"/>
    <w:rsid w:val="00282C78"/>
    <w:rsid w:val="002831ED"/>
    <w:rsid w:val="002843D9"/>
    <w:rsid w:val="00285BC7"/>
    <w:rsid w:val="002874D7"/>
    <w:rsid w:val="002903CB"/>
    <w:rsid w:val="00291252"/>
    <w:rsid w:val="002915A8"/>
    <w:rsid w:val="00291981"/>
    <w:rsid w:val="00291F64"/>
    <w:rsid w:val="00293159"/>
    <w:rsid w:val="0029435D"/>
    <w:rsid w:val="002A0707"/>
    <w:rsid w:val="002A17C4"/>
    <w:rsid w:val="002A2B5D"/>
    <w:rsid w:val="002A349B"/>
    <w:rsid w:val="002A3665"/>
    <w:rsid w:val="002A3BAB"/>
    <w:rsid w:val="002A4A76"/>
    <w:rsid w:val="002A5E72"/>
    <w:rsid w:val="002A5F58"/>
    <w:rsid w:val="002B10EE"/>
    <w:rsid w:val="002B2798"/>
    <w:rsid w:val="002B4372"/>
    <w:rsid w:val="002B445D"/>
    <w:rsid w:val="002B5973"/>
    <w:rsid w:val="002C0F1F"/>
    <w:rsid w:val="002C1811"/>
    <w:rsid w:val="002C1999"/>
    <w:rsid w:val="002C3DCC"/>
    <w:rsid w:val="002C41FF"/>
    <w:rsid w:val="002C43DB"/>
    <w:rsid w:val="002C5D72"/>
    <w:rsid w:val="002C6439"/>
    <w:rsid w:val="002C78B6"/>
    <w:rsid w:val="002C7ECD"/>
    <w:rsid w:val="002D09CC"/>
    <w:rsid w:val="002D0F32"/>
    <w:rsid w:val="002D1B76"/>
    <w:rsid w:val="002D2A79"/>
    <w:rsid w:val="002D41B7"/>
    <w:rsid w:val="002D6E86"/>
    <w:rsid w:val="002D73EF"/>
    <w:rsid w:val="002D750B"/>
    <w:rsid w:val="002E25E5"/>
    <w:rsid w:val="002E4628"/>
    <w:rsid w:val="002E5A78"/>
    <w:rsid w:val="002E64CB"/>
    <w:rsid w:val="002E7DDB"/>
    <w:rsid w:val="002F0044"/>
    <w:rsid w:val="002F0199"/>
    <w:rsid w:val="002F0388"/>
    <w:rsid w:val="002F2C18"/>
    <w:rsid w:val="002F352C"/>
    <w:rsid w:val="002F3776"/>
    <w:rsid w:val="002F3FAF"/>
    <w:rsid w:val="002F7D23"/>
    <w:rsid w:val="003002D3"/>
    <w:rsid w:val="003029D8"/>
    <w:rsid w:val="00302FF6"/>
    <w:rsid w:val="003033EF"/>
    <w:rsid w:val="00303C59"/>
    <w:rsid w:val="00304E98"/>
    <w:rsid w:val="003058FB"/>
    <w:rsid w:val="00306501"/>
    <w:rsid w:val="003075E1"/>
    <w:rsid w:val="003079A2"/>
    <w:rsid w:val="00307A61"/>
    <w:rsid w:val="00310AC5"/>
    <w:rsid w:val="00310FF8"/>
    <w:rsid w:val="00311036"/>
    <w:rsid w:val="00311101"/>
    <w:rsid w:val="003111F0"/>
    <w:rsid w:val="0031261A"/>
    <w:rsid w:val="00313641"/>
    <w:rsid w:val="00313967"/>
    <w:rsid w:val="00314C5F"/>
    <w:rsid w:val="00314E4E"/>
    <w:rsid w:val="00314E67"/>
    <w:rsid w:val="003154F6"/>
    <w:rsid w:val="003160F4"/>
    <w:rsid w:val="00316A15"/>
    <w:rsid w:val="003179EF"/>
    <w:rsid w:val="00322BCE"/>
    <w:rsid w:val="00324677"/>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6DB2"/>
    <w:rsid w:val="00337799"/>
    <w:rsid w:val="0034052F"/>
    <w:rsid w:val="003415D2"/>
    <w:rsid w:val="00342579"/>
    <w:rsid w:val="00342715"/>
    <w:rsid w:val="003439F8"/>
    <w:rsid w:val="003445DE"/>
    <w:rsid w:val="003448C7"/>
    <w:rsid w:val="00345197"/>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EFA"/>
    <w:rsid w:val="00364BAB"/>
    <w:rsid w:val="00364D74"/>
    <w:rsid w:val="00364D95"/>
    <w:rsid w:val="00365049"/>
    <w:rsid w:val="0036522E"/>
    <w:rsid w:val="003655F1"/>
    <w:rsid w:val="00367133"/>
    <w:rsid w:val="00367A90"/>
    <w:rsid w:val="00371671"/>
    <w:rsid w:val="0037202C"/>
    <w:rsid w:val="00372D96"/>
    <w:rsid w:val="00374124"/>
    <w:rsid w:val="003759AE"/>
    <w:rsid w:val="00377A77"/>
    <w:rsid w:val="003803A1"/>
    <w:rsid w:val="00380A9A"/>
    <w:rsid w:val="0038274D"/>
    <w:rsid w:val="003833E4"/>
    <w:rsid w:val="00383700"/>
    <w:rsid w:val="00383AB0"/>
    <w:rsid w:val="0038496B"/>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5564"/>
    <w:rsid w:val="00395C7C"/>
    <w:rsid w:val="0039620F"/>
    <w:rsid w:val="00396C91"/>
    <w:rsid w:val="00396F6E"/>
    <w:rsid w:val="00397835"/>
    <w:rsid w:val="003979EC"/>
    <w:rsid w:val="00397A66"/>
    <w:rsid w:val="00397C0A"/>
    <w:rsid w:val="003A2297"/>
    <w:rsid w:val="003A63B9"/>
    <w:rsid w:val="003A667F"/>
    <w:rsid w:val="003A7683"/>
    <w:rsid w:val="003B0F39"/>
    <w:rsid w:val="003B1165"/>
    <w:rsid w:val="003B1E45"/>
    <w:rsid w:val="003B20F1"/>
    <w:rsid w:val="003B283B"/>
    <w:rsid w:val="003B2AB5"/>
    <w:rsid w:val="003B2BA2"/>
    <w:rsid w:val="003B38AA"/>
    <w:rsid w:val="003B4824"/>
    <w:rsid w:val="003B48BF"/>
    <w:rsid w:val="003B4FC4"/>
    <w:rsid w:val="003B5313"/>
    <w:rsid w:val="003B5456"/>
    <w:rsid w:val="003B5A54"/>
    <w:rsid w:val="003C1187"/>
    <w:rsid w:val="003C195A"/>
    <w:rsid w:val="003C2DB1"/>
    <w:rsid w:val="003C4AF5"/>
    <w:rsid w:val="003C4EF8"/>
    <w:rsid w:val="003C5357"/>
    <w:rsid w:val="003D05FE"/>
    <w:rsid w:val="003D210F"/>
    <w:rsid w:val="003D35EF"/>
    <w:rsid w:val="003D3B49"/>
    <w:rsid w:val="003D3D9E"/>
    <w:rsid w:val="003D55BE"/>
    <w:rsid w:val="003D5DE9"/>
    <w:rsid w:val="003D5F81"/>
    <w:rsid w:val="003D7FAF"/>
    <w:rsid w:val="003E0B8C"/>
    <w:rsid w:val="003E24BB"/>
    <w:rsid w:val="003E387D"/>
    <w:rsid w:val="003E44F6"/>
    <w:rsid w:val="003E5833"/>
    <w:rsid w:val="003E6010"/>
    <w:rsid w:val="003E693F"/>
    <w:rsid w:val="003E75FE"/>
    <w:rsid w:val="003E7C25"/>
    <w:rsid w:val="003F0686"/>
    <w:rsid w:val="003F09BC"/>
    <w:rsid w:val="003F1815"/>
    <w:rsid w:val="003F1D4E"/>
    <w:rsid w:val="003F2CD5"/>
    <w:rsid w:val="003F2F97"/>
    <w:rsid w:val="003F4FF6"/>
    <w:rsid w:val="003F59AD"/>
    <w:rsid w:val="003F65E2"/>
    <w:rsid w:val="00400FC6"/>
    <w:rsid w:val="00402CA2"/>
    <w:rsid w:val="004033AB"/>
    <w:rsid w:val="0040578C"/>
    <w:rsid w:val="004079A9"/>
    <w:rsid w:val="00407AA7"/>
    <w:rsid w:val="004107E8"/>
    <w:rsid w:val="00410E14"/>
    <w:rsid w:val="00411755"/>
    <w:rsid w:val="00412666"/>
    <w:rsid w:val="0041385B"/>
    <w:rsid w:val="00413CA9"/>
    <w:rsid w:val="00413EED"/>
    <w:rsid w:val="00414759"/>
    <w:rsid w:val="00414A4C"/>
    <w:rsid w:val="00415AAD"/>
    <w:rsid w:val="0041728F"/>
    <w:rsid w:val="00421682"/>
    <w:rsid w:val="004221CC"/>
    <w:rsid w:val="004235E7"/>
    <w:rsid w:val="004242B7"/>
    <w:rsid w:val="00425526"/>
    <w:rsid w:val="004258F9"/>
    <w:rsid w:val="00426306"/>
    <w:rsid w:val="004276C7"/>
    <w:rsid w:val="00427C97"/>
    <w:rsid w:val="00430418"/>
    <w:rsid w:val="0043072E"/>
    <w:rsid w:val="00430FC6"/>
    <w:rsid w:val="004310BF"/>
    <w:rsid w:val="004331FF"/>
    <w:rsid w:val="00434AB9"/>
    <w:rsid w:val="00434C77"/>
    <w:rsid w:val="00435BBC"/>
    <w:rsid w:val="00440808"/>
    <w:rsid w:val="00443153"/>
    <w:rsid w:val="00443771"/>
    <w:rsid w:val="0044401F"/>
    <w:rsid w:val="004444F8"/>
    <w:rsid w:val="00444C4C"/>
    <w:rsid w:val="00444D44"/>
    <w:rsid w:val="004452E3"/>
    <w:rsid w:val="004460B4"/>
    <w:rsid w:val="00446146"/>
    <w:rsid w:val="00450993"/>
    <w:rsid w:val="004513D7"/>
    <w:rsid w:val="004520DF"/>
    <w:rsid w:val="00454147"/>
    <w:rsid w:val="0045436B"/>
    <w:rsid w:val="00456257"/>
    <w:rsid w:val="00460A6B"/>
    <w:rsid w:val="00460CCB"/>
    <w:rsid w:val="00460D3F"/>
    <w:rsid w:val="00461E3E"/>
    <w:rsid w:val="004639B7"/>
    <w:rsid w:val="004641D6"/>
    <w:rsid w:val="004647DD"/>
    <w:rsid w:val="00464A26"/>
    <w:rsid w:val="00464B19"/>
    <w:rsid w:val="00464C86"/>
    <w:rsid w:val="00464F6D"/>
    <w:rsid w:val="00464F78"/>
    <w:rsid w:val="00466AC6"/>
    <w:rsid w:val="00466E21"/>
    <w:rsid w:val="00467B6A"/>
    <w:rsid w:val="0047016B"/>
    <w:rsid w:val="00470409"/>
    <w:rsid w:val="00471A72"/>
    <w:rsid w:val="0047306F"/>
    <w:rsid w:val="0047355F"/>
    <w:rsid w:val="0047417A"/>
    <w:rsid w:val="004764CC"/>
    <w:rsid w:val="00477B4B"/>
    <w:rsid w:val="00477C1C"/>
    <w:rsid w:val="00480612"/>
    <w:rsid w:val="0048090F"/>
    <w:rsid w:val="00480C50"/>
    <w:rsid w:val="00481E81"/>
    <w:rsid w:val="00486144"/>
    <w:rsid w:val="00486C20"/>
    <w:rsid w:val="00486F07"/>
    <w:rsid w:val="00491D54"/>
    <w:rsid w:val="004929C8"/>
    <w:rsid w:val="00492EDB"/>
    <w:rsid w:val="004944E2"/>
    <w:rsid w:val="00495606"/>
    <w:rsid w:val="00496EBA"/>
    <w:rsid w:val="00497493"/>
    <w:rsid w:val="00497B45"/>
    <w:rsid w:val="004A1166"/>
    <w:rsid w:val="004A1968"/>
    <w:rsid w:val="004A2A4D"/>
    <w:rsid w:val="004A58D1"/>
    <w:rsid w:val="004A58E6"/>
    <w:rsid w:val="004A7356"/>
    <w:rsid w:val="004A737C"/>
    <w:rsid w:val="004A7AEE"/>
    <w:rsid w:val="004A7C3A"/>
    <w:rsid w:val="004A7E85"/>
    <w:rsid w:val="004B03FA"/>
    <w:rsid w:val="004B0633"/>
    <w:rsid w:val="004B14C0"/>
    <w:rsid w:val="004B41EE"/>
    <w:rsid w:val="004B4C64"/>
    <w:rsid w:val="004B6415"/>
    <w:rsid w:val="004B6441"/>
    <w:rsid w:val="004B73E7"/>
    <w:rsid w:val="004B7790"/>
    <w:rsid w:val="004C05A5"/>
    <w:rsid w:val="004C0FE5"/>
    <w:rsid w:val="004C2DBC"/>
    <w:rsid w:val="004C339E"/>
    <w:rsid w:val="004C340A"/>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22B"/>
    <w:rsid w:val="004F0B26"/>
    <w:rsid w:val="004F196E"/>
    <w:rsid w:val="004F1B3E"/>
    <w:rsid w:val="004F2819"/>
    <w:rsid w:val="004F3783"/>
    <w:rsid w:val="004F4E76"/>
    <w:rsid w:val="004F694B"/>
    <w:rsid w:val="004F70F9"/>
    <w:rsid w:val="004F7A13"/>
    <w:rsid w:val="005003A6"/>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43D"/>
    <w:rsid w:val="00512710"/>
    <w:rsid w:val="005127A0"/>
    <w:rsid w:val="00514A9A"/>
    <w:rsid w:val="00515BC0"/>
    <w:rsid w:val="00516F22"/>
    <w:rsid w:val="0051755A"/>
    <w:rsid w:val="005207E3"/>
    <w:rsid w:val="00522152"/>
    <w:rsid w:val="00523686"/>
    <w:rsid w:val="00523996"/>
    <w:rsid w:val="00525911"/>
    <w:rsid w:val="00531900"/>
    <w:rsid w:val="005329D4"/>
    <w:rsid w:val="00534CC2"/>
    <w:rsid w:val="00535FFB"/>
    <w:rsid w:val="00537288"/>
    <w:rsid w:val="0054017F"/>
    <w:rsid w:val="0054168C"/>
    <w:rsid w:val="005434EE"/>
    <w:rsid w:val="00543DD5"/>
    <w:rsid w:val="0054508A"/>
    <w:rsid w:val="005466AF"/>
    <w:rsid w:val="00546C60"/>
    <w:rsid w:val="005508F5"/>
    <w:rsid w:val="0055113A"/>
    <w:rsid w:val="005515D5"/>
    <w:rsid w:val="00551720"/>
    <w:rsid w:val="00552629"/>
    <w:rsid w:val="005533A1"/>
    <w:rsid w:val="00553E21"/>
    <w:rsid w:val="00553E31"/>
    <w:rsid w:val="00554364"/>
    <w:rsid w:val="00554B37"/>
    <w:rsid w:val="00556040"/>
    <w:rsid w:val="005563AF"/>
    <w:rsid w:val="005564A3"/>
    <w:rsid w:val="00557587"/>
    <w:rsid w:val="00557A1C"/>
    <w:rsid w:val="00560546"/>
    <w:rsid w:val="00560AD6"/>
    <w:rsid w:val="00561C94"/>
    <w:rsid w:val="00561E5A"/>
    <w:rsid w:val="005632D7"/>
    <w:rsid w:val="0056359E"/>
    <w:rsid w:val="00565200"/>
    <w:rsid w:val="00565EF7"/>
    <w:rsid w:val="005661DF"/>
    <w:rsid w:val="00566858"/>
    <w:rsid w:val="005676DC"/>
    <w:rsid w:val="00567739"/>
    <w:rsid w:val="00567A1B"/>
    <w:rsid w:val="0057117C"/>
    <w:rsid w:val="0057239E"/>
    <w:rsid w:val="005724ED"/>
    <w:rsid w:val="0057460E"/>
    <w:rsid w:val="00575896"/>
    <w:rsid w:val="00575EED"/>
    <w:rsid w:val="0057764D"/>
    <w:rsid w:val="00577829"/>
    <w:rsid w:val="005805C8"/>
    <w:rsid w:val="0058068C"/>
    <w:rsid w:val="00581104"/>
    <w:rsid w:val="005820F6"/>
    <w:rsid w:val="005828CD"/>
    <w:rsid w:val="00584D4C"/>
    <w:rsid w:val="00585A11"/>
    <w:rsid w:val="00586CCC"/>
    <w:rsid w:val="005876F8"/>
    <w:rsid w:val="00590A97"/>
    <w:rsid w:val="005918AB"/>
    <w:rsid w:val="00592C99"/>
    <w:rsid w:val="00592EE3"/>
    <w:rsid w:val="00593CED"/>
    <w:rsid w:val="00593D2E"/>
    <w:rsid w:val="00595399"/>
    <w:rsid w:val="0059550E"/>
    <w:rsid w:val="00595E30"/>
    <w:rsid w:val="005966FE"/>
    <w:rsid w:val="00596BE7"/>
    <w:rsid w:val="00596CDE"/>
    <w:rsid w:val="00597449"/>
    <w:rsid w:val="005A07EF"/>
    <w:rsid w:val="005A196D"/>
    <w:rsid w:val="005A22B5"/>
    <w:rsid w:val="005A2AD2"/>
    <w:rsid w:val="005A68CF"/>
    <w:rsid w:val="005A6933"/>
    <w:rsid w:val="005A71E9"/>
    <w:rsid w:val="005B04CB"/>
    <w:rsid w:val="005B0683"/>
    <w:rsid w:val="005B0D29"/>
    <w:rsid w:val="005B1315"/>
    <w:rsid w:val="005B36E1"/>
    <w:rsid w:val="005B4236"/>
    <w:rsid w:val="005B46EE"/>
    <w:rsid w:val="005B4883"/>
    <w:rsid w:val="005B50A3"/>
    <w:rsid w:val="005B5D2D"/>
    <w:rsid w:val="005B6CEF"/>
    <w:rsid w:val="005B6FAD"/>
    <w:rsid w:val="005B70E6"/>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B60"/>
    <w:rsid w:val="006028AC"/>
    <w:rsid w:val="006043AA"/>
    <w:rsid w:val="00604F8D"/>
    <w:rsid w:val="00606054"/>
    <w:rsid w:val="00610CDE"/>
    <w:rsid w:val="0061195A"/>
    <w:rsid w:val="006139AA"/>
    <w:rsid w:val="006140BB"/>
    <w:rsid w:val="0061565F"/>
    <w:rsid w:val="0061592B"/>
    <w:rsid w:val="006168EB"/>
    <w:rsid w:val="00616E48"/>
    <w:rsid w:val="006210CA"/>
    <w:rsid w:val="0062238D"/>
    <w:rsid w:val="00622A2D"/>
    <w:rsid w:val="00623026"/>
    <w:rsid w:val="0062302E"/>
    <w:rsid w:val="00623940"/>
    <w:rsid w:val="00626B1D"/>
    <w:rsid w:val="00626CAF"/>
    <w:rsid w:val="00630BE1"/>
    <w:rsid w:val="00630FCB"/>
    <w:rsid w:val="00632738"/>
    <w:rsid w:val="00633E90"/>
    <w:rsid w:val="0063400F"/>
    <w:rsid w:val="00635D71"/>
    <w:rsid w:val="00637052"/>
    <w:rsid w:val="00637DD7"/>
    <w:rsid w:val="00640A24"/>
    <w:rsid w:val="0064336B"/>
    <w:rsid w:val="00643E56"/>
    <w:rsid w:val="00643EFF"/>
    <w:rsid w:val="0064421A"/>
    <w:rsid w:val="006452AC"/>
    <w:rsid w:val="00646338"/>
    <w:rsid w:val="00646EEC"/>
    <w:rsid w:val="00647030"/>
    <w:rsid w:val="00647038"/>
    <w:rsid w:val="006472A6"/>
    <w:rsid w:val="006501DC"/>
    <w:rsid w:val="00653245"/>
    <w:rsid w:val="00653919"/>
    <w:rsid w:val="00653B42"/>
    <w:rsid w:val="0065504C"/>
    <w:rsid w:val="006552FD"/>
    <w:rsid w:val="0065609C"/>
    <w:rsid w:val="006579F9"/>
    <w:rsid w:val="00657F8D"/>
    <w:rsid w:val="006600DC"/>
    <w:rsid w:val="00661E13"/>
    <w:rsid w:val="00662B40"/>
    <w:rsid w:val="0066437E"/>
    <w:rsid w:val="00664675"/>
    <w:rsid w:val="00664CC5"/>
    <w:rsid w:val="00664E83"/>
    <w:rsid w:val="00666847"/>
    <w:rsid w:val="00666AEF"/>
    <w:rsid w:val="006703C8"/>
    <w:rsid w:val="006705FA"/>
    <w:rsid w:val="00671031"/>
    <w:rsid w:val="006716F2"/>
    <w:rsid w:val="00673A39"/>
    <w:rsid w:val="006763EC"/>
    <w:rsid w:val="00676E35"/>
    <w:rsid w:val="0067717C"/>
    <w:rsid w:val="0068003C"/>
    <w:rsid w:val="00680159"/>
    <w:rsid w:val="006808D7"/>
    <w:rsid w:val="006811D6"/>
    <w:rsid w:val="0068174F"/>
    <w:rsid w:val="00681787"/>
    <w:rsid w:val="006819C8"/>
    <w:rsid w:val="00683BD1"/>
    <w:rsid w:val="00683FED"/>
    <w:rsid w:val="00690AFD"/>
    <w:rsid w:val="00690F43"/>
    <w:rsid w:val="0069185E"/>
    <w:rsid w:val="006927FA"/>
    <w:rsid w:val="00692AC9"/>
    <w:rsid w:val="00693333"/>
    <w:rsid w:val="00693C6A"/>
    <w:rsid w:val="00694CCC"/>
    <w:rsid w:val="00694CE4"/>
    <w:rsid w:val="0069600A"/>
    <w:rsid w:val="00696261"/>
    <w:rsid w:val="00697392"/>
    <w:rsid w:val="00697507"/>
    <w:rsid w:val="0069782A"/>
    <w:rsid w:val="006A083E"/>
    <w:rsid w:val="006A08D5"/>
    <w:rsid w:val="006A091D"/>
    <w:rsid w:val="006A2764"/>
    <w:rsid w:val="006A31EB"/>
    <w:rsid w:val="006A416D"/>
    <w:rsid w:val="006A41F5"/>
    <w:rsid w:val="006A4EAA"/>
    <w:rsid w:val="006A5BE8"/>
    <w:rsid w:val="006A6090"/>
    <w:rsid w:val="006A645E"/>
    <w:rsid w:val="006A65F0"/>
    <w:rsid w:val="006A7210"/>
    <w:rsid w:val="006B02D0"/>
    <w:rsid w:val="006B15C0"/>
    <w:rsid w:val="006B1950"/>
    <w:rsid w:val="006B1DFC"/>
    <w:rsid w:val="006B1EE7"/>
    <w:rsid w:val="006B422C"/>
    <w:rsid w:val="006B4FD1"/>
    <w:rsid w:val="006B5013"/>
    <w:rsid w:val="006B6362"/>
    <w:rsid w:val="006B65B3"/>
    <w:rsid w:val="006B7240"/>
    <w:rsid w:val="006B7B1B"/>
    <w:rsid w:val="006C0FFB"/>
    <w:rsid w:val="006C15CE"/>
    <w:rsid w:val="006C1861"/>
    <w:rsid w:val="006C29F2"/>
    <w:rsid w:val="006C4809"/>
    <w:rsid w:val="006D03D8"/>
    <w:rsid w:val="006D1BB9"/>
    <w:rsid w:val="006D2114"/>
    <w:rsid w:val="006D2D8D"/>
    <w:rsid w:val="006D30A4"/>
    <w:rsid w:val="006D311D"/>
    <w:rsid w:val="006D3206"/>
    <w:rsid w:val="006D4380"/>
    <w:rsid w:val="006D4815"/>
    <w:rsid w:val="006D698D"/>
    <w:rsid w:val="006D6C8B"/>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6F7395"/>
    <w:rsid w:val="0070007A"/>
    <w:rsid w:val="007008B5"/>
    <w:rsid w:val="00701383"/>
    <w:rsid w:val="00701551"/>
    <w:rsid w:val="00701FE4"/>
    <w:rsid w:val="00704BB2"/>
    <w:rsid w:val="007056EF"/>
    <w:rsid w:val="00706B13"/>
    <w:rsid w:val="007074EA"/>
    <w:rsid w:val="007078F0"/>
    <w:rsid w:val="0071116B"/>
    <w:rsid w:val="007112FB"/>
    <w:rsid w:val="00712E5C"/>
    <w:rsid w:val="007149F9"/>
    <w:rsid w:val="0071714D"/>
    <w:rsid w:val="007200A7"/>
    <w:rsid w:val="00720A63"/>
    <w:rsid w:val="00721659"/>
    <w:rsid w:val="00721D96"/>
    <w:rsid w:val="00722923"/>
    <w:rsid w:val="0072400C"/>
    <w:rsid w:val="0072636A"/>
    <w:rsid w:val="00727242"/>
    <w:rsid w:val="007272E6"/>
    <w:rsid w:val="007274A7"/>
    <w:rsid w:val="00730B8E"/>
    <w:rsid w:val="00731308"/>
    <w:rsid w:val="00731C77"/>
    <w:rsid w:val="00732A09"/>
    <w:rsid w:val="00734B56"/>
    <w:rsid w:val="00736415"/>
    <w:rsid w:val="00736AD9"/>
    <w:rsid w:val="0073735F"/>
    <w:rsid w:val="007402B1"/>
    <w:rsid w:val="00740EA8"/>
    <w:rsid w:val="00741C6B"/>
    <w:rsid w:val="00742468"/>
    <w:rsid w:val="007424AC"/>
    <w:rsid w:val="00742995"/>
    <w:rsid w:val="0074489D"/>
    <w:rsid w:val="0074514B"/>
    <w:rsid w:val="007456DC"/>
    <w:rsid w:val="00745F83"/>
    <w:rsid w:val="007460DB"/>
    <w:rsid w:val="00746BC1"/>
    <w:rsid w:val="0074791C"/>
    <w:rsid w:val="0075040C"/>
    <w:rsid w:val="0075085B"/>
    <w:rsid w:val="00750AF6"/>
    <w:rsid w:val="0075179F"/>
    <w:rsid w:val="00752D36"/>
    <w:rsid w:val="00753427"/>
    <w:rsid w:val="0075416B"/>
    <w:rsid w:val="00754261"/>
    <w:rsid w:val="00754C10"/>
    <w:rsid w:val="007551F4"/>
    <w:rsid w:val="007562AD"/>
    <w:rsid w:val="00757CF0"/>
    <w:rsid w:val="007605C0"/>
    <w:rsid w:val="00760E25"/>
    <w:rsid w:val="00761F77"/>
    <w:rsid w:val="00763B53"/>
    <w:rsid w:val="007647C3"/>
    <w:rsid w:val="00765C42"/>
    <w:rsid w:val="00765F1B"/>
    <w:rsid w:val="00766201"/>
    <w:rsid w:val="00766995"/>
    <w:rsid w:val="0076772E"/>
    <w:rsid w:val="007700AF"/>
    <w:rsid w:val="0077094B"/>
    <w:rsid w:val="00770D5C"/>
    <w:rsid w:val="007718E3"/>
    <w:rsid w:val="00771B7B"/>
    <w:rsid w:val="007720EE"/>
    <w:rsid w:val="00772D4D"/>
    <w:rsid w:val="007738AC"/>
    <w:rsid w:val="00773CCB"/>
    <w:rsid w:val="00774A10"/>
    <w:rsid w:val="00774ED8"/>
    <w:rsid w:val="00776E35"/>
    <w:rsid w:val="00780E20"/>
    <w:rsid w:val="0078178B"/>
    <w:rsid w:val="0078187B"/>
    <w:rsid w:val="007818AB"/>
    <w:rsid w:val="00781CA3"/>
    <w:rsid w:val="007826F4"/>
    <w:rsid w:val="00782FDA"/>
    <w:rsid w:val="00785399"/>
    <w:rsid w:val="00785B79"/>
    <w:rsid w:val="00786406"/>
    <w:rsid w:val="00791C99"/>
    <w:rsid w:val="00792440"/>
    <w:rsid w:val="00793CC7"/>
    <w:rsid w:val="0079472F"/>
    <w:rsid w:val="007949E3"/>
    <w:rsid w:val="00794B5D"/>
    <w:rsid w:val="00794E1C"/>
    <w:rsid w:val="00795A2F"/>
    <w:rsid w:val="00795DA3"/>
    <w:rsid w:val="00796D74"/>
    <w:rsid w:val="00797036"/>
    <w:rsid w:val="00797F04"/>
    <w:rsid w:val="007A3904"/>
    <w:rsid w:val="007A57F4"/>
    <w:rsid w:val="007B31B6"/>
    <w:rsid w:val="007B3529"/>
    <w:rsid w:val="007B5211"/>
    <w:rsid w:val="007C07C5"/>
    <w:rsid w:val="007C2D6B"/>
    <w:rsid w:val="007C3321"/>
    <w:rsid w:val="007C3593"/>
    <w:rsid w:val="007C4447"/>
    <w:rsid w:val="007C7E90"/>
    <w:rsid w:val="007D03DC"/>
    <w:rsid w:val="007D0DD1"/>
    <w:rsid w:val="007D114B"/>
    <w:rsid w:val="007D135C"/>
    <w:rsid w:val="007D2AA2"/>
    <w:rsid w:val="007D31F4"/>
    <w:rsid w:val="007D4275"/>
    <w:rsid w:val="007D4396"/>
    <w:rsid w:val="007D4B5F"/>
    <w:rsid w:val="007D64BB"/>
    <w:rsid w:val="007D78A9"/>
    <w:rsid w:val="007E06C0"/>
    <w:rsid w:val="007E0816"/>
    <w:rsid w:val="007E0BBB"/>
    <w:rsid w:val="007E0F60"/>
    <w:rsid w:val="007E134F"/>
    <w:rsid w:val="007E170F"/>
    <w:rsid w:val="007E2573"/>
    <w:rsid w:val="007E3168"/>
    <w:rsid w:val="007E3E7F"/>
    <w:rsid w:val="007E6BCE"/>
    <w:rsid w:val="007E6DF2"/>
    <w:rsid w:val="007E6F14"/>
    <w:rsid w:val="007F00D3"/>
    <w:rsid w:val="007F0D28"/>
    <w:rsid w:val="007F0D84"/>
    <w:rsid w:val="007F15F7"/>
    <w:rsid w:val="007F16A2"/>
    <w:rsid w:val="007F2174"/>
    <w:rsid w:val="007F2384"/>
    <w:rsid w:val="007F2A89"/>
    <w:rsid w:val="007F2B1A"/>
    <w:rsid w:val="007F2E18"/>
    <w:rsid w:val="007F330A"/>
    <w:rsid w:val="007F556F"/>
    <w:rsid w:val="007F67C6"/>
    <w:rsid w:val="007F701E"/>
    <w:rsid w:val="007F76AD"/>
    <w:rsid w:val="007F7E76"/>
    <w:rsid w:val="00800AE3"/>
    <w:rsid w:val="00801B7A"/>
    <w:rsid w:val="00802367"/>
    <w:rsid w:val="0080274C"/>
    <w:rsid w:val="00802AF7"/>
    <w:rsid w:val="008031D6"/>
    <w:rsid w:val="008038C5"/>
    <w:rsid w:val="00805F7C"/>
    <w:rsid w:val="00806324"/>
    <w:rsid w:val="00806410"/>
    <w:rsid w:val="00806DD0"/>
    <w:rsid w:val="00807BBA"/>
    <w:rsid w:val="00810910"/>
    <w:rsid w:val="00810E69"/>
    <w:rsid w:val="0081158D"/>
    <w:rsid w:val="00811B34"/>
    <w:rsid w:val="00811B49"/>
    <w:rsid w:val="00811CDA"/>
    <w:rsid w:val="00814D3F"/>
    <w:rsid w:val="008157C9"/>
    <w:rsid w:val="008169EC"/>
    <w:rsid w:val="0082010F"/>
    <w:rsid w:val="008212B0"/>
    <w:rsid w:val="00821A37"/>
    <w:rsid w:val="00821C94"/>
    <w:rsid w:val="00822E71"/>
    <w:rsid w:val="00822F86"/>
    <w:rsid w:val="00824BEE"/>
    <w:rsid w:val="00825C09"/>
    <w:rsid w:val="00826076"/>
    <w:rsid w:val="00826273"/>
    <w:rsid w:val="00826FD1"/>
    <w:rsid w:val="008275E5"/>
    <w:rsid w:val="00827D46"/>
    <w:rsid w:val="0083066E"/>
    <w:rsid w:val="00830E2A"/>
    <w:rsid w:val="008314D7"/>
    <w:rsid w:val="00831C5E"/>
    <w:rsid w:val="00832654"/>
    <w:rsid w:val="00832685"/>
    <w:rsid w:val="008331AD"/>
    <w:rsid w:val="008350EE"/>
    <w:rsid w:val="0083618B"/>
    <w:rsid w:val="008367AC"/>
    <w:rsid w:val="00837647"/>
    <w:rsid w:val="00837948"/>
    <w:rsid w:val="008405A0"/>
    <w:rsid w:val="00840A6E"/>
    <w:rsid w:val="00841A9C"/>
    <w:rsid w:val="008429E8"/>
    <w:rsid w:val="00843DF6"/>
    <w:rsid w:val="00845BBE"/>
    <w:rsid w:val="00847AAF"/>
    <w:rsid w:val="00850E12"/>
    <w:rsid w:val="00851487"/>
    <w:rsid w:val="008524D0"/>
    <w:rsid w:val="00852878"/>
    <w:rsid w:val="00853046"/>
    <w:rsid w:val="008535EF"/>
    <w:rsid w:val="008549CE"/>
    <w:rsid w:val="0085624B"/>
    <w:rsid w:val="0085647C"/>
    <w:rsid w:val="00860B63"/>
    <w:rsid w:val="008615C4"/>
    <w:rsid w:val="008620C5"/>
    <w:rsid w:val="008634DC"/>
    <w:rsid w:val="00863940"/>
    <w:rsid w:val="00864DC6"/>
    <w:rsid w:val="008655DD"/>
    <w:rsid w:val="00867B02"/>
    <w:rsid w:val="00870187"/>
    <w:rsid w:val="008708A1"/>
    <w:rsid w:val="008731E1"/>
    <w:rsid w:val="008736DF"/>
    <w:rsid w:val="008741DB"/>
    <w:rsid w:val="00874B7D"/>
    <w:rsid w:val="00875E52"/>
    <w:rsid w:val="00875F60"/>
    <w:rsid w:val="00876D7B"/>
    <w:rsid w:val="0087711E"/>
    <w:rsid w:val="00880B4D"/>
    <w:rsid w:val="0088128E"/>
    <w:rsid w:val="008813F4"/>
    <w:rsid w:val="00881E5F"/>
    <w:rsid w:val="008829A4"/>
    <w:rsid w:val="008836DC"/>
    <w:rsid w:val="00883D5B"/>
    <w:rsid w:val="00883FCB"/>
    <w:rsid w:val="0088450B"/>
    <w:rsid w:val="008860BD"/>
    <w:rsid w:val="00886F6C"/>
    <w:rsid w:val="008874F5"/>
    <w:rsid w:val="00887B21"/>
    <w:rsid w:val="00891B74"/>
    <w:rsid w:val="00892DE9"/>
    <w:rsid w:val="00893E28"/>
    <w:rsid w:val="008943D8"/>
    <w:rsid w:val="00894DA5"/>
    <w:rsid w:val="0089503E"/>
    <w:rsid w:val="00895093"/>
    <w:rsid w:val="008959B9"/>
    <w:rsid w:val="00896BB6"/>
    <w:rsid w:val="008A0BF5"/>
    <w:rsid w:val="008A198C"/>
    <w:rsid w:val="008A2046"/>
    <w:rsid w:val="008A2455"/>
    <w:rsid w:val="008A2A2F"/>
    <w:rsid w:val="008A3652"/>
    <w:rsid w:val="008A6D95"/>
    <w:rsid w:val="008A6EC0"/>
    <w:rsid w:val="008B1171"/>
    <w:rsid w:val="008B3BFA"/>
    <w:rsid w:val="008B48E2"/>
    <w:rsid w:val="008B5152"/>
    <w:rsid w:val="008B5EA0"/>
    <w:rsid w:val="008B6EE1"/>
    <w:rsid w:val="008B7356"/>
    <w:rsid w:val="008B7E27"/>
    <w:rsid w:val="008C0796"/>
    <w:rsid w:val="008C0AEC"/>
    <w:rsid w:val="008C0CA5"/>
    <w:rsid w:val="008C0CB4"/>
    <w:rsid w:val="008C11BE"/>
    <w:rsid w:val="008C12A2"/>
    <w:rsid w:val="008C18C1"/>
    <w:rsid w:val="008C1CF5"/>
    <w:rsid w:val="008C3CE8"/>
    <w:rsid w:val="008C3DC9"/>
    <w:rsid w:val="008C4313"/>
    <w:rsid w:val="008C4B38"/>
    <w:rsid w:val="008C6470"/>
    <w:rsid w:val="008C670E"/>
    <w:rsid w:val="008C7465"/>
    <w:rsid w:val="008D00A6"/>
    <w:rsid w:val="008D10DE"/>
    <w:rsid w:val="008D3DE9"/>
    <w:rsid w:val="008D54FE"/>
    <w:rsid w:val="008D639A"/>
    <w:rsid w:val="008D6B9D"/>
    <w:rsid w:val="008D7826"/>
    <w:rsid w:val="008E0AC9"/>
    <w:rsid w:val="008E1227"/>
    <w:rsid w:val="008E1B22"/>
    <w:rsid w:val="008E212A"/>
    <w:rsid w:val="008E23C2"/>
    <w:rsid w:val="008E2A16"/>
    <w:rsid w:val="008E3205"/>
    <w:rsid w:val="008E328D"/>
    <w:rsid w:val="008E383F"/>
    <w:rsid w:val="008E4FE2"/>
    <w:rsid w:val="008E5190"/>
    <w:rsid w:val="008E5F8B"/>
    <w:rsid w:val="008E79DB"/>
    <w:rsid w:val="008F0C9F"/>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A2"/>
    <w:rsid w:val="0090367E"/>
    <w:rsid w:val="00903E49"/>
    <w:rsid w:val="00903EBB"/>
    <w:rsid w:val="00904EB4"/>
    <w:rsid w:val="00904EBC"/>
    <w:rsid w:val="0090578F"/>
    <w:rsid w:val="00906027"/>
    <w:rsid w:val="009066D0"/>
    <w:rsid w:val="00906AFE"/>
    <w:rsid w:val="009110F8"/>
    <w:rsid w:val="009114AF"/>
    <w:rsid w:val="00911883"/>
    <w:rsid w:val="0091399B"/>
    <w:rsid w:val="00915485"/>
    <w:rsid w:val="00915C4E"/>
    <w:rsid w:val="00915EB8"/>
    <w:rsid w:val="00916A2C"/>
    <w:rsid w:val="00916ADD"/>
    <w:rsid w:val="009177C9"/>
    <w:rsid w:val="00917932"/>
    <w:rsid w:val="009207D3"/>
    <w:rsid w:val="00921023"/>
    <w:rsid w:val="00921382"/>
    <w:rsid w:val="0092189A"/>
    <w:rsid w:val="00921C9B"/>
    <w:rsid w:val="00921E9F"/>
    <w:rsid w:val="0092229A"/>
    <w:rsid w:val="00923DCD"/>
    <w:rsid w:val="009249E5"/>
    <w:rsid w:val="00924DDF"/>
    <w:rsid w:val="00925D18"/>
    <w:rsid w:val="00927AA9"/>
    <w:rsid w:val="00927B5B"/>
    <w:rsid w:val="00930D55"/>
    <w:rsid w:val="00932F5A"/>
    <w:rsid w:val="00933610"/>
    <w:rsid w:val="00933B07"/>
    <w:rsid w:val="00934561"/>
    <w:rsid w:val="00941880"/>
    <w:rsid w:val="00941897"/>
    <w:rsid w:val="00941C63"/>
    <w:rsid w:val="00944F28"/>
    <w:rsid w:val="00946CC3"/>
    <w:rsid w:val="00947A7A"/>
    <w:rsid w:val="009523E9"/>
    <w:rsid w:val="00953BD4"/>
    <w:rsid w:val="00953DE1"/>
    <w:rsid w:val="00954C4D"/>
    <w:rsid w:val="00955259"/>
    <w:rsid w:val="00955D18"/>
    <w:rsid w:val="00960E94"/>
    <w:rsid w:val="009619CC"/>
    <w:rsid w:val="00962AB9"/>
    <w:rsid w:val="00963089"/>
    <w:rsid w:val="0096362C"/>
    <w:rsid w:val="00963FE9"/>
    <w:rsid w:val="009650BD"/>
    <w:rsid w:val="00965DFD"/>
    <w:rsid w:val="00966084"/>
    <w:rsid w:val="009661A6"/>
    <w:rsid w:val="00966E9D"/>
    <w:rsid w:val="00967A30"/>
    <w:rsid w:val="00967E69"/>
    <w:rsid w:val="00971AC3"/>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580"/>
    <w:rsid w:val="0098597A"/>
    <w:rsid w:val="00985DF1"/>
    <w:rsid w:val="009860AD"/>
    <w:rsid w:val="009867C1"/>
    <w:rsid w:val="009871E1"/>
    <w:rsid w:val="00987EAE"/>
    <w:rsid w:val="0099016F"/>
    <w:rsid w:val="00990F40"/>
    <w:rsid w:val="00991B1C"/>
    <w:rsid w:val="00991CC2"/>
    <w:rsid w:val="00992591"/>
    <w:rsid w:val="00992739"/>
    <w:rsid w:val="0099413E"/>
    <w:rsid w:val="009941C8"/>
    <w:rsid w:val="0099424C"/>
    <w:rsid w:val="00994BA0"/>
    <w:rsid w:val="009952BF"/>
    <w:rsid w:val="0099587F"/>
    <w:rsid w:val="009967CB"/>
    <w:rsid w:val="009A0DEA"/>
    <w:rsid w:val="009A1A95"/>
    <w:rsid w:val="009A1F1D"/>
    <w:rsid w:val="009A24AD"/>
    <w:rsid w:val="009A253D"/>
    <w:rsid w:val="009A26C1"/>
    <w:rsid w:val="009A288E"/>
    <w:rsid w:val="009A495E"/>
    <w:rsid w:val="009A51F0"/>
    <w:rsid w:val="009A7075"/>
    <w:rsid w:val="009A791D"/>
    <w:rsid w:val="009A7FA8"/>
    <w:rsid w:val="009B0BC4"/>
    <w:rsid w:val="009B0BC8"/>
    <w:rsid w:val="009B10FF"/>
    <w:rsid w:val="009B3504"/>
    <w:rsid w:val="009B4402"/>
    <w:rsid w:val="009B5536"/>
    <w:rsid w:val="009B5A72"/>
    <w:rsid w:val="009C1289"/>
    <w:rsid w:val="009C4B4E"/>
    <w:rsid w:val="009C6421"/>
    <w:rsid w:val="009C6F8B"/>
    <w:rsid w:val="009C7881"/>
    <w:rsid w:val="009D05E3"/>
    <w:rsid w:val="009D0DE4"/>
    <w:rsid w:val="009D383A"/>
    <w:rsid w:val="009D3AE0"/>
    <w:rsid w:val="009D5BAA"/>
    <w:rsid w:val="009D6AF9"/>
    <w:rsid w:val="009D77ED"/>
    <w:rsid w:val="009E0B58"/>
    <w:rsid w:val="009E15A0"/>
    <w:rsid w:val="009E1A1C"/>
    <w:rsid w:val="009E1DC8"/>
    <w:rsid w:val="009E3FEB"/>
    <w:rsid w:val="009E46E9"/>
    <w:rsid w:val="009E5563"/>
    <w:rsid w:val="009E5586"/>
    <w:rsid w:val="009E5C1F"/>
    <w:rsid w:val="009E6BE9"/>
    <w:rsid w:val="009F01E3"/>
    <w:rsid w:val="009F02EC"/>
    <w:rsid w:val="009F05CF"/>
    <w:rsid w:val="009F09F1"/>
    <w:rsid w:val="009F40CA"/>
    <w:rsid w:val="009F40D9"/>
    <w:rsid w:val="009F4267"/>
    <w:rsid w:val="009F475D"/>
    <w:rsid w:val="009F4BE9"/>
    <w:rsid w:val="009F54D0"/>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1345"/>
    <w:rsid w:val="00A11D42"/>
    <w:rsid w:val="00A12A28"/>
    <w:rsid w:val="00A134D8"/>
    <w:rsid w:val="00A14950"/>
    <w:rsid w:val="00A16EE4"/>
    <w:rsid w:val="00A1766C"/>
    <w:rsid w:val="00A17F1A"/>
    <w:rsid w:val="00A20917"/>
    <w:rsid w:val="00A219E7"/>
    <w:rsid w:val="00A22001"/>
    <w:rsid w:val="00A221D0"/>
    <w:rsid w:val="00A222A7"/>
    <w:rsid w:val="00A244AE"/>
    <w:rsid w:val="00A24AFA"/>
    <w:rsid w:val="00A25130"/>
    <w:rsid w:val="00A25446"/>
    <w:rsid w:val="00A25D87"/>
    <w:rsid w:val="00A26386"/>
    <w:rsid w:val="00A31462"/>
    <w:rsid w:val="00A31921"/>
    <w:rsid w:val="00A32152"/>
    <w:rsid w:val="00A34ED8"/>
    <w:rsid w:val="00A35017"/>
    <w:rsid w:val="00A353BC"/>
    <w:rsid w:val="00A355C7"/>
    <w:rsid w:val="00A36171"/>
    <w:rsid w:val="00A36716"/>
    <w:rsid w:val="00A36A65"/>
    <w:rsid w:val="00A36BDD"/>
    <w:rsid w:val="00A36F99"/>
    <w:rsid w:val="00A372EE"/>
    <w:rsid w:val="00A4018D"/>
    <w:rsid w:val="00A406F3"/>
    <w:rsid w:val="00A429DA"/>
    <w:rsid w:val="00A43163"/>
    <w:rsid w:val="00A43397"/>
    <w:rsid w:val="00A4405B"/>
    <w:rsid w:val="00A44AE9"/>
    <w:rsid w:val="00A45CD8"/>
    <w:rsid w:val="00A45EE9"/>
    <w:rsid w:val="00A51CAA"/>
    <w:rsid w:val="00A54ACB"/>
    <w:rsid w:val="00A55ABB"/>
    <w:rsid w:val="00A56055"/>
    <w:rsid w:val="00A56B6D"/>
    <w:rsid w:val="00A57F27"/>
    <w:rsid w:val="00A60027"/>
    <w:rsid w:val="00A61E8F"/>
    <w:rsid w:val="00A6266F"/>
    <w:rsid w:val="00A63F16"/>
    <w:rsid w:val="00A65DD2"/>
    <w:rsid w:val="00A66866"/>
    <w:rsid w:val="00A679BC"/>
    <w:rsid w:val="00A70063"/>
    <w:rsid w:val="00A7009D"/>
    <w:rsid w:val="00A7080D"/>
    <w:rsid w:val="00A71703"/>
    <w:rsid w:val="00A71A8D"/>
    <w:rsid w:val="00A71EF4"/>
    <w:rsid w:val="00A72D7A"/>
    <w:rsid w:val="00A72E3F"/>
    <w:rsid w:val="00A74327"/>
    <w:rsid w:val="00A7436E"/>
    <w:rsid w:val="00A76812"/>
    <w:rsid w:val="00A76B23"/>
    <w:rsid w:val="00A80AAC"/>
    <w:rsid w:val="00A81584"/>
    <w:rsid w:val="00A81894"/>
    <w:rsid w:val="00A86A1B"/>
    <w:rsid w:val="00A86D47"/>
    <w:rsid w:val="00A90E72"/>
    <w:rsid w:val="00A91E1F"/>
    <w:rsid w:val="00A9340A"/>
    <w:rsid w:val="00A938C9"/>
    <w:rsid w:val="00A944F3"/>
    <w:rsid w:val="00A96E05"/>
    <w:rsid w:val="00A97896"/>
    <w:rsid w:val="00A97E15"/>
    <w:rsid w:val="00AA0BA5"/>
    <w:rsid w:val="00AA143C"/>
    <w:rsid w:val="00AA179C"/>
    <w:rsid w:val="00AA18AE"/>
    <w:rsid w:val="00AA2776"/>
    <w:rsid w:val="00AA4125"/>
    <w:rsid w:val="00AA4AA6"/>
    <w:rsid w:val="00AA5DB4"/>
    <w:rsid w:val="00AB16BF"/>
    <w:rsid w:val="00AB1FBE"/>
    <w:rsid w:val="00AB24C8"/>
    <w:rsid w:val="00AB4252"/>
    <w:rsid w:val="00AB508B"/>
    <w:rsid w:val="00AB6734"/>
    <w:rsid w:val="00AC00CE"/>
    <w:rsid w:val="00AC16E1"/>
    <w:rsid w:val="00AC18F5"/>
    <w:rsid w:val="00AC27AB"/>
    <w:rsid w:val="00AC5086"/>
    <w:rsid w:val="00AC5496"/>
    <w:rsid w:val="00AC6019"/>
    <w:rsid w:val="00AD00B7"/>
    <w:rsid w:val="00AD12EE"/>
    <w:rsid w:val="00AD173D"/>
    <w:rsid w:val="00AD2465"/>
    <w:rsid w:val="00AD442D"/>
    <w:rsid w:val="00AD6554"/>
    <w:rsid w:val="00AD7EE7"/>
    <w:rsid w:val="00AE0A04"/>
    <w:rsid w:val="00AE14F3"/>
    <w:rsid w:val="00AE20D3"/>
    <w:rsid w:val="00AE22F2"/>
    <w:rsid w:val="00AE2392"/>
    <w:rsid w:val="00AE23AE"/>
    <w:rsid w:val="00AE24DF"/>
    <w:rsid w:val="00AE3428"/>
    <w:rsid w:val="00AE5B1E"/>
    <w:rsid w:val="00AE79CA"/>
    <w:rsid w:val="00AF1968"/>
    <w:rsid w:val="00AF310D"/>
    <w:rsid w:val="00AF328F"/>
    <w:rsid w:val="00AF4582"/>
    <w:rsid w:val="00AF4F04"/>
    <w:rsid w:val="00AF6B3D"/>
    <w:rsid w:val="00AF6F3E"/>
    <w:rsid w:val="00AF7639"/>
    <w:rsid w:val="00AF7B73"/>
    <w:rsid w:val="00AF7DE5"/>
    <w:rsid w:val="00B01399"/>
    <w:rsid w:val="00B02D2C"/>
    <w:rsid w:val="00B03922"/>
    <w:rsid w:val="00B04ACF"/>
    <w:rsid w:val="00B053C6"/>
    <w:rsid w:val="00B05746"/>
    <w:rsid w:val="00B07386"/>
    <w:rsid w:val="00B07902"/>
    <w:rsid w:val="00B10030"/>
    <w:rsid w:val="00B104E7"/>
    <w:rsid w:val="00B108E3"/>
    <w:rsid w:val="00B10DE9"/>
    <w:rsid w:val="00B14DAA"/>
    <w:rsid w:val="00B16E80"/>
    <w:rsid w:val="00B17D6B"/>
    <w:rsid w:val="00B234E3"/>
    <w:rsid w:val="00B23945"/>
    <w:rsid w:val="00B24A09"/>
    <w:rsid w:val="00B26A6C"/>
    <w:rsid w:val="00B274CC"/>
    <w:rsid w:val="00B31E79"/>
    <w:rsid w:val="00B32641"/>
    <w:rsid w:val="00B33A06"/>
    <w:rsid w:val="00B34AF2"/>
    <w:rsid w:val="00B35253"/>
    <w:rsid w:val="00B40107"/>
    <w:rsid w:val="00B4093A"/>
    <w:rsid w:val="00B419F8"/>
    <w:rsid w:val="00B4246E"/>
    <w:rsid w:val="00B43B74"/>
    <w:rsid w:val="00B44DE2"/>
    <w:rsid w:val="00B4742A"/>
    <w:rsid w:val="00B50DEE"/>
    <w:rsid w:val="00B50F6E"/>
    <w:rsid w:val="00B52FBD"/>
    <w:rsid w:val="00B53927"/>
    <w:rsid w:val="00B54D58"/>
    <w:rsid w:val="00B554B7"/>
    <w:rsid w:val="00B55D48"/>
    <w:rsid w:val="00B57DB2"/>
    <w:rsid w:val="00B607BF"/>
    <w:rsid w:val="00B60D9B"/>
    <w:rsid w:val="00B6122B"/>
    <w:rsid w:val="00B61251"/>
    <w:rsid w:val="00B614E6"/>
    <w:rsid w:val="00B619FB"/>
    <w:rsid w:val="00B6214E"/>
    <w:rsid w:val="00B6342A"/>
    <w:rsid w:val="00B65239"/>
    <w:rsid w:val="00B65A19"/>
    <w:rsid w:val="00B65AF4"/>
    <w:rsid w:val="00B65F77"/>
    <w:rsid w:val="00B71A2B"/>
    <w:rsid w:val="00B72929"/>
    <w:rsid w:val="00B7390A"/>
    <w:rsid w:val="00B73A91"/>
    <w:rsid w:val="00B73F92"/>
    <w:rsid w:val="00B75A56"/>
    <w:rsid w:val="00B75A7B"/>
    <w:rsid w:val="00B77130"/>
    <w:rsid w:val="00B77B0A"/>
    <w:rsid w:val="00B77EB1"/>
    <w:rsid w:val="00B811E0"/>
    <w:rsid w:val="00B811EC"/>
    <w:rsid w:val="00B81ED2"/>
    <w:rsid w:val="00B822F3"/>
    <w:rsid w:val="00B82F3D"/>
    <w:rsid w:val="00B83530"/>
    <w:rsid w:val="00B84123"/>
    <w:rsid w:val="00B85972"/>
    <w:rsid w:val="00B85B86"/>
    <w:rsid w:val="00B87120"/>
    <w:rsid w:val="00B901EB"/>
    <w:rsid w:val="00B92979"/>
    <w:rsid w:val="00B929A5"/>
    <w:rsid w:val="00B939A6"/>
    <w:rsid w:val="00B93E80"/>
    <w:rsid w:val="00B94083"/>
    <w:rsid w:val="00B94955"/>
    <w:rsid w:val="00B96C2A"/>
    <w:rsid w:val="00B97C33"/>
    <w:rsid w:val="00B97F73"/>
    <w:rsid w:val="00BA020D"/>
    <w:rsid w:val="00BA0A81"/>
    <w:rsid w:val="00BA0C8A"/>
    <w:rsid w:val="00BA1E37"/>
    <w:rsid w:val="00BA4901"/>
    <w:rsid w:val="00BA49CA"/>
    <w:rsid w:val="00BA4C14"/>
    <w:rsid w:val="00BA534E"/>
    <w:rsid w:val="00BA5F2A"/>
    <w:rsid w:val="00BA6C29"/>
    <w:rsid w:val="00BA72BD"/>
    <w:rsid w:val="00BB018A"/>
    <w:rsid w:val="00BB026F"/>
    <w:rsid w:val="00BB087C"/>
    <w:rsid w:val="00BB3FB2"/>
    <w:rsid w:val="00BB4A59"/>
    <w:rsid w:val="00BB5370"/>
    <w:rsid w:val="00BB6031"/>
    <w:rsid w:val="00BB64B0"/>
    <w:rsid w:val="00BB65C4"/>
    <w:rsid w:val="00BB7B9D"/>
    <w:rsid w:val="00BC1694"/>
    <w:rsid w:val="00BC2853"/>
    <w:rsid w:val="00BC4431"/>
    <w:rsid w:val="00BC4B7F"/>
    <w:rsid w:val="00BC5473"/>
    <w:rsid w:val="00BC6E2E"/>
    <w:rsid w:val="00BC7DE7"/>
    <w:rsid w:val="00BD097C"/>
    <w:rsid w:val="00BD2639"/>
    <w:rsid w:val="00BD37E2"/>
    <w:rsid w:val="00BD4CC9"/>
    <w:rsid w:val="00BD4EB5"/>
    <w:rsid w:val="00BD5B6F"/>
    <w:rsid w:val="00BD620F"/>
    <w:rsid w:val="00BE1AF0"/>
    <w:rsid w:val="00BE364C"/>
    <w:rsid w:val="00BE37BA"/>
    <w:rsid w:val="00BE4580"/>
    <w:rsid w:val="00BE50AC"/>
    <w:rsid w:val="00BE6F98"/>
    <w:rsid w:val="00BF15FD"/>
    <w:rsid w:val="00BF1785"/>
    <w:rsid w:val="00BF2010"/>
    <w:rsid w:val="00BF2365"/>
    <w:rsid w:val="00BF2E5D"/>
    <w:rsid w:val="00BF34D4"/>
    <w:rsid w:val="00BF384C"/>
    <w:rsid w:val="00BF4496"/>
    <w:rsid w:val="00BF4BCD"/>
    <w:rsid w:val="00BF683B"/>
    <w:rsid w:val="00BF688B"/>
    <w:rsid w:val="00BF69EB"/>
    <w:rsid w:val="00C01120"/>
    <w:rsid w:val="00C01A8A"/>
    <w:rsid w:val="00C0229B"/>
    <w:rsid w:val="00C035C7"/>
    <w:rsid w:val="00C0389C"/>
    <w:rsid w:val="00C04263"/>
    <w:rsid w:val="00C04273"/>
    <w:rsid w:val="00C044F5"/>
    <w:rsid w:val="00C04732"/>
    <w:rsid w:val="00C049D7"/>
    <w:rsid w:val="00C06017"/>
    <w:rsid w:val="00C06E2C"/>
    <w:rsid w:val="00C077CE"/>
    <w:rsid w:val="00C07936"/>
    <w:rsid w:val="00C07E13"/>
    <w:rsid w:val="00C1115F"/>
    <w:rsid w:val="00C1160A"/>
    <w:rsid w:val="00C117FF"/>
    <w:rsid w:val="00C11D42"/>
    <w:rsid w:val="00C12328"/>
    <w:rsid w:val="00C12A12"/>
    <w:rsid w:val="00C12B67"/>
    <w:rsid w:val="00C13825"/>
    <w:rsid w:val="00C1391E"/>
    <w:rsid w:val="00C13A7D"/>
    <w:rsid w:val="00C141C9"/>
    <w:rsid w:val="00C144F2"/>
    <w:rsid w:val="00C152A6"/>
    <w:rsid w:val="00C15982"/>
    <w:rsid w:val="00C16E14"/>
    <w:rsid w:val="00C201CA"/>
    <w:rsid w:val="00C203E7"/>
    <w:rsid w:val="00C20B6A"/>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37F29"/>
    <w:rsid w:val="00C4067A"/>
    <w:rsid w:val="00C41BC5"/>
    <w:rsid w:val="00C454C8"/>
    <w:rsid w:val="00C45A67"/>
    <w:rsid w:val="00C46454"/>
    <w:rsid w:val="00C47D9F"/>
    <w:rsid w:val="00C515E0"/>
    <w:rsid w:val="00C5183B"/>
    <w:rsid w:val="00C522C9"/>
    <w:rsid w:val="00C540BC"/>
    <w:rsid w:val="00C546D9"/>
    <w:rsid w:val="00C57333"/>
    <w:rsid w:val="00C57A19"/>
    <w:rsid w:val="00C61790"/>
    <w:rsid w:val="00C624F8"/>
    <w:rsid w:val="00C62955"/>
    <w:rsid w:val="00C64256"/>
    <w:rsid w:val="00C64815"/>
    <w:rsid w:val="00C64A18"/>
    <w:rsid w:val="00C64C12"/>
    <w:rsid w:val="00C64DB4"/>
    <w:rsid w:val="00C66947"/>
    <w:rsid w:val="00C67814"/>
    <w:rsid w:val="00C703D4"/>
    <w:rsid w:val="00C7096C"/>
    <w:rsid w:val="00C70A83"/>
    <w:rsid w:val="00C725E7"/>
    <w:rsid w:val="00C726AA"/>
    <w:rsid w:val="00C72F05"/>
    <w:rsid w:val="00C732DD"/>
    <w:rsid w:val="00C73832"/>
    <w:rsid w:val="00C73A82"/>
    <w:rsid w:val="00C73BEF"/>
    <w:rsid w:val="00C74BBA"/>
    <w:rsid w:val="00C74EB7"/>
    <w:rsid w:val="00C7512A"/>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0CD3"/>
    <w:rsid w:val="00C91381"/>
    <w:rsid w:val="00C92ED9"/>
    <w:rsid w:val="00C937E3"/>
    <w:rsid w:val="00C938A2"/>
    <w:rsid w:val="00C94BED"/>
    <w:rsid w:val="00C97992"/>
    <w:rsid w:val="00C97B34"/>
    <w:rsid w:val="00CA1241"/>
    <w:rsid w:val="00CA18F8"/>
    <w:rsid w:val="00CA1941"/>
    <w:rsid w:val="00CA201A"/>
    <w:rsid w:val="00CA3753"/>
    <w:rsid w:val="00CA3D9A"/>
    <w:rsid w:val="00CB10E5"/>
    <w:rsid w:val="00CB1D32"/>
    <w:rsid w:val="00CB40EE"/>
    <w:rsid w:val="00CB4F00"/>
    <w:rsid w:val="00CB5CC4"/>
    <w:rsid w:val="00CB6A8A"/>
    <w:rsid w:val="00CC0E6A"/>
    <w:rsid w:val="00CC1AD8"/>
    <w:rsid w:val="00CC3E39"/>
    <w:rsid w:val="00CC4171"/>
    <w:rsid w:val="00CC4385"/>
    <w:rsid w:val="00CC49A2"/>
    <w:rsid w:val="00CC57DC"/>
    <w:rsid w:val="00CC6783"/>
    <w:rsid w:val="00CC6AD3"/>
    <w:rsid w:val="00CC734B"/>
    <w:rsid w:val="00CD10FA"/>
    <w:rsid w:val="00CD1811"/>
    <w:rsid w:val="00CD2C05"/>
    <w:rsid w:val="00CD2E7B"/>
    <w:rsid w:val="00CD4639"/>
    <w:rsid w:val="00CD5F76"/>
    <w:rsid w:val="00CD6411"/>
    <w:rsid w:val="00CE24C9"/>
    <w:rsid w:val="00CE27BF"/>
    <w:rsid w:val="00CE2C06"/>
    <w:rsid w:val="00CE3E7C"/>
    <w:rsid w:val="00CE4BFB"/>
    <w:rsid w:val="00CE5779"/>
    <w:rsid w:val="00CE653A"/>
    <w:rsid w:val="00CE78BA"/>
    <w:rsid w:val="00CF2663"/>
    <w:rsid w:val="00CF35FC"/>
    <w:rsid w:val="00CF3BBF"/>
    <w:rsid w:val="00CF50B1"/>
    <w:rsid w:val="00CF53C8"/>
    <w:rsid w:val="00CF5E85"/>
    <w:rsid w:val="00CF5F66"/>
    <w:rsid w:val="00CF635C"/>
    <w:rsid w:val="00CF63CB"/>
    <w:rsid w:val="00CF7A15"/>
    <w:rsid w:val="00D00275"/>
    <w:rsid w:val="00D00B99"/>
    <w:rsid w:val="00D0129A"/>
    <w:rsid w:val="00D018D0"/>
    <w:rsid w:val="00D033AB"/>
    <w:rsid w:val="00D0410B"/>
    <w:rsid w:val="00D0422F"/>
    <w:rsid w:val="00D046A8"/>
    <w:rsid w:val="00D05BB8"/>
    <w:rsid w:val="00D05EB9"/>
    <w:rsid w:val="00D06776"/>
    <w:rsid w:val="00D06A85"/>
    <w:rsid w:val="00D13369"/>
    <w:rsid w:val="00D13F17"/>
    <w:rsid w:val="00D14053"/>
    <w:rsid w:val="00D14D46"/>
    <w:rsid w:val="00D15180"/>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361A3"/>
    <w:rsid w:val="00D40A15"/>
    <w:rsid w:val="00D40BA4"/>
    <w:rsid w:val="00D4141E"/>
    <w:rsid w:val="00D416D2"/>
    <w:rsid w:val="00D4227C"/>
    <w:rsid w:val="00D4404D"/>
    <w:rsid w:val="00D468AB"/>
    <w:rsid w:val="00D502B8"/>
    <w:rsid w:val="00D504C3"/>
    <w:rsid w:val="00D508CE"/>
    <w:rsid w:val="00D51474"/>
    <w:rsid w:val="00D538D3"/>
    <w:rsid w:val="00D56136"/>
    <w:rsid w:val="00D56D1A"/>
    <w:rsid w:val="00D57B64"/>
    <w:rsid w:val="00D601FC"/>
    <w:rsid w:val="00D606E2"/>
    <w:rsid w:val="00D61533"/>
    <w:rsid w:val="00D62387"/>
    <w:rsid w:val="00D62A5F"/>
    <w:rsid w:val="00D64CA3"/>
    <w:rsid w:val="00D668D4"/>
    <w:rsid w:val="00D66FF0"/>
    <w:rsid w:val="00D67A5D"/>
    <w:rsid w:val="00D67BBB"/>
    <w:rsid w:val="00D67C7B"/>
    <w:rsid w:val="00D71342"/>
    <w:rsid w:val="00D72920"/>
    <w:rsid w:val="00D73420"/>
    <w:rsid w:val="00D73B1E"/>
    <w:rsid w:val="00D7427E"/>
    <w:rsid w:val="00D7472A"/>
    <w:rsid w:val="00D74A5E"/>
    <w:rsid w:val="00D80E32"/>
    <w:rsid w:val="00D81307"/>
    <w:rsid w:val="00D81C7A"/>
    <w:rsid w:val="00D81CB1"/>
    <w:rsid w:val="00D82C94"/>
    <w:rsid w:val="00D830A4"/>
    <w:rsid w:val="00D83969"/>
    <w:rsid w:val="00D84D1C"/>
    <w:rsid w:val="00D85439"/>
    <w:rsid w:val="00D86311"/>
    <w:rsid w:val="00D87BF1"/>
    <w:rsid w:val="00D90188"/>
    <w:rsid w:val="00D90FB6"/>
    <w:rsid w:val="00D92D5B"/>
    <w:rsid w:val="00D93206"/>
    <w:rsid w:val="00D95007"/>
    <w:rsid w:val="00D95EAB"/>
    <w:rsid w:val="00D96879"/>
    <w:rsid w:val="00D97E9B"/>
    <w:rsid w:val="00D97EA9"/>
    <w:rsid w:val="00DA0BA0"/>
    <w:rsid w:val="00DA21B4"/>
    <w:rsid w:val="00DA2918"/>
    <w:rsid w:val="00DA3474"/>
    <w:rsid w:val="00DA4775"/>
    <w:rsid w:val="00DA6571"/>
    <w:rsid w:val="00DB0D67"/>
    <w:rsid w:val="00DB25B9"/>
    <w:rsid w:val="00DB2CC6"/>
    <w:rsid w:val="00DB4472"/>
    <w:rsid w:val="00DB4A7C"/>
    <w:rsid w:val="00DB4B5E"/>
    <w:rsid w:val="00DB564E"/>
    <w:rsid w:val="00DB5CCF"/>
    <w:rsid w:val="00DB69D2"/>
    <w:rsid w:val="00DB6DF3"/>
    <w:rsid w:val="00DB6F6A"/>
    <w:rsid w:val="00DB73A9"/>
    <w:rsid w:val="00DC21B2"/>
    <w:rsid w:val="00DC27C5"/>
    <w:rsid w:val="00DC543D"/>
    <w:rsid w:val="00DC7A11"/>
    <w:rsid w:val="00DC7ED7"/>
    <w:rsid w:val="00DC7FAC"/>
    <w:rsid w:val="00DD0491"/>
    <w:rsid w:val="00DD05C4"/>
    <w:rsid w:val="00DD05FE"/>
    <w:rsid w:val="00DD07C9"/>
    <w:rsid w:val="00DD0A86"/>
    <w:rsid w:val="00DD0C2E"/>
    <w:rsid w:val="00DD198E"/>
    <w:rsid w:val="00DD3CE5"/>
    <w:rsid w:val="00DD4A63"/>
    <w:rsid w:val="00DD5011"/>
    <w:rsid w:val="00DD5589"/>
    <w:rsid w:val="00DD647C"/>
    <w:rsid w:val="00DD64AF"/>
    <w:rsid w:val="00DD6AE4"/>
    <w:rsid w:val="00DD6D5D"/>
    <w:rsid w:val="00DD7879"/>
    <w:rsid w:val="00DD7D2B"/>
    <w:rsid w:val="00DE1B14"/>
    <w:rsid w:val="00DE25EF"/>
    <w:rsid w:val="00DE2903"/>
    <w:rsid w:val="00DE478E"/>
    <w:rsid w:val="00DE4C44"/>
    <w:rsid w:val="00DE4F63"/>
    <w:rsid w:val="00DE59A9"/>
    <w:rsid w:val="00DE59B3"/>
    <w:rsid w:val="00DE6866"/>
    <w:rsid w:val="00DF2441"/>
    <w:rsid w:val="00DF29AB"/>
    <w:rsid w:val="00DF2ED9"/>
    <w:rsid w:val="00DF3D79"/>
    <w:rsid w:val="00DF4971"/>
    <w:rsid w:val="00DF76D7"/>
    <w:rsid w:val="00DF776E"/>
    <w:rsid w:val="00DF7C95"/>
    <w:rsid w:val="00E013C8"/>
    <w:rsid w:val="00E01B2D"/>
    <w:rsid w:val="00E036A4"/>
    <w:rsid w:val="00E03C2F"/>
    <w:rsid w:val="00E04459"/>
    <w:rsid w:val="00E0490E"/>
    <w:rsid w:val="00E06D7D"/>
    <w:rsid w:val="00E07AE2"/>
    <w:rsid w:val="00E1002C"/>
    <w:rsid w:val="00E112B9"/>
    <w:rsid w:val="00E1288A"/>
    <w:rsid w:val="00E12B0C"/>
    <w:rsid w:val="00E12CA4"/>
    <w:rsid w:val="00E165E5"/>
    <w:rsid w:val="00E16BDF"/>
    <w:rsid w:val="00E17510"/>
    <w:rsid w:val="00E17B8F"/>
    <w:rsid w:val="00E209D8"/>
    <w:rsid w:val="00E2126D"/>
    <w:rsid w:val="00E21B91"/>
    <w:rsid w:val="00E21BCC"/>
    <w:rsid w:val="00E2242A"/>
    <w:rsid w:val="00E2261E"/>
    <w:rsid w:val="00E226E9"/>
    <w:rsid w:val="00E24500"/>
    <w:rsid w:val="00E24D04"/>
    <w:rsid w:val="00E24E8C"/>
    <w:rsid w:val="00E30A3C"/>
    <w:rsid w:val="00E30C86"/>
    <w:rsid w:val="00E32722"/>
    <w:rsid w:val="00E338A4"/>
    <w:rsid w:val="00E33B33"/>
    <w:rsid w:val="00E34658"/>
    <w:rsid w:val="00E34FD9"/>
    <w:rsid w:val="00E3526B"/>
    <w:rsid w:val="00E354E5"/>
    <w:rsid w:val="00E35AA3"/>
    <w:rsid w:val="00E37047"/>
    <w:rsid w:val="00E37661"/>
    <w:rsid w:val="00E407DD"/>
    <w:rsid w:val="00E41308"/>
    <w:rsid w:val="00E41633"/>
    <w:rsid w:val="00E417E3"/>
    <w:rsid w:val="00E42938"/>
    <w:rsid w:val="00E4347A"/>
    <w:rsid w:val="00E435F2"/>
    <w:rsid w:val="00E44AB4"/>
    <w:rsid w:val="00E44B09"/>
    <w:rsid w:val="00E44C79"/>
    <w:rsid w:val="00E45BEF"/>
    <w:rsid w:val="00E46012"/>
    <w:rsid w:val="00E50405"/>
    <w:rsid w:val="00E51A34"/>
    <w:rsid w:val="00E53230"/>
    <w:rsid w:val="00E53332"/>
    <w:rsid w:val="00E5375C"/>
    <w:rsid w:val="00E53AE5"/>
    <w:rsid w:val="00E53C6B"/>
    <w:rsid w:val="00E54FA7"/>
    <w:rsid w:val="00E55EF4"/>
    <w:rsid w:val="00E568E7"/>
    <w:rsid w:val="00E5739B"/>
    <w:rsid w:val="00E57F1B"/>
    <w:rsid w:val="00E602DF"/>
    <w:rsid w:val="00E602F0"/>
    <w:rsid w:val="00E6048D"/>
    <w:rsid w:val="00E62608"/>
    <w:rsid w:val="00E631B5"/>
    <w:rsid w:val="00E63E28"/>
    <w:rsid w:val="00E640D6"/>
    <w:rsid w:val="00E643F2"/>
    <w:rsid w:val="00E6444F"/>
    <w:rsid w:val="00E6466A"/>
    <w:rsid w:val="00E65473"/>
    <w:rsid w:val="00E655A4"/>
    <w:rsid w:val="00E6566F"/>
    <w:rsid w:val="00E66299"/>
    <w:rsid w:val="00E6694D"/>
    <w:rsid w:val="00E66BA2"/>
    <w:rsid w:val="00E67A8B"/>
    <w:rsid w:val="00E70827"/>
    <w:rsid w:val="00E70DF7"/>
    <w:rsid w:val="00E71C7E"/>
    <w:rsid w:val="00E72430"/>
    <w:rsid w:val="00E752BD"/>
    <w:rsid w:val="00E75595"/>
    <w:rsid w:val="00E75D87"/>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527E"/>
    <w:rsid w:val="00E97693"/>
    <w:rsid w:val="00E97DE3"/>
    <w:rsid w:val="00EA005D"/>
    <w:rsid w:val="00EA0C94"/>
    <w:rsid w:val="00EA0FAF"/>
    <w:rsid w:val="00EA33A4"/>
    <w:rsid w:val="00EA3B47"/>
    <w:rsid w:val="00EA45D8"/>
    <w:rsid w:val="00EA5C24"/>
    <w:rsid w:val="00EA5F81"/>
    <w:rsid w:val="00EA6D1A"/>
    <w:rsid w:val="00EA6E1D"/>
    <w:rsid w:val="00EA7311"/>
    <w:rsid w:val="00EA7B88"/>
    <w:rsid w:val="00EB44EE"/>
    <w:rsid w:val="00EB509D"/>
    <w:rsid w:val="00EB6E7A"/>
    <w:rsid w:val="00EC13B7"/>
    <w:rsid w:val="00EC1BD8"/>
    <w:rsid w:val="00EC2AB1"/>
    <w:rsid w:val="00EC423F"/>
    <w:rsid w:val="00EC4C43"/>
    <w:rsid w:val="00EC63E2"/>
    <w:rsid w:val="00EC69E1"/>
    <w:rsid w:val="00EC6D2D"/>
    <w:rsid w:val="00EC713A"/>
    <w:rsid w:val="00ED0F60"/>
    <w:rsid w:val="00ED143E"/>
    <w:rsid w:val="00ED2941"/>
    <w:rsid w:val="00ED65ED"/>
    <w:rsid w:val="00ED6FD4"/>
    <w:rsid w:val="00ED70E2"/>
    <w:rsid w:val="00ED7F77"/>
    <w:rsid w:val="00EE25F5"/>
    <w:rsid w:val="00EE278E"/>
    <w:rsid w:val="00EE3AEB"/>
    <w:rsid w:val="00EE4363"/>
    <w:rsid w:val="00EE5CC0"/>
    <w:rsid w:val="00EE5D39"/>
    <w:rsid w:val="00EE5E88"/>
    <w:rsid w:val="00EE74E4"/>
    <w:rsid w:val="00EF0FE0"/>
    <w:rsid w:val="00EF1F05"/>
    <w:rsid w:val="00EF1FF3"/>
    <w:rsid w:val="00EF2BED"/>
    <w:rsid w:val="00EF5987"/>
    <w:rsid w:val="00EF64A8"/>
    <w:rsid w:val="00EF65C5"/>
    <w:rsid w:val="00EF6BEA"/>
    <w:rsid w:val="00F00D87"/>
    <w:rsid w:val="00F01448"/>
    <w:rsid w:val="00F01EBA"/>
    <w:rsid w:val="00F024B3"/>
    <w:rsid w:val="00F03DDA"/>
    <w:rsid w:val="00F046C3"/>
    <w:rsid w:val="00F04B25"/>
    <w:rsid w:val="00F04D10"/>
    <w:rsid w:val="00F051B3"/>
    <w:rsid w:val="00F06136"/>
    <w:rsid w:val="00F06C78"/>
    <w:rsid w:val="00F07D69"/>
    <w:rsid w:val="00F1063D"/>
    <w:rsid w:val="00F107F6"/>
    <w:rsid w:val="00F11602"/>
    <w:rsid w:val="00F139A5"/>
    <w:rsid w:val="00F13AE7"/>
    <w:rsid w:val="00F153E0"/>
    <w:rsid w:val="00F1658B"/>
    <w:rsid w:val="00F215A9"/>
    <w:rsid w:val="00F21A6E"/>
    <w:rsid w:val="00F224B5"/>
    <w:rsid w:val="00F2269F"/>
    <w:rsid w:val="00F226CE"/>
    <w:rsid w:val="00F23BB1"/>
    <w:rsid w:val="00F24CCC"/>
    <w:rsid w:val="00F25C93"/>
    <w:rsid w:val="00F27DB8"/>
    <w:rsid w:val="00F3080D"/>
    <w:rsid w:val="00F31ACB"/>
    <w:rsid w:val="00F327D7"/>
    <w:rsid w:val="00F327DB"/>
    <w:rsid w:val="00F32D1A"/>
    <w:rsid w:val="00F32EE8"/>
    <w:rsid w:val="00F33BFD"/>
    <w:rsid w:val="00F36F50"/>
    <w:rsid w:val="00F400A9"/>
    <w:rsid w:val="00F410EA"/>
    <w:rsid w:val="00F413C3"/>
    <w:rsid w:val="00F4175B"/>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728B"/>
    <w:rsid w:val="00F600F8"/>
    <w:rsid w:val="00F61B63"/>
    <w:rsid w:val="00F61E0A"/>
    <w:rsid w:val="00F62030"/>
    <w:rsid w:val="00F62033"/>
    <w:rsid w:val="00F6430A"/>
    <w:rsid w:val="00F649C3"/>
    <w:rsid w:val="00F671B2"/>
    <w:rsid w:val="00F672FE"/>
    <w:rsid w:val="00F673C4"/>
    <w:rsid w:val="00F7022D"/>
    <w:rsid w:val="00F70FF1"/>
    <w:rsid w:val="00F70FFA"/>
    <w:rsid w:val="00F71A9C"/>
    <w:rsid w:val="00F728F6"/>
    <w:rsid w:val="00F72A8C"/>
    <w:rsid w:val="00F73B1E"/>
    <w:rsid w:val="00F74BB3"/>
    <w:rsid w:val="00F75B41"/>
    <w:rsid w:val="00F75E35"/>
    <w:rsid w:val="00F76EFE"/>
    <w:rsid w:val="00F77554"/>
    <w:rsid w:val="00F77C43"/>
    <w:rsid w:val="00F8102D"/>
    <w:rsid w:val="00F81B41"/>
    <w:rsid w:val="00F82F52"/>
    <w:rsid w:val="00F83F52"/>
    <w:rsid w:val="00F84C0F"/>
    <w:rsid w:val="00F852B3"/>
    <w:rsid w:val="00F86641"/>
    <w:rsid w:val="00F86CE7"/>
    <w:rsid w:val="00F86EB4"/>
    <w:rsid w:val="00F86ED1"/>
    <w:rsid w:val="00F87711"/>
    <w:rsid w:val="00F87901"/>
    <w:rsid w:val="00F90E75"/>
    <w:rsid w:val="00F91945"/>
    <w:rsid w:val="00F91FCF"/>
    <w:rsid w:val="00F9287F"/>
    <w:rsid w:val="00F92923"/>
    <w:rsid w:val="00F93161"/>
    <w:rsid w:val="00F93A92"/>
    <w:rsid w:val="00F955CF"/>
    <w:rsid w:val="00F9673A"/>
    <w:rsid w:val="00F97A2D"/>
    <w:rsid w:val="00FA0840"/>
    <w:rsid w:val="00FA08A4"/>
    <w:rsid w:val="00FA0AD4"/>
    <w:rsid w:val="00FA27F5"/>
    <w:rsid w:val="00FA2E43"/>
    <w:rsid w:val="00FA4089"/>
    <w:rsid w:val="00FA63F1"/>
    <w:rsid w:val="00FA65B3"/>
    <w:rsid w:val="00FA681F"/>
    <w:rsid w:val="00FA773F"/>
    <w:rsid w:val="00FA799B"/>
    <w:rsid w:val="00FA7B89"/>
    <w:rsid w:val="00FB19F4"/>
    <w:rsid w:val="00FB1DF5"/>
    <w:rsid w:val="00FB1F36"/>
    <w:rsid w:val="00FB3C30"/>
    <w:rsid w:val="00FB40C4"/>
    <w:rsid w:val="00FB4732"/>
    <w:rsid w:val="00FB5355"/>
    <w:rsid w:val="00FB599C"/>
    <w:rsid w:val="00FB5CC0"/>
    <w:rsid w:val="00FB5F92"/>
    <w:rsid w:val="00FB6FED"/>
    <w:rsid w:val="00FB72FC"/>
    <w:rsid w:val="00FB7E0C"/>
    <w:rsid w:val="00FB7F26"/>
    <w:rsid w:val="00FC0B2C"/>
    <w:rsid w:val="00FC3325"/>
    <w:rsid w:val="00FC4239"/>
    <w:rsid w:val="00FC45F0"/>
    <w:rsid w:val="00FC4F4E"/>
    <w:rsid w:val="00FC5610"/>
    <w:rsid w:val="00FD126B"/>
    <w:rsid w:val="00FD1489"/>
    <w:rsid w:val="00FD183E"/>
    <w:rsid w:val="00FD1A59"/>
    <w:rsid w:val="00FD1EF9"/>
    <w:rsid w:val="00FD2974"/>
    <w:rsid w:val="00FD347F"/>
    <w:rsid w:val="00FD3802"/>
    <w:rsid w:val="00FD5998"/>
    <w:rsid w:val="00FD5BD5"/>
    <w:rsid w:val="00FD6793"/>
    <w:rsid w:val="00FD7243"/>
    <w:rsid w:val="00FD75DA"/>
    <w:rsid w:val="00FD7DA4"/>
    <w:rsid w:val="00FD7E01"/>
    <w:rsid w:val="00FE16FC"/>
    <w:rsid w:val="00FE21A5"/>
    <w:rsid w:val="00FE2B7E"/>
    <w:rsid w:val="00FE33DE"/>
    <w:rsid w:val="00FE3C85"/>
    <w:rsid w:val="00FE5651"/>
    <w:rsid w:val="00FE57C9"/>
    <w:rsid w:val="00FE64BB"/>
    <w:rsid w:val="00FE7485"/>
    <w:rsid w:val="00FF0753"/>
    <w:rsid w:val="00FF15DA"/>
    <w:rsid w:val="00FF1B46"/>
    <w:rsid w:val="00FF2067"/>
    <w:rsid w:val="00FF27A9"/>
    <w:rsid w:val="00FF3A9F"/>
    <w:rsid w:val="00FF3F13"/>
    <w:rsid w:val="00FF50EA"/>
    <w:rsid w:val="00FF5603"/>
    <w:rsid w:val="00FF573B"/>
    <w:rsid w:val="00FF5A93"/>
    <w:rsid w:val="00FF724D"/>
    <w:rsid w:val="00FF7A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0529"/>
    <o:shapelayout v:ext="edit">
      <o:idmap v:ext="edit" data="1"/>
    </o:shapelayout>
  </w:shapeDefaults>
  <w:decimalSymbol w:val=","/>
  <w:listSeparator w:val=";"/>
  <w14:docId w14:val="2E77B9D7"/>
  <w14:defaultImageDpi w14:val="96"/>
  <w15:docId w15:val="{64D79733-8847-4EA2-87A3-06EB76C2857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a-DK"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outlineLvl w:val="0"/>
    </w:pPr>
    <w:rPr>
      <w:kern w:val="28"/>
    </w:rPr>
  </w:style>
  <w:style w:type="paragraph" w:styleId="Heading2">
    <w:name w:val="heading 2"/>
    <w:aliases w:val=" Char"/>
    <w:basedOn w:val="Normal"/>
    <w:next w:val="Normal"/>
    <w:link w:val="Heading2Char"/>
    <w:qFormat/>
    <w:rsid w:val="00976928"/>
    <w:pPr>
      <w:numPr>
        <w:ilvl w:val="1"/>
        <w:numId w:val="1"/>
      </w:numPr>
      <w:ind w:left="567" w:hanging="567"/>
      <w:outlineLvl w:val="1"/>
    </w:pPr>
  </w:style>
  <w:style w:type="paragraph" w:styleId="Heading3">
    <w:name w:val="heading 3"/>
    <w:basedOn w:val="Normal"/>
    <w:next w:val="Normal"/>
    <w:link w:val="Heading3Char"/>
    <w:qFormat/>
    <w:rsid w:val="00976928"/>
    <w:pPr>
      <w:numPr>
        <w:ilvl w:val="2"/>
        <w:numId w:val="1"/>
      </w:numPr>
      <w:ind w:left="567" w:hanging="567"/>
      <w:outlineLvl w:val="2"/>
    </w:pPr>
  </w:style>
  <w:style w:type="paragraph" w:styleId="Heading4">
    <w:name w:val="heading 4"/>
    <w:basedOn w:val="Normal"/>
    <w:next w:val="Normal"/>
    <w:link w:val="Heading4Char"/>
    <w:qFormat/>
    <w:rsid w:val="00976928"/>
    <w:pPr>
      <w:numPr>
        <w:ilvl w:val="3"/>
        <w:numId w:val="1"/>
      </w:numPr>
      <w:ind w:left="567" w:hanging="567"/>
      <w:outlineLvl w:val="3"/>
    </w:pPr>
  </w:style>
  <w:style w:type="paragraph" w:styleId="Heading5">
    <w:name w:val="heading 5"/>
    <w:basedOn w:val="Normal"/>
    <w:next w:val="Normal"/>
    <w:link w:val="Heading5Char"/>
    <w:qFormat/>
    <w:rsid w:val="00976928"/>
    <w:pPr>
      <w:numPr>
        <w:ilvl w:val="4"/>
        <w:numId w:val="1"/>
      </w:numPr>
      <w:ind w:left="567" w:hanging="567"/>
      <w:outlineLvl w:val="4"/>
    </w:pPr>
  </w:style>
  <w:style w:type="paragraph" w:styleId="Heading6">
    <w:name w:val="heading 6"/>
    <w:basedOn w:val="Normal"/>
    <w:next w:val="Normal"/>
    <w:link w:val="Heading6Char"/>
    <w:qFormat/>
    <w:rsid w:val="00976928"/>
    <w:pPr>
      <w:numPr>
        <w:ilvl w:val="5"/>
        <w:numId w:val="1"/>
      </w:numPr>
      <w:ind w:left="567" w:hanging="567"/>
      <w:outlineLvl w:val="5"/>
    </w:pPr>
  </w:style>
  <w:style w:type="paragraph" w:styleId="Heading7">
    <w:name w:val="heading 7"/>
    <w:basedOn w:val="Normal"/>
    <w:next w:val="Normal"/>
    <w:link w:val="Heading7Char"/>
    <w:qFormat/>
    <w:rsid w:val="00976928"/>
    <w:pPr>
      <w:numPr>
        <w:ilvl w:val="6"/>
        <w:numId w:val="1"/>
      </w:numPr>
      <w:ind w:left="567" w:hanging="567"/>
      <w:outlineLvl w:val="6"/>
    </w:pPr>
  </w:style>
  <w:style w:type="paragraph" w:styleId="Heading8">
    <w:name w:val="heading 8"/>
    <w:basedOn w:val="Normal"/>
    <w:next w:val="Normal"/>
    <w:link w:val="Heading8Char"/>
    <w:qFormat/>
    <w:rsid w:val="00976928"/>
    <w:pPr>
      <w:numPr>
        <w:ilvl w:val="7"/>
        <w:numId w:val="1"/>
      </w:numPr>
      <w:ind w:left="567" w:hanging="567"/>
      <w:outlineLvl w:val="7"/>
    </w:pPr>
  </w:style>
  <w:style w:type="paragraph" w:styleId="Heading9">
    <w:name w:val="heading 9"/>
    <w:basedOn w:val="Normal"/>
    <w:next w:val="Normal"/>
    <w:link w:val="Heading9Char"/>
    <w:qFormat/>
    <w:rsid w:val="00976928"/>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da-DK"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da-DK"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da-DK"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da-DK"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da-DK"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da-DK"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da-DK"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da-DK"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da-DK"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da-DK"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da-DK"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76928"/>
    <w:rPr>
      <w:rFonts w:ascii="Tahoma" w:hAnsi="Tahoma" w:cs="Tahoma"/>
      <w:sz w:val="16"/>
      <w:szCs w:val="16"/>
      <w:lang w:val="da-DK"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da-DK" w:eastAsia="en-US" w:bidi="ar-SA"/>
    </w:rPr>
  </w:style>
  <w:style w:type="character" w:styleId="FootnoteReference">
    <w:name w:val="footnote reference"/>
    <w:aliases w:val="SUPERS,Footnote reference number,Footnote symbol,note TESI,-E Fußnotenzeichen,number,Footnote Reference Superscript,Times 10 Point,Exposant 3 Point,BVI fnr,Appel note de bas de p,Nota,Footnote number,EN Footnote Reference,Ref,styl"/>
    <w:basedOn w:val="DefaultParagraphFont"/>
    <w:uiPriority w:val="99"/>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E75595"/>
    <w:rPr>
      <w:rFonts w:ascii="Times New Roman" w:hAnsi="Times New Roman"/>
      <w:sz w:val="22"/>
      <w:szCs w:val="22"/>
      <w:lang w:val="da-DK"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eesc.europa.eu/da/our-work/opinions-information-reports/plenary-session-summaries" TargetMode="External"/><Relationship Id="rId18" Type="http://schemas.openxmlformats.org/officeDocument/2006/relationships/footer" Target="footer2.xml"/><Relationship Id="rId26" Type="http://schemas.openxmlformats.org/officeDocument/2006/relationships/hyperlink" Target="mailto:claudia.drewes-wran@eesc.europa.eu" TargetMode="External"/><Relationship Id="rId39" Type="http://schemas.openxmlformats.org/officeDocument/2006/relationships/hyperlink" Target="mailto:Maja.Radman@eesc.europa.eu" TargetMode="External"/><Relationship Id="rId21" Type="http://schemas.openxmlformats.org/officeDocument/2006/relationships/hyperlink" Target="mailto:Gerald.Klec@eesc.europa.eu" TargetMode="External"/><Relationship Id="rId34" Type="http://schemas.openxmlformats.org/officeDocument/2006/relationships/hyperlink" Target="mailto:janine.borg@eesc.europa.eu" TargetMode="External"/><Relationship Id="rId42" Type="http://schemas.openxmlformats.org/officeDocument/2006/relationships/hyperlink" Target="mailto:Monica.Guarinoni@eesc.europa.eu" TargetMode="External"/><Relationship Id="rId47" Type="http://schemas.openxmlformats.org/officeDocument/2006/relationships/hyperlink" Target="mailto:Arturo.Iniguez@eesc.europa.eu" TargetMode="External"/><Relationship Id="rId50" Type="http://schemas.openxmlformats.org/officeDocument/2006/relationships/hyperlink" Target="mailto:triin.aasmaa@eesc.europa.eu" TargetMode="External"/><Relationship Id="rId55" Type="http://schemas.openxmlformats.org/officeDocument/2006/relationships/header" Target="header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mailto:jana.valant@eesc.europa.eu" TargetMode="External"/><Relationship Id="rId41" Type="http://schemas.openxmlformats.org/officeDocument/2006/relationships/hyperlink" Target="mailto:Monica.Guarinoni@eesc.europa.eu" TargetMode="External"/><Relationship Id="rId54" Type="http://schemas.openxmlformats.org/officeDocument/2006/relationships/hyperlink" Target="mailto:triin.aasmaa@eesc.europa.e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lexander.Alexandrov@eesc.europa.eu" TargetMode="External"/><Relationship Id="rId32" Type="http://schemas.openxmlformats.org/officeDocument/2006/relationships/hyperlink" Target="mailto:jana.valant@eesc.europa.eu" TargetMode="External"/><Relationship Id="rId37" Type="http://schemas.openxmlformats.org/officeDocument/2006/relationships/hyperlink" Target="mailto:alice.tetu@eesc.europa.eu" TargetMode="External"/><Relationship Id="rId40" Type="http://schemas.openxmlformats.org/officeDocument/2006/relationships/hyperlink" Target="mailto:Maja.Radman@eesc.europa.eu" TargetMode="External"/><Relationship Id="rId45" Type="http://schemas.openxmlformats.org/officeDocument/2006/relationships/hyperlink" Target="mailto:Laura.Broomfield@eesc.europa.eu" TargetMode="External"/><Relationship Id="rId53" Type="http://schemas.openxmlformats.org/officeDocument/2006/relationships/hyperlink" Target="mailto:valeria.atzori@eesc.europa.eu" TargetMode="External"/><Relationship Id="rId58"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georgios.meleas@eesc.europa.eu" TargetMode="External"/><Relationship Id="rId28" Type="http://schemas.openxmlformats.org/officeDocument/2006/relationships/hyperlink" Target="mailto:alice.tetu@eesc.europa.eu" TargetMode="External"/><Relationship Id="rId36" Type="http://schemas.openxmlformats.org/officeDocument/2006/relationships/hyperlink" Target="mailto:claudia.drewes-wran@eesc.europa.eu" TargetMode="External"/><Relationship Id="rId49" Type="http://schemas.openxmlformats.org/officeDocument/2006/relationships/hyperlink" Target="mailto:june.bedaton@eesc.europa.eu" TargetMode="External"/><Relationship Id="rId57" Type="http://schemas.openxmlformats.org/officeDocument/2006/relationships/footer" Target="footer4.xml"/><Relationship Id="rId61"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mailto:alice.tetu@eesc.europa.eu" TargetMode="External"/><Relationship Id="rId44" Type="http://schemas.openxmlformats.org/officeDocument/2006/relationships/hyperlink" Target="mailto:Maarit.Laurila@eesc.europa.eu" TargetMode="External"/><Relationship Id="rId52" Type="http://schemas.openxmlformats.org/officeDocument/2006/relationships/hyperlink" Target="mailto:valeria.atzori@eesc.europa.eu" TargetMode="External"/><Relationship Id="rId60"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m.eesc.europa.eu/EESCDocumentSearch/Pages/opinionssearch.aspx" TargetMode="External"/><Relationship Id="rId22" Type="http://schemas.openxmlformats.org/officeDocument/2006/relationships/hyperlink" Target="mailto:georgios.meleas@eesc.europa.eu" TargetMode="External"/><Relationship Id="rId27" Type="http://schemas.openxmlformats.org/officeDocument/2006/relationships/hyperlink" Target="mailto:jean-pierre.faure@eesc.europa.eu" TargetMode="External"/><Relationship Id="rId30" Type="http://schemas.openxmlformats.org/officeDocument/2006/relationships/hyperlink" Target="mailto:janine.borg@eesc.europa.eu" TargetMode="External"/><Relationship Id="rId35" Type="http://schemas.openxmlformats.org/officeDocument/2006/relationships/hyperlink" Target="mailto:jean-pierre.faure@eesc.europa.eu" TargetMode="External"/><Relationship Id="rId43" Type="http://schemas.openxmlformats.org/officeDocument/2006/relationships/hyperlink" Target="mailto:Monica.Guarinoni@eesc.europa.eu" TargetMode="External"/><Relationship Id="rId48" Type="http://schemas.openxmlformats.org/officeDocument/2006/relationships/hyperlink" Target="mailto:ana.dumitrache@eesc.europa.eu" TargetMode="External"/><Relationship Id="rId56" Type="http://schemas.openxmlformats.org/officeDocument/2006/relationships/header" Target="header5.xml"/><Relationship Id="rId8" Type="http://schemas.openxmlformats.org/officeDocument/2006/relationships/settings" Target="settings.xml"/><Relationship Id="rId51" Type="http://schemas.openxmlformats.org/officeDocument/2006/relationships/hyperlink" Target="mailto:mariajudite.berkemeier@eesc.europa.eu"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mailto:alice.tetu@eesc.europa.eu" TargetMode="External"/><Relationship Id="rId33" Type="http://schemas.openxmlformats.org/officeDocument/2006/relationships/hyperlink" Target="mailto:marie-laurence.drillon@eesc.europa.eu" TargetMode="External"/><Relationship Id="rId38" Type="http://schemas.openxmlformats.org/officeDocument/2006/relationships/hyperlink" Target="mailto:Agota.Bazsik@eesc.europa.eu" TargetMode="External"/><Relationship Id="rId46" Type="http://schemas.openxmlformats.org/officeDocument/2006/relationships/hyperlink" Target="mailto:Arturo.Iniguez@eesc.europa.eu" TargetMode="External"/><Relationship Id="rId59" Type="http://schemas.openxmlformats.org/officeDocument/2006/relationships/header" Target="header6.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DA/TXT/PDF/?uri=CELEX:32016R0679&amp;from=da" TargetMode="External"/><Relationship Id="rId1" Type="http://schemas.openxmlformats.org/officeDocument/2006/relationships/hyperlink" Target="https://eur-lex.europa.eu/legal-content/DA/TXT/?uri=uriserv:OJ.C_.2017.288.01.0056.01.DAN&amp;toc=OJ:C:2017:288:TOC" TargetMode="Externa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RCSZ5D2JPTA3-7-8703</_dlc_DocId>
    <_dlc_DocIdUrl xmlns="8975caae-a2e4-4a1b-856a-87d8a7cad937">
      <Url>http://dm/EESC/2018/_layouts/DocIdRedir.aspx?ID=RCSZ5D2JPTA3-7-8703</Url>
      <Description>RCSZ5D2JPTA3-7-8703</Description>
    </_dlc_DocIdUrl>
    <MeetingNumber xmlns="b96833ba-8621-4012-9120-ea22cde94db8">537</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2018-10-11T12:00:00+00:00</ProductionDate>
    <DocumentNumber xmlns="b96833ba-8621-4012-9120-ea22cde94db8">3847</DocumentNumber>
    <FicheYear xmlns="8975caae-a2e4-4a1b-856a-87d8a7cad937">2018</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2018-09-19T12:00:00+00:00</MeetingDate>
    <TaxCatchAll xmlns="8975caae-a2e4-4a1b-856a-87d8a7cad937">
      <Value>45</Value>
      <Value>41</Value>
      <Value>40</Value>
      <Value>39</Value>
      <Value>38</Value>
      <Value>37</Value>
      <Value>33</Value>
      <Value>31</Value>
      <Value>28</Value>
      <Value>27</Value>
      <Value>25</Value>
      <Value>24</Value>
      <Value>23</Value>
      <Value>22</Value>
      <Value>21</Value>
      <Value>20</Value>
      <Value>19</Value>
      <Value>18</Value>
      <Value>16</Value>
      <Value>14</Value>
      <Value>13</Value>
      <Value>11</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11458</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975caae-a2e4-4a1b-856a-87d8a7cad937">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s>
    </AvailableTranslations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135AEC72E874B8448CC1C05B56464BC2" ma:contentTypeVersion="4" ma:contentTypeDescription="Defines the documents for Document Manager V2" ma:contentTypeScope="" ma:versionID="ede8884e78a606a1f98e78adf11466db">
  <xsd:schema xmlns:xsd="http://www.w3.org/2001/XMLSchema" xmlns:xs="http://www.w3.org/2001/XMLSchema" xmlns:p="http://schemas.microsoft.com/office/2006/metadata/properties" xmlns:ns2="8975caae-a2e4-4a1b-856a-87d8a7cad937" xmlns:ns3="http://schemas.microsoft.com/sharepoint/v3/fields" xmlns:ns4="b96833ba-8621-4012-9120-ea22cde94db8" targetNamespace="http://schemas.microsoft.com/office/2006/metadata/properties" ma:root="true" ma:fieldsID="48f4ef2ca6f9ca306c69bfbc8c40c603" ns2:_="" ns3:_="" ns4:_="">
    <xsd:import namespace="8975caae-a2e4-4a1b-856a-87d8a7cad937"/>
    <xsd:import namespace="http://schemas.microsoft.com/sharepoint/v3/fields"/>
    <xsd:import namespace="b96833ba-8621-4012-9120-ea22cde94db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6833ba-8621-4012-9120-ea22cde94db8"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41151-A0C8-492A-9572-9867E45A8089}"/>
</file>

<file path=customXml/itemProps2.xml><?xml version="1.0" encoding="utf-8"?>
<ds:datastoreItem xmlns:ds="http://schemas.openxmlformats.org/officeDocument/2006/customXml" ds:itemID="{27172C6D-F210-4BCC-96B9-D59A42C1E6F5}"/>
</file>

<file path=customXml/itemProps3.xml><?xml version="1.0" encoding="utf-8"?>
<ds:datastoreItem xmlns:ds="http://schemas.openxmlformats.org/officeDocument/2006/customXml" ds:itemID="{2272B315-18A8-418C-AEDB-0DE6F18C5CA7}"/>
</file>

<file path=customXml/itemProps4.xml><?xml version="1.0" encoding="utf-8"?>
<ds:datastoreItem xmlns:ds="http://schemas.openxmlformats.org/officeDocument/2006/customXml" ds:itemID="{2E15D1FA-7857-4C55-8FB9-031ADF533C64}"/>
</file>

<file path=customXml/itemProps5.xml><?xml version="1.0" encoding="utf-8"?>
<ds:datastoreItem xmlns:ds="http://schemas.openxmlformats.org/officeDocument/2006/customXml" ds:itemID="{C000DD79-FABB-4ED8-9033-03AE2DF8BD78}"/>
</file>

<file path=docProps/app.xml><?xml version="1.0" encoding="utf-8"?>
<Properties xmlns="http://schemas.openxmlformats.org/officeDocument/2006/extended-properties" xmlns:vt="http://schemas.openxmlformats.org/officeDocument/2006/docPropsVTypes">
  <Template>Styles.dotm</Template>
  <TotalTime>51</TotalTime>
  <Pages>39</Pages>
  <Words>11080</Words>
  <Characters>63160</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74092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Oversigt over vedtagne udtalelser plenarforsamling september 2018</dc:title>
  <dc:subject>Rådgivende arbejde, diverse</dc:subject>
  <dc:creator>Marcos Jaime Tornin</dc:creator>
  <cp:keywords>EESC-2018-03847-00-01-TCD-TRA-FR</cp:keywords>
  <dc:description>Rapporteur:  - Original language: FR, EN - Date of document: 11/10/2018 - Date of meeting: 19/09/2018 - External documents:  - Administrator: MME Tamasauskiene Julija</dc:description>
  <cp:lastModifiedBy>ethy</cp:lastModifiedBy>
  <cp:revision>13</cp:revision>
  <cp:lastPrinted>2018-09-18T09:09:00Z</cp:lastPrinted>
  <dcterms:created xsi:type="dcterms:W3CDTF">2018-10-04T09:36:00Z</dcterms:created>
  <dcterms:modified xsi:type="dcterms:W3CDTF">2018-10-11T09:16:00Z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04/10/2018, 24/09/2018, 12/07/2018, 23/05/2018, 13/03/2018, 26/02/2018, 14/02/2018, 24/01/2018, 16/01/2018, 19/12/2017, 01/12/2017, 16/11/2017, 15/11/2017, 17/10/2017, 13/09/2017, 03/07/2017, 12/06/2017, 02/06/2017, 24/04/2017, 23/03/2017, 13/12/2016, 15/</vt:lpwstr>
  </property>
  <property fmtid="{D5CDD505-2E9C-101B-9397-08002B2CF9AE}" pid="4" name="Pref_Time">
    <vt:lpwstr>11:28:16, 15:40:07, 14:45:38, 09:50:08, 13:54:15, 10:33:11, 11:57:02, 15:31:00, 09:45:52, 11:53:01, 15:00:14, 15:49:39, 15:47:16, 10:48:52, 11:23:50, 09:51:12, 14:43:57, 12:54:34, 12:22:33, 12:08:44, 12:23:59, 18:12:41, 09:48:43, 08:36:59, 11:43:50, 09:30</vt:lpwstr>
  </property>
  <property fmtid="{D5CDD505-2E9C-101B-9397-08002B2CF9AE}" pid="5" name="Pref_User">
    <vt:lpwstr>enied, tvoc, enied, hnic, mreg, jhvi, mkop, hnic, mkop, amett, jhvi, amett, tvoc, tvoc, tvoc, amett, hnic, mreg, mreg, enied, mreg, jhvi, tvoc, htoo, mreg, tvoc, hnic, mreg, hnic, amett, nmcg, amett, enied, nmcg, amett, enied, ymur, tvoc, nmcg, vvos, ssex</vt:lpwstr>
  </property>
  <property fmtid="{D5CDD505-2E9C-101B-9397-08002B2CF9AE}" pid="6" name="Pref_FileName">
    <vt:lpwstr>EESC-2018-03847-00-01-TCD-ORI.docx, EESC-2018-03847-00-00-TCD-ORI.docx, EESC-2018-02821-00-00-TCD-ORI.docx, EESC-2018-02039-00-00-TCD-ORI.docx, EESC-2018-00950-00-00-TCD-ORI.docx, EESC-2018-00366-00-01-TCD-ORI.docx, EESC-2018-00366-00-00-TCD-ORI.docx, EES</vt:lpwstr>
  </property>
  <property fmtid="{D5CDD505-2E9C-101B-9397-08002B2CF9AE}" pid="7" name="ContentTypeId">
    <vt:lpwstr>0x010100EA97B91038054C99906057A708A1480A00135AEC72E874B8448CC1C05B56464BC2</vt:lpwstr>
  </property>
  <property fmtid="{D5CDD505-2E9C-101B-9397-08002B2CF9AE}" pid="8" name="_dlc_DocIdItemGuid">
    <vt:lpwstr>c8116049-5db1-4b5d-9706-d53691226b4f</vt:lpwstr>
  </property>
  <property fmtid="{D5CDD505-2E9C-101B-9397-08002B2CF9AE}" pid="9" name="MeetingNumber">
    <vt:i4>537</vt:i4>
  </property>
  <property fmtid="{D5CDD505-2E9C-101B-9397-08002B2CF9AE}" pid="10" name="DocumentType_0">
    <vt:lpwstr>TCD|cd9d6eb6-3f4f-424a-b2d1-57c9d450eaaf</vt:lpwstr>
  </property>
  <property fmtid="{D5CDD505-2E9C-101B-9397-08002B2CF9AE}" pid="11" name="AvailableTranslations">
    <vt:lpwstr>8;#FR|d2afafd3-4c81-4f60-8f52-ee33f2f54ff3;#47;#ET|ff6c3f4c-b02c-4c3c-ab07-2c37995a7a0a;#14;#NL|55c6556c-b4f4-441d-9acf-c498d4f838bd;#21;#CS|72f9705b-0217-4fd3-bea2-cbc7ed80e26e;#33;#EL|6d4f4d51-af9b-4650-94b4-4276bee85c91;#19;#SL|98a412ae-eb01-49e9-ae3d-585a81724cfc;#20;#PL|1e03da61-4678-4e07-b136-b5024ca9197b;#40;#HR|2f555653-ed1a-4fe6-8362-9082d95989e5;#24;#PT|50ccc04a-eadd-42ae-a0cb-acaf45f812ba;#22;#FI|87606a43-d45f-42d6-b8c9-e1a3457db5b7;#37;#LT|a7ff5ce7-6123-4f68-865a-a57c31810414;#28;#BG|1a1b3951-7821-4e6a-85f5-5673fc08bd2c;#38;#IT|0774613c-01ed-4e5d-a25d-11d2388de825;#39;#LV|46f7e311-5d9f-4663-b433-18aeccb7ace7;#27;#DE|f6b31e5a-26fa-4935-b661-318e46daf27e;#41;#SV|c2ed69e7-a339-43d7-8f22-d93680a92aa0;#31;#RO|feb747a2-64cd-4299-af12-4833ddc30497;#4;#EN|f2175f21-25d7-44a3-96da-d6a61b075e1b;#13;#DA|5d49c027-8956-412b-aa16-e85a0f96ad0e;#45;#MT|7df99101-6854-4a26-b53a-b88c0da02c26;#18;#ES|e7a6b05b-ae16-40c8-add9-68b64b03aeba;#16;#HU|6b229040-c589-4408-b4c1-4285663d20a8;#23;#SK|46d9fce0-ef79-4f71-b89b-cd6aa82426b8</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2018</vt:i4>
  </property>
  <property fmtid="{D5CDD505-2E9C-101B-9397-08002B2CF9AE}" pid="15" name="DocumentNumber">
    <vt:i4>3847</vt:i4>
  </property>
  <property fmtid="{D5CDD505-2E9C-101B-9397-08002B2CF9AE}" pid="16" name="DocumentVersion">
    <vt:i4>1</vt:i4>
  </property>
  <property fmtid="{D5CDD505-2E9C-101B-9397-08002B2CF9AE}" pid="17" name="DocumentSource">
    <vt:lpwstr>1;#EESC|422833ec-8d7e-4e65-8e4e-8bed07ffb729</vt:lpwstr>
  </property>
  <property fmtid="{D5CDD505-2E9C-101B-9397-08002B2CF9AE}" pid="19" name="DocumentType">
    <vt:lpwstr>25;#TCD|cd9d6eb6-3f4f-424a-b2d1-57c9d450eaaf</vt:lpwstr>
  </property>
  <property fmtid="{D5CDD505-2E9C-101B-9397-08002B2CF9AE}" pid="20" name="DocumentStatus">
    <vt:lpwstr>7;#TRA|150d2a88-1431-44e6-a8ca-0bb753ab8672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SPL-CES|32d8cb1f-c9ec-4365-95c7-8385a18618ac</vt:lpwstr>
  </property>
  <property fmtid="{D5CDD505-2E9C-101B-9397-08002B2CF9AE}" pid="27" name="OriginalLanguage">
    <vt:lpwstr>8;#FR|d2afafd3-4c81-4f60-8f52-ee33f2f54ff3;#4;#EN|f2175f21-25d7-44a3-96da-d6a61b075e1b</vt:lpwstr>
  </property>
  <property fmtid="{D5CDD505-2E9C-101B-9397-08002B2CF9AE}" pid="28" name="MeetingName">
    <vt:lpwstr>11;#SPL-CES|32d8cb1f-c9ec-4365-95c7-8385a18618ac</vt:lpwstr>
  </property>
  <property fmtid="{D5CDD505-2E9C-101B-9397-08002B2CF9AE}" pid="29" name="DocumentStatus_0">
    <vt:lpwstr>TRA|150d2a88-1431-44e6-a8ca-0bb753ab8672</vt:lpwstr>
  </property>
  <property fmtid="{D5CDD505-2E9C-101B-9397-08002B2CF9AE}" pid="30" name="OriginalLanguage_0">
    <vt:lpwstr>FR|d2afafd3-4c81-4f60-8f52-ee33f2f54ff3;EN|f2175f21-25d7-44a3-96da-d6a61b075e1b</vt:lpwstr>
  </property>
  <property fmtid="{D5CDD505-2E9C-101B-9397-08002B2CF9AE}" pid="31" name="MeetingDate">
    <vt:filetime>2018-09-19T12:00:00Z</vt:filetime>
  </property>
  <property fmtid="{D5CDD505-2E9C-101B-9397-08002B2CF9AE}" pid="32" name="TaxCatchAll">
    <vt:lpwstr>41;#SV|c2ed69e7-a339-43d7-8f22-d93680a92aa0;#40;#HR|2f555653-ed1a-4fe6-8362-9082d95989e5;#33;#EL|6d4f4d51-af9b-4650-94b4-4276bee85c91;#31;#RO|feb747a2-64cd-4299-af12-4833ddc30497;#28;#BG|1a1b3951-7821-4e6a-85f5-5673fc08bd2c;#25;#TCD|cd9d6eb6-3f4f-424a-b2d1-57c9d450eaaf;#22;#FI|87606a43-d45f-42d6-b8c9-e1a3457db5b7;#21;#CS|72f9705b-0217-4fd3-bea2-cbc7ed80e26e;#18;#ES|e7a6b05b-ae16-40c8-add9-68b64b03aeba;#16;#HU|6b229040-c589-4408-b4c1-4285663d20a8;#14;#NL|55c6556c-b4f4-441d-9acf-c498d4f838bd;#11;#SPL-CES|32d8cb1f-c9ec-4365-95c7-8385a18618ac;#8;#FR|d2afafd3-4c81-4f60-8f52-ee33f2f54ff3;#7;#TRA|150d2a88-1431-44e6-a8ca-0bb753ab8672;#6;#Final|ea5e6674-7b27-4bac-b091-73adbb394efe;#5;#Unrestricted|826e22d7-d029-4ec0-a450-0c28ff673572;#4;#EN|f2175f21-25d7-44a3-96da-d6a61b075e1b;#1;#EESC|422833ec-8d7e-4e65-8e4e-8bed07ffb729;#47;#ET|ff6c3f4c-b02c-4c3c-ab07-2c37995a7a0a</vt:lpwstr>
  </property>
  <property fmtid="{D5CDD505-2E9C-101B-9397-08002B2CF9AE}" pid="33" name="AvailableTranslations_0">
    <vt:lpwstr>FR|d2afafd3-4c81-4f60-8f52-ee33f2f54ff3;ET|ff6c3f4c-b02c-4c3c-ab07-2c37995a7a0a;NL|55c6556c-b4f4-441d-9acf-c498d4f838bd;CS|72f9705b-0217-4fd3-bea2-cbc7ed80e26e;EL|6d4f4d51-af9b-4650-94b4-4276bee85c91;HR|2f555653-ed1a-4fe6-8362-9082d95989e5;FI|87606a43-d45f-42d6-b8c9-e1a3457db5b7;BG|1a1b3951-7821-4e6a-85f5-5673fc08bd2c;SV|c2ed69e7-a339-43d7-8f22-d93680a92aa0;RO|feb747a2-64cd-4299-af12-4833ddc30497;EN|f2175f21-25d7-44a3-96da-d6a61b075e1b;ES|e7a6b05b-ae16-40c8-add9-68b64b03aeba;HU|6b229040-c589-4408-b4c1-4285663d20a8</vt:lpwstr>
  </property>
  <property fmtid="{D5CDD505-2E9C-101B-9397-08002B2CF9AE}" pid="34" name="VersionStatus">
    <vt:lpwstr>6;#Final|ea5e6674-7b27-4bac-b091-73adbb394efe</vt:lpwstr>
  </property>
  <property fmtid="{D5CDD505-2E9C-101B-9397-08002B2CF9AE}" pid="35" name="VersionStatus_0">
    <vt:lpwstr>Final|ea5e6674-7b27-4bac-b091-73adbb394efe</vt:lpwstr>
  </property>
  <property fmtid="{D5CDD505-2E9C-101B-9397-08002B2CF9AE}" pid="36" name="FicheNumber">
    <vt:i4>11458</vt:i4>
  </property>
  <property fmtid="{D5CDD505-2E9C-101B-9397-08002B2CF9AE}" pid="37" name="DocumentYear">
    <vt:i4>2018</vt:i4>
  </property>
  <property fmtid="{D5CDD505-2E9C-101B-9397-08002B2CF9AE}" pid="38" name="DocumentLanguage">
    <vt:lpwstr>13;#DA|5d49c027-8956-412b-aa16-e85a0f96ad0e</vt:lpwstr>
  </property>
</Properties>
</file>