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653B" w14:textId="48C39769" w:rsidR="00C46868" w:rsidRPr="006F2544" w:rsidRDefault="00E61762" w:rsidP="00F65EBA">
      <w:pPr>
        <w:jc w:val="center"/>
        <w:rPr>
          <w:rFonts w:ascii="Cambria" w:hAnsi="Cambria"/>
        </w:rPr>
      </w:pPr>
      <w:r>
        <w:rPr>
          <w:rFonts w:ascii="Cambria" w:hAnsi="Cambri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2E1010" wp14:editId="67D9B0D4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F005" w14:textId="77777777" w:rsidR="00E61762" w:rsidRPr="00E61762" w:rsidRDefault="00E61762" w:rsidP="00E61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E101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14:paraId="1C57F005" w14:textId="77777777" w:rsidR="00E61762" w:rsidRPr="00E61762" w:rsidRDefault="00E61762" w:rsidP="00E617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w:drawing>
          <wp:inline distT="0" distB="0" distL="0" distR="0" wp14:anchorId="3A1E2B7D" wp14:editId="5319B595">
            <wp:extent cx="882650" cy="5568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433CBB" w14:textId="77777777" w:rsidR="00C46868" w:rsidRPr="006F2544" w:rsidRDefault="002730D1" w:rsidP="00063A55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Europejski Komitet Ekonomiczno-Społeczny</w:t>
      </w:r>
    </w:p>
    <w:p w14:paraId="5D7DC9E4" w14:textId="77777777" w:rsidR="00C46868" w:rsidRPr="006F2544" w:rsidRDefault="002730D1" w:rsidP="00063A55">
      <w:pPr>
        <w:jc w:val="center"/>
        <w:rPr>
          <w:rFonts w:ascii="Cambria" w:hAnsi="Cambria"/>
          <w:b/>
          <w:i/>
          <w:sz w:val="20"/>
        </w:rPr>
      </w:pPr>
      <w:r>
        <w:rPr>
          <w:rFonts w:ascii="Arial" w:hAnsi="Arial"/>
          <w:b/>
          <w:i/>
          <w:sz w:val="20"/>
        </w:rPr>
        <w:t>Centrum Monitorowania Rozwoju Zrównoważonego</w:t>
      </w:r>
    </w:p>
    <w:p w14:paraId="3DB728B0" w14:textId="77777777" w:rsidR="001F0859" w:rsidRPr="006F2544" w:rsidRDefault="001F0859" w:rsidP="00063A55">
      <w:pPr>
        <w:rPr>
          <w:sz w:val="20"/>
        </w:rPr>
        <w:sectPr w:rsidR="001F0859" w:rsidRPr="006F2544" w:rsidSect="006F254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14:paraId="36A0C141" w14:textId="77777777" w:rsidR="00063A55" w:rsidRPr="006F2544" w:rsidRDefault="00063A55" w:rsidP="00063A55"/>
    <w:p w14:paraId="5022A1DF" w14:textId="6231D6C1" w:rsidR="00063A55" w:rsidRPr="006F2544" w:rsidRDefault="00063A55" w:rsidP="00063A55">
      <w:pPr>
        <w:jc w:val="right"/>
      </w:pPr>
      <w:r>
        <w:t>Bruksela, 20 maja 2019 r.</w:t>
      </w:r>
    </w:p>
    <w:p w14:paraId="5BA8B7E2" w14:textId="77777777" w:rsidR="00063A55" w:rsidRPr="006F2544" w:rsidRDefault="00063A55" w:rsidP="00063A55">
      <w:pPr>
        <w:jc w:val="right"/>
        <w:rPr>
          <w:rFonts w:eastAsia="Cambria"/>
          <w:u w:color="000000"/>
          <w:bdr w:val="nil"/>
          <w:lang w:eastAsia="en-GB"/>
        </w:rPr>
      </w:pPr>
    </w:p>
    <w:p w14:paraId="72A34B11" w14:textId="77777777" w:rsidR="00A82756" w:rsidRPr="006F2544" w:rsidRDefault="00541EBD" w:rsidP="00063A5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Program prac / plan działania CMRZ na lata 2018–2020</w:t>
      </w:r>
    </w:p>
    <w:p w14:paraId="7D83AF94" w14:textId="77777777" w:rsidR="006966B2" w:rsidRPr="006F2544" w:rsidRDefault="006966B2" w:rsidP="00063A55">
      <w:pPr>
        <w:rPr>
          <w:b/>
        </w:rPr>
      </w:pPr>
    </w:p>
    <w:p w14:paraId="3FF3A9E4" w14:textId="0E0D7BDD" w:rsidR="00F6257C" w:rsidRPr="006F2544" w:rsidRDefault="00F6257C" w:rsidP="00F6257C">
      <w:pPr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Celem niniejszego dokumentu jest zapewnienie ram strategicznych dla Centrum Monitorowania Rozwoju Zrównoważonego (CMRZ) na najbliższe dwa i pół </w:t>
      </w:r>
      <w:r w:rsidR="00EC527B">
        <w:rPr>
          <w:iCs/>
          <w:bdr w:val="none" w:sz="0" w:space="0" w:color="auto" w:frame="1"/>
        </w:rPr>
        <w:t xml:space="preserve">roku. Przy czym nie chodzi tu </w:t>
      </w:r>
      <w:r w:rsidR="00EC527B" w:rsidRPr="00EC527B">
        <w:t>o</w:t>
      </w:r>
      <w:r w:rsidR="00EC527B">
        <w:rPr>
          <w:lang w:val="en-US"/>
        </w:rPr>
        <w:t> </w:t>
      </w:r>
      <w:r w:rsidRPr="00EC527B">
        <w:t>wdrażanie</w:t>
      </w:r>
      <w:r>
        <w:rPr>
          <w:iCs/>
          <w:bdr w:val="none" w:sz="0" w:space="0" w:color="auto" w:frame="1"/>
        </w:rPr>
        <w:t xml:space="preserve"> każdego pojedynczego działania wymienionego w ramach różnych priorytetów prac, lecz raczej o uruchomienie procesu, który będzie mógł być kontynuowany po 2020 r.</w:t>
      </w:r>
    </w:p>
    <w:p w14:paraId="01C963AD" w14:textId="77777777" w:rsidR="00F6257C" w:rsidRPr="006F2544" w:rsidRDefault="00F6257C" w:rsidP="00063A55">
      <w:pPr>
        <w:rPr>
          <w:b/>
        </w:rPr>
      </w:pPr>
    </w:p>
    <w:p w14:paraId="2601A124" w14:textId="2FD9BDB8" w:rsidR="00387611" w:rsidRPr="006F2544" w:rsidRDefault="006D2595" w:rsidP="00063A55">
      <w:pPr>
        <w:rPr>
          <w:b/>
        </w:rPr>
      </w:pPr>
      <w:r>
        <w:rPr>
          <w:b/>
        </w:rPr>
        <w:t>WPROWADZENIE</w:t>
      </w:r>
    </w:p>
    <w:p w14:paraId="5697CA56" w14:textId="77777777" w:rsidR="00CE0E53" w:rsidRPr="006F2544" w:rsidRDefault="00CE0E53" w:rsidP="00063A55"/>
    <w:p w14:paraId="4DC1EAB9" w14:textId="3B7DBFC6" w:rsidR="00541EBD" w:rsidRPr="006F2544" w:rsidRDefault="00F90B57" w:rsidP="00063A55">
      <w:r>
        <w:t xml:space="preserve">Przyjęcie celów zrównoważonego rozwoju ONZ w 2015 r. stanowi punkt zwrotny, jeśli chodzi o sposób, w jaki społeczność międzynarodowa zadecydowała o rozwiązaniu globalnych problemów poprzez </w:t>
      </w:r>
      <w:r>
        <w:rPr>
          <w:b/>
        </w:rPr>
        <w:t>zintegrowane łączenie wymiarów ekonomicznego, środowiskowego i społecznego</w:t>
      </w:r>
      <w:r>
        <w:t>. Stwierdzono, że wieloaspektowe i złożone problemy, takie jak zmiana klimatu, dostęp do czystej wody, urbanizacja, ubóstwo, głód itd., można rozwiązać tylko przez zastosowanie podejścia holistycznego wykraczającego poza cel związany z osiągnięciem wzrostu gospodarczego za cenę strat społecznych i środowiskowych. Jest coraz bardziej oczywiste, że użycie wskaźnika PKB jako jedynej miary dobrobytu prowadzi do opracowywania strategii politycznych, które pogłębiają nierówności społeczne i degradację środowiska. Siedemnaście celów zrównoważonego rozwoju i związanych z nimi 230 wskaźników umożliwia stworzenie nowej wizji, która przyniesie korzyści wszystkim.</w:t>
      </w:r>
    </w:p>
    <w:p w14:paraId="23568B15" w14:textId="77777777" w:rsidR="001A06C7" w:rsidRPr="006F2544" w:rsidRDefault="001A06C7" w:rsidP="00063A55"/>
    <w:p w14:paraId="4A22703B" w14:textId="0A616FE3" w:rsidR="00F90B57" w:rsidRPr="006F2544" w:rsidRDefault="001A06C7" w:rsidP="00063A55">
      <w:r>
        <w:t>W tym kontekście Centrum Monitorowania Rozwoju Zrównoważonego (CMRZ) powinno skorzystać z okazji, jaką jest program działań na rzecz zrównoważonego rozwoju do roku 2030, oraz międzynarodowe i unijne zobowiązania do realizacji celów zrównoważonego rozwoju w celu promowania idei „</w:t>
      </w:r>
      <w:r>
        <w:rPr>
          <w:b/>
        </w:rPr>
        <w:t>zrównoważonego rozwoju ”</w:t>
      </w:r>
      <w:r>
        <w:t>, czyli rozwoju, który stwarza warunki dla długoterminowego dobrobytu, nadając równe znaczenie trzem filaro</w:t>
      </w:r>
      <w:r w:rsidR="00F01FAE">
        <w:t>m: gospodarczemu, społecznemu i </w:t>
      </w:r>
      <w:r>
        <w:t>środowiskowemu. Taki zrównoważony rozwój może być korzystny dla społeczeństwa obywatelskiego jako całości, w tym dla przedsiębiorstw (dużych i małych), pracowników, konsumentów, rolników, organizacji pozarządowych i obywateli w każdym wieku, a zatem „nie pozostawiłby nikogo w tyle”. Zrównoważony rozwój należy postrzegać jako sposób na utrzymanie zdolności ekosystemu do dostarczania zasobów przy jednoc</w:t>
      </w:r>
      <w:r w:rsidR="00F01FAE">
        <w:t>zesnym tworzeniu miejsc pracy i </w:t>
      </w:r>
      <w:r>
        <w:t>zapewnianiu nowych możliwości osiągania zysków gospodarczych poprzez umożliwienie zrównoważonych działań biznesowych. Już teraz istnieje wiele zaawansowanych inicjatyw społeczeństwa obywatelskiego, zwłaszcza na szczeblu lokalnym i wspólnotowym, których celem jest realizacja zintegrowanych planów i projektów w zakresie zrównoważonego rozwoju. Większość tych projektów ma określone cele polityczne, na przykład dotyczące zrównoważonej żywności czy mobilności. Liczba tych inicjatyw szybko rośnie i pokazuje, że pojawiają się nowe sposoby tworzenia wartości między sektorami, firmami, terytoriami i ludźmi. Jednocześnie przejście na gospodarkę niskoemisyjną stwarza</w:t>
      </w:r>
      <w:r>
        <w:rPr>
          <w:u w:val="single"/>
        </w:rPr>
        <w:t xml:space="preserve"> np.</w:t>
      </w:r>
      <w:r>
        <w:t xml:space="preserve"> wiele możliwości gospodarczych.</w:t>
      </w:r>
      <w:r>
        <w:rPr>
          <w:color w:val="FF0000"/>
        </w:rPr>
        <w:t xml:space="preserve"> </w:t>
      </w:r>
      <w:r>
        <w:t xml:space="preserve">W rzeczywistości przedsiębiorstwa są </w:t>
      </w:r>
      <w:r>
        <w:lastRenderedPageBreak/>
        <w:t>również bardzo potrzebne do osiągnięcia znacznej części</w:t>
      </w:r>
      <w:r w:rsidR="00F01FAE">
        <w:t xml:space="preserve"> celów zrównoważonego rozwoju i </w:t>
      </w:r>
      <w:r>
        <w:t xml:space="preserve">umożliwienia zrównoważonego rozwoju w ogólności. Ta potrzeba przechodzenia na nowe zrównoważone modele gospodarcze stanowi impuls, który CMRZ powinno pielęgnować i zwiększać w ciągu najbliższych 2,5 roku. CMRZ powinno domagać się wprowadzenia nowego rodzaju </w:t>
      </w:r>
      <w:r>
        <w:rPr>
          <w:b/>
        </w:rPr>
        <w:t>partycypacyjnego</w:t>
      </w:r>
      <w:r>
        <w:t xml:space="preserve"> </w:t>
      </w:r>
      <w:r>
        <w:rPr>
          <w:b/>
        </w:rPr>
        <w:t>sprawowania rządów</w:t>
      </w:r>
      <w:r>
        <w:t xml:space="preserve">, aby umożliwić rozwój i zwiększanie skali takich inicjatyw na szczeblu regionalnym, krajowym i europejskim. </w:t>
      </w:r>
    </w:p>
    <w:p w14:paraId="26386BD7" w14:textId="77777777" w:rsidR="00F90B57" w:rsidRPr="006F2544" w:rsidRDefault="00F90B57" w:rsidP="00063A55"/>
    <w:p w14:paraId="5D8DD9DD" w14:textId="77777777" w:rsidR="008D2D08" w:rsidRPr="006F2544" w:rsidRDefault="008D2D08" w:rsidP="00063A55"/>
    <w:p w14:paraId="25EBED6C" w14:textId="77777777" w:rsidR="00224B12" w:rsidRPr="006F2544" w:rsidRDefault="0084354B" w:rsidP="00CE4FAC">
      <w:r>
        <w:t>Następujące trzy zasady będą wyznaczać ramy działania CMRZ w następnej kadencji:</w:t>
      </w:r>
    </w:p>
    <w:p w14:paraId="66FFFE8E" w14:textId="70B41351" w:rsidR="00741015" w:rsidRPr="006F2544" w:rsidRDefault="00224B12" w:rsidP="00CE4FAC">
      <w:pPr>
        <w:pStyle w:val="ListParagraph"/>
        <w:numPr>
          <w:ilvl w:val="0"/>
          <w:numId w:val="20"/>
        </w:numPr>
      </w:pPr>
      <w:r>
        <w:t xml:space="preserve">Nowa narracja na temat zrównoważonego rozwoju </w:t>
      </w:r>
    </w:p>
    <w:p w14:paraId="05D581E1" w14:textId="77777777" w:rsidR="000955AC" w:rsidRPr="006F2544" w:rsidRDefault="000955AC" w:rsidP="00CE4FAC">
      <w:pPr>
        <w:pStyle w:val="ListParagraph"/>
        <w:numPr>
          <w:ilvl w:val="0"/>
          <w:numId w:val="20"/>
        </w:numPr>
      </w:pPr>
      <w:r>
        <w:t>Całościowe podejście do realizacji priorytetów, jak opisane poniżej,</w:t>
      </w:r>
    </w:p>
    <w:p w14:paraId="6AE4449D" w14:textId="2CA35275" w:rsidR="00224B12" w:rsidRPr="006F2544" w:rsidRDefault="00224B12" w:rsidP="00CE4FAC">
      <w:pPr>
        <w:pStyle w:val="ListParagraph"/>
        <w:numPr>
          <w:ilvl w:val="0"/>
          <w:numId w:val="20"/>
        </w:numPr>
      </w:pPr>
      <w:r>
        <w:t>Promowanie większego zaangażowania społeczeństwa o</w:t>
      </w:r>
      <w:r w:rsidR="00F01FAE">
        <w:t>bywatelskiego w kształtowanie i </w:t>
      </w:r>
      <w:r>
        <w:t>wdrażanie polityk.</w:t>
      </w:r>
    </w:p>
    <w:p w14:paraId="52293DDC" w14:textId="77777777" w:rsidR="00741015" w:rsidRPr="006F2544" w:rsidRDefault="00741015" w:rsidP="00E61762"/>
    <w:p w14:paraId="49F902E3" w14:textId="4F007E04" w:rsidR="009E7BB2" w:rsidRPr="006F2544" w:rsidRDefault="00670DD6" w:rsidP="00063A55">
      <w:r>
        <w:t>Ponadto na działania CMRZ bardzo korzystnie wpłynie fakt, że zrównoważony rozwój jest najważniejszym priorytetem nowego przewodniczącego EKES-u Luki Jahiera, zapewniającym wymierne możliwości zwiększenia widoczności i politycznego znaczenia działań EKES-u w zakresie zrównoważonego rozwoju w następnym okresie.</w:t>
      </w:r>
    </w:p>
    <w:p w14:paraId="180BD7FF" w14:textId="77777777" w:rsidR="00670DD6" w:rsidRPr="006F2544" w:rsidRDefault="00670DD6" w:rsidP="00063A55"/>
    <w:p w14:paraId="16A5D4EE" w14:textId="46F09F1E" w:rsidR="00670DD6" w:rsidRPr="006F2544" w:rsidRDefault="00670DD6" w:rsidP="00670DD6">
      <w:pPr>
        <w:pStyle w:val="ListParagraph"/>
        <w:ind w:left="0"/>
      </w:pPr>
      <w:r>
        <w:t xml:space="preserve">W perspektywie średnioterminowej działania CMRZ można by realizować w wymiarze wewnętrznym i zewnętrznym w trosce o to, by koncepcje promujące szybsze i skuteczniejszego wdrażanie celów zrównoważonego rozwoju były uwzględniane także w ramach struktury EKES-u. Na początku 2019 r. członkowie CMRZ przedyskutują środki wewnętrzne niezbędne do uwzględniania celów zrównoważonego rozwoju na poziomie całego EKES-u, by zapewnić ich spójność z pracami zainteresowanych organów EKES-u (w tym z jego Prezydium) oraz ich akceptację. </w:t>
      </w:r>
    </w:p>
    <w:p w14:paraId="70F0A869" w14:textId="77777777" w:rsidR="007802F8" w:rsidRPr="006F2544" w:rsidRDefault="007802F8" w:rsidP="00063A55"/>
    <w:p w14:paraId="5B79BE34" w14:textId="77777777" w:rsidR="006D2595" w:rsidRPr="006F2544" w:rsidRDefault="00377891" w:rsidP="00063A55">
      <w:pPr>
        <w:rPr>
          <w:b/>
          <w:u w:val="single"/>
        </w:rPr>
      </w:pPr>
      <w:r>
        <w:rPr>
          <w:b/>
        </w:rPr>
        <w:t>PROGRAM PRAC</w:t>
      </w:r>
    </w:p>
    <w:p w14:paraId="6882A6AE" w14:textId="77777777" w:rsidR="006D2595" w:rsidRPr="006F2544" w:rsidRDefault="006D2595" w:rsidP="00063A55"/>
    <w:p w14:paraId="77416096" w14:textId="77777777" w:rsidR="006D2595" w:rsidRPr="006F2544" w:rsidRDefault="006D2595" w:rsidP="0006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Cel ogólny: Ustanowienie celów zrównoważonego rozwoju jako ogólnej strategii UE</w:t>
      </w:r>
    </w:p>
    <w:p w14:paraId="2223529B" w14:textId="77777777" w:rsidR="006D2595" w:rsidRPr="006F2544" w:rsidRDefault="006D2595" w:rsidP="00063A55"/>
    <w:p w14:paraId="4024BE61" w14:textId="5511AE25" w:rsidR="00207A61" w:rsidRPr="006F2544" w:rsidRDefault="00207A61" w:rsidP="00063A55">
      <w:r>
        <w:t xml:space="preserve">W ramach swojego mandatu na lata 2018–2020 CMRZ będzie nadal dążyć do efektywnego wdrożenia celów zrównoważonego rozwoju oraz w konsekwencji do przyjęcia solidnej i ambitnej strategii UE na rzecz zrównoważonego rozwoju. Podjęte zostaną istotne wysiłki na rzecz promowania tych dwóch zasadniczych celów poprzez zacieśnienie współpracy między sekcjami, CCMI i centrami monitorowania. Uwzględnianie w ramach szerokiego zakresu Agendy ONZ na rzecz zrównoważonego rozwoju 2030 aktualnych i ważnych kwestii politycznych, takich jak zmniejszenie ubóstwa i nierówności, migracja, bezpieczeństwo, handel, innowacje, inwestycje, ochrona środowiska, zwłaszcza różnorodności biologicznej itp., pozwoli lepiej zorientować się w możliwościach rozwiązania pilnych kwestii politycznych za pomocą argumentów i podejść związanych ze zrównoważonym rozwojem. CMRZ powinna to zrobić poprzez skoncentrowanie swoich działań na obszarach, w których EKES może w sensowny i efektywny sposób odgrywać rolę rzecznika społeczeństwa obywatelskiego. Powinno to zapewnić synergetyczne uwzględnienie w ramach różnych priorytetów prac wymiaru gospodarczego, społecznego, środowiskowego i kulturowego. </w:t>
      </w:r>
    </w:p>
    <w:p w14:paraId="5CA8604F" w14:textId="77777777" w:rsidR="00B941F1" w:rsidRPr="006F2544" w:rsidRDefault="00B941F1" w:rsidP="00063A55"/>
    <w:p w14:paraId="4283A512" w14:textId="77777777" w:rsidR="00B941F1" w:rsidRPr="006F2544" w:rsidRDefault="009031AB" w:rsidP="0006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Priorytet prac nr 1: Agenda na rzecz zrównoważonego rozwoju </w:t>
      </w:r>
      <w:r>
        <w:rPr>
          <w:b/>
        </w:rPr>
        <w:noBreakHyphen/>
        <w:t xml:space="preserve"> wezwanie do przyjęcia nadrzędnej strategii zrównoważonego rozwoju dla UE</w:t>
      </w:r>
    </w:p>
    <w:p w14:paraId="4F606C5E" w14:textId="77777777" w:rsidR="00B941F1" w:rsidRPr="006F2544" w:rsidRDefault="00B941F1" w:rsidP="00063A55">
      <w:pPr>
        <w:rPr>
          <w:b/>
        </w:rPr>
      </w:pPr>
    </w:p>
    <w:p w14:paraId="412A4144" w14:textId="77777777" w:rsidR="00DC41C2" w:rsidRPr="006F2544" w:rsidRDefault="00B941F1" w:rsidP="00063A55">
      <w:r>
        <w:rPr>
          <w:b/>
          <w:i/>
        </w:rPr>
        <w:t>Kontekst</w:t>
      </w:r>
    </w:p>
    <w:p w14:paraId="0D16B5DB" w14:textId="77777777" w:rsidR="00A6790D" w:rsidRPr="006F2544" w:rsidRDefault="00A6790D" w:rsidP="00CE4FAC">
      <w:pPr>
        <w:pStyle w:val="ListParagraph"/>
        <w:numPr>
          <w:ilvl w:val="0"/>
          <w:numId w:val="9"/>
        </w:numPr>
      </w:pPr>
      <w:r>
        <w:t>Dokument Komisji otwierający debatę „W kierunku zrównoważonej Europy do 2030 r.”, która ma się odbyć pod koniec 2018 r.</w:t>
      </w:r>
    </w:p>
    <w:p w14:paraId="3B4B5878" w14:textId="77777777" w:rsidR="00B941F1" w:rsidRPr="006F2544" w:rsidRDefault="00B941F1" w:rsidP="00CE4FAC">
      <w:pPr>
        <w:pStyle w:val="ListParagraph"/>
        <w:numPr>
          <w:ilvl w:val="0"/>
          <w:numId w:val="9"/>
        </w:numPr>
      </w:pPr>
      <w:r>
        <w:t xml:space="preserve">Unijna wielostronna platforma ds. zrównoważonego rozwoju. </w:t>
      </w:r>
    </w:p>
    <w:p w14:paraId="548DB920" w14:textId="77777777" w:rsidR="00A6790D" w:rsidRPr="006F2544" w:rsidRDefault="00A6790D" w:rsidP="00CE4FAC">
      <w:pPr>
        <w:pStyle w:val="ListParagraph"/>
        <w:numPr>
          <w:ilvl w:val="0"/>
          <w:numId w:val="9"/>
        </w:numPr>
      </w:pPr>
      <w:r>
        <w:t>Biała księga Komisji w sprawie przyszłości Europy – apel społeczeństwa obywatelskiego o szósty scenariusz, skoncentrowany na zrównoważonym rozwoju.</w:t>
      </w:r>
    </w:p>
    <w:p w14:paraId="5C03F00B" w14:textId="77777777" w:rsidR="00782F3B" w:rsidRPr="006F2544" w:rsidRDefault="00A6790D" w:rsidP="00CE4FAC">
      <w:pPr>
        <w:pStyle w:val="ListParagraph"/>
        <w:numPr>
          <w:ilvl w:val="0"/>
          <w:numId w:val="9"/>
        </w:numPr>
      </w:pPr>
      <w:r>
        <w:t xml:space="preserve">Forum polityczne wysokiego szczebla ONZ w sprawie zrównoważonego rozwoju, skoncentrowane na ograniczonym zestawie celów zrównoważonego rozwoju w danym roku. </w:t>
      </w:r>
    </w:p>
    <w:p w14:paraId="73B1D51E" w14:textId="560DCCEE" w:rsidR="002860DA" w:rsidRPr="006F2544" w:rsidRDefault="00AA489B" w:rsidP="00CE4FAC">
      <w:pPr>
        <w:pStyle w:val="ListParagraph"/>
        <w:numPr>
          <w:ilvl w:val="0"/>
          <w:numId w:val="9"/>
        </w:numPr>
      </w:pPr>
      <w:r>
        <w:t>Opinia EKES-u SC/047 „Transformacja w kierunku bardziej zrównoważonej przyszłości Europy”</w:t>
      </w:r>
    </w:p>
    <w:p w14:paraId="0849DE4E" w14:textId="77777777" w:rsidR="00B941F1" w:rsidRPr="006F2544" w:rsidRDefault="00B941F1" w:rsidP="00063A55">
      <w:pPr>
        <w:rPr>
          <w:b/>
        </w:rPr>
      </w:pPr>
    </w:p>
    <w:p w14:paraId="14E21A4D" w14:textId="77777777" w:rsidR="00063A55" w:rsidRPr="006F2544" w:rsidRDefault="00223460" w:rsidP="002F7D94">
      <w:pPr>
        <w:keepNext/>
        <w:keepLines/>
      </w:pPr>
      <w:r>
        <w:rPr>
          <w:b/>
          <w:i/>
        </w:rPr>
        <w:t>Proponowane działania</w:t>
      </w:r>
    </w:p>
    <w:p w14:paraId="4117A5C8" w14:textId="77777777" w:rsidR="00215E4C" w:rsidRPr="006F2544" w:rsidRDefault="003A123A" w:rsidP="00CE4FAC">
      <w:pPr>
        <w:pStyle w:val="ListParagraph"/>
        <w:keepNext/>
        <w:keepLines/>
        <w:numPr>
          <w:ilvl w:val="0"/>
          <w:numId w:val="9"/>
        </w:numPr>
      </w:pPr>
      <w:r>
        <w:t>Na szczeblu UE – wywarcie wpływu na treść dokumentu Komisji Europejskiej otwierającego debatę przez uczestnictwo w wielostronnej platformie.</w:t>
      </w:r>
      <w:r>
        <w:rPr>
          <w:color w:val="000000"/>
        </w:rPr>
        <w:t xml:space="preserve"> Kontynuowanie proaktywnych działań przedstawiciela EKES-u w ramach wielostronnej platformy.</w:t>
      </w:r>
    </w:p>
    <w:p w14:paraId="433FD122" w14:textId="77777777" w:rsidR="00196DC9" w:rsidRPr="006F2544" w:rsidRDefault="00F4276A" w:rsidP="00CE4FAC">
      <w:pPr>
        <w:pStyle w:val="ListParagraph"/>
        <w:numPr>
          <w:ilvl w:val="0"/>
          <w:numId w:val="9"/>
        </w:numPr>
      </w:pPr>
      <w:r>
        <w:t xml:space="preserve">Promowanie treści </w:t>
      </w:r>
      <w:r>
        <w:rPr>
          <w:b/>
        </w:rPr>
        <w:t>opinii EKES-u o dokumencie otwierającym debatę</w:t>
      </w:r>
      <w:r>
        <w:t xml:space="preserve"> na szczeblu instytucjonalnym (ze szczególnym uwzględnieniem nowego PE) i na szczeblu społeczeństwa obywatelskiego. Stosowanie określonych podejść do działań promocyjnych na szczeblu państw członkowskich UE.</w:t>
      </w:r>
    </w:p>
    <w:p w14:paraId="0246D946" w14:textId="385A12B0" w:rsidR="00A93AAC" w:rsidRPr="006F2544" w:rsidRDefault="00A93AAC" w:rsidP="00CE4FAC">
      <w:pPr>
        <w:pStyle w:val="ListParagraph"/>
        <w:numPr>
          <w:ilvl w:val="0"/>
          <w:numId w:val="9"/>
        </w:numPr>
      </w:pPr>
      <w:r>
        <w:t xml:space="preserve">Wspieranie podmiotów niepaństwowych i społeczeństwa obywatelskiego w przyjmowaniu i wdrażaniu strategii zrównoważonego rozwoju z myślą o osiągnięciu celów Agendy ONZ na rzecz zrównoważonego rozwoju 2030. </w:t>
      </w:r>
    </w:p>
    <w:p w14:paraId="730A16B0" w14:textId="77777777" w:rsidR="00A93AAC" w:rsidRPr="006F2544" w:rsidRDefault="00A93AAC" w:rsidP="00CE4FAC">
      <w:pPr>
        <w:pStyle w:val="ListParagraph"/>
        <w:numPr>
          <w:ilvl w:val="0"/>
          <w:numId w:val="9"/>
        </w:numPr>
      </w:pPr>
      <w:r>
        <w:t>Prezentowanie każdego roku na forum politycznym wysokiego szczebla przykładów skutecznego wdrożenia celów zrównoważonego rozwoju w Europie.</w:t>
      </w:r>
    </w:p>
    <w:p w14:paraId="651549FC" w14:textId="77777777" w:rsidR="00215E4C" w:rsidRPr="006F2544" w:rsidRDefault="00B638CC" w:rsidP="00CE4FAC">
      <w:pPr>
        <w:pStyle w:val="ListParagraph"/>
        <w:numPr>
          <w:ilvl w:val="0"/>
          <w:numId w:val="9"/>
        </w:numPr>
      </w:pPr>
      <w:r>
        <w:t>Zacieśnianie stosunków z europejskimi sieciami i organizacjami prowadzącymi aktywne działania w dziedzinie zrównoważonego rozwoju.</w:t>
      </w:r>
    </w:p>
    <w:p w14:paraId="7CC43677" w14:textId="77777777" w:rsidR="00F369D4" w:rsidRPr="006F2544" w:rsidRDefault="00F369D4" w:rsidP="00063A55"/>
    <w:p w14:paraId="0E6A5EFB" w14:textId="77777777" w:rsidR="00DD1B6A" w:rsidRPr="006F2544" w:rsidRDefault="00DD1B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Priorytet prac nr 2: Monitorowanie celów zrównoważonego rozwoju </w:t>
      </w:r>
    </w:p>
    <w:p w14:paraId="21CA7E4E" w14:textId="77777777" w:rsidR="00DD1B6A" w:rsidRPr="006F2544" w:rsidRDefault="00DD1B6A" w:rsidP="004E3C77">
      <w:pPr>
        <w:keepNext/>
        <w:rPr>
          <w:bdr w:val="single" w:sz="4" w:space="0" w:color="auto"/>
        </w:rPr>
      </w:pPr>
    </w:p>
    <w:p w14:paraId="705C35DF" w14:textId="77777777" w:rsidR="00DD1B6A" w:rsidRPr="006F2544" w:rsidRDefault="00DD1B6A" w:rsidP="00063A55">
      <w:pPr>
        <w:rPr>
          <w:b/>
          <w:i/>
        </w:rPr>
      </w:pPr>
      <w:r>
        <w:rPr>
          <w:b/>
          <w:i/>
        </w:rPr>
        <w:t>Kontekst</w:t>
      </w:r>
    </w:p>
    <w:p w14:paraId="1C8BAD6A" w14:textId="77777777" w:rsidR="00F3250E" w:rsidRPr="006F2544" w:rsidRDefault="00F3250E" w:rsidP="00CE4FAC">
      <w:pPr>
        <w:pStyle w:val="ListParagraph"/>
        <w:numPr>
          <w:ilvl w:val="0"/>
          <w:numId w:val="19"/>
        </w:numPr>
        <w:ind w:left="357" w:hanging="357"/>
      </w:pPr>
      <w:r>
        <w:t>Agenda na rzecz zrównoważonego rozwoju 2030 zmienia sposób postrzegania metod monitorowania „rozwoju”; obserwuje się zwiększoną akceptację stosowania zestawów różnych wskaźników ilościowych i jakościowych, otwierającą nowe możliwości „wyjścia poza PKB”.</w:t>
      </w:r>
    </w:p>
    <w:p w14:paraId="358889A9" w14:textId="77777777" w:rsidR="00DD1B6A" w:rsidRPr="006F2544" w:rsidRDefault="00DD1B6A" w:rsidP="00CE4FAC">
      <w:pPr>
        <w:pStyle w:val="ListParagraph"/>
        <w:numPr>
          <w:ilvl w:val="0"/>
          <w:numId w:val="19"/>
        </w:numPr>
        <w:ind w:left="357" w:hanging="357"/>
      </w:pPr>
      <w:r>
        <w:t xml:space="preserve">Sprawozdanie Eurostatu z 2017 r. pt. „Sustainable Development in the European Union — Monitoring report on progress towards the SDGs in an EU context” [Zrównoważony rozwój w Unii Europejskiej – sprawozdanie monitorujące z postępów w zakresie wdrożenia celów zrównoważonego rozwoju w kontekście UE] oraz przegląd zestawu wskaźników w zakresie celów zrównoważonego rozwoju opracowany przez Eurostat w 2018 r. </w:t>
      </w:r>
    </w:p>
    <w:p w14:paraId="5215DD2E" w14:textId="77777777" w:rsidR="00DD1B6A" w:rsidRPr="006F2544" w:rsidRDefault="006266AC" w:rsidP="00CE4FAC">
      <w:pPr>
        <w:pStyle w:val="ListParagraph"/>
        <w:numPr>
          <w:ilvl w:val="0"/>
          <w:numId w:val="19"/>
        </w:numPr>
        <w:ind w:left="357" w:hanging="357"/>
      </w:pPr>
      <w:r>
        <w:t>Rosnące przekonanie, że bez odpowiedniego monitorowania nie można zapewnić odpowiedniego wdrożenia celów zrównoważonego rozwoju.</w:t>
      </w:r>
    </w:p>
    <w:p w14:paraId="2BD2FDD0" w14:textId="77777777" w:rsidR="00641E04" w:rsidRPr="006F2544" w:rsidRDefault="00641E04" w:rsidP="00CE4FAC">
      <w:pPr>
        <w:pStyle w:val="ListParagraph"/>
        <w:numPr>
          <w:ilvl w:val="0"/>
          <w:numId w:val="19"/>
        </w:numPr>
        <w:ind w:left="357" w:hanging="357"/>
      </w:pPr>
      <w:r>
        <w:t>Ponowny wzrost zainteresowania podejściem polegającym na „wyjściu poza PKB”.</w:t>
      </w:r>
    </w:p>
    <w:p w14:paraId="585FCEB5" w14:textId="3F3AFD3D" w:rsidR="00DD1B6A" w:rsidRDefault="00DD1B6A" w:rsidP="00063A55"/>
    <w:p w14:paraId="5511DFE1" w14:textId="77777777" w:rsidR="00940EBF" w:rsidRPr="006F2544" w:rsidRDefault="00940EBF" w:rsidP="00063A55">
      <w:bookmarkStart w:id="0" w:name="_GoBack"/>
      <w:bookmarkEnd w:id="0"/>
    </w:p>
    <w:p w14:paraId="6E89CDCB" w14:textId="77777777" w:rsidR="00DD1B6A" w:rsidRPr="006F2544" w:rsidRDefault="00DD1B6A" w:rsidP="00063A55">
      <w:pPr>
        <w:rPr>
          <w:b/>
          <w:i/>
        </w:rPr>
      </w:pPr>
      <w:r>
        <w:rPr>
          <w:b/>
          <w:i/>
        </w:rPr>
        <w:lastRenderedPageBreak/>
        <w:t>Proponowane działania</w:t>
      </w:r>
    </w:p>
    <w:p w14:paraId="37A8CEFF" w14:textId="26B85981" w:rsidR="00DD1B6A" w:rsidRPr="006F2544" w:rsidRDefault="00DD1B6A" w:rsidP="00CE4FAC">
      <w:pPr>
        <w:pStyle w:val="ListParagraph"/>
        <w:numPr>
          <w:ilvl w:val="0"/>
          <w:numId w:val="19"/>
        </w:numPr>
        <w:ind w:left="357" w:hanging="357"/>
      </w:pPr>
      <w:r>
        <w:t>Opinia NAT/737 „Odpowiednie wskaźniki do oceny celów zrównoważonego rozwoju – wkład społeczeństwa obywatelskiego”.</w:t>
      </w:r>
    </w:p>
    <w:p w14:paraId="6219D5D7" w14:textId="77777777" w:rsidR="00DD1B6A" w:rsidRPr="006F2544" w:rsidRDefault="00DD1B6A" w:rsidP="00CE4FAC">
      <w:pPr>
        <w:pStyle w:val="ListParagraph"/>
        <w:numPr>
          <w:ilvl w:val="0"/>
          <w:numId w:val="19"/>
        </w:numPr>
        <w:ind w:left="357" w:hanging="357"/>
      </w:pPr>
      <w:r>
        <w:t>Badanie EKES-u pt. „Exposing EU policy gaps to address the Sustainable Development Goals” [Ujawnienie luk w polityce UE w celu zajęcia się kwestią celów zrównoważonego rozwoju].</w:t>
      </w:r>
    </w:p>
    <w:p w14:paraId="142D84B5" w14:textId="77777777" w:rsidR="00897FA0" w:rsidRPr="006F2544" w:rsidRDefault="00897FA0" w:rsidP="00CE4FAC">
      <w:pPr>
        <w:pStyle w:val="ListParagraph"/>
        <w:numPr>
          <w:ilvl w:val="0"/>
          <w:numId w:val="19"/>
        </w:numPr>
        <w:ind w:left="357" w:hanging="357"/>
      </w:pPr>
      <w:r>
        <w:rPr>
          <w:color w:val="000000"/>
        </w:rPr>
        <w:t>Promowanie stosowania wskaźników jakościowych opracowanych przez społeczeństwo obywatelskie w ramach oceny polityki w celu pomiaru postępów dotyczących aktualnych kwestii politycznych na podstawie stosownych celów zrównoważonego rozwoju.</w:t>
      </w:r>
    </w:p>
    <w:p w14:paraId="3148C0F0" w14:textId="77777777" w:rsidR="00B638CC" w:rsidRPr="006F2544" w:rsidRDefault="00897FA0" w:rsidP="00CE4FAC">
      <w:pPr>
        <w:pStyle w:val="ListParagraph"/>
        <w:numPr>
          <w:ilvl w:val="0"/>
          <w:numId w:val="19"/>
        </w:numPr>
        <w:ind w:left="357" w:hanging="357"/>
      </w:pPr>
      <w:r>
        <w:rPr>
          <w:color w:val="000000"/>
        </w:rPr>
        <w:t>Wspieranie rozwoju synergii z procesem monitorowania europejskiego semestru.</w:t>
      </w:r>
    </w:p>
    <w:p w14:paraId="4F1E7EF8" w14:textId="4B838CFE" w:rsidR="00B638CC" w:rsidRPr="006F2544" w:rsidRDefault="00C0625D" w:rsidP="00CE4FAC">
      <w:pPr>
        <w:pStyle w:val="ListParagraph"/>
        <w:numPr>
          <w:ilvl w:val="0"/>
          <w:numId w:val="19"/>
        </w:numPr>
        <w:ind w:left="357" w:hanging="357"/>
      </w:pPr>
      <w:r>
        <w:t xml:space="preserve">Dalsza refleksja nad praktycznymi sposobami „wyjścia poza PKB”, która w równym stopniu doceniałaby rozwój gospodarczy, włączenie społeczne i ochronę środowiska. Mogłoby to przybrać formę zorganizowania wydarzenia w 2019 r.(na przykład we współpracy z Komisją), dziesięć lat po opublikowaniu komunikatu KE pt. „Wyjść poza PKB”. </w:t>
      </w:r>
    </w:p>
    <w:p w14:paraId="5FF9CA61" w14:textId="77777777" w:rsidR="00DD1B6A" w:rsidRPr="006F2544" w:rsidRDefault="00DD1B6A" w:rsidP="00063A5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14:paraId="0CD5E6B9" w14:textId="233AA72B" w:rsidR="00782187" w:rsidRPr="006F2544" w:rsidRDefault="00223460" w:rsidP="00063A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Priorytet prac nr 3: W kierunku bardziej zrównoważonych modeli gospodarczych </w:t>
      </w:r>
    </w:p>
    <w:p w14:paraId="050107E0" w14:textId="77777777" w:rsidR="00782187" w:rsidRPr="006F2544" w:rsidRDefault="00782187" w:rsidP="00063A55">
      <w:pPr>
        <w:rPr>
          <w:bdr w:val="single" w:sz="4" w:space="0" w:color="auto"/>
        </w:rPr>
      </w:pPr>
    </w:p>
    <w:p w14:paraId="1397C67D" w14:textId="77777777" w:rsidR="0015780A" w:rsidRPr="006F2544" w:rsidRDefault="00782187" w:rsidP="00063A55">
      <w:pPr>
        <w:rPr>
          <w:b/>
          <w:i/>
        </w:rPr>
      </w:pPr>
      <w:r>
        <w:rPr>
          <w:b/>
          <w:i/>
        </w:rPr>
        <w:t>Kontekst</w:t>
      </w:r>
    </w:p>
    <w:p w14:paraId="40A66008" w14:textId="59706E85" w:rsidR="00512567" w:rsidRPr="006F2544" w:rsidRDefault="00BF0985" w:rsidP="00CE4FAC">
      <w:pPr>
        <w:pStyle w:val="ListParagraph"/>
        <w:numPr>
          <w:ilvl w:val="0"/>
          <w:numId w:val="9"/>
        </w:numPr>
      </w:pPr>
      <w:r>
        <w:t xml:space="preserve">Rosnące znaczenie cyfryzacji oraz nowych i wschodzących modeli gospodarczych (gospodarka niskoemisyjna, gospodarka oparta na funkcjonalności, gospodarka o obiegu zamkniętym, gospodarka dzielenia się). </w:t>
      </w:r>
    </w:p>
    <w:p w14:paraId="49BEFCB4" w14:textId="7F551EEE" w:rsidR="00782187" w:rsidRPr="006F2544" w:rsidRDefault="00051E8C" w:rsidP="00CE4FAC">
      <w:pPr>
        <w:pStyle w:val="ListParagraph"/>
        <w:numPr>
          <w:ilvl w:val="0"/>
          <w:numId w:val="9"/>
        </w:numPr>
      </w:pPr>
      <w:r>
        <w:t>Nowe wzorce gospodarki społecznej, w coraz większym stopniu</w:t>
      </w:r>
      <w:r w:rsidR="00F01FAE">
        <w:t xml:space="preserve"> łączące gospodarkę społeczną z </w:t>
      </w:r>
      <w:r>
        <w:t>obecnym modelem gospodarczym.</w:t>
      </w:r>
    </w:p>
    <w:p w14:paraId="3EF17183" w14:textId="77777777" w:rsidR="00782187" w:rsidRPr="006F2544" w:rsidRDefault="00782187" w:rsidP="00CE4FAC">
      <w:pPr>
        <w:pStyle w:val="ListParagraph"/>
        <w:numPr>
          <w:ilvl w:val="0"/>
          <w:numId w:val="9"/>
        </w:numPr>
      </w:pPr>
      <w:r>
        <w:t>Pojawienie się nowych praktycznych podejść do stosowania takich modeli na poziomie lokalnym i sektorowym.</w:t>
      </w:r>
    </w:p>
    <w:p w14:paraId="4F9C8C8D" w14:textId="77777777" w:rsidR="00782187" w:rsidRPr="006F2544" w:rsidRDefault="00782187" w:rsidP="00CE4FAC">
      <w:pPr>
        <w:pStyle w:val="ListParagraph"/>
        <w:numPr>
          <w:ilvl w:val="0"/>
          <w:numId w:val="9"/>
        </w:numPr>
      </w:pPr>
      <w:r>
        <w:t>Wdrożenie planu działania UE dotyczącego gospodarki o obiegu zamkniętym oraz związanych z nim przepisów (np. strategia w dziedzinie tworzyw sztucznych, przepisy dotyczące produktów jednorazowego użytku z tworzyw sztucznych, ramy monitorowania itp.).</w:t>
      </w:r>
    </w:p>
    <w:p w14:paraId="43C8CE85" w14:textId="77777777" w:rsidR="00782187" w:rsidRPr="006F2544" w:rsidRDefault="00782187" w:rsidP="00CE4FAC">
      <w:pPr>
        <w:pStyle w:val="ListParagraph"/>
        <w:numPr>
          <w:ilvl w:val="0"/>
          <w:numId w:val="9"/>
        </w:numPr>
      </w:pPr>
      <w:r>
        <w:t>Europejska platforma zainteresowanych stron gospodarki o obiegu zamkniętym (ECESP), wspólna inicjatywa EKES-u i KE oraz powiązany z tym plan prac grupy koordynacyjnej ECESP.</w:t>
      </w:r>
    </w:p>
    <w:p w14:paraId="09A7A13B" w14:textId="77777777" w:rsidR="009341AA" w:rsidRPr="006F2544" w:rsidRDefault="009341AA" w:rsidP="00CE4FAC">
      <w:pPr>
        <w:pStyle w:val="ListParagraph"/>
        <w:numPr>
          <w:ilvl w:val="0"/>
          <w:numId w:val="9"/>
        </w:numPr>
      </w:pPr>
      <w:r>
        <w:t>Następne wieloletnie ramy finansowe (2021–2027), które są obecnie przedmiotem dyskusji, muszą umożliwić UE osiągnięcie jej celów oraz przyczynić się do przejścia na gospodarkę niskoemisyjną do 2050 r.</w:t>
      </w:r>
    </w:p>
    <w:p w14:paraId="7EE110E6" w14:textId="77777777" w:rsidR="00D8165C" w:rsidRPr="006F2544" w:rsidRDefault="00D8165C" w:rsidP="00CE4FAC">
      <w:pPr>
        <w:pStyle w:val="ListParagraph"/>
        <w:numPr>
          <w:ilvl w:val="0"/>
          <w:numId w:val="9"/>
        </w:numPr>
      </w:pPr>
      <w:r>
        <w:t>Komunikat KE z 2017 r.: „Inwestowanie w inteligentny, innowacyjny i zrównoważony przemysł – Odnowiona strategia dotycząca polityki przemysłowej UE”</w:t>
      </w:r>
    </w:p>
    <w:p w14:paraId="1B5237CD" w14:textId="77777777" w:rsidR="00ED5F3C" w:rsidRPr="006F2544" w:rsidRDefault="00B638CC" w:rsidP="00CE4FAC">
      <w:pPr>
        <w:pStyle w:val="ListParagraph"/>
        <w:numPr>
          <w:ilvl w:val="0"/>
          <w:numId w:val="9"/>
        </w:numPr>
      </w:pPr>
      <w:r>
        <w:t>Europejski filar praw socjalnych (EPSR).</w:t>
      </w:r>
    </w:p>
    <w:p w14:paraId="3C336AB2" w14:textId="77777777" w:rsidR="00782187" w:rsidRPr="006F2544" w:rsidRDefault="00782187" w:rsidP="00063A55">
      <w:pPr>
        <w:rPr>
          <w:b/>
        </w:rPr>
      </w:pPr>
    </w:p>
    <w:p w14:paraId="1B91037C" w14:textId="0EE9D69C" w:rsidR="00782187" w:rsidRPr="006F2544" w:rsidRDefault="00782187" w:rsidP="00063A55">
      <w:pPr>
        <w:rPr>
          <w:b/>
          <w:i/>
        </w:rPr>
      </w:pPr>
      <w:r>
        <w:rPr>
          <w:b/>
          <w:i/>
        </w:rPr>
        <w:t>Proponowane działania</w:t>
      </w:r>
    </w:p>
    <w:p w14:paraId="4CBA01F4" w14:textId="77777777" w:rsidR="00681A85" w:rsidRPr="006F2544" w:rsidRDefault="00681A85" w:rsidP="00D615B0">
      <w:pPr>
        <w:pStyle w:val="ListParagraph"/>
        <w:ind w:left="0"/>
      </w:pPr>
    </w:p>
    <w:p w14:paraId="253F7734" w14:textId="68D42DFD" w:rsidR="00782187" w:rsidRPr="006F2544" w:rsidRDefault="00A3226C" w:rsidP="00CE4FAC">
      <w:pPr>
        <w:pStyle w:val="ListParagraph"/>
        <w:numPr>
          <w:ilvl w:val="0"/>
          <w:numId w:val="8"/>
        </w:numPr>
        <w:rPr>
          <w:strike/>
        </w:rPr>
      </w:pPr>
      <w:r>
        <w:t xml:space="preserve">Promowanie konkretnych zaleceń zawartych we właściwych opiniach EKES-u w celu wdrożenia nowych zrównoważonych modeli biznesowych </w:t>
      </w:r>
    </w:p>
    <w:p w14:paraId="0ECCC07D" w14:textId="0F3F8230" w:rsidR="0001453F" w:rsidRPr="006F2544" w:rsidRDefault="00E66DE6" w:rsidP="00CE4FAC">
      <w:pPr>
        <w:pStyle w:val="ListParagraph"/>
        <w:numPr>
          <w:ilvl w:val="0"/>
          <w:numId w:val="8"/>
        </w:numPr>
      </w:pPr>
      <w:r>
        <w:t xml:space="preserve">Współpraca z sekcjami mająca na celu uwzględnienie gospodarki społecznej w obecnych modelach gospodarczych. </w:t>
      </w:r>
    </w:p>
    <w:p w14:paraId="60013088" w14:textId="41494F76" w:rsidR="002E499E" w:rsidRPr="006F2544" w:rsidRDefault="00E66DE6" w:rsidP="00CE4FAC">
      <w:pPr>
        <w:pStyle w:val="ListParagraph"/>
        <w:numPr>
          <w:ilvl w:val="0"/>
          <w:numId w:val="8"/>
        </w:numPr>
      </w:pPr>
      <w:r>
        <w:t>Współpraca z sekcjami i CCMI w celu propagowania zaleceń EKES-u dotyczących nowej, zrównoważonej strategii w dziedzinie polityki przemysłowej.</w:t>
      </w:r>
    </w:p>
    <w:p w14:paraId="28AFC94B" w14:textId="68B3BEB0" w:rsidR="00034939" w:rsidRPr="006F2544" w:rsidRDefault="00E66DE6" w:rsidP="00CE4FAC">
      <w:pPr>
        <w:pStyle w:val="ListParagraph"/>
        <w:numPr>
          <w:ilvl w:val="0"/>
          <w:numId w:val="8"/>
        </w:numPr>
      </w:pPr>
      <w:r>
        <w:lastRenderedPageBreak/>
        <w:t>Współpraca z sekcjami na rzecz zazieleniania europejskiego semestru, wieloletnich ram finansowych oraz poszczególnych instrumentów finansowych UE.</w:t>
      </w:r>
    </w:p>
    <w:p w14:paraId="7ACA0DB2" w14:textId="77777777" w:rsidR="002E2CBA" w:rsidRPr="006F2544" w:rsidRDefault="002E2CBA" w:rsidP="00CE4FAC">
      <w:pPr>
        <w:pStyle w:val="ListParagraph"/>
        <w:numPr>
          <w:ilvl w:val="0"/>
          <w:numId w:val="8"/>
        </w:numPr>
      </w:pPr>
      <w:r>
        <w:t>Bardziej systematyczne promowanie ECESP, zwłaszcza w kontekście wdrażania celów zrównoważonego rozwoju.</w:t>
      </w:r>
    </w:p>
    <w:p w14:paraId="347C627F" w14:textId="77777777" w:rsidR="00782187" w:rsidRPr="006F2544" w:rsidRDefault="0057339F" w:rsidP="00CE4FAC">
      <w:pPr>
        <w:pStyle w:val="ListParagraph"/>
        <w:numPr>
          <w:ilvl w:val="0"/>
          <w:numId w:val="8"/>
        </w:numPr>
      </w:pPr>
      <w:r>
        <w:t xml:space="preserve">W ramach platformy na rzecz gospodarki o obiegu zamkniętym – przyspieszenie działań przez zastosowanie nowych środków umożliwiających docieranie do słabiej rozwiniętych sektorów, np. przez badanie określające możliwości i wyzwania dotyczące konkretnych sektorów gospodarki, takich jak sektor dóbr szybko zbywalnych, z punktu widzenia pracowników, łańcucha dostaw i konsumentów. </w:t>
      </w:r>
    </w:p>
    <w:p w14:paraId="22DB6D24" w14:textId="77777777" w:rsidR="00782187" w:rsidRPr="006F2544" w:rsidRDefault="00782187" w:rsidP="00CE4FAC">
      <w:pPr>
        <w:pStyle w:val="ListParagraph"/>
        <w:numPr>
          <w:ilvl w:val="0"/>
          <w:numId w:val="8"/>
        </w:numPr>
      </w:pPr>
      <w:r>
        <w:t>Promowanie i tworzenie synergii między różnymi krajowymi, terytorialnymi i sektorowymi platformami na rzecz gospodarki o obiegu zamkniętym, które rozwijają się w całej Europie. Punktem wyjścia może być specjalne badanie polegające na przeglądzie dotychczasowych platform, określeniu synergii i możliwości współpracy.</w:t>
      </w:r>
    </w:p>
    <w:p w14:paraId="56F6D119" w14:textId="7B1C0A3D" w:rsidR="00B638CC" w:rsidRPr="006F2544" w:rsidRDefault="00E66DE6" w:rsidP="00CE4FAC">
      <w:pPr>
        <w:pStyle w:val="ListParagraph"/>
        <w:numPr>
          <w:ilvl w:val="0"/>
          <w:numId w:val="8"/>
        </w:numPr>
      </w:pPr>
      <w:r>
        <w:t xml:space="preserve">Współpraca z sekcjami w celu zintegrowania wysiłków na rzecz zielonej gospodarki oraz dekarbonizacji gospodarki opartej na sprawiedliwości społecznej i sprawiedliwości społecznej. </w:t>
      </w:r>
    </w:p>
    <w:p w14:paraId="55C08FD0" w14:textId="1BF1EFFB" w:rsidR="00A43E6E" w:rsidRPr="006F2544" w:rsidRDefault="00E66DE6" w:rsidP="00CE4FAC">
      <w:pPr>
        <w:pStyle w:val="ListParagraph"/>
        <w:numPr>
          <w:ilvl w:val="0"/>
          <w:numId w:val="8"/>
        </w:numPr>
      </w:pPr>
      <w:r>
        <w:t>Współpraca z sekcjami w celu promowania finansowania społecznego poprzez komponent „włączenie społeczne” przyszłego „Europejskiego Funduszu Społecznego Plus” (EFS +)</w:t>
      </w:r>
    </w:p>
    <w:p w14:paraId="5759EF56" w14:textId="77777777" w:rsidR="007802F8" w:rsidRPr="00D615B0" w:rsidRDefault="007802F8" w:rsidP="00063A5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03F88BD" w14:textId="12946A8B" w:rsidR="005F68F9" w:rsidRPr="006F2544" w:rsidRDefault="00223460" w:rsidP="00063A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Priorytet prac nr 4: Polityka klimatyczna – więcej inwestycji, finansowania i zaangażowania ze strony podmiotów niepaństwowych</w:t>
      </w:r>
    </w:p>
    <w:p w14:paraId="106D93FA" w14:textId="77777777" w:rsidR="005F68F9" w:rsidRPr="006F2544" w:rsidRDefault="005F68F9" w:rsidP="003863CB">
      <w:pPr>
        <w:keepNext/>
      </w:pPr>
    </w:p>
    <w:p w14:paraId="56D2A513" w14:textId="77777777" w:rsidR="005F68F9" w:rsidRPr="006F2544" w:rsidRDefault="005F68F9" w:rsidP="00063A55">
      <w:pPr>
        <w:rPr>
          <w:b/>
          <w:i/>
        </w:rPr>
      </w:pPr>
      <w:r>
        <w:rPr>
          <w:b/>
          <w:i/>
        </w:rPr>
        <w:t>Kontekst</w:t>
      </w:r>
    </w:p>
    <w:p w14:paraId="6A13C023" w14:textId="77777777" w:rsidR="0001453F" w:rsidRPr="006F2544" w:rsidRDefault="0001453F" w:rsidP="00CE4FAC">
      <w:pPr>
        <w:pStyle w:val="ListParagraph"/>
        <w:numPr>
          <w:ilvl w:val="0"/>
          <w:numId w:val="9"/>
        </w:numPr>
      </w:pPr>
      <w:r>
        <w:t xml:space="preserve">W marcu 2018 r. Komisja Europejska przyjęła strategię w sprawie zrównoważonego finansowania. </w:t>
      </w:r>
    </w:p>
    <w:p w14:paraId="12BEF0AF" w14:textId="77777777" w:rsidR="0001453F" w:rsidRPr="006F2544" w:rsidRDefault="0001453F" w:rsidP="00CE4FAC">
      <w:pPr>
        <w:pStyle w:val="ListParagraph"/>
        <w:numPr>
          <w:ilvl w:val="0"/>
          <w:numId w:val="9"/>
        </w:numPr>
      </w:pPr>
      <w:r>
        <w:t xml:space="preserve">W dziedzinie finansowania działań związanych z klimatem Europa nie ma zintegrowanego planu inwestycyjnego. Wyznaczono minimalne cele inwestycyjne, ale nie ma żadnego planu. </w:t>
      </w:r>
    </w:p>
    <w:p w14:paraId="4224279D" w14:textId="77777777" w:rsidR="005F68F9" w:rsidRPr="006F2544" w:rsidRDefault="005F68F9" w:rsidP="00CE4FAC">
      <w:pPr>
        <w:pStyle w:val="ListParagraph"/>
        <w:numPr>
          <w:ilvl w:val="0"/>
          <w:numId w:val="9"/>
        </w:numPr>
      </w:pPr>
      <w:r>
        <w:t>Wdrożenie porozumienia paryskiego i rosnące uznanie w tym procesie roli podmiotów niepaństwowych w wyniku tzw. dialogu „Talanoa”.</w:t>
      </w:r>
    </w:p>
    <w:p w14:paraId="00109B2A" w14:textId="77777777" w:rsidR="0001453F" w:rsidRPr="006F2544" w:rsidRDefault="0001453F" w:rsidP="00CE4FAC">
      <w:pPr>
        <w:pStyle w:val="ListParagraph"/>
        <w:numPr>
          <w:ilvl w:val="0"/>
          <w:numId w:val="9"/>
        </w:numPr>
      </w:pPr>
      <w:r>
        <w:t>Utworzenie w 2016 r. przez cztery organizacje europejskie (EKES, KR, Climate Chance i Comité21) międzynarodowej koalicji na rzecz zarządzania w zakresie klimatu (International Climate Governance Coalition).</w:t>
      </w:r>
    </w:p>
    <w:p w14:paraId="181D47AB" w14:textId="77777777" w:rsidR="005F68F9" w:rsidRPr="006F2544" w:rsidRDefault="005F68F9" w:rsidP="00CE4FAC">
      <w:pPr>
        <w:pStyle w:val="ListParagraph"/>
        <w:numPr>
          <w:ilvl w:val="0"/>
          <w:numId w:val="9"/>
        </w:numPr>
      </w:pPr>
      <w:r>
        <w:t>Do pierwszego kwartału 2019 r. – wniosek KE dotyczący strategii długoterminowego (do 2050 r.) zmniejszenia emisji gazów cieplarnianych w UE zgodnie z porozumieniem paryskim, uwzględniający plany krajowe.</w:t>
      </w:r>
    </w:p>
    <w:p w14:paraId="36532172" w14:textId="77777777" w:rsidR="00C65C68" w:rsidRPr="006F2544" w:rsidRDefault="00C65C68" w:rsidP="00E61762"/>
    <w:p w14:paraId="2E36EDFF" w14:textId="77777777" w:rsidR="002A52C9" w:rsidRPr="006F2544" w:rsidRDefault="002A52C9" w:rsidP="00063A55"/>
    <w:p w14:paraId="0C552043" w14:textId="77777777" w:rsidR="005F68F9" w:rsidRPr="006F2544" w:rsidRDefault="00223460" w:rsidP="00CE4FAC">
      <w:pPr>
        <w:rPr>
          <w:b/>
          <w:i/>
        </w:rPr>
      </w:pPr>
      <w:r>
        <w:rPr>
          <w:b/>
          <w:i/>
        </w:rPr>
        <w:t>Proponowane działania</w:t>
      </w:r>
    </w:p>
    <w:p w14:paraId="38C36EE6" w14:textId="5403D4F4" w:rsidR="0001453F" w:rsidRPr="006F2544" w:rsidRDefault="008F7D59" w:rsidP="00CE4FAC">
      <w:pPr>
        <w:pStyle w:val="ListParagraph"/>
        <w:numPr>
          <w:ilvl w:val="0"/>
          <w:numId w:val="9"/>
        </w:numPr>
      </w:pPr>
      <w:r>
        <w:t>Współpraca z sekcjami na rzecz zwiększenia publicznych i prywatnych inwestycji i finansowania dotyczącego łagodzenia zmiany klimatu i przystosowania się do niej, w tym wspieranie projektów na małą skalę przez podmioty niepaństwowe, reagowanie na sytuacje n</w:t>
      </w:r>
      <w:r w:rsidR="00F01FAE">
        <w:t>adzwyczajne i </w:t>
      </w:r>
      <w:r>
        <w:t>finansowanie globalne</w:t>
      </w:r>
    </w:p>
    <w:p w14:paraId="3C824F1D" w14:textId="2F09B161" w:rsidR="00F15526" w:rsidRPr="006F2544" w:rsidRDefault="008F7D59" w:rsidP="00CE4FAC">
      <w:pPr>
        <w:pStyle w:val="ListParagraph"/>
        <w:numPr>
          <w:ilvl w:val="0"/>
          <w:numId w:val="9"/>
        </w:numPr>
      </w:pPr>
      <w:r>
        <w:t>Opracowanie opinii w sprawie strategii klimatycznej UE do roku 2050 oraz zmienionego planu działania w zakresie energii.</w:t>
      </w:r>
    </w:p>
    <w:p w14:paraId="6E21D20A" w14:textId="77777777" w:rsidR="00F15526" w:rsidRPr="006F2544" w:rsidRDefault="009B0DC4" w:rsidP="00CE4FAC">
      <w:pPr>
        <w:pStyle w:val="ListParagraph"/>
        <w:numPr>
          <w:ilvl w:val="0"/>
          <w:numId w:val="9"/>
        </w:numPr>
      </w:pPr>
      <w:r>
        <w:t xml:space="preserve">Wspieranie podmiotów niepaństwowych i zwiększanie ich roli w wypełnianiu luki celem spełnienia postanowień porozumienia paryskiego, w szczególności przez wypełnienie zaleceń </w:t>
      </w:r>
      <w:r>
        <w:lastRenderedPageBreak/>
        <w:t>zawartych w opracowaniu EKES-u pt. „Wspieranie działań podmiotów niepaństwowych w dziedzinie klimatu w Europie”.</w:t>
      </w:r>
    </w:p>
    <w:p w14:paraId="2283C6EA" w14:textId="77777777" w:rsidR="00F15526" w:rsidRPr="006F2544" w:rsidRDefault="00F15526" w:rsidP="00CE4FAC">
      <w:pPr>
        <w:pStyle w:val="ListParagraph"/>
        <w:numPr>
          <w:ilvl w:val="0"/>
          <w:numId w:val="9"/>
        </w:numPr>
      </w:pPr>
      <w:r>
        <w:t>Nakłonienie KE do rozpoczęcia szerokiej debaty na temat ustanowienia ram polityki UE z myślą o tym, aby podmioty niepaństwowe mogły podejmować nowe i skuteczniejsze działania w dziedzinie klimatu.</w:t>
      </w:r>
    </w:p>
    <w:p w14:paraId="3472CD75" w14:textId="77777777" w:rsidR="00F15526" w:rsidRPr="006F2544" w:rsidRDefault="00F15526" w:rsidP="00CE4FAC">
      <w:pPr>
        <w:pStyle w:val="ListParagraph"/>
        <w:numPr>
          <w:ilvl w:val="0"/>
          <w:numId w:val="9"/>
        </w:numPr>
      </w:pPr>
      <w:r>
        <w:t>Dalsze promowanie zaleceń EKES-u w zakresie sprawiedliwości klimatycznej.</w:t>
      </w:r>
    </w:p>
    <w:p w14:paraId="3340E22A" w14:textId="77777777" w:rsidR="00AA489B" w:rsidRPr="006F2544" w:rsidRDefault="00AA489B" w:rsidP="00CE4FAC">
      <w:pPr>
        <w:pStyle w:val="ListParagraph"/>
        <w:numPr>
          <w:ilvl w:val="0"/>
          <w:numId w:val="9"/>
        </w:numPr>
      </w:pPr>
      <w:r>
        <w:t>Współpraca z Europejskim Komitetem Regionów w sprawie opinii TEN/660 „Skutki nowej bezemisyjnej, zdecentralizowanej i cyfrowej struktury dostaw energii na zatrudnienie i gospodarki regionalne” (opinia z inicjatywy własnej).</w:t>
      </w:r>
    </w:p>
    <w:p w14:paraId="5B3124DF" w14:textId="77777777" w:rsidR="007802F8" w:rsidRPr="006F2544" w:rsidRDefault="007802F8" w:rsidP="00063A55">
      <w:pPr>
        <w:rPr>
          <w:b/>
        </w:rPr>
      </w:pPr>
    </w:p>
    <w:p w14:paraId="07606106" w14:textId="77777777" w:rsidR="00C3674F" w:rsidRPr="006F2544" w:rsidRDefault="00223460" w:rsidP="0006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Priorytet prac nr 5: Zrównoważona gospodarka żywnościowa</w:t>
      </w:r>
    </w:p>
    <w:p w14:paraId="1776C6C6" w14:textId="77777777" w:rsidR="00C3674F" w:rsidRPr="006F2544" w:rsidRDefault="00C3674F" w:rsidP="00063A55">
      <w:pPr>
        <w:rPr>
          <w:b/>
        </w:rPr>
      </w:pPr>
    </w:p>
    <w:p w14:paraId="42B4581F" w14:textId="77777777" w:rsidR="00C3674F" w:rsidRPr="006F2544" w:rsidRDefault="00C3674F" w:rsidP="00063A55">
      <w:pPr>
        <w:rPr>
          <w:b/>
          <w:i/>
        </w:rPr>
      </w:pPr>
      <w:r>
        <w:rPr>
          <w:b/>
          <w:i/>
        </w:rPr>
        <w:t>Kontekst</w:t>
      </w:r>
    </w:p>
    <w:p w14:paraId="1BA56DF6" w14:textId="77777777" w:rsidR="00191F27" w:rsidRPr="006F2544" w:rsidRDefault="00191F27" w:rsidP="00CE4FAC">
      <w:pPr>
        <w:pStyle w:val="ListParagraph"/>
        <w:numPr>
          <w:ilvl w:val="0"/>
          <w:numId w:val="9"/>
        </w:numPr>
      </w:pPr>
      <w:r>
        <w:t xml:space="preserve">Kwestia zrównoważonej gospodarki żywnościowej jest poruszana pobieżnie przez KE oraz w całej UE w ramach szeregu rozdrobnionych obszarów polityki (rolnictwo, środowisko, służba zdrowia, handel, rozwój itd.). </w:t>
      </w:r>
    </w:p>
    <w:p w14:paraId="347841E5" w14:textId="77777777" w:rsidR="00034939" w:rsidRPr="006F2544" w:rsidRDefault="00191F27" w:rsidP="00CE4FAC">
      <w:pPr>
        <w:pStyle w:val="ListParagraph"/>
        <w:numPr>
          <w:ilvl w:val="0"/>
          <w:numId w:val="9"/>
        </w:numPr>
      </w:pPr>
      <w:r>
        <w:t>Niemniej 14 z 17 celów zrównoważonego rozwoju związanych jest z żywnością, a zrównoważona gospodarka żywnościowa jest podstawą rozwiązywania wielu pilnych problemów, takich jak zmiana klimatu i utrata różnorodności biologicznej. W wyniku tego rośnie potrzeba opracowania kompleksowej i zintegrowanej polityki żywnościowej UE.</w:t>
      </w:r>
    </w:p>
    <w:p w14:paraId="0484CBA2" w14:textId="77777777" w:rsidR="00034939" w:rsidRPr="006F2544" w:rsidRDefault="00034939" w:rsidP="00CE4FAC">
      <w:pPr>
        <w:pStyle w:val="ListParagraph"/>
        <w:numPr>
          <w:ilvl w:val="0"/>
          <w:numId w:val="9"/>
        </w:numPr>
      </w:pPr>
      <w:r>
        <w:t>Zrównoważona gospodarka żywnościowa ma do odegrania wzorcową rolę polegającą na wykazaniu, że wdrożenie celów zrównoważonego rozwoju odpowiada na rzeczywistą potrzebę, która jest dobrze rozumiana przez całe społeczeństwo obywatelskie.</w:t>
      </w:r>
    </w:p>
    <w:p w14:paraId="7584A65E" w14:textId="77777777" w:rsidR="000F3E26" w:rsidRPr="006F2544" w:rsidRDefault="00191F27" w:rsidP="00CE4FAC">
      <w:pPr>
        <w:pStyle w:val="ListParagraph"/>
        <w:numPr>
          <w:ilvl w:val="0"/>
          <w:numId w:val="9"/>
        </w:numPr>
      </w:pPr>
      <w:r>
        <w:t>Rozwiązanie kwestii zrównoważonej gospodarki żywnościowej jest również sposobem na sprawdzenie skuteczności środków z zakresu polityki mających na celu zmianę zachowania obywateli/konsumentów.</w:t>
      </w:r>
    </w:p>
    <w:p w14:paraId="7CEF5DE7" w14:textId="77777777" w:rsidR="002B3345" w:rsidRPr="006F2544" w:rsidRDefault="002B3345" w:rsidP="00063A55"/>
    <w:p w14:paraId="05F26D91" w14:textId="77777777" w:rsidR="00C3674F" w:rsidRPr="006F2544" w:rsidRDefault="000F3E26" w:rsidP="00063A55">
      <w:pPr>
        <w:rPr>
          <w:b/>
          <w:i/>
        </w:rPr>
      </w:pPr>
      <w:r>
        <w:rPr>
          <w:b/>
          <w:i/>
        </w:rPr>
        <w:t>Proponowane działania (we współpracy z tymczasową grupą analityczną ds. zrównoważonych systemów żywnościowych)</w:t>
      </w:r>
    </w:p>
    <w:p w14:paraId="406216E3" w14:textId="77777777" w:rsidR="00F15526" w:rsidRPr="006F2544" w:rsidRDefault="0033386E" w:rsidP="00CE4FAC">
      <w:pPr>
        <w:pStyle w:val="ListParagraph"/>
        <w:numPr>
          <w:ilvl w:val="0"/>
          <w:numId w:val="10"/>
        </w:numPr>
        <w:rPr>
          <w:b/>
        </w:rPr>
      </w:pPr>
      <w:r>
        <w:t>Dalsze promowanie na szczeblu instytucjonalnym UE wezwania EKES-u do stworzenia kompleksowej polityki żywnościowej obejmującej różne obszary polityki i poziomy zarządzania, na przykład przez zwołanie posiedzenia (we współpracy z międzynarodową grupą ekspertów ds. zrównoważonych systemów żywnościowych – IPES Żywność) stosownych dyrekcji generalnych i zainteresowanych stron w celu zbadania możliwości utworzenia Rady ds. Polityki Żywnościowej UE.</w:t>
      </w:r>
    </w:p>
    <w:p w14:paraId="0E14D9AF" w14:textId="77777777" w:rsidR="00232B83" w:rsidRPr="006F2544" w:rsidRDefault="00C82CE5" w:rsidP="00CE4FAC">
      <w:pPr>
        <w:pStyle w:val="ListParagraph"/>
        <w:numPr>
          <w:ilvl w:val="0"/>
          <w:numId w:val="10"/>
        </w:numPr>
      </w:pPr>
      <w:r>
        <w:t xml:space="preserve">Opracowanie nowej opinii w sprawie zrównoważonych zdrowych sposobów odżywiania się, która będzie przedmiotem dyskusji na wspólnym posiedzeniu tymczasowej grupy analitycznej i CMRZ w kontekście wdrożenia celów zrównoważonego rozwoju. </w:t>
      </w:r>
    </w:p>
    <w:p w14:paraId="537DAD7F" w14:textId="529989E7" w:rsidR="008D2D08" w:rsidRPr="006F2544" w:rsidRDefault="00232B83" w:rsidP="00CE4FAC">
      <w:pPr>
        <w:pStyle w:val="ListParagraph"/>
        <w:numPr>
          <w:ilvl w:val="0"/>
          <w:numId w:val="10"/>
        </w:numPr>
        <w:rPr>
          <w:b/>
        </w:rPr>
      </w:pPr>
      <w:r>
        <w:rPr>
          <w:color w:val="222222"/>
        </w:rPr>
        <w:t>Promowanie bardziej zrównoważonych rynków i łańcuchów dostaw żywności, będących połączeniem tradycji z innowacyjnością.</w:t>
      </w:r>
    </w:p>
    <w:p w14:paraId="1775B68F" w14:textId="77777777" w:rsidR="008D2D08" w:rsidRPr="006F2544" w:rsidRDefault="008D2D08" w:rsidP="00063A55"/>
    <w:p w14:paraId="19E94220" w14:textId="77777777" w:rsidR="00822005" w:rsidRPr="006F2544" w:rsidRDefault="00822005" w:rsidP="002F7D94">
      <w:pPr>
        <w:keepNext/>
        <w:keepLines/>
        <w:rPr>
          <w:b/>
          <w:u w:val="single"/>
        </w:rPr>
      </w:pPr>
      <w:r>
        <w:rPr>
          <w:b/>
          <w:u w:val="single"/>
        </w:rPr>
        <w:lastRenderedPageBreak/>
        <w:t>Strategia wewnętrzna</w:t>
      </w:r>
    </w:p>
    <w:p w14:paraId="249A859E" w14:textId="77777777" w:rsidR="00822005" w:rsidRPr="006F2544" w:rsidRDefault="00822005" w:rsidP="002F7D94">
      <w:pPr>
        <w:keepNext/>
        <w:keepLines/>
      </w:pPr>
    </w:p>
    <w:p w14:paraId="111D7635" w14:textId="196DE55C" w:rsidR="007A6DAF" w:rsidRPr="006F2544" w:rsidRDefault="007A6DAF" w:rsidP="002F7D94">
      <w:pPr>
        <w:keepNext/>
        <w:keepLines/>
      </w:pPr>
      <w:r>
        <w:t>W świetle powyższego logiczne byłoby rozpoczęcie przez EKES procesu określającego najlepsze sposoby uwzględnienia celów zrównoważonego rozwoju w pracach całego Komitetu. By wdrożyć to, co sam zaleca EKES powinien uczynić realizację celów zrównoważonego rozwoju integralną częścią swej codziennej pracy – zarówno administracyjnej, jak i tej wykonywanej przez członków.</w:t>
      </w:r>
      <w:r>
        <w:rPr>
          <w:color w:val="000000"/>
        </w:rPr>
        <w:t xml:space="preserve"> </w:t>
      </w:r>
      <w:r>
        <w:t xml:space="preserve">Komitet mógłby następnie stać się przykładem wśród instytucji UE, w jaki sposób uwzględniać cele zrównoważonego rozwoju we wszystkich obszarach polityki. </w:t>
      </w:r>
    </w:p>
    <w:p w14:paraId="70B41411" w14:textId="77777777" w:rsidR="007A6DAF" w:rsidRPr="006F2544" w:rsidRDefault="007A6DAF" w:rsidP="002F7D94">
      <w:pPr>
        <w:keepNext/>
        <w:keepLines/>
      </w:pPr>
    </w:p>
    <w:p w14:paraId="712F073A" w14:textId="23053278" w:rsidR="007A6DAF" w:rsidRPr="006F2544" w:rsidRDefault="007A6DAF" w:rsidP="002F7D94">
      <w:pPr>
        <w:keepNext/>
        <w:keepLines/>
      </w:pPr>
      <w:r>
        <w:t>Członkowie CMRZ zostaną zatem poproszeni o zastanowienie się nad najlepszym sposobem włączenia celów zrównoważonego rozwoju do prac Komitetu. Należy m.in. rozważyć następujące możliwości:</w:t>
      </w:r>
    </w:p>
    <w:p w14:paraId="785086DE" w14:textId="77777777" w:rsidR="007A6DAF" w:rsidRPr="006F2544" w:rsidRDefault="007A6DAF" w:rsidP="002F7D94">
      <w:pPr>
        <w:keepNext/>
        <w:keepLines/>
      </w:pPr>
    </w:p>
    <w:p w14:paraId="79917D7A" w14:textId="2DF39818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 xml:space="preserve">Zorganizowanie programu szkoleniowego na temat celów zrównoważonego rozwoju skoncentrowanego na istotnych dla członków kwestiach. </w:t>
      </w:r>
    </w:p>
    <w:p w14:paraId="5D87B9B0" w14:textId="77777777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Regularne przekazywanie informacji o celach zrównoważonego rozwoju (prawdopodobnie w powiązaniu z EMAS) za pośrednictwem comiesięcznego biuletynu dla członków.</w:t>
      </w:r>
    </w:p>
    <w:p w14:paraId="644EF29F" w14:textId="17252BE7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Informowanie co roku o pięciu wybranych celach zrównoważonego rozwoju.</w:t>
      </w:r>
    </w:p>
    <w:p w14:paraId="1305E5D6" w14:textId="1C15B4DA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Wzmocnienie pozycji członków CMRZ jako „ambasa</w:t>
      </w:r>
      <w:r w:rsidR="00F01FAE">
        <w:rPr>
          <w:color w:val="000000"/>
        </w:rPr>
        <w:t>dorów” zrównoważonego rozwoju i </w:t>
      </w:r>
      <w:r>
        <w:rPr>
          <w:color w:val="000000"/>
        </w:rPr>
        <w:t>pełnienie przez przewodniczącego EKES-u funkcji głównego ambasadora.</w:t>
      </w:r>
    </w:p>
    <w:p w14:paraId="6803F598" w14:textId="3A4B7CAA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Zachęcanie sprawozdawców, by uwzględniali listę kontrolną celów zrównoważonego rozwoju podczas przygotowywaniu opinii w różnych sekcjach/CCMI w EKES-ie. Tego rodzaju lista byłaby praktycznym narzędziem oceny zgodności opinii EKES-u z celami zrównoważonego rozwoju.</w:t>
      </w:r>
    </w:p>
    <w:p w14:paraId="1977A8A7" w14:textId="66A93A73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Zbadanie sposobu wdrożenia innych przekrojowych inicjatyw, np. EMAS-u, w celu wyciągnięcia wniosków.</w:t>
      </w:r>
    </w:p>
    <w:p w14:paraId="63218EFF" w14:textId="65C28B7E" w:rsidR="007A6DAF" w:rsidRPr="006F2544" w:rsidRDefault="00F643A6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Zaproponowanie, by wszyscy przewodniczący sekcji zostali oficjalnymi członkami CMRZ.</w:t>
      </w:r>
    </w:p>
    <w:p w14:paraId="748C8F19" w14:textId="77777777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Wyłonienie dwóch głównych kwestii w każdej sekcji, które mogą być związane z wdrażaniem celów zrównoważonego rozwoju.</w:t>
      </w:r>
    </w:p>
    <w:p w14:paraId="2C0FC886" w14:textId="2BC5082E" w:rsidR="007A6DAF" w:rsidRPr="006F2544" w:rsidRDefault="007A6DAF" w:rsidP="00CE4FAC">
      <w:pPr>
        <w:pStyle w:val="ListParagraph"/>
        <w:numPr>
          <w:ilvl w:val="0"/>
          <w:numId w:val="7"/>
        </w:numPr>
        <w:spacing w:line="276" w:lineRule="auto"/>
        <w:ind w:left="357" w:hanging="357"/>
        <w:rPr>
          <w:color w:val="000000"/>
        </w:rPr>
      </w:pPr>
      <w:r>
        <w:rPr>
          <w:color w:val="000000"/>
        </w:rPr>
        <w:t>Ściślejsza współpraca z odpowiednimi organami EKES-u (np. z grupą roboczą ds. europejskiego semestru i Centrum Monitorowania Rynku Pracy)</w:t>
      </w:r>
    </w:p>
    <w:p w14:paraId="25847F32" w14:textId="77777777" w:rsidR="007A6DAF" w:rsidRPr="006F2544" w:rsidRDefault="007A6DAF" w:rsidP="002F7D94">
      <w:pPr>
        <w:keepNext/>
        <w:keepLines/>
      </w:pPr>
    </w:p>
    <w:p w14:paraId="5277A812" w14:textId="4978F275" w:rsidR="00A6790D" w:rsidRPr="006F2544" w:rsidRDefault="00C838B2" w:rsidP="002B362A">
      <w:pPr>
        <w:keepNext/>
        <w:keepLines/>
      </w:pPr>
      <w:r>
        <w:t>Te oraz inne propozycje zostaną omówione na posiedzeniu CMRZ na początku 2019 r. w celu opracowania w miarę możliwości konkretnego planu działania.</w:t>
      </w:r>
    </w:p>
    <w:sectPr w:rsidR="00A6790D" w:rsidRPr="006F2544" w:rsidSect="006F25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1AC2" w14:textId="77777777" w:rsidR="00CE4FAC" w:rsidRDefault="00CE4FAC">
      <w:r>
        <w:separator/>
      </w:r>
    </w:p>
  </w:endnote>
  <w:endnote w:type="continuationSeparator" w:id="0">
    <w:p w14:paraId="27E9EA4E" w14:textId="77777777" w:rsidR="00CE4FAC" w:rsidRDefault="00CE4FAC">
      <w:r>
        <w:continuationSeparator/>
      </w:r>
    </w:p>
  </w:endnote>
  <w:endnote w:type="continuationNotice" w:id="1">
    <w:p w14:paraId="3147012C" w14:textId="77777777" w:rsidR="00CE4FAC" w:rsidRDefault="00CE4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8B5A" w14:textId="77777777" w:rsidR="006F2544" w:rsidRPr="006F2544" w:rsidRDefault="006F2544" w:rsidP="006F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B20F" w14:textId="71333F4F" w:rsidR="00537E7A" w:rsidRPr="006F2544" w:rsidRDefault="006F2544" w:rsidP="006F2544">
    <w:pPr>
      <w:pStyle w:val="Footer"/>
    </w:pPr>
    <w:r>
      <w:t xml:space="preserve">EESC-2018-03066-00-04-TCD-TRA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40EBF">
      <w:rPr>
        <w:noProof/>
      </w:rPr>
      <w:t>1</w:t>
    </w:r>
    <w:r>
      <w:fldChar w:fldCharType="end"/>
    </w:r>
    <w:r>
      <w:t>/</w:t>
    </w:r>
    <w:fldSimple w:instr=" NUMPAGES ">
      <w:r w:rsidR="00940EBF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AC04" w14:textId="77777777" w:rsidR="006F2544" w:rsidRPr="006F2544" w:rsidRDefault="006F2544" w:rsidP="006F25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04C5" w14:textId="77777777" w:rsidR="00391203" w:rsidRPr="006F2544" w:rsidRDefault="00391203" w:rsidP="006F25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CE41" w14:textId="110E08EA" w:rsidR="00391203" w:rsidRPr="006F2544" w:rsidRDefault="006F2544" w:rsidP="006F2544">
    <w:pPr>
      <w:pStyle w:val="Footer"/>
    </w:pPr>
    <w:r>
      <w:t xml:space="preserve">EESC-2018-03066-00-04-TCD-TRA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40EBF">
      <w:rPr>
        <w:noProof/>
      </w:rPr>
      <w:t>7</w:t>
    </w:r>
    <w:r>
      <w:fldChar w:fldCharType="end"/>
    </w:r>
    <w:r>
      <w:t>/</w:t>
    </w:r>
    <w:fldSimple w:instr=" NUMPAGES ">
      <w:r w:rsidR="00940EBF">
        <w:rPr>
          <w:noProof/>
        </w:rPr>
        <w:t>7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7030" w14:textId="77777777" w:rsidR="00391203" w:rsidRPr="006F2544" w:rsidRDefault="00391203" w:rsidP="006F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DE80" w14:textId="77777777" w:rsidR="00CE4FAC" w:rsidRDefault="00CE4FAC">
      <w:r>
        <w:separator/>
      </w:r>
    </w:p>
  </w:footnote>
  <w:footnote w:type="continuationSeparator" w:id="0">
    <w:p w14:paraId="6FCDA353" w14:textId="77777777" w:rsidR="00CE4FAC" w:rsidRDefault="00CE4FAC">
      <w:r>
        <w:continuationSeparator/>
      </w:r>
    </w:p>
  </w:footnote>
  <w:footnote w:type="continuationNotice" w:id="1">
    <w:p w14:paraId="6E3D5CD4" w14:textId="77777777" w:rsidR="00CE4FAC" w:rsidRDefault="00CE4F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083C" w14:textId="77777777" w:rsidR="006F2544" w:rsidRPr="006F2544" w:rsidRDefault="006F2544" w:rsidP="006F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E760" w14:textId="58D7A977" w:rsidR="006F2544" w:rsidRPr="006F2544" w:rsidRDefault="006F2544" w:rsidP="006F2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A6BA" w14:textId="77777777" w:rsidR="006F2544" w:rsidRPr="006F2544" w:rsidRDefault="006F2544" w:rsidP="006F25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5B45" w14:textId="77777777" w:rsidR="00391203" w:rsidRPr="006F2544" w:rsidRDefault="00391203" w:rsidP="006F25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05D5" w14:textId="5C97161C" w:rsidR="00391203" w:rsidRPr="006F2544" w:rsidRDefault="00391203" w:rsidP="006F25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7EFE" w14:textId="77777777" w:rsidR="00391203" w:rsidRPr="006F2544" w:rsidRDefault="00391203" w:rsidP="006F2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B22509"/>
    <w:multiLevelType w:val="hybridMultilevel"/>
    <w:tmpl w:val="1D88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1B4"/>
    <w:multiLevelType w:val="hybridMultilevel"/>
    <w:tmpl w:val="0DD4FB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84F"/>
    <w:multiLevelType w:val="hybridMultilevel"/>
    <w:tmpl w:val="82E6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796"/>
    <w:multiLevelType w:val="hybridMultilevel"/>
    <w:tmpl w:val="66E020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348"/>
    <w:multiLevelType w:val="hybridMultilevel"/>
    <w:tmpl w:val="38A0A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965DB"/>
    <w:multiLevelType w:val="hybridMultilevel"/>
    <w:tmpl w:val="9C2E401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201A9"/>
    <w:multiLevelType w:val="hybridMultilevel"/>
    <w:tmpl w:val="9BCEA5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D1063"/>
    <w:multiLevelType w:val="hybridMultilevel"/>
    <w:tmpl w:val="EBFA5F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7FBA"/>
    <w:multiLevelType w:val="hybridMultilevel"/>
    <w:tmpl w:val="C57CB3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65F38"/>
    <w:multiLevelType w:val="hybridMultilevel"/>
    <w:tmpl w:val="6EEA9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74C"/>
    <w:multiLevelType w:val="hybridMultilevel"/>
    <w:tmpl w:val="8A50C756"/>
    <w:lvl w:ilvl="0" w:tplc="20BE6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4025"/>
    <w:multiLevelType w:val="hybridMultilevel"/>
    <w:tmpl w:val="1FE4AF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15BA1"/>
    <w:multiLevelType w:val="hybridMultilevel"/>
    <w:tmpl w:val="94C6D2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62F77"/>
    <w:multiLevelType w:val="hybridMultilevel"/>
    <w:tmpl w:val="6F78D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4787"/>
    <w:multiLevelType w:val="hybridMultilevel"/>
    <w:tmpl w:val="A67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55236"/>
    <w:multiLevelType w:val="hybridMultilevel"/>
    <w:tmpl w:val="40DCB9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35E8D"/>
    <w:multiLevelType w:val="hybridMultilevel"/>
    <w:tmpl w:val="03A6789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6A0D07"/>
    <w:multiLevelType w:val="hybridMultilevel"/>
    <w:tmpl w:val="0198A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222F2"/>
    <w:multiLevelType w:val="hybridMultilevel"/>
    <w:tmpl w:val="ABD45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7C9C"/>
    <w:multiLevelType w:val="hybridMultilevel"/>
    <w:tmpl w:val="586A6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FCCF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6"/>
  </w:num>
  <w:num w:numId="5">
    <w:abstractNumId w:val="17"/>
  </w:num>
  <w:num w:numId="6">
    <w:abstractNumId w:val="20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18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12"/>
  </w:num>
  <w:num w:numId="18">
    <w:abstractNumId w:val="19"/>
  </w:num>
  <w:num w:numId="19">
    <w:abstractNumId w:val="8"/>
  </w:num>
  <w:num w:numId="20">
    <w:abstractNumId w:val="2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68"/>
    <w:rsid w:val="00005F99"/>
    <w:rsid w:val="00006E4C"/>
    <w:rsid w:val="000142F1"/>
    <w:rsid w:val="0001453F"/>
    <w:rsid w:val="000149E2"/>
    <w:rsid w:val="000159DB"/>
    <w:rsid w:val="00015A78"/>
    <w:rsid w:val="00017455"/>
    <w:rsid w:val="000258A9"/>
    <w:rsid w:val="00034498"/>
    <w:rsid w:val="00034866"/>
    <w:rsid w:val="00034939"/>
    <w:rsid w:val="00040317"/>
    <w:rsid w:val="0004146E"/>
    <w:rsid w:val="000419E2"/>
    <w:rsid w:val="000429CC"/>
    <w:rsid w:val="00042A64"/>
    <w:rsid w:val="00042B0E"/>
    <w:rsid w:val="000456DE"/>
    <w:rsid w:val="000458B6"/>
    <w:rsid w:val="00046C53"/>
    <w:rsid w:val="00051E8C"/>
    <w:rsid w:val="0005247C"/>
    <w:rsid w:val="00052C8C"/>
    <w:rsid w:val="00056E5A"/>
    <w:rsid w:val="00057AD1"/>
    <w:rsid w:val="00063A55"/>
    <w:rsid w:val="00070871"/>
    <w:rsid w:val="000712D1"/>
    <w:rsid w:val="00071798"/>
    <w:rsid w:val="00075F91"/>
    <w:rsid w:val="00084883"/>
    <w:rsid w:val="00084CA1"/>
    <w:rsid w:val="000870A1"/>
    <w:rsid w:val="00087522"/>
    <w:rsid w:val="000955AC"/>
    <w:rsid w:val="00097268"/>
    <w:rsid w:val="000B32B0"/>
    <w:rsid w:val="000B6368"/>
    <w:rsid w:val="000B7417"/>
    <w:rsid w:val="000C6E44"/>
    <w:rsid w:val="000C7D3D"/>
    <w:rsid w:val="000D1E62"/>
    <w:rsid w:val="000D1E76"/>
    <w:rsid w:val="000D6050"/>
    <w:rsid w:val="000D6AB9"/>
    <w:rsid w:val="000D713F"/>
    <w:rsid w:val="000E3399"/>
    <w:rsid w:val="000E3BD0"/>
    <w:rsid w:val="000E42CA"/>
    <w:rsid w:val="000E4DC9"/>
    <w:rsid w:val="000E68E0"/>
    <w:rsid w:val="000F13C4"/>
    <w:rsid w:val="000F32A6"/>
    <w:rsid w:val="000F3E26"/>
    <w:rsid w:val="000F4189"/>
    <w:rsid w:val="000F4334"/>
    <w:rsid w:val="00101BE9"/>
    <w:rsid w:val="00103C3F"/>
    <w:rsid w:val="00104769"/>
    <w:rsid w:val="0010511C"/>
    <w:rsid w:val="00105C63"/>
    <w:rsid w:val="001165FE"/>
    <w:rsid w:val="00120343"/>
    <w:rsid w:val="00120D2D"/>
    <w:rsid w:val="00122272"/>
    <w:rsid w:val="00123EE6"/>
    <w:rsid w:val="00125FA9"/>
    <w:rsid w:val="00126A04"/>
    <w:rsid w:val="001339AB"/>
    <w:rsid w:val="00134067"/>
    <w:rsid w:val="001428EB"/>
    <w:rsid w:val="00147520"/>
    <w:rsid w:val="00157111"/>
    <w:rsid w:val="0015728A"/>
    <w:rsid w:val="0015780A"/>
    <w:rsid w:val="00162850"/>
    <w:rsid w:val="001719D0"/>
    <w:rsid w:val="00174521"/>
    <w:rsid w:val="00175000"/>
    <w:rsid w:val="001750E6"/>
    <w:rsid w:val="001829C4"/>
    <w:rsid w:val="0018390C"/>
    <w:rsid w:val="0018512A"/>
    <w:rsid w:val="00187370"/>
    <w:rsid w:val="00191F27"/>
    <w:rsid w:val="00196DC9"/>
    <w:rsid w:val="00197545"/>
    <w:rsid w:val="00197D55"/>
    <w:rsid w:val="001A06C7"/>
    <w:rsid w:val="001A27CB"/>
    <w:rsid w:val="001A3A4E"/>
    <w:rsid w:val="001B271D"/>
    <w:rsid w:val="001B62DB"/>
    <w:rsid w:val="001C05F6"/>
    <w:rsid w:val="001C5BEB"/>
    <w:rsid w:val="001D3FA5"/>
    <w:rsid w:val="001D45C9"/>
    <w:rsid w:val="001D52ED"/>
    <w:rsid w:val="001D6630"/>
    <w:rsid w:val="001D754E"/>
    <w:rsid w:val="001E1922"/>
    <w:rsid w:val="001E3E99"/>
    <w:rsid w:val="001E712D"/>
    <w:rsid w:val="001E72F1"/>
    <w:rsid w:val="001F0859"/>
    <w:rsid w:val="001F1071"/>
    <w:rsid w:val="001F5C74"/>
    <w:rsid w:val="00200E2D"/>
    <w:rsid w:val="00205059"/>
    <w:rsid w:val="00207A61"/>
    <w:rsid w:val="00210183"/>
    <w:rsid w:val="00210C52"/>
    <w:rsid w:val="00215E4C"/>
    <w:rsid w:val="00216F11"/>
    <w:rsid w:val="0022018A"/>
    <w:rsid w:val="00223460"/>
    <w:rsid w:val="00224B12"/>
    <w:rsid w:val="002311C9"/>
    <w:rsid w:val="00232B83"/>
    <w:rsid w:val="00233882"/>
    <w:rsid w:val="00235B02"/>
    <w:rsid w:val="002363D8"/>
    <w:rsid w:val="00241CE1"/>
    <w:rsid w:val="00242387"/>
    <w:rsid w:val="002436F4"/>
    <w:rsid w:val="00246D5D"/>
    <w:rsid w:val="00253445"/>
    <w:rsid w:val="002539D9"/>
    <w:rsid w:val="00260EC8"/>
    <w:rsid w:val="00264D69"/>
    <w:rsid w:val="00264FC3"/>
    <w:rsid w:val="00270861"/>
    <w:rsid w:val="0027213B"/>
    <w:rsid w:val="002730D1"/>
    <w:rsid w:val="00273DBF"/>
    <w:rsid w:val="00274DD7"/>
    <w:rsid w:val="00275BEE"/>
    <w:rsid w:val="00276C9B"/>
    <w:rsid w:val="0027777F"/>
    <w:rsid w:val="002860DA"/>
    <w:rsid w:val="00286D4A"/>
    <w:rsid w:val="00292834"/>
    <w:rsid w:val="002936D5"/>
    <w:rsid w:val="0029647B"/>
    <w:rsid w:val="002975D3"/>
    <w:rsid w:val="002A06A7"/>
    <w:rsid w:val="002A25AF"/>
    <w:rsid w:val="002A52C9"/>
    <w:rsid w:val="002A68BD"/>
    <w:rsid w:val="002B3345"/>
    <w:rsid w:val="002B362A"/>
    <w:rsid w:val="002B3F43"/>
    <w:rsid w:val="002B5162"/>
    <w:rsid w:val="002B552C"/>
    <w:rsid w:val="002B5F95"/>
    <w:rsid w:val="002B6E60"/>
    <w:rsid w:val="002B7A7F"/>
    <w:rsid w:val="002C0A39"/>
    <w:rsid w:val="002C289C"/>
    <w:rsid w:val="002D4A47"/>
    <w:rsid w:val="002D63CB"/>
    <w:rsid w:val="002E2CBA"/>
    <w:rsid w:val="002E3946"/>
    <w:rsid w:val="002E3E2F"/>
    <w:rsid w:val="002E499E"/>
    <w:rsid w:val="002E6BFA"/>
    <w:rsid w:val="002E76A3"/>
    <w:rsid w:val="002F76F7"/>
    <w:rsid w:val="002F7D94"/>
    <w:rsid w:val="00302518"/>
    <w:rsid w:val="00304F07"/>
    <w:rsid w:val="003075C0"/>
    <w:rsid w:val="00311CC6"/>
    <w:rsid w:val="00317470"/>
    <w:rsid w:val="00331E58"/>
    <w:rsid w:val="003333CB"/>
    <w:rsid w:val="0033386E"/>
    <w:rsid w:val="00341301"/>
    <w:rsid w:val="00343DC2"/>
    <w:rsid w:val="00346BB4"/>
    <w:rsid w:val="0034781B"/>
    <w:rsid w:val="00355378"/>
    <w:rsid w:val="003557C2"/>
    <w:rsid w:val="0036078A"/>
    <w:rsid w:val="00360A9B"/>
    <w:rsid w:val="0036132A"/>
    <w:rsid w:val="00366AA9"/>
    <w:rsid w:val="00367B15"/>
    <w:rsid w:val="00371635"/>
    <w:rsid w:val="003745B8"/>
    <w:rsid w:val="00376616"/>
    <w:rsid w:val="00377891"/>
    <w:rsid w:val="00382074"/>
    <w:rsid w:val="003863CB"/>
    <w:rsid w:val="00387611"/>
    <w:rsid w:val="00391203"/>
    <w:rsid w:val="003912FE"/>
    <w:rsid w:val="00391879"/>
    <w:rsid w:val="00395959"/>
    <w:rsid w:val="00395DBB"/>
    <w:rsid w:val="003A066C"/>
    <w:rsid w:val="003A123A"/>
    <w:rsid w:val="003A3525"/>
    <w:rsid w:val="003A3529"/>
    <w:rsid w:val="003A4449"/>
    <w:rsid w:val="003A4BA3"/>
    <w:rsid w:val="003A665D"/>
    <w:rsid w:val="003A6875"/>
    <w:rsid w:val="003A71FB"/>
    <w:rsid w:val="003C5A41"/>
    <w:rsid w:val="003C6194"/>
    <w:rsid w:val="003E1345"/>
    <w:rsid w:val="003E2517"/>
    <w:rsid w:val="003E2EE0"/>
    <w:rsid w:val="003E3788"/>
    <w:rsid w:val="003E61C7"/>
    <w:rsid w:val="003E6220"/>
    <w:rsid w:val="003E6399"/>
    <w:rsid w:val="003E6472"/>
    <w:rsid w:val="003E7409"/>
    <w:rsid w:val="003F1959"/>
    <w:rsid w:val="003F39DC"/>
    <w:rsid w:val="003F731A"/>
    <w:rsid w:val="004026EB"/>
    <w:rsid w:val="004036CF"/>
    <w:rsid w:val="00406BC2"/>
    <w:rsid w:val="00413FF0"/>
    <w:rsid w:val="00417143"/>
    <w:rsid w:val="0041766F"/>
    <w:rsid w:val="00422981"/>
    <w:rsid w:val="00424C70"/>
    <w:rsid w:val="00425C68"/>
    <w:rsid w:val="0043445E"/>
    <w:rsid w:val="00436753"/>
    <w:rsid w:val="004402F9"/>
    <w:rsid w:val="004467F8"/>
    <w:rsid w:val="0046715B"/>
    <w:rsid w:val="004740B0"/>
    <w:rsid w:val="00477993"/>
    <w:rsid w:val="0048742F"/>
    <w:rsid w:val="00490030"/>
    <w:rsid w:val="0049296C"/>
    <w:rsid w:val="00492BFC"/>
    <w:rsid w:val="00493029"/>
    <w:rsid w:val="004940E5"/>
    <w:rsid w:val="004956EA"/>
    <w:rsid w:val="00497ECC"/>
    <w:rsid w:val="004A0E31"/>
    <w:rsid w:val="004A2B80"/>
    <w:rsid w:val="004A5D0B"/>
    <w:rsid w:val="004B08EF"/>
    <w:rsid w:val="004B3347"/>
    <w:rsid w:val="004C21D9"/>
    <w:rsid w:val="004C3E37"/>
    <w:rsid w:val="004D11ED"/>
    <w:rsid w:val="004D201C"/>
    <w:rsid w:val="004D27D6"/>
    <w:rsid w:val="004D62F2"/>
    <w:rsid w:val="004D6947"/>
    <w:rsid w:val="004E3C77"/>
    <w:rsid w:val="004E6472"/>
    <w:rsid w:val="004E7353"/>
    <w:rsid w:val="004F6D58"/>
    <w:rsid w:val="0050311B"/>
    <w:rsid w:val="005049ED"/>
    <w:rsid w:val="00510196"/>
    <w:rsid w:val="00512567"/>
    <w:rsid w:val="00514309"/>
    <w:rsid w:val="00514EC8"/>
    <w:rsid w:val="00520E4D"/>
    <w:rsid w:val="00522326"/>
    <w:rsid w:val="00523507"/>
    <w:rsid w:val="00537E7A"/>
    <w:rsid w:val="00541175"/>
    <w:rsid w:val="005419EF"/>
    <w:rsid w:val="00541EBD"/>
    <w:rsid w:val="00550341"/>
    <w:rsid w:val="0055218E"/>
    <w:rsid w:val="005627F4"/>
    <w:rsid w:val="00565A22"/>
    <w:rsid w:val="00571099"/>
    <w:rsid w:val="005711AE"/>
    <w:rsid w:val="0057339F"/>
    <w:rsid w:val="005826B3"/>
    <w:rsid w:val="00586794"/>
    <w:rsid w:val="00591809"/>
    <w:rsid w:val="00596974"/>
    <w:rsid w:val="005A557A"/>
    <w:rsid w:val="005B0FD0"/>
    <w:rsid w:val="005B355D"/>
    <w:rsid w:val="005B5418"/>
    <w:rsid w:val="005B7B6D"/>
    <w:rsid w:val="005C19D5"/>
    <w:rsid w:val="005C56C7"/>
    <w:rsid w:val="005C7E5C"/>
    <w:rsid w:val="005D03DC"/>
    <w:rsid w:val="005D0B19"/>
    <w:rsid w:val="005D629D"/>
    <w:rsid w:val="005E0AE7"/>
    <w:rsid w:val="005E39B3"/>
    <w:rsid w:val="005E4EF7"/>
    <w:rsid w:val="005F00BD"/>
    <w:rsid w:val="005F5851"/>
    <w:rsid w:val="005F68F9"/>
    <w:rsid w:val="005F7543"/>
    <w:rsid w:val="006027A5"/>
    <w:rsid w:val="00602F12"/>
    <w:rsid w:val="006040AD"/>
    <w:rsid w:val="00605C15"/>
    <w:rsid w:val="00606BD1"/>
    <w:rsid w:val="006136C5"/>
    <w:rsid w:val="0061441F"/>
    <w:rsid w:val="00614605"/>
    <w:rsid w:val="006152A8"/>
    <w:rsid w:val="006234BC"/>
    <w:rsid w:val="0062571F"/>
    <w:rsid w:val="006266AC"/>
    <w:rsid w:val="00632A25"/>
    <w:rsid w:val="00632AF5"/>
    <w:rsid w:val="00634985"/>
    <w:rsid w:val="0063637A"/>
    <w:rsid w:val="00641327"/>
    <w:rsid w:val="00641974"/>
    <w:rsid w:val="00641E04"/>
    <w:rsid w:val="00642888"/>
    <w:rsid w:val="006464FE"/>
    <w:rsid w:val="0065261B"/>
    <w:rsid w:val="00652858"/>
    <w:rsid w:val="00653B01"/>
    <w:rsid w:val="00656053"/>
    <w:rsid w:val="00657560"/>
    <w:rsid w:val="00660750"/>
    <w:rsid w:val="0066084B"/>
    <w:rsid w:val="006638DE"/>
    <w:rsid w:val="00670DD6"/>
    <w:rsid w:val="006725AB"/>
    <w:rsid w:val="006736D5"/>
    <w:rsid w:val="00673E96"/>
    <w:rsid w:val="00674F30"/>
    <w:rsid w:val="006763D2"/>
    <w:rsid w:val="00680841"/>
    <w:rsid w:val="00681A85"/>
    <w:rsid w:val="006830E5"/>
    <w:rsid w:val="00683664"/>
    <w:rsid w:val="00685F98"/>
    <w:rsid w:val="0068678F"/>
    <w:rsid w:val="00687738"/>
    <w:rsid w:val="0069019F"/>
    <w:rsid w:val="006950B3"/>
    <w:rsid w:val="00695D37"/>
    <w:rsid w:val="006966B2"/>
    <w:rsid w:val="006A0AB6"/>
    <w:rsid w:val="006A5FA5"/>
    <w:rsid w:val="006B28B3"/>
    <w:rsid w:val="006B43BD"/>
    <w:rsid w:val="006B6398"/>
    <w:rsid w:val="006C08B7"/>
    <w:rsid w:val="006C25D4"/>
    <w:rsid w:val="006C547C"/>
    <w:rsid w:val="006C5FEA"/>
    <w:rsid w:val="006C7C69"/>
    <w:rsid w:val="006D2595"/>
    <w:rsid w:val="006D3599"/>
    <w:rsid w:val="006D42CF"/>
    <w:rsid w:val="006D49A8"/>
    <w:rsid w:val="006E148E"/>
    <w:rsid w:val="006E322D"/>
    <w:rsid w:val="006E3FDC"/>
    <w:rsid w:val="006F2544"/>
    <w:rsid w:val="00700AEB"/>
    <w:rsid w:val="00705E18"/>
    <w:rsid w:val="00707C1F"/>
    <w:rsid w:val="007124E8"/>
    <w:rsid w:val="0071298A"/>
    <w:rsid w:val="00713C49"/>
    <w:rsid w:val="00713F61"/>
    <w:rsid w:val="00717E74"/>
    <w:rsid w:val="00722112"/>
    <w:rsid w:val="00722B80"/>
    <w:rsid w:val="00724853"/>
    <w:rsid w:val="00725828"/>
    <w:rsid w:val="00725C0D"/>
    <w:rsid w:val="00734E31"/>
    <w:rsid w:val="00734F6F"/>
    <w:rsid w:val="00741015"/>
    <w:rsid w:val="00741A63"/>
    <w:rsid w:val="007438BB"/>
    <w:rsid w:val="007441B2"/>
    <w:rsid w:val="007459F7"/>
    <w:rsid w:val="00747EE0"/>
    <w:rsid w:val="007538CD"/>
    <w:rsid w:val="00753EAC"/>
    <w:rsid w:val="007555F9"/>
    <w:rsid w:val="007556FB"/>
    <w:rsid w:val="00757DED"/>
    <w:rsid w:val="0076214D"/>
    <w:rsid w:val="007648D7"/>
    <w:rsid w:val="00764AC3"/>
    <w:rsid w:val="00766C00"/>
    <w:rsid w:val="00770D01"/>
    <w:rsid w:val="0077246A"/>
    <w:rsid w:val="007755E6"/>
    <w:rsid w:val="007802F8"/>
    <w:rsid w:val="00782187"/>
    <w:rsid w:val="00782F3B"/>
    <w:rsid w:val="00784269"/>
    <w:rsid w:val="00787AB6"/>
    <w:rsid w:val="007902D5"/>
    <w:rsid w:val="0079032F"/>
    <w:rsid w:val="00794C4A"/>
    <w:rsid w:val="00797B54"/>
    <w:rsid w:val="007A039D"/>
    <w:rsid w:val="007A4B09"/>
    <w:rsid w:val="007A6DAF"/>
    <w:rsid w:val="007C0B6C"/>
    <w:rsid w:val="007C3575"/>
    <w:rsid w:val="007D2A1A"/>
    <w:rsid w:val="007D4907"/>
    <w:rsid w:val="007E2852"/>
    <w:rsid w:val="007E2BB5"/>
    <w:rsid w:val="007F0BAA"/>
    <w:rsid w:val="007F1942"/>
    <w:rsid w:val="007F29AA"/>
    <w:rsid w:val="007F2E64"/>
    <w:rsid w:val="00800393"/>
    <w:rsid w:val="008024A4"/>
    <w:rsid w:val="00804062"/>
    <w:rsid w:val="00804910"/>
    <w:rsid w:val="00805204"/>
    <w:rsid w:val="00812F2D"/>
    <w:rsid w:val="008153B4"/>
    <w:rsid w:val="00822005"/>
    <w:rsid w:val="00822EAE"/>
    <w:rsid w:val="00823A41"/>
    <w:rsid w:val="00827A9E"/>
    <w:rsid w:val="00835101"/>
    <w:rsid w:val="0083778E"/>
    <w:rsid w:val="00842B62"/>
    <w:rsid w:val="0084354B"/>
    <w:rsid w:val="00851629"/>
    <w:rsid w:val="00861590"/>
    <w:rsid w:val="00864BD3"/>
    <w:rsid w:val="00864EC8"/>
    <w:rsid w:val="008669F4"/>
    <w:rsid w:val="00866D74"/>
    <w:rsid w:val="00874257"/>
    <w:rsid w:val="00874661"/>
    <w:rsid w:val="00874B6B"/>
    <w:rsid w:val="00875E40"/>
    <w:rsid w:val="0087779D"/>
    <w:rsid w:val="00882B3B"/>
    <w:rsid w:val="008839F8"/>
    <w:rsid w:val="00891F49"/>
    <w:rsid w:val="00897FA0"/>
    <w:rsid w:val="008A1151"/>
    <w:rsid w:val="008A2421"/>
    <w:rsid w:val="008A650E"/>
    <w:rsid w:val="008B1FC9"/>
    <w:rsid w:val="008B3AD3"/>
    <w:rsid w:val="008C217F"/>
    <w:rsid w:val="008C3FB5"/>
    <w:rsid w:val="008C479A"/>
    <w:rsid w:val="008C5045"/>
    <w:rsid w:val="008C5F40"/>
    <w:rsid w:val="008C6F4B"/>
    <w:rsid w:val="008D1498"/>
    <w:rsid w:val="008D2D08"/>
    <w:rsid w:val="008E3CDD"/>
    <w:rsid w:val="008E5FC3"/>
    <w:rsid w:val="008E6D78"/>
    <w:rsid w:val="008E7BAF"/>
    <w:rsid w:val="008F10A4"/>
    <w:rsid w:val="008F3BAC"/>
    <w:rsid w:val="008F60E7"/>
    <w:rsid w:val="008F6585"/>
    <w:rsid w:val="008F715D"/>
    <w:rsid w:val="008F7695"/>
    <w:rsid w:val="008F79E0"/>
    <w:rsid w:val="008F7D59"/>
    <w:rsid w:val="009031AB"/>
    <w:rsid w:val="0090401C"/>
    <w:rsid w:val="00920421"/>
    <w:rsid w:val="00923454"/>
    <w:rsid w:val="009318BE"/>
    <w:rsid w:val="00932933"/>
    <w:rsid w:val="009341AA"/>
    <w:rsid w:val="00936F53"/>
    <w:rsid w:val="00940877"/>
    <w:rsid w:val="00940EBF"/>
    <w:rsid w:val="00946EC1"/>
    <w:rsid w:val="0096473F"/>
    <w:rsid w:val="009662ED"/>
    <w:rsid w:val="00972F86"/>
    <w:rsid w:val="00974C1C"/>
    <w:rsid w:val="009750B1"/>
    <w:rsid w:val="00980527"/>
    <w:rsid w:val="00981B83"/>
    <w:rsid w:val="00983281"/>
    <w:rsid w:val="00983882"/>
    <w:rsid w:val="0099098A"/>
    <w:rsid w:val="009915D7"/>
    <w:rsid w:val="0099423D"/>
    <w:rsid w:val="009A1AD0"/>
    <w:rsid w:val="009A1C75"/>
    <w:rsid w:val="009A45D7"/>
    <w:rsid w:val="009B0DC4"/>
    <w:rsid w:val="009B10DE"/>
    <w:rsid w:val="009B4381"/>
    <w:rsid w:val="009C659B"/>
    <w:rsid w:val="009D0CAA"/>
    <w:rsid w:val="009D163C"/>
    <w:rsid w:val="009D1F2A"/>
    <w:rsid w:val="009E006D"/>
    <w:rsid w:val="009E4825"/>
    <w:rsid w:val="009E53F5"/>
    <w:rsid w:val="009E5808"/>
    <w:rsid w:val="009E7BB2"/>
    <w:rsid w:val="009F0A39"/>
    <w:rsid w:val="009F405B"/>
    <w:rsid w:val="009F470B"/>
    <w:rsid w:val="009F5C58"/>
    <w:rsid w:val="009F64CA"/>
    <w:rsid w:val="00A00189"/>
    <w:rsid w:val="00A001F7"/>
    <w:rsid w:val="00A018AE"/>
    <w:rsid w:val="00A16671"/>
    <w:rsid w:val="00A1795A"/>
    <w:rsid w:val="00A21E2A"/>
    <w:rsid w:val="00A302AD"/>
    <w:rsid w:val="00A32092"/>
    <w:rsid w:val="00A3226C"/>
    <w:rsid w:val="00A344F6"/>
    <w:rsid w:val="00A36BA0"/>
    <w:rsid w:val="00A424D6"/>
    <w:rsid w:val="00A42EBB"/>
    <w:rsid w:val="00A435CE"/>
    <w:rsid w:val="00A43E6E"/>
    <w:rsid w:val="00A47D92"/>
    <w:rsid w:val="00A5259E"/>
    <w:rsid w:val="00A536EE"/>
    <w:rsid w:val="00A53B93"/>
    <w:rsid w:val="00A53EC6"/>
    <w:rsid w:val="00A61325"/>
    <w:rsid w:val="00A61926"/>
    <w:rsid w:val="00A62338"/>
    <w:rsid w:val="00A6790D"/>
    <w:rsid w:val="00A679AB"/>
    <w:rsid w:val="00A742A0"/>
    <w:rsid w:val="00A82756"/>
    <w:rsid w:val="00A8307D"/>
    <w:rsid w:val="00A839A5"/>
    <w:rsid w:val="00A9287B"/>
    <w:rsid w:val="00A93AAC"/>
    <w:rsid w:val="00A94659"/>
    <w:rsid w:val="00AA38CB"/>
    <w:rsid w:val="00AA489B"/>
    <w:rsid w:val="00AA7128"/>
    <w:rsid w:val="00AB63EB"/>
    <w:rsid w:val="00AB6C4E"/>
    <w:rsid w:val="00AB737A"/>
    <w:rsid w:val="00AC0B73"/>
    <w:rsid w:val="00AC3297"/>
    <w:rsid w:val="00AC4E0B"/>
    <w:rsid w:val="00AD2048"/>
    <w:rsid w:val="00AD5BE1"/>
    <w:rsid w:val="00AE072F"/>
    <w:rsid w:val="00AE6C96"/>
    <w:rsid w:val="00AF0570"/>
    <w:rsid w:val="00AF738B"/>
    <w:rsid w:val="00B03E6A"/>
    <w:rsid w:val="00B12C4C"/>
    <w:rsid w:val="00B13D18"/>
    <w:rsid w:val="00B15EF5"/>
    <w:rsid w:val="00B206EC"/>
    <w:rsid w:val="00B21830"/>
    <w:rsid w:val="00B24A3B"/>
    <w:rsid w:val="00B25F1D"/>
    <w:rsid w:val="00B3215C"/>
    <w:rsid w:val="00B32BC2"/>
    <w:rsid w:val="00B333B4"/>
    <w:rsid w:val="00B34E85"/>
    <w:rsid w:val="00B37C24"/>
    <w:rsid w:val="00B37E1C"/>
    <w:rsid w:val="00B412DB"/>
    <w:rsid w:val="00B422C7"/>
    <w:rsid w:val="00B43EDE"/>
    <w:rsid w:val="00B54FF4"/>
    <w:rsid w:val="00B57681"/>
    <w:rsid w:val="00B57ACF"/>
    <w:rsid w:val="00B60B57"/>
    <w:rsid w:val="00B61F2A"/>
    <w:rsid w:val="00B6281E"/>
    <w:rsid w:val="00B62C2A"/>
    <w:rsid w:val="00B638CC"/>
    <w:rsid w:val="00B63F10"/>
    <w:rsid w:val="00B70E20"/>
    <w:rsid w:val="00B71A04"/>
    <w:rsid w:val="00B73174"/>
    <w:rsid w:val="00B80873"/>
    <w:rsid w:val="00B84FFA"/>
    <w:rsid w:val="00B86C7F"/>
    <w:rsid w:val="00B92378"/>
    <w:rsid w:val="00B941F1"/>
    <w:rsid w:val="00BA1AB7"/>
    <w:rsid w:val="00BA1BDF"/>
    <w:rsid w:val="00BA2025"/>
    <w:rsid w:val="00BA4971"/>
    <w:rsid w:val="00BB4003"/>
    <w:rsid w:val="00BC09BA"/>
    <w:rsid w:val="00BC0D92"/>
    <w:rsid w:val="00BC32C0"/>
    <w:rsid w:val="00BC7D84"/>
    <w:rsid w:val="00BD0327"/>
    <w:rsid w:val="00BD43EE"/>
    <w:rsid w:val="00BD54DB"/>
    <w:rsid w:val="00BD57FA"/>
    <w:rsid w:val="00BD5A48"/>
    <w:rsid w:val="00BD5E58"/>
    <w:rsid w:val="00BE26D9"/>
    <w:rsid w:val="00BE3B2D"/>
    <w:rsid w:val="00BE5481"/>
    <w:rsid w:val="00BE58DC"/>
    <w:rsid w:val="00BF0985"/>
    <w:rsid w:val="00BF2B31"/>
    <w:rsid w:val="00BF6C34"/>
    <w:rsid w:val="00BF79C4"/>
    <w:rsid w:val="00C0188B"/>
    <w:rsid w:val="00C02056"/>
    <w:rsid w:val="00C04F7C"/>
    <w:rsid w:val="00C0625D"/>
    <w:rsid w:val="00C12E2E"/>
    <w:rsid w:val="00C1450D"/>
    <w:rsid w:val="00C2183C"/>
    <w:rsid w:val="00C219CD"/>
    <w:rsid w:val="00C23453"/>
    <w:rsid w:val="00C24290"/>
    <w:rsid w:val="00C25BAE"/>
    <w:rsid w:val="00C27F10"/>
    <w:rsid w:val="00C32070"/>
    <w:rsid w:val="00C326DB"/>
    <w:rsid w:val="00C33EF4"/>
    <w:rsid w:val="00C33FEA"/>
    <w:rsid w:val="00C34DEF"/>
    <w:rsid w:val="00C3674F"/>
    <w:rsid w:val="00C454DD"/>
    <w:rsid w:val="00C46868"/>
    <w:rsid w:val="00C47930"/>
    <w:rsid w:val="00C52994"/>
    <w:rsid w:val="00C56274"/>
    <w:rsid w:val="00C61639"/>
    <w:rsid w:val="00C63702"/>
    <w:rsid w:val="00C65C68"/>
    <w:rsid w:val="00C66934"/>
    <w:rsid w:val="00C71706"/>
    <w:rsid w:val="00C73660"/>
    <w:rsid w:val="00C829AB"/>
    <w:rsid w:val="00C82CE5"/>
    <w:rsid w:val="00C838B2"/>
    <w:rsid w:val="00C85AB9"/>
    <w:rsid w:val="00C86B4E"/>
    <w:rsid w:val="00C873A9"/>
    <w:rsid w:val="00C94685"/>
    <w:rsid w:val="00C968DD"/>
    <w:rsid w:val="00CA2B7E"/>
    <w:rsid w:val="00CA3E80"/>
    <w:rsid w:val="00CA5330"/>
    <w:rsid w:val="00CA6286"/>
    <w:rsid w:val="00CA6A0B"/>
    <w:rsid w:val="00CA7B38"/>
    <w:rsid w:val="00CB3C05"/>
    <w:rsid w:val="00CB6407"/>
    <w:rsid w:val="00CC38AB"/>
    <w:rsid w:val="00CC3E8B"/>
    <w:rsid w:val="00CC71AE"/>
    <w:rsid w:val="00CE0E53"/>
    <w:rsid w:val="00CE4329"/>
    <w:rsid w:val="00CE4FAC"/>
    <w:rsid w:val="00CE6D45"/>
    <w:rsid w:val="00CE7608"/>
    <w:rsid w:val="00CF0155"/>
    <w:rsid w:val="00CF15D8"/>
    <w:rsid w:val="00CF295A"/>
    <w:rsid w:val="00CF2989"/>
    <w:rsid w:val="00CF70AB"/>
    <w:rsid w:val="00D00230"/>
    <w:rsid w:val="00D00EFC"/>
    <w:rsid w:val="00D0247B"/>
    <w:rsid w:val="00D04ABA"/>
    <w:rsid w:val="00D10D62"/>
    <w:rsid w:val="00D1259E"/>
    <w:rsid w:val="00D14605"/>
    <w:rsid w:val="00D152EC"/>
    <w:rsid w:val="00D16CE3"/>
    <w:rsid w:val="00D20F04"/>
    <w:rsid w:val="00D22D2D"/>
    <w:rsid w:val="00D24636"/>
    <w:rsid w:val="00D26092"/>
    <w:rsid w:val="00D300BC"/>
    <w:rsid w:val="00D33B50"/>
    <w:rsid w:val="00D416A7"/>
    <w:rsid w:val="00D4256D"/>
    <w:rsid w:val="00D42A24"/>
    <w:rsid w:val="00D4779A"/>
    <w:rsid w:val="00D5106B"/>
    <w:rsid w:val="00D51AFA"/>
    <w:rsid w:val="00D532F1"/>
    <w:rsid w:val="00D543EB"/>
    <w:rsid w:val="00D558E3"/>
    <w:rsid w:val="00D615B0"/>
    <w:rsid w:val="00D64128"/>
    <w:rsid w:val="00D654AD"/>
    <w:rsid w:val="00D678D6"/>
    <w:rsid w:val="00D709E7"/>
    <w:rsid w:val="00D70AD4"/>
    <w:rsid w:val="00D7159E"/>
    <w:rsid w:val="00D720D0"/>
    <w:rsid w:val="00D723B6"/>
    <w:rsid w:val="00D75C84"/>
    <w:rsid w:val="00D8165C"/>
    <w:rsid w:val="00D817AC"/>
    <w:rsid w:val="00D83314"/>
    <w:rsid w:val="00D9598C"/>
    <w:rsid w:val="00D96352"/>
    <w:rsid w:val="00D97009"/>
    <w:rsid w:val="00DA0E09"/>
    <w:rsid w:val="00DA1D9E"/>
    <w:rsid w:val="00DA1E9A"/>
    <w:rsid w:val="00DA3E73"/>
    <w:rsid w:val="00DA4ADD"/>
    <w:rsid w:val="00DA50D7"/>
    <w:rsid w:val="00DA64D2"/>
    <w:rsid w:val="00DB3AB3"/>
    <w:rsid w:val="00DC1164"/>
    <w:rsid w:val="00DC2C93"/>
    <w:rsid w:val="00DC36C1"/>
    <w:rsid w:val="00DC3995"/>
    <w:rsid w:val="00DC41C2"/>
    <w:rsid w:val="00DC7005"/>
    <w:rsid w:val="00DD1B6A"/>
    <w:rsid w:val="00DD1FDE"/>
    <w:rsid w:val="00DD2B38"/>
    <w:rsid w:val="00DD53B6"/>
    <w:rsid w:val="00DD5B03"/>
    <w:rsid w:val="00DE1E8F"/>
    <w:rsid w:val="00DE3297"/>
    <w:rsid w:val="00DE530F"/>
    <w:rsid w:val="00DE588D"/>
    <w:rsid w:val="00DE6AE4"/>
    <w:rsid w:val="00DF41ED"/>
    <w:rsid w:val="00DF5189"/>
    <w:rsid w:val="00E007A5"/>
    <w:rsid w:val="00E00EF7"/>
    <w:rsid w:val="00E02880"/>
    <w:rsid w:val="00E27264"/>
    <w:rsid w:val="00E27BDB"/>
    <w:rsid w:val="00E30E7C"/>
    <w:rsid w:val="00E33637"/>
    <w:rsid w:val="00E41039"/>
    <w:rsid w:val="00E43D7F"/>
    <w:rsid w:val="00E446CC"/>
    <w:rsid w:val="00E4587D"/>
    <w:rsid w:val="00E61762"/>
    <w:rsid w:val="00E6502B"/>
    <w:rsid w:val="00E66DE6"/>
    <w:rsid w:val="00E70169"/>
    <w:rsid w:val="00E71A4A"/>
    <w:rsid w:val="00E73071"/>
    <w:rsid w:val="00E7420C"/>
    <w:rsid w:val="00E81DFD"/>
    <w:rsid w:val="00E83FD5"/>
    <w:rsid w:val="00E8473D"/>
    <w:rsid w:val="00E860D8"/>
    <w:rsid w:val="00E90925"/>
    <w:rsid w:val="00E91E32"/>
    <w:rsid w:val="00E92820"/>
    <w:rsid w:val="00E9479B"/>
    <w:rsid w:val="00E956D7"/>
    <w:rsid w:val="00EA0186"/>
    <w:rsid w:val="00EA60F7"/>
    <w:rsid w:val="00EB23CA"/>
    <w:rsid w:val="00EB7222"/>
    <w:rsid w:val="00EC527B"/>
    <w:rsid w:val="00EC7978"/>
    <w:rsid w:val="00ED5655"/>
    <w:rsid w:val="00ED5F3C"/>
    <w:rsid w:val="00EE0CBC"/>
    <w:rsid w:val="00EE26EA"/>
    <w:rsid w:val="00EE3F28"/>
    <w:rsid w:val="00EE60E8"/>
    <w:rsid w:val="00EE6DC6"/>
    <w:rsid w:val="00EE7B74"/>
    <w:rsid w:val="00EF1A72"/>
    <w:rsid w:val="00EF3EAD"/>
    <w:rsid w:val="00EF7A6B"/>
    <w:rsid w:val="00F01FAE"/>
    <w:rsid w:val="00F079D7"/>
    <w:rsid w:val="00F07F1C"/>
    <w:rsid w:val="00F119ED"/>
    <w:rsid w:val="00F15526"/>
    <w:rsid w:val="00F16697"/>
    <w:rsid w:val="00F16E79"/>
    <w:rsid w:val="00F23E01"/>
    <w:rsid w:val="00F23F5C"/>
    <w:rsid w:val="00F24247"/>
    <w:rsid w:val="00F3250E"/>
    <w:rsid w:val="00F326C2"/>
    <w:rsid w:val="00F3429B"/>
    <w:rsid w:val="00F35403"/>
    <w:rsid w:val="00F356EF"/>
    <w:rsid w:val="00F369D4"/>
    <w:rsid w:val="00F4276A"/>
    <w:rsid w:val="00F44210"/>
    <w:rsid w:val="00F447DE"/>
    <w:rsid w:val="00F53E1E"/>
    <w:rsid w:val="00F544DF"/>
    <w:rsid w:val="00F548DD"/>
    <w:rsid w:val="00F54DFB"/>
    <w:rsid w:val="00F57021"/>
    <w:rsid w:val="00F6257C"/>
    <w:rsid w:val="00F643A6"/>
    <w:rsid w:val="00F65EBA"/>
    <w:rsid w:val="00F67405"/>
    <w:rsid w:val="00F703D9"/>
    <w:rsid w:val="00F7522C"/>
    <w:rsid w:val="00F7631C"/>
    <w:rsid w:val="00F90B57"/>
    <w:rsid w:val="00F90CA9"/>
    <w:rsid w:val="00F94BB8"/>
    <w:rsid w:val="00FA306A"/>
    <w:rsid w:val="00FA448E"/>
    <w:rsid w:val="00FA4639"/>
    <w:rsid w:val="00FB209D"/>
    <w:rsid w:val="00FB4115"/>
    <w:rsid w:val="00FB6233"/>
    <w:rsid w:val="00FC7881"/>
    <w:rsid w:val="00FD5F10"/>
    <w:rsid w:val="00FE29EE"/>
    <w:rsid w:val="00FE320F"/>
    <w:rsid w:val="00FE6F3E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0416C"/>
  <w15:docId w15:val="{C6F0D905-7D37-4435-BB16-303B79258357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eastAsia="Times New Roman"/>
      <w:sz w:val="22"/>
      <w:szCs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176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6176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6176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6176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6176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6176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6176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176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6176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Revision">
    <w:name w:val="Revision"/>
    <w:hidden/>
    <w:uiPriority w:val="99"/>
    <w:semiHidden/>
    <w:rsid w:val="00273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qFormat/>
    <w:rsid w:val="00E6176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446CC"/>
    <w:rPr>
      <w:rFonts w:eastAsia="Times New Roman"/>
      <w:sz w:val="16"/>
      <w:szCs w:val="22"/>
      <w:bdr w:val="none" w:sz="0" w:space="0" w:color="auto"/>
      <w:lang w:val="pl-PL" w:eastAsia="en-US"/>
    </w:rPr>
  </w:style>
  <w:style w:type="character" w:styleId="FootnoteReference">
    <w:name w:val="footnote reference"/>
    <w:basedOn w:val="DefaultParagraphFont"/>
    <w:unhideWhenUsed/>
    <w:qFormat/>
    <w:rsid w:val="00E61762"/>
    <w:rPr>
      <w:sz w:val="24"/>
      <w:vertAlign w:val="superscript"/>
    </w:rPr>
  </w:style>
  <w:style w:type="paragraph" w:styleId="Header">
    <w:name w:val="header"/>
    <w:basedOn w:val="Normal"/>
    <w:link w:val="HeaderChar"/>
    <w:qFormat/>
    <w:rsid w:val="00E61762"/>
  </w:style>
  <w:style w:type="character" w:customStyle="1" w:styleId="HeaderChar">
    <w:name w:val="Header Char"/>
    <w:basedOn w:val="DefaultParagraphFont"/>
    <w:link w:val="Header"/>
    <w:rsid w:val="00741A63"/>
    <w:rPr>
      <w:rFonts w:eastAsia="Times New Roman"/>
      <w:sz w:val="22"/>
      <w:szCs w:val="22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qFormat/>
    <w:rsid w:val="00E61762"/>
  </w:style>
  <w:style w:type="character" w:customStyle="1" w:styleId="FooterChar">
    <w:name w:val="Footer Char"/>
    <w:basedOn w:val="DefaultParagraphFont"/>
    <w:link w:val="Footer"/>
    <w:rsid w:val="00741A63"/>
    <w:rPr>
      <w:rFonts w:eastAsia="Times New Roman"/>
      <w:sz w:val="22"/>
      <w:szCs w:val="22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CA1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720D0"/>
    <w:rPr>
      <w:rFonts w:eastAsia="Times New Roman"/>
      <w:kern w:val="28"/>
      <w:sz w:val="22"/>
      <w:szCs w:val="22"/>
      <w:bdr w:val="none" w:sz="0" w:space="0" w:color="auto"/>
      <w:lang w:val="pl-PL" w:eastAsia="en-US"/>
    </w:rPr>
  </w:style>
  <w:style w:type="character" w:customStyle="1" w:styleId="Heading2Char">
    <w:name w:val="Heading 2 Char"/>
    <w:basedOn w:val="DefaultParagraphFont"/>
    <w:link w:val="Heading2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3Char">
    <w:name w:val="Heading 3 Char"/>
    <w:basedOn w:val="DefaultParagraphFont"/>
    <w:link w:val="Heading3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4Char">
    <w:name w:val="Heading 4 Char"/>
    <w:basedOn w:val="DefaultParagraphFont"/>
    <w:link w:val="Heading4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5Char">
    <w:name w:val="Heading 5 Char"/>
    <w:basedOn w:val="DefaultParagraphFont"/>
    <w:link w:val="Heading5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6Char">
    <w:name w:val="Heading 6 Char"/>
    <w:basedOn w:val="DefaultParagraphFont"/>
    <w:link w:val="Heading6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7Char">
    <w:name w:val="Heading 7 Char"/>
    <w:basedOn w:val="DefaultParagraphFont"/>
    <w:link w:val="Heading7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8Char">
    <w:name w:val="Heading 8 Char"/>
    <w:basedOn w:val="DefaultParagraphFont"/>
    <w:link w:val="Heading8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character" w:customStyle="1" w:styleId="Heading9Char">
    <w:name w:val="Heading 9 Char"/>
    <w:basedOn w:val="DefaultParagraphFont"/>
    <w:link w:val="Heading9"/>
    <w:rsid w:val="00D720D0"/>
    <w:rPr>
      <w:rFonts w:eastAsia="Times New Roman"/>
      <w:sz w:val="22"/>
      <w:szCs w:val="22"/>
      <w:bdr w:val="none" w:sz="0" w:space="0" w:color="auto"/>
      <w:lang w:val="pl-PL" w:eastAsia="en-US"/>
    </w:rPr>
  </w:style>
  <w:style w:type="paragraph" w:customStyle="1" w:styleId="quotes">
    <w:name w:val="quotes"/>
    <w:basedOn w:val="Normal"/>
    <w:next w:val="Normal"/>
    <w:rsid w:val="00E61762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436753"/>
    <w:pPr>
      <w:ind w:left="720"/>
      <w:contextualSpacing/>
    </w:pPr>
  </w:style>
  <w:style w:type="table" w:styleId="TableGrid">
    <w:name w:val="Table Grid"/>
    <w:basedOn w:val="TableNormal"/>
    <w:uiPriority w:val="59"/>
    <w:rsid w:val="0050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66"/>
    <w:rPr>
      <w:rFonts w:ascii="Tahoma" w:eastAsia="Times New Roman" w:hAnsi="Tahoma" w:cs="Tahoma"/>
      <w:sz w:val="16"/>
      <w:szCs w:val="1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64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5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804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24" Type="http://schemas.openxmlformats.org/officeDocument/2006/relationships/footer" Target="footer4.xml"/><Relationship Id="rId11" Type="http://schemas.openxmlformats.org/officeDocument/2006/relationships/settings" Target="settings.xml"/><Relationship Id="rId28" Type="http://schemas.openxmlformats.org/officeDocument/2006/relationships/fontTable" Target="fontTable.xml"/><Relationship Id="rId15" Type="http://schemas.openxmlformats.org/officeDocument/2006/relationships/image" Target="media/image1.png"/><Relationship Id="rId23" Type="http://schemas.openxmlformats.org/officeDocument/2006/relationships/header" Target="header5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7" Type="http://schemas.openxmlformats.org/officeDocument/2006/relationships/footer" Target="footer6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35AEC72E874B8448CC1C05B56464BC2" ma:contentTypeVersion="4" ma:contentTypeDescription="Defines the documents for Document Manager V2" ma:contentTypeScope="" ma:versionID="796867c1c04bffba582fe1cd3955b3e8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96833ba-8621-4012-9120-ea22cde94db8" targetNamespace="http://schemas.microsoft.com/office/2006/metadata/properties" ma:root="true" ma:fieldsID="a755bf6ec002fd71e42923ba0d84d072" ns2:_="" ns3:_="" ns4:_="">
    <xsd:import namespace="8975caae-a2e4-4a1b-856a-87d8a7cad937"/>
    <xsd:import namespace="http://schemas.microsoft.com/sharepoint/v3/fields"/>
    <xsd:import namespace="b96833ba-8621-4012-9120-ea22cde94d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833ba-8621-4012-9120-ea22cde94db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RCSZ5D2JPTA3-7-11236</_dlc_DocId>
    <_dlc_DocIdUrl xmlns="8975caae-a2e4-4a1b-856a-87d8a7cad937">
      <Url>http://dm2016/eesc/2018/_layouts/15/DocIdRedir.aspx?ID=RCSZ5D2JPTA3-7-11236</Url>
      <Description>RCSZ5D2JPTA3-7-11236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8975caae-a2e4-4a1b-856a-87d8a7cad937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2019-05-20T12:00:00+00:00</ProductionDate>
    <DocumentNumber xmlns="b96833ba-8621-4012-9120-ea22cde94db8">3066</DocumentNumber>
    <FicheYear xmlns="8975caae-a2e4-4a1b-856a-87d8a7cad937">2018</FicheYear>
    <DocumentVersion xmlns="8975caae-a2e4-4a1b-856a-87d8a7cad937">4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975caae-a2e4-4a1b-856a-87d8a7cad937">
      <Value>65</Value>
      <Value>27</Value>
      <Value>25</Value>
      <Value>7</Value>
      <Value>6</Value>
      <Value>5</Value>
      <Value>4</Value>
      <Value>20</Value>
      <Value>1</Value>
      <Value>8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MeetingDate xmlns="8975caae-a2e4-4a1b-856a-87d8a7cad937">2019-06-11T12:00:00+00:00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5231</FicheNumber>
    <DocumentYear xmlns="8975caae-a2e4-4a1b-856a-87d8a7cad937">2018</DocumentYear>
    <DocumentPart xmlns="8975caae-a2e4-4a1b-856a-87d8a7cad937">0</DocumentPart>
    <AdoptionDate xmlns="8975caae-a2e4-4a1b-856a-87d8a7cad937" xsi:nil="true"/>
    <RequestingService xmlns="8975caae-a2e4-4a1b-856a-87d8a7cad937">Agriculture, développement rural et environnement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SDO</TermName>
          <TermId xmlns="http://schemas.microsoft.com/office/infopath/2007/PartnerControls">f24a1fde-f224-4565-8121-6560ec428671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MeetingNumber xmlns="b96833ba-8621-4012-9120-ea22cde94db8">66</MeetingNumber>
    <DossierName_0 xmlns="http://schemas.microsoft.com/sharepoint/v3/fields">
      <Terms xmlns="http://schemas.microsoft.com/office/infopath/2007/PartnerControls"/>
    </DossierName_0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BC67-9A25-4D47-B0B4-2248B8194592}"/>
</file>

<file path=customXml/itemProps2.xml><?xml version="1.0" encoding="utf-8"?>
<ds:datastoreItem xmlns:ds="http://schemas.openxmlformats.org/officeDocument/2006/customXml" ds:itemID="{68436F04-BB86-43B6-A2A5-7C010E27022A}"/>
</file>

<file path=customXml/itemProps3.xml><?xml version="1.0" encoding="utf-8"?>
<ds:datastoreItem xmlns:ds="http://schemas.openxmlformats.org/officeDocument/2006/customXml" ds:itemID="{3E5D899A-15AE-47E9-AEB2-0885C962B571}"/>
</file>

<file path=customXml/itemProps4.xml><?xml version="1.0" encoding="utf-8"?>
<ds:datastoreItem xmlns:ds="http://schemas.openxmlformats.org/officeDocument/2006/customXml" ds:itemID="{68436F04-BB86-43B6-A2A5-7C010E2702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436F04-BB86-43B6-A2A5-7C010E27022A}"/>
</file>

<file path=customXml/itemProps6.xml><?xml version="1.0" encoding="utf-8"?>
<ds:datastoreItem xmlns:ds="http://schemas.openxmlformats.org/officeDocument/2006/customXml" ds:itemID="{68436F04-BB86-43B6-A2A5-7C010E27022A}"/>
</file>

<file path=customXml/itemProps7.xml><?xml version="1.0" encoding="utf-8"?>
<ds:datastoreItem xmlns:ds="http://schemas.openxmlformats.org/officeDocument/2006/customXml" ds:itemID="{4F88DBCB-FBD0-43E7-87A1-A4B7EF250346}"/>
</file>

<file path=customXml/itemProps8.xml><?xml version="1.0" encoding="utf-8"?>
<ds:datastoreItem xmlns:ds="http://schemas.openxmlformats.org/officeDocument/2006/customXml" ds:itemID="{95212F08-6D29-42EB-9DE4-5F686D21BAE1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7</Pages>
  <Words>2811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Future work programme/roadmap 2018-2020</vt:lpstr>
      <vt:lpstr>Future work programme/roadmap 2018-2020</vt:lpstr>
    </vt:vector>
  </TitlesOfParts>
  <Company>CESE-CdR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przyszłych prac / plan działania CMRZ na lata 20182020</dc:title>
  <dc:creator>Chrysoula Panou</dc:creator>
  <cp:keywords>EESC-2018-03066-00-04-TCD-TRA-EN</cp:keywords>
  <dc:description>Rapporteur:  - Original language: EN - Date of document: 20/05/2019 - Date of meeting: 11/06/2019 - External documents:  - Administrator:  BROZEK-EVERAERT STELLA</dc:description>
  <cp:lastModifiedBy>ibika</cp:lastModifiedBy>
  <cp:revision>6</cp:revision>
  <cp:lastPrinted>2018-07-10T13:24:00Z</cp:lastPrinted>
  <dcterms:created xsi:type="dcterms:W3CDTF">2019-05-17T07:23:00Z</dcterms:created>
  <dcterms:modified xsi:type="dcterms:W3CDTF">2019-05-20T12:25:00Z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17/05/2019, 17/05/2019, 04/07/2018, 04/07/2018, 13/06/2018, 13/06/2018, 21/03/2016, 21/03/2016, 21/03/2016, 26/01/2016, 26/01/2016, 26/01/2016, 15/01/2016, 15/01/2016, 17/11/2015, 17/11/2015, 16/11/2015, 14/10/2015, 14/10/2015, 14/10/2015</vt:lpwstr>
  </property>
  <property fmtid="{D5CDD505-2E9C-101B-9397-08002B2CF9AE}" pid="4" name="Pref_Time">
    <vt:lpwstr>09:14:28, 08:54:49, 12:08:14, 11:19:16, 11:30:21, 11:21:01, 13:56:12, 13:46:33, 10:07:18, 16:28:14, 16:08:46, 15:58:30, 14:42:45, 13:45:20, 09:53:05, 09:17:36, 17:44:23, 13:07:26, 12:37:44, 12:11:03</vt:lpwstr>
  </property>
  <property fmtid="{D5CDD505-2E9C-101B-9397-08002B2CF9AE}" pid="5" name="Pref_User">
    <vt:lpwstr>hnic, YMUR, amett, shalp, hnic, shalp, amett, enied, ssex, amett, vvos, htoo, amett, ssex, tvoc, mkop, ssex, amett, tvoc, YMUR</vt:lpwstr>
  </property>
  <property fmtid="{D5CDD505-2E9C-101B-9397-08002B2CF9AE}" pid="6" name="Pref_FileName">
    <vt:lpwstr>EESC-2018-03066-00-04-TCD-TRA-EN-CRR.docx, EESC-2018-03066-00-04-TCD-ORI.docx, EESC-2018-03066-00-01-TCD-TRA-EN-CRR.docx, EESC-2018-03066-00-01-TCD-CRR-EN.docx, EESC-2018-03066-00-00-TCD-TRA-EN-CRR.docx, EESC-2018-03066-00-00-TCD-CRR-EN.docx, EESC-2015-05</vt:lpwstr>
  </property>
  <property fmtid="{D5CDD505-2E9C-101B-9397-08002B2CF9AE}" pid="7" name="DocumentType_0">
    <vt:lpwstr>TCD|cd9d6eb6-3f4f-424a-b2d1-57c9d450eaaf</vt:lpwstr>
  </property>
  <property fmtid="{D5CDD505-2E9C-101B-9397-08002B2CF9AE}" pid="11" name="DocumentSource_0">
    <vt:lpwstr>EESC|422833ec-8d7e-4e65-8e4e-8bed07ffb729</vt:lpwstr>
  </property>
  <property fmtid="{D5CDD505-2E9C-101B-9397-08002B2CF9AE}" pid="12" name="ProductionDate">
    <vt:filetime>2018-07-04T12:00:00Z</vt:filetime>
  </property>
  <property fmtid="{D5CDD505-2E9C-101B-9397-08002B2CF9AE}" pid="13" name="DocumentNumber">
    <vt:i4>3066</vt:i4>
  </property>
  <property fmtid="{D5CDD505-2E9C-101B-9397-08002B2CF9AE}" pid="14" name="FicheYear">
    <vt:i4>2018</vt:i4>
  </property>
  <property fmtid="{D5CDD505-2E9C-101B-9397-08002B2CF9AE}" pid="15" name="DocumentVersion">
    <vt:i4>4</vt:i4>
  </property>
  <property fmtid="{D5CDD505-2E9C-101B-9397-08002B2CF9AE}" pid="17" name="Confidentiality_0">
    <vt:lpwstr>Unrestricted|826e22d7-d029-4ec0-a450-0c28ff673572</vt:lpwstr>
  </property>
  <property fmtid="{D5CDD505-2E9C-101B-9397-08002B2CF9AE}" pid="18" name="ContentTypeId">
    <vt:lpwstr>0x010100EA97B91038054C99906057A708A1480A00135AEC72E874B8448CC1C05B56464BC2</vt:lpwstr>
  </property>
  <property fmtid="{D5CDD505-2E9C-101B-9397-08002B2CF9AE}" pid="20" name="TaxCatchAll">
    <vt:lpwstr>65;#SDO|f24a1fde-f224-4565-8121-6560ec428671;#27;#DE|f6b31e5a-26fa-4935-b661-318e46daf27e;#25;#TCD|cd9d6eb6-3f4f-424a-b2d1-57c9d450eaaf;#7;#TRA|150d2a88-1431-44e6-a8ca-0bb753ab8672;#6;#Final|ea5e6674-7b27-4bac-b091-73adbb394efe;#5;#Unrestricted|826e22d7-d029-4ec0-a450-0c28ff673572;#4;#EN|f2175f21-25d7-44a3-96da-d6a61b075e1b;#1;#EESC|422833ec-8d7e-4e65-8e4e-8bed07ffb729;#8;#FR|d2afafd3-4c81-4f60-8f52-ee33f2f54ff3</vt:lpwstr>
  </property>
  <property fmtid="{D5CDD505-2E9C-101B-9397-08002B2CF9AE}" pid="21" name="DocumentLanguage_0">
    <vt:lpwstr>EN|f2175f21-25d7-44a3-96da-d6a61b075e1b</vt:lpwstr>
  </property>
  <property fmtid="{D5CDD505-2E9C-101B-9397-08002B2CF9AE}" pid="22" name="DocumentStatus_0">
    <vt:lpwstr>TRA|150d2a88-1431-44e6-a8ca-0bb753ab8672</vt:lpwstr>
  </property>
  <property fmtid="{D5CDD505-2E9C-101B-9397-08002B2CF9AE}" pid="23" name="OriginalLanguage_0">
    <vt:lpwstr>EN|f2175f21-25d7-44a3-96da-d6a61b075e1b</vt:lpwstr>
  </property>
  <property fmtid="{D5CDD505-2E9C-101B-9397-08002B2CF9AE}" pid="24" name="AvailableTranslations_0">
    <vt:lpwstr>EN|f2175f21-25d7-44a3-96da-d6a61b075e1b;DE|f6b31e5a-26fa-4935-b661-318e46daf27e;FR|d2afafd3-4c81-4f60-8f52-ee33f2f54ff3</vt:lpwstr>
  </property>
  <property fmtid="{D5CDD505-2E9C-101B-9397-08002B2CF9AE}" pid="25" name="VersionStatus_0">
    <vt:lpwstr>Final|ea5e6674-7b27-4bac-b091-73adbb394efe</vt:lpwstr>
  </property>
  <property fmtid="{D5CDD505-2E9C-101B-9397-08002B2CF9AE}" pid="27" name="FicheNumber">
    <vt:i4>5231</vt:i4>
  </property>
  <property fmtid="{D5CDD505-2E9C-101B-9397-08002B2CF9AE}" pid="28" name="DocumentYear">
    <vt:i4>2018</vt:i4>
  </property>
  <property fmtid="{D5CDD505-2E9C-101B-9397-08002B2CF9AE}" pid="29" name="_dlc_DocIdItemGuid">
    <vt:lpwstr>317525bd-bb76-4c11-b512-60fca7384101</vt:lpwstr>
  </property>
  <property fmtid="{D5CDD505-2E9C-101B-9397-08002B2CF9AE}" pid="31" name="DocumentPart">
    <vt:i4>0</vt:i4>
  </property>
  <property fmtid="{D5CDD505-2E9C-101B-9397-08002B2CF9AE}" pid="33" name="RequestingService">
    <vt:lpwstr>Agriculture, développement rural et environnement</vt:lpwstr>
  </property>
  <property fmtid="{D5CDD505-2E9C-101B-9397-08002B2CF9AE}" pid="34" name="AvailableTranslations">
    <vt:lpwstr>4;#EN|f2175f21-25d7-44a3-96da-d6a61b075e1b;#20;#PL|1e03da61-4678-4e07-b136-b5024ca9197b;#27;#DE|f6b31e5a-26fa-4935-b661-318e46daf27e;#8;#FR|d2afafd3-4c81-4f60-8f52-ee33f2f54ff3</vt:lpwstr>
  </property>
  <property fmtid="{D5CDD505-2E9C-101B-9397-08002B2CF9AE}" pid="35" name="MeetingNumber">
    <vt:i4>66</vt:i4>
  </property>
  <property fmtid="{D5CDD505-2E9C-101B-9397-08002B2CF9AE}" pid="36" name="DossierName_0">
    <vt:lpwstr/>
  </property>
  <property fmtid="{D5CDD505-2E9C-101B-9397-08002B2CF9AE}" pid="37" name="DocumentStatus">
    <vt:lpwstr>7;#TRA|150d2a88-1431-44e6-a8ca-0bb753ab8672</vt:lpwstr>
  </property>
  <property fmtid="{D5CDD505-2E9C-101B-9397-08002B2CF9AE}" pid="38" name="DossierName">
    <vt:lpwstr/>
  </property>
  <property fmtid="{D5CDD505-2E9C-101B-9397-08002B2CF9AE}" pid="39" name="DocumentSource">
    <vt:lpwstr>1;#EESC|422833ec-8d7e-4e65-8e4e-8bed07ffb729</vt:lpwstr>
  </property>
  <property fmtid="{D5CDD505-2E9C-101B-9397-08002B2CF9AE}" pid="41" name="DocumentType">
    <vt:lpwstr>25;#TCD|cd9d6eb6-3f4f-424a-b2d1-57c9d450eaaf</vt:lpwstr>
  </property>
  <property fmtid="{D5CDD505-2E9C-101B-9397-08002B2CF9AE}" pid="42" name="Confidentiality">
    <vt:lpwstr>5;#Unrestricted|826e22d7-d029-4ec0-a450-0c28ff673572</vt:lpwstr>
  </property>
  <property fmtid="{D5CDD505-2E9C-101B-9397-08002B2CF9AE}" pid="43" name="MeetingName_0">
    <vt:lpwstr>SDO|f24a1fde-f224-4565-8121-6560ec428671</vt:lpwstr>
  </property>
  <property fmtid="{D5CDD505-2E9C-101B-9397-08002B2CF9AE}" pid="44" name="DocumentLanguage">
    <vt:lpwstr>20;#PL|1e03da61-4678-4e07-b136-b5024ca9197b</vt:lpwstr>
  </property>
  <property fmtid="{D5CDD505-2E9C-101B-9397-08002B2CF9AE}" pid="45" name="OriginalLanguage">
    <vt:lpwstr>4;#EN|f2175f21-25d7-44a3-96da-d6a61b075e1b</vt:lpwstr>
  </property>
  <property fmtid="{D5CDD505-2E9C-101B-9397-08002B2CF9AE}" pid="46" name="MeetingName">
    <vt:lpwstr>65;#SDO|f24a1fde-f224-4565-8121-6560ec428671</vt:lpwstr>
  </property>
  <property fmtid="{D5CDD505-2E9C-101B-9397-08002B2CF9AE}" pid="47" name="MeetingDate">
    <vt:filetime>2019-06-11T12:00:00Z</vt:filetime>
  </property>
  <property fmtid="{D5CDD505-2E9C-101B-9397-08002B2CF9AE}" pid="48" name="VersionStatus">
    <vt:lpwstr>6;#Final|ea5e6674-7b27-4bac-b091-73adbb394efe</vt:lpwstr>
  </property>
  <property fmtid="{D5CDD505-2E9C-101B-9397-08002B2CF9AE}" pid="49" name="_docset_NoMedatataSyncRequired">
    <vt:lpwstr>False</vt:lpwstr>
  </property>
</Properties>
</file>