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7653B" w14:textId="48C39769" w:rsidR="00C46868" w:rsidRPr="006F2544" w:rsidRDefault="00E61762" w:rsidP="00F65EBA">
      <w:pPr>
        <w:jc w:val="center"/>
        <w:rPr>
          <w:rFonts w:ascii="Cambria" w:hAnsi="Cambria"/>
        </w:rPr>
      </w:pPr>
      <w:bookmarkStart w:id="0" w:name="_GoBack"/>
      <w:bookmarkEnd w:id="0"/>
      <w:r w:rsidRPr="006F2544">
        <w:rPr>
          <w:rFonts w:ascii="Cambria" w:hAnsi="Cambria"/>
          <w:noProof/>
          <w:sz w:val="20"/>
          <w:lang w:eastAsia="en-GB"/>
        </w:rPr>
        <mc:AlternateContent>
          <mc:Choice Requires="wps">
            <w:drawing>
              <wp:anchor distT="0" distB="0" distL="114300" distR="114300" simplePos="0" relativeHeight="251659264" behindDoc="1" locked="0" layoutInCell="0" allowOverlap="1" wp14:anchorId="2D2E1010" wp14:editId="67D9B0D4">
                <wp:simplePos x="0" y="0"/>
                <wp:positionH relativeFrom="page">
                  <wp:posOffset>6767830</wp:posOffset>
                </wp:positionH>
                <wp:positionV relativeFrom="page">
                  <wp:posOffset>10079990</wp:posOffset>
                </wp:positionV>
                <wp:extent cx="647700" cy="396240"/>
                <wp:effectExtent l="0" t="0" r="0" b="381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57F005" w14:textId="77777777" w:rsidR="00E61762" w:rsidRPr="00E61762" w:rsidRDefault="00E61762" w:rsidP="00E61762">
                            <w:pPr>
                              <w:jc w:val="center"/>
                              <w:rPr>
                                <w:rFonts w:ascii="Arial" w:hAnsi="Arial" w:cs="Arial"/>
                                <w:b/>
                                <w:bCs/>
                                <w:sz w:val="48"/>
                              </w:rPr>
                            </w:pPr>
                            <w:r w:rsidRPr="00E61762">
                              <w:rPr>
                                <w:rFonts w:ascii="Arial" w:hAnsi="Arial" w:cs="Arial"/>
                                <w:b/>
                                <w:bCs/>
                                <w:sz w:val="48"/>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2E1010" id="_x0000_t202" coordsize="21600,21600" o:spt="202" path="m,l,21600r21600,l21600,xe">
                <v:stroke joinstyle="miter"/>
                <v:path gradientshapeok="t" o:connecttype="rect"/>
              </v:shapetype>
              <v:shape id="Text Box 17"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" o:allowincell="f" filled="f" stroked="f">
                <v:textbox>
                  <w:txbxContent>
                    <w:p w14:paraId="1C57F005" w14:textId="77777777" w:rsidR="00E61762" w:rsidRPr="00E61762" w:rsidRDefault="00E61762" w:rsidP="00E61762">
                      <w:pPr>
                        <w:jc w:val="center"/>
                        <w:rPr>
                          <w:rFonts w:ascii="Arial" w:hAnsi="Arial" w:cs="Arial"/>
                          <w:b/>
                          <w:bCs/>
                          <w:sz w:val="48"/>
                        </w:rPr>
                      </w:pPr>
                      <w:r w:rsidRPr="00E61762">
                        <w:rPr>
                          <w:rFonts w:ascii="Arial" w:hAnsi="Arial" w:cs="Arial"/>
                          <w:b/>
                          <w:bCs/>
                          <w:sz w:val="48"/>
                        </w:rPr>
                        <w:t>EN</w:t>
                      </w:r>
                    </w:p>
                  </w:txbxContent>
                </v:textbox>
                <w10:wrap anchorx="page" anchory="page"/>
              </v:shape>
            </w:pict>
          </mc:Fallback>
        </mc:AlternateContent>
      </w:r>
      <w:r w:rsidR="002730D1" w:rsidRPr="006F2544">
        <w:rPr>
          <w:rFonts w:ascii="Cambria" w:hAnsi="Cambria"/>
          <w:noProof/>
          <w:lang w:eastAsia="en-GB"/>
        </w:rPr>
        <w:drawing>
          <wp:inline distT="0" distB="0" distL="0" distR="0" wp14:anchorId="3A1E2B7D" wp14:editId="5319B595">
            <wp:extent cx="882650" cy="55689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12">
                      <a:extLst/>
                    </a:blip>
                    <a:stretch>
                      <a:fillRect/>
                    </a:stretch>
                  </pic:blipFill>
                  <pic:spPr>
                    <a:xfrm>
                      <a:off x="0" y="0"/>
                      <a:ext cx="882650" cy="556895"/>
                    </a:xfrm>
                    <a:prstGeom prst="rect">
                      <a:avLst/>
                    </a:prstGeom>
                    <a:ln w="12700" cap="flat">
                      <a:noFill/>
                      <a:miter lim="400000"/>
                    </a:ln>
                    <a:effectLst/>
                  </pic:spPr>
                </pic:pic>
              </a:graphicData>
            </a:graphic>
          </wp:inline>
        </w:drawing>
      </w:r>
    </w:p>
    <w:p w14:paraId="7B433CBB" w14:textId="77777777" w:rsidR="00C46868" w:rsidRPr="006F2544" w:rsidRDefault="002730D1" w:rsidP="00063A55">
      <w:pPr>
        <w:jc w:val="center"/>
        <w:rPr>
          <w:rFonts w:ascii="Arial" w:hAnsi="Arial" w:cs="Arial"/>
          <w:b/>
          <w:i/>
          <w:sz w:val="20"/>
        </w:rPr>
      </w:pPr>
      <w:r w:rsidRPr="006F2544">
        <w:rPr>
          <w:rFonts w:ascii="Arial" w:hAnsi="Arial" w:cs="Arial"/>
          <w:b/>
          <w:i/>
          <w:sz w:val="20"/>
        </w:rPr>
        <w:t>European Economic and Social Committee</w:t>
      </w:r>
    </w:p>
    <w:p w14:paraId="5D7DC9E4" w14:textId="77777777" w:rsidR="00C46868" w:rsidRPr="006F2544" w:rsidRDefault="002730D1" w:rsidP="00063A55">
      <w:pPr>
        <w:jc w:val="center"/>
        <w:rPr>
          <w:rFonts w:ascii="Cambria" w:hAnsi="Cambria"/>
          <w:b/>
          <w:i/>
          <w:sz w:val="20"/>
        </w:rPr>
      </w:pPr>
      <w:r w:rsidRPr="006F2544">
        <w:rPr>
          <w:rFonts w:ascii="Arial" w:hAnsi="Arial" w:cs="Arial"/>
          <w:b/>
          <w:i/>
          <w:sz w:val="20"/>
        </w:rPr>
        <w:t>Sustainable Development Observatory</w:t>
      </w:r>
    </w:p>
    <w:p w14:paraId="3DB728B0" w14:textId="77777777" w:rsidR="001F0859" w:rsidRPr="006F2544" w:rsidRDefault="001F0859" w:rsidP="00063A55">
      <w:pPr>
        <w:rPr>
          <w:sz w:val="20"/>
        </w:rPr>
        <w:sectPr w:rsidR="001F0859" w:rsidRPr="006F2544" w:rsidSect="006F2544">
          <w:headerReference w:type="even" r:id="rId13"/>
          <w:headerReference w:type="default" r:id="rId14"/>
          <w:footerReference w:type="even" r:id="rId15"/>
          <w:footerReference w:type="default" r:id="rId16"/>
          <w:headerReference w:type="first" r:id="rId17"/>
          <w:footerReference w:type="first" r:id="rId18"/>
          <w:pgSz w:w="11900" w:h="16840" w:code="9"/>
          <w:pgMar w:top="1417" w:right="1417" w:bottom="1417" w:left="1417" w:header="709" w:footer="709" w:gutter="0"/>
          <w:pgNumType w:start="1"/>
          <w:cols w:space="720"/>
          <w:docGrid w:linePitch="299"/>
        </w:sectPr>
      </w:pPr>
    </w:p>
    <w:p w14:paraId="36A0C141" w14:textId="77777777" w:rsidR="00063A55" w:rsidRPr="006F2544" w:rsidRDefault="00063A55" w:rsidP="00063A55"/>
    <w:p w14:paraId="5022A1DF" w14:textId="74B0F338" w:rsidR="00063A55" w:rsidRPr="006F2544" w:rsidRDefault="00063A55" w:rsidP="00063A55">
      <w:pPr>
        <w:jc w:val="right"/>
      </w:pPr>
      <w:r w:rsidRPr="006F2544">
        <w:t xml:space="preserve">Brussels, </w:t>
      </w:r>
      <w:r w:rsidR="003333CB" w:rsidRPr="006F2544">
        <w:t>20 May 2019</w:t>
      </w:r>
    </w:p>
    <w:p w14:paraId="5BA8B7E2" w14:textId="77777777" w:rsidR="00063A55" w:rsidRPr="006F2544" w:rsidRDefault="00063A55" w:rsidP="00063A55">
      <w:pPr>
        <w:jc w:val="right"/>
        <w:rPr>
          <w:rFonts w:eastAsia="Cambria"/>
          <w:u w:color="000000"/>
          <w:bdr w:val="nil"/>
          <w:lang w:eastAsia="en-GB"/>
        </w:rPr>
      </w:pPr>
    </w:p>
    <w:p w14:paraId="72A34B11" w14:textId="77777777" w:rsidR="00A82756" w:rsidRPr="006F2544" w:rsidRDefault="00541EBD" w:rsidP="00063A55">
      <w:pPr>
        <w:jc w:val="center"/>
        <w:rPr>
          <w:b/>
          <w:bCs/>
          <w:sz w:val="24"/>
          <w:szCs w:val="24"/>
        </w:rPr>
      </w:pPr>
      <w:r w:rsidRPr="006F2544">
        <w:rPr>
          <w:b/>
          <w:sz w:val="24"/>
          <w:szCs w:val="24"/>
        </w:rPr>
        <w:t xml:space="preserve">SDO work programme/roadmap </w:t>
      </w:r>
      <w:r w:rsidR="000D1E62" w:rsidRPr="006F2544">
        <w:rPr>
          <w:b/>
          <w:sz w:val="24"/>
          <w:szCs w:val="24"/>
        </w:rPr>
        <w:t>2018</w:t>
      </w:r>
      <w:r w:rsidR="000D1E62" w:rsidRPr="006F2544">
        <w:rPr>
          <w:b/>
          <w:bCs/>
          <w:sz w:val="24"/>
          <w:szCs w:val="24"/>
        </w:rPr>
        <w:t>–2020</w:t>
      </w:r>
    </w:p>
    <w:p w14:paraId="7D83AF94" w14:textId="77777777" w:rsidR="006966B2" w:rsidRPr="006F2544" w:rsidRDefault="006966B2" w:rsidP="00063A55">
      <w:pPr>
        <w:rPr>
          <w:b/>
        </w:rPr>
      </w:pPr>
    </w:p>
    <w:p w14:paraId="3FF3A9E4" w14:textId="08833726" w:rsidR="00F6257C" w:rsidRPr="006F2544" w:rsidRDefault="00F6257C" w:rsidP="00F6257C">
      <w:pPr>
        <w:rPr>
          <w:iCs/>
          <w:bdr w:val="none" w:sz="0" w:space="0" w:color="auto" w:frame="1"/>
        </w:rPr>
      </w:pPr>
      <w:r w:rsidRPr="006F2544">
        <w:rPr>
          <w:iCs/>
          <w:bdr w:val="none" w:sz="0" w:space="0" w:color="auto" w:frame="1"/>
        </w:rPr>
        <w:t>The purpose of this document is to provide a strategic framework for the Sustainable Development Observatory (SDO) for the next two and a half years. Its ambition is not to implement every single action listed under the different working priorities, but rather to set in motion a process that may continue after 2020.</w:t>
      </w:r>
    </w:p>
    <w:p w14:paraId="01C963AD" w14:textId="77777777" w:rsidR="00F6257C" w:rsidRPr="006F2544" w:rsidRDefault="00F6257C" w:rsidP="00063A55">
      <w:pPr>
        <w:rPr>
          <w:b/>
        </w:rPr>
      </w:pPr>
    </w:p>
    <w:p w14:paraId="2601A124" w14:textId="2FD9BDB8" w:rsidR="00387611" w:rsidRPr="006F2544" w:rsidRDefault="006D2595" w:rsidP="00063A55">
      <w:pPr>
        <w:rPr>
          <w:b/>
        </w:rPr>
      </w:pPr>
      <w:r w:rsidRPr="006F2544">
        <w:rPr>
          <w:b/>
        </w:rPr>
        <w:t>INTRODUCTION</w:t>
      </w:r>
    </w:p>
    <w:p w14:paraId="5697CA56" w14:textId="77777777" w:rsidR="00CE0E53" w:rsidRPr="006F2544" w:rsidRDefault="00CE0E53" w:rsidP="00063A55"/>
    <w:p w14:paraId="4DC1EAB9" w14:textId="44A0F816" w:rsidR="00541EBD" w:rsidRPr="006F2544" w:rsidRDefault="00F90B57" w:rsidP="00063A55">
      <w:r w:rsidRPr="006F2544">
        <w:t xml:space="preserve">The adoption of the UN Sustainable Development Goals in 2015 represents a turning point in the way the international community has decided to tackle global issues </w:t>
      </w:r>
      <w:r w:rsidR="0090401C" w:rsidRPr="006F2544">
        <w:t xml:space="preserve">by </w:t>
      </w:r>
      <w:r w:rsidR="0090401C" w:rsidRPr="006F2544">
        <w:rPr>
          <w:b/>
        </w:rPr>
        <w:t>bringing together</w:t>
      </w:r>
      <w:r w:rsidRPr="006F2544">
        <w:rPr>
          <w:b/>
        </w:rPr>
        <w:t xml:space="preserve"> economic, envir</w:t>
      </w:r>
      <w:r w:rsidR="0090401C" w:rsidRPr="006F2544">
        <w:rPr>
          <w:b/>
        </w:rPr>
        <w:t>onmental and social dimensions in an integrated manner</w:t>
      </w:r>
      <w:r w:rsidR="0090401C" w:rsidRPr="006F2544">
        <w:t>. It was acknowledged that multifaceted and complex problems, such as climate change, access to clean water, urbanisation, poverty, hunger etc.</w:t>
      </w:r>
      <w:r w:rsidR="000D6AB9" w:rsidRPr="006F2544">
        <w:t>,</w:t>
      </w:r>
      <w:r w:rsidR="0090401C" w:rsidRPr="006F2544">
        <w:t xml:space="preserve"> could only be addressed with a holistic approach</w:t>
      </w:r>
      <w:r w:rsidR="002975D3" w:rsidRPr="006F2544">
        <w:t>,</w:t>
      </w:r>
      <w:r w:rsidR="0090401C" w:rsidRPr="006F2544">
        <w:t xml:space="preserve"> going beyond the aim of achieving economic growth at </w:t>
      </w:r>
      <w:r w:rsidR="006234BC" w:rsidRPr="006F2544">
        <w:t xml:space="preserve">social and environmental </w:t>
      </w:r>
      <w:r w:rsidR="0090401C" w:rsidRPr="006F2544">
        <w:t xml:space="preserve">costs. </w:t>
      </w:r>
      <w:r w:rsidR="006234BC" w:rsidRPr="006F2544">
        <w:t xml:space="preserve">It is becoming clearer that using GDP as the sole indicator to measure wealth has led to the development of policies that have exacerbated social inequalities and environmental degradation. </w:t>
      </w:r>
      <w:r w:rsidR="001A06C7" w:rsidRPr="006F2544">
        <w:t>The 17 SDGs and</w:t>
      </w:r>
      <w:r w:rsidR="0084354B" w:rsidRPr="006F2544">
        <w:t xml:space="preserve"> the</w:t>
      </w:r>
      <w:r w:rsidR="001A06C7" w:rsidRPr="006F2544">
        <w:t xml:space="preserve"> related </w:t>
      </w:r>
      <w:r w:rsidR="0084354B" w:rsidRPr="006F2544">
        <w:t>230</w:t>
      </w:r>
      <w:r w:rsidR="00063A55" w:rsidRPr="006F2544">
        <w:t> </w:t>
      </w:r>
      <w:r w:rsidR="001A06C7" w:rsidRPr="006F2544">
        <w:t>indicators offer an opportunity to create a new narrative which would benefit all.</w:t>
      </w:r>
    </w:p>
    <w:p w14:paraId="23568B15" w14:textId="77777777" w:rsidR="001A06C7" w:rsidRPr="006F2544" w:rsidRDefault="001A06C7" w:rsidP="00063A55"/>
    <w:p w14:paraId="4A22703B" w14:textId="052DD516" w:rsidR="00F90B57" w:rsidRPr="006F2544" w:rsidRDefault="001A06C7" w:rsidP="00063A55">
      <w:r w:rsidRPr="006F2544">
        <w:t>In this context, the</w:t>
      </w:r>
      <w:r w:rsidR="00541EBD" w:rsidRPr="006F2544">
        <w:t xml:space="preserve"> Sustainable Development Observatory (SDO) should seize the opportunity of the </w:t>
      </w:r>
      <w:r w:rsidR="00B60B57" w:rsidRPr="006F2544">
        <w:t xml:space="preserve">2030 SD Agenda and the </w:t>
      </w:r>
      <w:r w:rsidR="00541EBD" w:rsidRPr="006F2544">
        <w:t xml:space="preserve">international and EU </w:t>
      </w:r>
      <w:r w:rsidRPr="006F2544">
        <w:t>commitment</w:t>
      </w:r>
      <w:r w:rsidR="0084354B" w:rsidRPr="006F2544">
        <w:t>s</w:t>
      </w:r>
      <w:r w:rsidR="00541EBD" w:rsidRPr="006F2544">
        <w:t xml:space="preserve"> to implement the SDGs to promote the idea of </w:t>
      </w:r>
      <w:r w:rsidR="00B60B57" w:rsidRPr="006F2544">
        <w:t xml:space="preserve">a </w:t>
      </w:r>
      <w:r w:rsidR="00541EBD" w:rsidRPr="006F2544">
        <w:t>"</w:t>
      </w:r>
      <w:r w:rsidR="002A68BD" w:rsidRPr="006F2544">
        <w:rPr>
          <w:b/>
        </w:rPr>
        <w:t>sustainable</w:t>
      </w:r>
      <w:r w:rsidR="002A68BD" w:rsidRPr="006F2544">
        <w:t xml:space="preserve"> </w:t>
      </w:r>
      <w:r w:rsidR="00E92820" w:rsidRPr="006F2544">
        <w:rPr>
          <w:b/>
        </w:rPr>
        <w:t>development</w:t>
      </w:r>
      <w:r w:rsidR="00541EBD" w:rsidRPr="006F2544">
        <w:t xml:space="preserve">", i.e. </w:t>
      </w:r>
      <w:r w:rsidR="00E92820" w:rsidRPr="006F2544">
        <w:t xml:space="preserve">development </w:t>
      </w:r>
      <w:r w:rsidR="00541EBD" w:rsidRPr="006F2544">
        <w:t xml:space="preserve">that </w:t>
      </w:r>
      <w:r w:rsidR="00005F99" w:rsidRPr="006F2544">
        <w:t>create</w:t>
      </w:r>
      <w:r w:rsidR="006234BC" w:rsidRPr="006F2544">
        <w:t>s</w:t>
      </w:r>
      <w:r w:rsidR="00005F99" w:rsidRPr="006F2544">
        <w:t xml:space="preserve"> conditions for long term prosperity</w:t>
      </w:r>
      <w:r w:rsidR="001D52ED" w:rsidRPr="006F2544">
        <w:t xml:space="preserve"> </w:t>
      </w:r>
      <w:r w:rsidR="003E3788" w:rsidRPr="006F2544">
        <w:t xml:space="preserve">giving equal importance to the three pillars: economic, social and environmental. Such </w:t>
      </w:r>
      <w:r w:rsidR="002A68BD" w:rsidRPr="006F2544">
        <w:t xml:space="preserve">sustainable </w:t>
      </w:r>
      <w:r w:rsidR="00E92820" w:rsidRPr="006F2544">
        <w:t xml:space="preserve">development </w:t>
      </w:r>
      <w:r w:rsidR="006234BC" w:rsidRPr="006F2544">
        <w:t xml:space="preserve">can </w:t>
      </w:r>
      <w:r w:rsidR="00541EBD" w:rsidRPr="006F2544">
        <w:t xml:space="preserve">be beneficial </w:t>
      </w:r>
      <w:r w:rsidR="00046C53" w:rsidRPr="006F2544">
        <w:t xml:space="preserve">to </w:t>
      </w:r>
      <w:r w:rsidR="00541EBD" w:rsidRPr="006F2544">
        <w:t>civil society</w:t>
      </w:r>
      <w:r w:rsidR="00197545" w:rsidRPr="006F2544">
        <w:t xml:space="preserve"> </w:t>
      </w:r>
      <w:r w:rsidR="000C6E44" w:rsidRPr="006F2544">
        <w:t>as a whole</w:t>
      </w:r>
      <w:r w:rsidR="003557C2" w:rsidRPr="006F2544">
        <w:t>,</w:t>
      </w:r>
      <w:r w:rsidR="00541EBD" w:rsidRPr="006F2544">
        <w:t xml:space="preserve"> including businesses </w:t>
      </w:r>
      <w:r w:rsidR="00B80873" w:rsidRPr="006F2544">
        <w:t>(large</w:t>
      </w:r>
      <w:r w:rsidR="006027A5" w:rsidRPr="006F2544">
        <w:t xml:space="preserve"> and small</w:t>
      </w:r>
      <w:r w:rsidR="00B80873" w:rsidRPr="006F2544">
        <w:t>),</w:t>
      </w:r>
      <w:r w:rsidR="006027A5" w:rsidRPr="006F2544">
        <w:t xml:space="preserve"> </w:t>
      </w:r>
      <w:r w:rsidR="00541EBD" w:rsidRPr="006F2544">
        <w:t xml:space="preserve">workers, consumers, farmers, </w:t>
      </w:r>
      <w:r w:rsidR="00D64128" w:rsidRPr="006F2544">
        <w:t xml:space="preserve">NGOs, </w:t>
      </w:r>
      <w:r w:rsidR="00B80873" w:rsidRPr="006F2544">
        <w:t xml:space="preserve">and </w:t>
      </w:r>
      <w:r w:rsidR="000429CC" w:rsidRPr="006F2544">
        <w:t xml:space="preserve">citizens of all ages, and would therefore </w:t>
      </w:r>
      <w:r w:rsidR="00782F3B" w:rsidRPr="006F2544">
        <w:t>"</w:t>
      </w:r>
      <w:r w:rsidR="000429CC" w:rsidRPr="006F2544">
        <w:t>leave no one behind</w:t>
      </w:r>
      <w:r w:rsidR="00782F3B" w:rsidRPr="006F2544">
        <w:t>"</w:t>
      </w:r>
      <w:r w:rsidR="00541EBD" w:rsidRPr="006F2544">
        <w:t xml:space="preserve">. </w:t>
      </w:r>
      <w:r w:rsidR="002A68BD" w:rsidRPr="006F2544">
        <w:t xml:space="preserve">Sustainable </w:t>
      </w:r>
      <w:r w:rsidR="00E92820" w:rsidRPr="006F2544">
        <w:t>development</w:t>
      </w:r>
      <w:r w:rsidR="00E92820" w:rsidRPr="006F2544" w:rsidDel="00E92820">
        <w:t xml:space="preserve"> </w:t>
      </w:r>
      <w:r w:rsidR="000955AC" w:rsidRPr="006F2544">
        <w:t>is to be</w:t>
      </w:r>
      <w:r w:rsidR="00051E8C" w:rsidRPr="006F2544">
        <w:t xml:space="preserve"> see</w:t>
      </w:r>
      <w:r w:rsidR="000955AC" w:rsidRPr="006F2544">
        <w:t>n</w:t>
      </w:r>
      <w:r w:rsidR="00051E8C" w:rsidRPr="006F2544">
        <w:t xml:space="preserve"> as a way to preserve the ecosystem's capacity to deliver resources while creating jobs and new opportunities for </w:t>
      </w:r>
      <w:r w:rsidR="00224B12" w:rsidRPr="006F2544">
        <w:t>economic returns</w:t>
      </w:r>
      <w:r w:rsidR="00371635" w:rsidRPr="006F2544">
        <w:t xml:space="preserve"> by enabling sustainable business activities</w:t>
      </w:r>
      <w:r w:rsidR="00224B12" w:rsidRPr="006F2544">
        <w:t xml:space="preserve">. </w:t>
      </w:r>
      <w:r w:rsidRPr="006F2544">
        <w:t xml:space="preserve">Many </w:t>
      </w:r>
      <w:r w:rsidR="0018512A" w:rsidRPr="006F2544">
        <w:t xml:space="preserve">advanced </w:t>
      </w:r>
      <w:r w:rsidRPr="006F2544">
        <w:t xml:space="preserve">civil society initiatives already exist, especially at local </w:t>
      </w:r>
      <w:r w:rsidR="00B60B57" w:rsidRPr="006F2544">
        <w:t xml:space="preserve">and community </w:t>
      </w:r>
      <w:r w:rsidRPr="006F2544">
        <w:t xml:space="preserve">level, to </w:t>
      </w:r>
      <w:r w:rsidR="00B60B57" w:rsidRPr="006F2544">
        <w:t xml:space="preserve">apply </w:t>
      </w:r>
      <w:r w:rsidRPr="006F2544">
        <w:t>integrated sustainable development plans</w:t>
      </w:r>
      <w:r w:rsidR="00046C53" w:rsidRPr="006F2544">
        <w:t xml:space="preserve"> and projects. </w:t>
      </w:r>
      <w:r w:rsidR="0018512A" w:rsidRPr="006F2544">
        <w:t xml:space="preserve">The majority of these projects have </w:t>
      </w:r>
      <w:r w:rsidR="00B60B57" w:rsidRPr="006F2544">
        <w:t>specific policy objectives</w:t>
      </w:r>
      <w:r w:rsidR="00EF1A72" w:rsidRPr="006F2544">
        <w:t>,</w:t>
      </w:r>
      <w:r w:rsidR="00B60B57" w:rsidRPr="006F2544">
        <w:t xml:space="preserve"> </w:t>
      </w:r>
      <w:r w:rsidRPr="006F2544">
        <w:t xml:space="preserve">such as </w:t>
      </w:r>
      <w:r w:rsidR="00EF1A72" w:rsidRPr="006F2544">
        <w:t xml:space="preserve">on </w:t>
      </w:r>
      <w:r w:rsidR="0018512A" w:rsidRPr="006F2544">
        <w:t xml:space="preserve">sustainable </w:t>
      </w:r>
      <w:r w:rsidRPr="006F2544">
        <w:t xml:space="preserve">food or mobility. The </w:t>
      </w:r>
      <w:r w:rsidR="00B60B57" w:rsidRPr="006F2544">
        <w:t>number of these initiatives is growing fast and reveal</w:t>
      </w:r>
      <w:r w:rsidR="00223460" w:rsidRPr="006F2544">
        <w:t>s</w:t>
      </w:r>
      <w:r w:rsidR="00B60B57" w:rsidRPr="006F2544">
        <w:t xml:space="preserve"> </w:t>
      </w:r>
      <w:r w:rsidR="00DE1E8F" w:rsidRPr="006F2544">
        <w:t xml:space="preserve">the emergence of new ways to create value across sectors, </w:t>
      </w:r>
      <w:r w:rsidR="00224B12" w:rsidRPr="006F2544">
        <w:t xml:space="preserve">businesses, </w:t>
      </w:r>
      <w:r w:rsidR="00DE1E8F" w:rsidRPr="006F2544">
        <w:t>territories and people.</w:t>
      </w:r>
      <w:r w:rsidR="008D2D08" w:rsidRPr="006F2544">
        <w:t xml:space="preserve"> </w:t>
      </w:r>
      <w:r w:rsidR="001D52ED" w:rsidRPr="006F2544">
        <w:t xml:space="preserve">At the same time, many business opportunities are created </w:t>
      </w:r>
      <w:r w:rsidR="00197545" w:rsidRPr="006F2544">
        <w:rPr>
          <w:u w:val="single"/>
        </w:rPr>
        <w:t>e.g.</w:t>
      </w:r>
      <w:r w:rsidR="00197545" w:rsidRPr="006F2544">
        <w:t xml:space="preserve"> </w:t>
      </w:r>
      <w:r w:rsidR="001D52ED" w:rsidRPr="006F2544">
        <w:t>by the transition to a</w:t>
      </w:r>
      <w:r w:rsidR="002A68BD" w:rsidRPr="006F2544">
        <w:t xml:space="preserve"> </w:t>
      </w:r>
      <w:r w:rsidR="001D52ED" w:rsidRPr="006F2544">
        <w:t>low carbon economy.</w:t>
      </w:r>
      <w:r w:rsidR="006234BC" w:rsidRPr="006F2544">
        <w:rPr>
          <w:color w:val="FF0000"/>
        </w:rPr>
        <w:t xml:space="preserve"> </w:t>
      </w:r>
      <w:r w:rsidR="006234BC" w:rsidRPr="006F2544">
        <w:t>Actually, businesses are also very necessary for achieving a major part of the SDGs and enabling sustainable development in general</w:t>
      </w:r>
      <w:r w:rsidR="00197545" w:rsidRPr="006F2544">
        <w:t xml:space="preserve">. </w:t>
      </w:r>
      <w:r w:rsidR="00DE1E8F" w:rsidRPr="006F2544">
        <w:t xml:space="preserve">This appetite towards new sustainable economic models is a momentum that the </w:t>
      </w:r>
      <w:r w:rsidRPr="006F2544">
        <w:t xml:space="preserve">SDO </w:t>
      </w:r>
      <w:r w:rsidR="00DE1E8F" w:rsidRPr="006F2544">
        <w:t xml:space="preserve">should aim to nurture and amplify in the next 2.5 years. The SDO should </w:t>
      </w:r>
      <w:r w:rsidRPr="006F2544">
        <w:t xml:space="preserve">call for a new type of </w:t>
      </w:r>
      <w:r w:rsidR="009031AB" w:rsidRPr="006F2544">
        <w:rPr>
          <w:b/>
        </w:rPr>
        <w:t>participatory</w:t>
      </w:r>
      <w:r w:rsidR="009031AB" w:rsidRPr="006F2544">
        <w:t xml:space="preserve"> </w:t>
      </w:r>
      <w:r w:rsidRPr="006F2544">
        <w:rPr>
          <w:b/>
        </w:rPr>
        <w:t>governance</w:t>
      </w:r>
      <w:r w:rsidRPr="006F2544">
        <w:t xml:space="preserve"> to allow </w:t>
      </w:r>
      <w:r w:rsidR="0084354B" w:rsidRPr="006F2544">
        <w:t>such</w:t>
      </w:r>
      <w:r w:rsidRPr="006F2544">
        <w:t xml:space="preserve"> initiatives to thrive and be scaled up at the regional, national and European level.</w:t>
      </w:r>
    </w:p>
    <w:p w14:paraId="26386BD7" w14:textId="77777777" w:rsidR="00F90B57" w:rsidRPr="006F2544" w:rsidRDefault="00F90B57" w:rsidP="00063A55"/>
    <w:p w14:paraId="5D8DD9DD" w14:textId="77777777" w:rsidR="008D2D08" w:rsidRPr="006F2544" w:rsidRDefault="008D2D08" w:rsidP="00063A55"/>
    <w:p w14:paraId="25EBED6C" w14:textId="77777777" w:rsidR="00224B12" w:rsidRPr="006F2544" w:rsidRDefault="0084354B" w:rsidP="00CE4FAC">
      <w:r w:rsidRPr="006F2544">
        <w:t xml:space="preserve">The </w:t>
      </w:r>
      <w:r w:rsidR="00224B12" w:rsidRPr="006F2544">
        <w:t>SDO work in the next mandate will be framed along the three following principles:</w:t>
      </w:r>
    </w:p>
    <w:p w14:paraId="66FFFE8E" w14:textId="5A8244B6" w:rsidR="00741015" w:rsidRPr="006F2544" w:rsidRDefault="00224B12" w:rsidP="00CE4FAC">
      <w:pPr>
        <w:pStyle w:val="ListParagraph"/>
        <w:numPr>
          <w:ilvl w:val="0"/>
          <w:numId w:val="20"/>
        </w:numPr>
      </w:pPr>
      <w:r w:rsidRPr="006F2544">
        <w:t xml:space="preserve">A </w:t>
      </w:r>
      <w:r w:rsidR="0084354B" w:rsidRPr="006F2544">
        <w:t xml:space="preserve">new narrative on </w:t>
      </w:r>
      <w:r w:rsidR="002A68BD" w:rsidRPr="006F2544">
        <w:t xml:space="preserve">sustainable </w:t>
      </w:r>
      <w:r w:rsidR="00E92820" w:rsidRPr="006F2544">
        <w:t>development</w:t>
      </w:r>
      <w:r w:rsidR="00015AFB">
        <w:t>,</w:t>
      </w:r>
    </w:p>
    <w:p w14:paraId="05D581E1" w14:textId="77777777" w:rsidR="000955AC" w:rsidRPr="006F2544" w:rsidRDefault="000955AC" w:rsidP="00CE4FAC">
      <w:pPr>
        <w:pStyle w:val="ListParagraph"/>
        <w:numPr>
          <w:ilvl w:val="0"/>
          <w:numId w:val="20"/>
        </w:numPr>
      </w:pPr>
      <w:r w:rsidRPr="006F2544">
        <w:t>A holistic approach in dealing with the priorities, as detailed underneath</w:t>
      </w:r>
      <w:r w:rsidR="008D2D08" w:rsidRPr="006F2544">
        <w:t>,</w:t>
      </w:r>
    </w:p>
    <w:p w14:paraId="6AE4449D" w14:textId="6468A87C" w:rsidR="00224B12" w:rsidRPr="006F2544" w:rsidRDefault="00224B12" w:rsidP="00CE4FAC">
      <w:pPr>
        <w:pStyle w:val="ListParagraph"/>
        <w:numPr>
          <w:ilvl w:val="0"/>
          <w:numId w:val="20"/>
        </w:numPr>
      </w:pPr>
      <w:r w:rsidRPr="006F2544">
        <w:t>T</w:t>
      </w:r>
      <w:r w:rsidR="0084354B" w:rsidRPr="006F2544">
        <w:t xml:space="preserve">he </w:t>
      </w:r>
      <w:r w:rsidR="00051E8C" w:rsidRPr="006F2544">
        <w:t>promotion of more civil society engagement in the conception and implementation of policies</w:t>
      </w:r>
      <w:r w:rsidR="008D2D08" w:rsidRPr="006F2544">
        <w:t>.</w:t>
      </w:r>
    </w:p>
    <w:p w14:paraId="52293DDC" w14:textId="77777777" w:rsidR="00741015" w:rsidRPr="006F2544" w:rsidRDefault="00741015" w:rsidP="00E61762"/>
    <w:p w14:paraId="49F902E3" w14:textId="4F007E04" w:rsidR="009E7BB2" w:rsidRPr="006F2544" w:rsidRDefault="00670DD6" w:rsidP="00063A55">
      <w:r w:rsidRPr="006F2544">
        <w:t>T</w:t>
      </w:r>
      <w:r w:rsidR="009E7BB2" w:rsidRPr="006F2544">
        <w:t xml:space="preserve">he SDO work will largely benefit from the fact that sustainable development is the </w:t>
      </w:r>
      <w:r w:rsidR="000D6AB9" w:rsidRPr="006F2544">
        <w:t xml:space="preserve">number one </w:t>
      </w:r>
      <w:r w:rsidR="009E7BB2" w:rsidRPr="006F2544">
        <w:t xml:space="preserve">priority of the new EESC </w:t>
      </w:r>
      <w:r w:rsidR="000D6AB9" w:rsidRPr="006F2544">
        <w:t>p</w:t>
      </w:r>
      <w:r w:rsidR="00BA2025" w:rsidRPr="006F2544">
        <w:t xml:space="preserve">resident </w:t>
      </w:r>
      <w:r w:rsidR="009E7BB2" w:rsidRPr="006F2544">
        <w:t>Luca Jahier, offering tangible opportunities to raise the visibility and</w:t>
      </w:r>
      <w:r w:rsidR="006950B3" w:rsidRPr="006F2544">
        <w:t xml:space="preserve"> political importance of the SD-</w:t>
      </w:r>
      <w:r w:rsidR="009E7BB2" w:rsidRPr="006F2544">
        <w:t>related activities of the EESC in the next period.</w:t>
      </w:r>
    </w:p>
    <w:p w14:paraId="180BD7FF" w14:textId="77777777" w:rsidR="00670DD6" w:rsidRPr="006F2544" w:rsidRDefault="00670DD6" w:rsidP="00063A55"/>
    <w:p w14:paraId="16A5D4EE" w14:textId="3E8C2677" w:rsidR="00670DD6" w:rsidRPr="006F2544" w:rsidRDefault="00670DD6" w:rsidP="00670DD6">
      <w:pPr>
        <w:pStyle w:val="ListParagraph"/>
        <w:ind w:left="0"/>
      </w:pPr>
      <w:r w:rsidRPr="006F2544">
        <w:t xml:space="preserve">In the medium term, the work of the SDO could be deployed with an internal and external dimension, to ensure that the ideas promoting a faster and better implementation of the SDGs are also taken up within the EESC structure. The internal measures required to promote SDG mainstreaming at the entire EESC level will be discussed among SDO </w:t>
      </w:r>
      <w:r w:rsidR="003333CB" w:rsidRPr="006F2544">
        <w:t>m</w:t>
      </w:r>
      <w:r w:rsidRPr="006F2544">
        <w:t>embers in early 2019 in order to ensure their full consistency with and endorsement by the concerned EESC bodies</w:t>
      </w:r>
      <w:r w:rsidR="00D654AD" w:rsidRPr="006F2544">
        <w:t xml:space="preserve"> (including by the EESC Bureau)</w:t>
      </w:r>
      <w:r w:rsidR="00015AFB">
        <w:t>.</w:t>
      </w:r>
    </w:p>
    <w:p w14:paraId="70F0A869" w14:textId="77777777" w:rsidR="007802F8" w:rsidRPr="006F2544" w:rsidRDefault="007802F8" w:rsidP="00063A55"/>
    <w:p w14:paraId="5B79BE34" w14:textId="77777777" w:rsidR="006D2595" w:rsidRPr="006F2544" w:rsidRDefault="00377891" w:rsidP="00063A55">
      <w:pPr>
        <w:rPr>
          <w:b/>
          <w:u w:val="single"/>
        </w:rPr>
      </w:pPr>
      <w:r w:rsidRPr="006F2544">
        <w:rPr>
          <w:b/>
        </w:rPr>
        <w:t>WORK PROGRAM</w:t>
      </w:r>
      <w:r w:rsidR="00063A55" w:rsidRPr="006F2544">
        <w:rPr>
          <w:b/>
        </w:rPr>
        <w:t>ME</w:t>
      </w:r>
    </w:p>
    <w:p w14:paraId="6882A6AE" w14:textId="77777777" w:rsidR="006D2595" w:rsidRPr="006F2544" w:rsidRDefault="006D2595" w:rsidP="00063A55"/>
    <w:p w14:paraId="77416096" w14:textId="77777777" w:rsidR="006D2595" w:rsidRPr="006F2544" w:rsidRDefault="006D2595" w:rsidP="00063A55">
      <w:pPr>
        <w:pBdr>
          <w:top w:val="single" w:sz="4" w:space="1" w:color="auto"/>
          <w:left w:val="single" w:sz="4" w:space="4" w:color="auto"/>
          <w:bottom w:val="single" w:sz="4" w:space="1" w:color="auto"/>
          <w:right w:val="single" w:sz="4" w:space="4" w:color="auto"/>
        </w:pBdr>
        <w:rPr>
          <w:b/>
        </w:rPr>
      </w:pPr>
      <w:r w:rsidRPr="006F2544">
        <w:rPr>
          <w:b/>
        </w:rPr>
        <w:t xml:space="preserve">General objective: </w:t>
      </w:r>
      <w:r w:rsidR="0087779D" w:rsidRPr="006F2544">
        <w:rPr>
          <w:b/>
        </w:rPr>
        <w:t>Establish the SDGs as an overall strategy of the EU</w:t>
      </w:r>
    </w:p>
    <w:p w14:paraId="2223529B" w14:textId="77777777" w:rsidR="006D2595" w:rsidRPr="006F2544" w:rsidRDefault="006D2595" w:rsidP="00063A55"/>
    <w:p w14:paraId="4024BE61" w14:textId="135B570D" w:rsidR="00207A61" w:rsidRPr="006F2544" w:rsidRDefault="00207A61" w:rsidP="00063A55">
      <w:r w:rsidRPr="006F2544">
        <w:t xml:space="preserve">In </w:t>
      </w:r>
      <w:r w:rsidR="00223460" w:rsidRPr="006F2544">
        <w:t>its</w:t>
      </w:r>
      <w:r w:rsidRPr="006F2544">
        <w:t xml:space="preserve"> 2018-2020</w:t>
      </w:r>
      <w:r w:rsidR="00223460" w:rsidRPr="006F2544">
        <w:t xml:space="preserve"> mandate</w:t>
      </w:r>
      <w:r w:rsidRPr="006F2544">
        <w:t xml:space="preserve">, the SDO </w:t>
      </w:r>
      <w:r w:rsidR="0033386E" w:rsidRPr="006F2544">
        <w:t>will</w:t>
      </w:r>
      <w:r w:rsidRPr="006F2544">
        <w:t xml:space="preserve"> continue to </w:t>
      </w:r>
      <w:r w:rsidR="008F3BAC" w:rsidRPr="006F2544">
        <w:t>push for an effect</w:t>
      </w:r>
      <w:r w:rsidR="001B62DB" w:rsidRPr="006F2544">
        <w:t xml:space="preserve">ive implementation of the SDGs and its corollary, the adoption of </w:t>
      </w:r>
      <w:r w:rsidR="008F3BAC" w:rsidRPr="006F2544">
        <w:t xml:space="preserve">a robust and ambitious EU SD Strategy. </w:t>
      </w:r>
      <w:r w:rsidR="00C56274" w:rsidRPr="006F2544">
        <w:t xml:space="preserve">Considerable </w:t>
      </w:r>
      <w:r w:rsidR="001829C4" w:rsidRPr="006F2544">
        <w:t xml:space="preserve">efforts will be </w:t>
      </w:r>
      <w:r w:rsidR="00C56274" w:rsidRPr="006F2544">
        <w:t xml:space="preserve">made </w:t>
      </w:r>
      <w:r w:rsidR="00660750" w:rsidRPr="006F2544">
        <w:t xml:space="preserve">to promote these two essential objectives through more collaborative working across </w:t>
      </w:r>
      <w:r w:rsidR="008A2421" w:rsidRPr="006F2544">
        <w:t>s</w:t>
      </w:r>
      <w:r w:rsidR="00660750" w:rsidRPr="006F2544">
        <w:t>ections, CCMI and observatories. M</w:t>
      </w:r>
      <w:r w:rsidR="001829C4" w:rsidRPr="006F2544">
        <w:t>ainstreaming topical and important policy issues</w:t>
      </w:r>
      <w:r w:rsidR="00C56274" w:rsidRPr="006F2544">
        <w:t>,</w:t>
      </w:r>
      <w:r w:rsidR="001829C4" w:rsidRPr="006F2544">
        <w:t xml:space="preserve"> such as </w:t>
      </w:r>
      <w:r w:rsidR="00782F3B" w:rsidRPr="006F2544">
        <w:t>poverty and inequalit</w:t>
      </w:r>
      <w:r w:rsidR="00C56274" w:rsidRPr="006F2544">
        <w:t>y</w:t>
      </w:r>
      <w:r w:rsidR="00782F3B" w:rsidRPr="006F2544">
        <w:t xml:space="preserve"> reduction, </w:t>
      </w:r>
      <w:r w:rsidRPr="006F2544">
        <w:t xml:space="preserve">migration, security, trade, </w:t>
      </w:r>
      <w:r w:rsidR="006234BC" w:rsidRPr="006F2544">
        <w:t xml:space="preserve">innovation, investment, </w:t>
      </w:r>
      <w:r w:rsidR="006136C5" w:rsidRPr="006F2544">
        <w:t xml:space="preserve">environmental protection, in particular </w:t>
      </w:r>
      <w:r w:rsidR="00D64128" w:rsidRPr="006F2544">
        <w:t xml:space="preserve">biodiversity, </w:t>
      </w:r>
      <w:r w:rsidRPr="006F2544">
        <w:t>etc</w:t>
      </w:r>
      <w:r w:rsidR="00063A55" w:rsidRPr="006F2544">
        <w:t>.</w:t>
      </w:r>
      <w:r w:rsidR="00C56274" w:rsidRPr="006F2544">
        <w:t>,</w:t>
      </w:r>
      <w:r w:rsidRPr="006F2544">
        <w:t xml:space="preserve"> </w:t>
      </w:r>
      <w:r w:rsidR="001B62DB" w:rsidRPr="006F2544">
        <w:t xml:space="preserve">through </w:t>
      </w:r>
      <w:r w:rsidR="001829C4" w:rsidRPr="006F2544">
        <w:t xml:space="preserve">the </w:t>
      </w:r>
      <w:r w:rsidR="001B62DB" w:rsidRPr="006F2544">
        <w:t xml:space="preserve">wide spectrum of the </w:t>
      </w:r>
      <w:r w:rsidR="00D64128" w:rsidRPr="006F2544">
        <w:t xml:space="preserve">UN </w:t>
      </w:r>
      <w:r w:rsidR="001829C4" w:rsidRPr="006F2544">
        <w:t>2030 Agenda</w:t>
      </w:r>
      <w:r w:rsidR="00660750" w:rsidRPr="006F2544">
        <w:t xml:space="preserve"> will </w:t>
      </w:r>
      <w:r w:rsidR="008A2421" w:rsidRPr="006F2544">
        <w:t>shed more light</w:t>
      </w:r>
      <w:r w:rsidR="00660750" w:rsidRPr="006F2544">
        <w:t xml:space="preserve"> on the potential to address pressing policy issues via SD reasoning and approaches</w:t>
      </w:r>
      <w:r w:rsidR="001829C4" w:rsidRPr="006F2544">
        <w:t xml:space="preserve">. </w:t>
      </w:r>
      <w:r w:rsidR="001B62DB" w:rsidRPr="006F2544">
        <w:t>T</w:t>
      </w:r>
      <w:r w:rsidRPr="006F2544">
        <w:t xml:space="preserve">he SDO </w:t>
      </w:r>
      <w:r w:rsidR="001B62DB" w:rsidRPr="006F2544">
        <w:t xml:space="preserve">should do so by </w:t>
      </w:r>
      <w:r w:rsidRPr="006F2544">
        <w:t>focus</w:t>
      </w:r>
      <w:r w:rsidR="001B62DB" w:rsidRPr="006F2544">
        <w:t>ing</w:t>
      </w:r>
      <w:r w:rsidRPr="006F2544">
        <w:t xml:space="preserve"> its action </w:t>
      </w:r>
      <w:r w:rsidR="006D2595" w:rsidRPr="006F2544">
        <w:t>on</w:t>
      </w:r>
      <w:r w:rsidRPr="006F2544">
        <w:t xml:space="preserve"> areas where the EESC can </w:t>
      </w:r>
      <w:r w:rsidR="00E73071" w:rsidRPr="006F2544">
        <w:t xml:space="preserve">meaningfully and </w:t>
      </w:r>
      <w:r w:rsidRPr="006F2544">
        <w:t xml:space="preserve">effectively </w:t>
      </w:r>
      <w:r w:rsidR="00EF1A72" w:rsidRPr="006F2544">
        <w:t>act as</w:t>
      </w:r>
      <w:r w:rsidR="00C56274" w:rsidRPr="006F2544">
        <w:t xml:space="preserve"> </w:t>
      </w:r>
      <w:r w:rsidRPr="006F2544">
        <w:t xml:space="preserve">the voice of civil society. It </w:t>
      </w:r>
      <w:r w:rsidR="00E73071" w:rsidRPr="006F2544">
        <w:t xml:space="preserve">should </w:t>
      </w:r>
      <w:r w:rsidRPr="006F2544">
        <w:t xml:space="preserve">ensure that the </w:t>
      </w:r>
      <w:r w:rsidR="00134067" w:rsidRPr="006F2544">
        <w:t xml:space="preserve">economic, </w:t>
      </w:r>
      <w:r w:rsidRPr="006F2544">
        <w:t>social</w:t>
      </w:r>
      <w:r w:rsidR="00134067" w:rsidRPr="006F2544">
        <w:t>, environmental</w:t>
      </w:r>
      <w:r w:rsidRPr="006F2544">
        <w:t xml:space="preserve"> </w:t>
      </w:r>
      <w:r w:rsidR="001B62DB" w:rsidRPr="006F2544">
        <w:t xml:space="preserve">and cultural </w:t>
      </w:r>
      <w:r w:rsidRPr="006F2544">
        <w:t>di</w:t>
      </w:r>
      <w:r w:rsidR="006D2595" w:rsidRPr="006F2544">
        <w:t>mension</w:t>
      </w:r>
      <w:r w:rsidR="001B62DB" w:rsidRPr="006F2544">
        <w:t>s</w:t>
      </w:r>
      <w:r w:rsidR="006D2595" w:rsidRPr="006F2544">
        <w:t xml:space="preserve"> </w:t>
      </w:r>
      <w:r w:rsidR="001B62DB" w:rsidRPr="006F2544">
        <w:t xml:space="preserve">are accounted </w:t>
      </w:r>
      <w:r w:rsidR="00134067" w:rsidRPr="006F2544">
        <w:t xml:space="preserve">in a synergetic way </w:t>
      </w:r>
      <w:r w:rsidR="006D2595" w:rsidRPr="006F2544">
        <w:t>across the different working priorities.</w:t>
      </w:r>
    </w:p>
    <w:p w14:paraId="5CA8604F" w14:textId="77777777" w:rsidR="00B941F1" w:rsidRPr="006F2544" w:rsidRDefault="00B941F1" w:rsidP="00063A55"/>
    <w:p w14:paraId="4283A512" w14:textId="77777777" w:rsidR="00B941F1" w:rsidRPr="006F2544" w:rsidRDefault="009031AB" w:rsidP="00063A55">
      <w:pPr>
        <w:pBdr>
          <w:top w:val="single" w:sz="4" w:space="1" w:color="auto"/>
          <w:left w:val="single" w:sz="4" w:space="4" w:color="auto"/>
          <w:bottom w:val="single" w:sz="4" w:space="1" w:color="auto"/>
          <w:right w:val="single" w:sz="4" w:space="4" w:color="auto"/>
        </w:pBdr>
        <w:rPr>
          <w:b/>
        </w:rPr>
      </w:pPr>
      <w:r w:rsidRPr="006F2544">
        <w:rPr>
          <w:b/>
        </w:rPr>
        <w:t>W</w:t>
      </w:r>
      <w:r w:rsidR="00822EAE" w:rsidRPr="006F2544">
        <w:rPr>
          <w:b/>
        </w:rPr>
        <w:t xml:space="preserve">orking </w:t>
      </w:r>
      <w:r w:rsidRPr="006F2544">
        <w:rPr>
          <w:b/>
        </w:rPr>
        <w:t>P</w:t>
      </w:r>
      <w:r w:rsidR="00822EAE" w:rsidRPr="006F2544">
        <w:rPr>
          <w:b/>
        </w:rPr>
        <w:t>riority</w:t>
      </w:r>
      <w:r w:rsidRPr="006F2544">
        <w:rPr>
          <w:b/>
        </w:rPr>
        <w:t xml:space="preserve"> </w:t>
      </w:r>
      <w:r w:rsidR="006D2595" w:rsidRPr="006F2544">
        <w:rPr>
          <w:b/>
        </w:rPr>
        <w:t>1</w:t>
      </w:r>
      <w:r w:rsidR="00C56274" w:rsidRPr="006F2544">
        <w:rPr>
          <w:b/>
        </w:rPr>
        <w:t>:</w:t>
      </w:r>
      <w:r w:rsidR="00B941F1" w:rsidRPr="006F2544">
        <w:rPr>
          <w:b/>
        </w:rPr>
        <w:t xml:space="preserve"> Sustainable Development Agenda</w:t>
      </w:r>
      <w:r w:rsidR="00C968DD" w:rsidRPr="006F2544">
        <w:rPr>
          <w:b/>
        </w:rPr>
        <w:t xml:space="preserve"> </w:t>
      </w:r>
      <w:r w:rsidR="00C968DD" w:rsidRPr="006F2544">
        <w:rPr>
          <w:b/>
        </w:rPr>
        <w:noBreakHyphen/>
      </w:r>
      <w:r w:rsidR="00B941F1" w:rsidRPr="006F2544">
        <w:rPr>
          <w:b/>
        </w:rPr>
        <w:t xml:space="preserve"> calling for an overarching SD strategy for the EU</w:t>
      </w:r>
    </w:p>
    <w:p w14:paraId="4F606C5E" w14:textId="77777777" w:rsidR="00B941F1" w:rsidRPr="006F2544" w:rsidRDefault="00B941F1" w:rsidP="00063A55">
      <w:pPr>
        <w:rPr>
          <w:b/>
        </w:rPr>
      </w:pPr>
    </w:p>
    <w:p w14:paraId="412A4144" w14:textId="77777777" w:rsidR="00DC41C2" w:rsidRPr="006F2544" w:rsidRDefault="00B941F1" w:rsidP="00063A55">
      <w:r w:rsidRPr="006F2544">
        <w:rPr>
          <w:b/>
          <w:i/>
        </w:rPr>
        <w:t>Context</w:t>
      </w:r>
    </w:p>
    <w:p w14:paraId="0D16B5DB" w14:textId="77777777" w:rsidR="00A6790D" w:rsidRPr="006F2544" w:rsidRDefault="00A6790D" w:rsidP="00CE4FAC">
      <w:pPr>
        <w:pStyle w:val="ListParagraph"/>
        <w:numPr>
          <w:ilvl w:val="0"/>
          <w:numId w:val="9"/>
        </w:numPr>
      </w:pPr>
      <w:r w:rsidRPr="006F2544">
        <w:t>Commission's Reflection Paper "Towards a sustainable Europe by 2030", expected by end 2018</w:t>
      </w:r>
    </w:p>
    <w:p w14:paraId="3B4B5878" w14:textId="4EE85F15" w:rsidR="00B941F1" w:rsidRPr="006F2544" w:rsidRDefault="00B941F1" w:rsidP="00CE4FAC">
      <w:pPr>
        <w:pStyle w:val="ListParagraph"/>
        <w:numPr>
          <w:ilvl w:val="0"/>
          <w:numId w:val="9"/>
        </w:numPr>
      </w:pPr>
      <w:r w:rsidRPr="006F2544">
        <w:t>EU Multi-Stakeholder Plat</w:t>
      </w:r>
      <w:r w:rsidR="00015AFB">
        <w:t>form on Sustainable Development</w:t>
      </w:r>
    </w:p>
    <w:p w14:paraId="548DB920" w14:textId="77777777" w:rsidR="00A6790D" w:rsidRPr="006F2544" w:rsidRDefault="00A6790D" w:rsidP="00CE4FAC">
      <w:pPr>
        <w:pStyle w:val="ListParagraph"/>
        <w:numPr>
          <w:ilvl w:val="0"/>
          <w:numId w:val="9"/>
        </w:numPr>
      </w:pPr>
      <w:r w:rsidRPr="006F2544">
        <w:t>Commission's White Paper on the Future of Europe – civil society's call for a 6</w:t>
      </w:r>
      <w:r w:rsidRPr="006F2544">
        <w:rPr>
          <w:vertAlign w:val="superscript"/>
        </w:rPr>
        <w:t>th</w:t>
      </w:r>
      <w:r w:rsidRPr="006F2544">
        <w:t xml:space="preserve"> Scenario focused on sustainable development</w:t>
      </w:r>
    </w:p>
    <w:p w14:paraId="5C03F00B" w14:textId="3B0E8754" w:rsidR="00782F3B" w:rsidRPr="006F2544" w:rsidRDefault="00A6790D" w:rsidP="00CE4FAC">
      <w:pPr>
        <w:pStyle w:val="ListParagraph"/>
        <w:numPr>
          <w:ilvl w:val="0"/>
          <w:numId w:val="9"/>
        </w:numPr>
      </w:pPr>
      <w:r w:rsidRPr="006F2544">
        <w:t>T</w:t>
      </w:r>
      <w:r w:rsidR="00B941F1" w:rsidRPr="006F2544">
        <w:t xml:space="preserve">he UN High Level Political Forum (HLPF) on sustainable development </w:t>
      </w:r>
      <w:r w:rsidRPr="006F2544">
        <w:t xml:space="preserve">and its annual focus </w:t>
      </w:r>
      <w:r w:rsidR="00015AFB">
        <w:t>on a limited set of SDGs</w:t>
      </w:r>
    </w:p>
    <w:p w14:paraId="73B1D51E" w14:textId="560DCCEE" w:rsidR="002860DA" w:rsidRPr="006F2544" w:rsidRDefault="00AA489B" w:rsidP="00CE4FAC">
      <w:pPr>
        <w:pStyle w:val="ListParagraph"/>
        <w:numPr>
          <w:ilvl w:val="0"/>
          <w:numId w:val="9"/>
        </w:numPr>
      </w:pPr>
      <w:r w:rsidRPr="006F2544">
        <w:t xml:space="preserve">EESC opinion SC/047 </w:t>
      </w:r>
      <w:r w:rsidR="003333CB" w:rsidRPr="006F2544">
        <w:t xml:space="preserve">on </w:t>
      </w:r>
      <w:r w:rsidRPr="006F2544">
        <w:rPr>
          <w:rFonts w:cs="Arial"/>
        </w:rPr>
        <w:t>The transition towards a more sustainable European future</w:t>
      </w:r>
    </w:p>
    <w:p w14:paraId="0849DE4E" w14:textId="77777777" w:rsidR="00B941F1" w:rsidRPr="006F2544" w:rsidRDefault="00B941F1" w:rsidP="00063A55">
      <w:pPr>
        <w:rPr>
          <w:b/>
        </w:rPr>
      </w:pPr>
    </w:p>
    <w:p w14:paraId="14E21A4D" w14:textId="77777777" w:rsidR="00063A55" w:rsidRPr="006F2544" w:rsidRDefault="00223460" w:rsidP="002F7D94">
      <w:pPr>
        <w:keepNext/>
        <w:keepLines/>
      </w:pPr>
      <w:r w:rsidRPr="006F2544">
        <w:rPr>
          <w:b/>
          <w:i/>
        </w:rPr>
        <w:lastRenderedPageBreak/>
        <w:t>P</w:t>
      </w:r>
      <w:r w:rsidR="009B0DC4" w:rsidRPr="006F2544">
        <w:rPr>
          <w:b/>
          <w:i/>
        </w:rPr>
        <w:t>roposed actions</w:t>
      </w:r>
    </w:p>
    <w:p w14:paraId="4117A5C8" w14:textId="77777777" w:rsidR="00215E4C" w:rsidRPr="006F2544" w:rsidRDefault="003A123A" w:rsidP="00CE4FAC">
      <w:pPr>
        <w:pStyle w:val="ListParagraph"/>
        <w:keepNext/>
        <w:keepLines/>
        <w:numPr>
          <w:ilvl w:val="0"/>
          <w:numId w:val="9"/>
        </w:numPr>
      </w:pPr>
      <w:r w:rsidRPr="006F2544">
        <w:t>At EU level, i</w:t>
      </w:r>
      <w:r w:rsidR="00215E4C" w:rsidRPr="006F2544">
        <w:t xml:space="preserve">nfluence the EC </w:t>
      </w:r>
      <w:r w:rsidR="00215E4C" w:rsidRPr="006F2544">
        <w:rPr>
          <w:color w:val="000000"/>
        </w:rPr>
        <w:t xml:space="preserve">Reflection paper through participation in the </w:t>
      </w:r>
      <w:r w:rsidR="00A536EE" w:rsidRPr="006F2544">
        <w:rPr>
          <w:color w:val="000000"/>
        </w:rPr>
        <w:t>Multi-Stakeholder Platform.</w:t>
      </w:r>
      <w:r w:rsidR="00DC41C2" w:rsidRPr="006F2544">
        <w:rPr>
          <w:color w:val="000000"/>
        </w:rPr>
        <w:t xml:space="preserve"> EESC representative to continue being proactive in the MSP</w:t>
      </w:r>
    </w:p>
    <w:p w14:paraId="433FD122" w14:textId="77777777" w:rsidR="00196DC9" w:rsidRPr="006F2544" w:rsidRDefault="00F4276A" w:rsidP="00CE4FAC">
      <w:pPr>
        <w:pStyle w:val="ListParagraph"/>
        <w:numPr>
          <w:ilvl w:val="0"/>
          <w:numId w:val="9"/>
        </w:numPr>
      </w:pPr>
      <w:r w:rsidRPr="006F2544">
        <w:t>Promote the cont</w:t>
      </w:r>
      <w:r w:rsidR="00B638CC" w:rsidRPr="006F2544">
        <w:t xml:space="preserve">ent of the </w:t>
      </w:r>
      <w:r w:rsidR="00B638CC" w:rsidRPr="006F2544">
        <w:rPr>
          <w:b/>
        </w:rPr>
        <w:t>EESC opinion on the R</w:t>
      </w:r>
      <w:r w:rsidRPr="006F2544">
        <w:rPr>
          <w:b/>
        </w:rPr>
        <w:t xml:space="preserve">eflection </w:t>
      </w:r>
      <w:r w:rsidR="00B638CC" w:rsidRPr="006F2544">
        <w:rPr>
          <w:b/>
        </w:rPr>
        <w:t>P</w:t>
      </w:r>
      <w:r w:rsidRPr="006F2544">
        <w:rPr>
          <w:b/>
        </w:rPr>
        <w:t>aper</w:t>
      </w:r>
      <w:r w:rsidRPr="006F2544">
        <w:t xml:space="preserve"> at the institutional (with a specific focus on the new EP) and civil society level. Specific promotion approaches at EU country level</w:t>
      </w:r>
    </w:p>
    <w:p w14:paraId="0246D946" w14:textId="517A4B0B" w:rsidR="00A93AAC" w:rsidRPr="006F2544" w:rsidRDefault="00A93AAC" w:rsidP="00CE4FAC">
      <w:pPr>
        <w:pStyle w:val="ListParagraph"/>
        <w:numPr>
          <w:ilvl w:val="0"/>
          <w:numId w:val="9"/>
        </w:numPr>
      </w:pPr>
      <w:r w:rsidRPr="006F2544">
        <w:t>Support non-state actors and civil society in adopting and</w:t>
      </w:r>
      <w:r w:rsidR="00E61762" w:rsidRPr="006F2544">
        <w:t xml:space="preserve"> </w:t>
      </w:r>
      <w:r w:rsidR="00753EAC" w:rsidRPr="006F2544">
        <w:t>implementing</w:t>
      </w:r>
      <w:r w:rsidRPr="006F2544">
        <w:t xml:space="preserve"> sustainable development strategie</w:t>
      </w:r>
      <w:r w:rsidR="00920421" w:rsidRPr="006F2544">
        <w:t xml:space="preserve">s for achieving the </w:t>
      </w:r>
      <w:r w:rsidR="00AA489B" w:rsidRPr="006F2544">
        <w:t xml:space="preserve">UN </w:t>
      </w:r>
      <w:r w:rsidR="00920421" w:rsidRPr="006F2544">
        <w:t>2030 Agenda</w:t>
      </w:r>
    </w:p>
    <w:p w14:paraId="730A16B0" w14:textId="77777777" w:rsidR="00A93AAC" w:rsidRPr="006F2544" w:rsidRDefault="00A93AAC" w:rsidP="00CE4FAC">
      <w:pPr>
        <w:pStyle w:val="ListParagraph"/>
        <w:numPr>
          <w:ilvl w:val="0"/>
          <w:numId w:val="9"/>
        </w:numPr>
      </w:pPr>
      <w:r w:rsidRPr="006F2544">
        <w:t>Showcase effective SD</w:t>
      </w:r>
      <w:r w:rsidR="00920421" w:rsidRPr="006F2544">
        <w:t>G implementation in Europe at H</w:t>
      </w:r>
      <w:r w:rsidRPr="006F2544">
        <w:t>L</w:t>
      </w:r>
      <w:r w:rsidR="00920421" w:rsidRPr="006F2544">
        <w:t>PF level each year</w:t>
      </w:r>
    </w:p>
    <w:p w14:paraId="651549FC" w14:textId="77777777" w:rsidR="00215E4C" w:rsidRPr="006F2544" w:rsidRDefault="00B638CC" w:rsidP="00CE4FAC">
      <w:pPr>
        <w:pStyle w:val="ListParagraph"/>
        <w:numPr>
          <w:ilvl w:val="0"/>
          <w:numId w:val="9"/>
        </w:numPr>
      </w:pPr>
      <w:r w:rsidRPr="006F2544">
        <w:t>Further the relationships with European networks and organisations active in the SD domain</w:t>
      </w:r>
    </w:p>
    <w:p w14:paraId="7CC43677" w14:textId="77777777" w:rsidR="00F369D4" w:rsidRPr="006F2544" w:rsidRDefault="00F369D4" w:rsidP="00063A55"/>
    <w:p w14:paraId="0E6A5EFB" w14:textId="60CA1994" w:rsidR="00DD1B6A" w:rsidRPr="006F2544" w:rsidRDefault="00DD1B6A">
      <w:pPr>
        <w:keepNext/>
        <w:pBdr>
          <w:top w:val="single" w:sz="4" w:space="1" w:color="auto"/>
          <w:left w:val="single" w:sz="4" w:space="4" w:color="auto"/>
          <w:bottom w:val="single" w:sz="4" w:space="1" w:color="auto"/>
          <w:right w:val="single" w:sz="4" w:space="4" w:color="auto"/>
        </w:pBdr>
        <w:rPr>
          <w:b/>
        </w:rPr>
      </w:pPr>
      <w:r w:rsidRPr="006F2544">
        <w:rPr>
          <w:b/>
        </w:rPr>
        <w:t>Working Priority 2</w:t>
      </w:r>
      <w:r w:rsidR="00C968DD" w:rsidRPr="006F2544">
        <w:rPr>
          <w:b/>
        </w:rPr>
        <w:t>:</w:t>
      </w:r>
      <w:r w:rsidRPr="006F2544">
        <w:rPr>
          <w:b/>
        </w:rPr>
        <w:t xml:space="preserve"> </w:t>
      </w:r>
      <w:r w:rsidR="00B638CC" w:rsidRPr="006F2544">
        <w:rPr>
          <w:b/>
        </w:rPr>
        <w:t>Moni</w:t>
      </w:r>
      <w:r w:rsidR="00015AFB">
        <w:rPr>
          <w:b/>
        </w:rPr>
        <w:t>toring of the SDGs</w:t>
      </w:r>
    </w:p>
    <w:p w14:paraId="21CA7E4E" w14:textId="77777777" w:rsidR="00DD1B6A" w:rsidRPr="006F2544" w:rsidRDefault="00DD1B6A" w:rsidP="004E3C77">
      <w:pPr>
        <w:keepNext/>
        <w:rPr>
          <w:bdr w:val="single" w:sz="4" w:space="0" w:color="auto"/>
        </w:rPr>
      </w:pPr>
    </w:p>
    <w:p w14:paraId="705C35DF" w14:textId="77777777" w:rsidR="00DD1B6A" w:rsidRPr="006F2544" w:rsidRDefault="00DD1B6A" w:rsidP="00063A55">
      <w:pPr>
        <w:rPr>
          <w:b/>
          <w:i/>
        </w:rPr>
      </w:pPr>
      <w:r w:rsidRPr="006F2544">
        <w:rPr>
          <w:b/>
          <w:i/>
        </w:rPr>
        <w:t>Context</w:t>
      </w:r>
    </w:p>
    <w:p w14:paraId="1C8BAD6A" w14:textId="77777777" w:rsidR="00F3250E" w:rsidRPr="006F2544" w:rsidRDefault="00F3250E" w:rsidP="00CE4FAC">
      <w:pPr>
        <w:pStyle w:val="ListParagraph"/>
        <w:numPr>
          <w:ilvl w:val="0"/>
          <w:numId w:val="19"/>
        </w:numPr>
        <w:ind w:left="357" w:hanging="357"/>
      </w:pPr>
      <w:r w:rsidRPr="006F2544">
        <w:t xml:space="preserve">The SD 2030 Agenda is changing perception regarding ways to monitor "development"; increased acceptance to use sets of diverse </w:t>
      </w:r>
      <w:r w:rsidR="00920421" w:rsidRPr="006F2544">
        <w:t xml:space="preserve">quantitative </w:t>
      </w:r>
      <w:r w:rsidR="008F79E0" w:rsidRPr="006F2544">
        <w:t>and</w:t>
      </w:r>
      <w:r w:rsidR="00920421" w:rsidRPr="006F2544">
        <w:t xml:space="preserve"> qualitative </w:t>
      </w:r>
      <w:r w:rsidRPr="006F2544">
        <w:t>indicators, opening new avenues to "move beyond GDP"</w:t>
      </w:r>
    </w:p>
    <w:p w14:paraId="358889A9" w14:textId="5DECEC09" w:rsidR="00DD1B6A" w:rsidRPr="006F2544" w:rsidRDefault="00DD1B6A" w:rsidP="00CE4FAC">
      <w:pPr>
        <w:pStyle w:val="ListParagraph"/>
        <w:numPr>
          <w:ilvl w:val="0"/>
          <w:numId w:val="19"/>
        </w:numPr>
        <w:ind w:left="357" w:hanging="357"/>
      </w:pPr>
      <w:r w:rsidRPr="006F2544">
        <w:t>2017 EUROSTAT report "Sustainable Development in the European Union — Monitoring report on progress towards the SDGs in an EU context"</w:t>
      </w:r>
      <w:r w:rsidR="00920421" w:rsidRPr="006F2544">
        <w:t xml:space="preserve"> and 2018 Eurostat </w:t>
      </w:r>
      <w:r w:rsidR="00015AFB">
        <w:t>review of the SDG indicator set</w:t>
      </w:r>
    </w:p>
    <w:p w14:paraId="5215DD2E" w14:textId="77777777" w:rsidR="00DD1B6A" w:rsidRPr="006F2544" w:rsidRDefault="006266AC" w:rsidP="00CE4FAC">
      <w:pPr>
        <w:pStyle w:val="ListParagraph"/>
        <w:numPr>
          <w:ilvl w:val="0"/>
          <w:numId w:val="19"/>
        </w:numPr>
        <w:ind w:left="357" w:hanging="357"/>
      </w:pPr>
      <w:r w:rsidRPr="006F2544">
        <w:t>Growing recognition that without proper monitoring there cannot be proper implementation of the SDGs</w:t>
      </w:r>
    </w:p>
    <w:p w14:paraId="2BD2FDD0" w14:textId="77777777" w:rsidR="00641E04" w:rsidRPr="006F2544" w:rsidRDefault="00641E04" w:rsidP="00CE4FAC">
      <w:pPr>
        <w:pStyle w:val="ListParagraph"/>
        <w:numPr>
          <w:ilvl w:val="0"/>
          <w:numId w:val="19"/>
        </w:numPr>
        <w:ind w:left="357" w:hanging="357"/>
      </w:pPr>
      <w:r w:rsidRPr="006F2544">
        <w:t>Revival of interest for the "moving beyond GDP" approach</w:t>
      </w:r>
    </w:p>
    <w:p w14:paraId="585FCEB5" w14:textId="77777777" w:rsidR="00DD1B6A" w:rsidRPr="006F2544" w:rsidRDefault="00DD1B6A" w:rsidP="00063A55"/>
    <w:p w14:paraId="6E89CDCB" w14:textId="77777777" w:rsidR="00DD1B6A" w:rsidRPr="006F2544" w:rsidRDefault="00DD1B6A" w:rsidP="00063A55">
      <w:pPr>
        <w:rPr>
          <w:b/>
          <w:i/>
        </w:rPr>
      </w:pPr>
      <w:r w:rsidRPr="006F2544">
        <w:rPr>
          <w:b/>
          <w:i/>
        </w:rPr>
        <w:t>Proposed actions</w:t>
      </w:r>
    </w:p>
    <w:p w14:paraId="37A8CEFF" w14:textId="26B85981" w:rsidR="00DD1B6A" w:rsidRPr="006F2544" w:rsidRDefault="00DD1B6A" w:rsidP="00CE4FAC">
      <w:pPr>
        <w:pStyle w:val="ListParagraph"/>
        <w:numPr>
          <w:ilvl w:val="0"/>
          <w:numId w:val="19"/>
        </w:numPr>
        <w:ind w:left="357" w:hanging="357"/>
      </w:pPr>
      <w:r w:rsidRPr="006F2544">
        <w:t xml:space="preserve">Opinion </w:t>
      </w:r>
      <w:r w:rsidRPr="006F2544">
        <w:rPr>
          <w:rFonts w:eastAsia="Arial Unicode MS"/>
          <w:bdr w:val="nil"/>
        </w:rPr>
        <w:t xml:space="preserve">NAT/737 </w:t>
      </w:r>
      <w:r w:rsidR="003333CB" w:rsidRPr="006F2544">
        <w:rPr>
          <w:rFonts w:eastAsia="Arial Unicode MS"/>
          <w:bdr w:val="nil"/>
        </w:rPr>
        <w:t xml:space="preserve">on </w:t>
      </w:r>
      <w:r w:rsidRPr="006F2544">
        <w:rPr>
          <w:rFonts w:eastAsia="Arial Unicode MS"/>
          <w:bdr w:val="nil"/>
        </w:rPr>
        <w:t>Indicators better suited to evaluate the SDGs – the civil society contribution</w:t>
      </w:r>
    </w:p>
    <w:p w14:paraId="6219D5D7" w14:textId="77777777" w:rsidR="00DD1B6A" w:rsidRPr="006F2544" w:rsidRDefault="00DD1B6A" w:rsidP="00CE4FAC">
      <w:pPr>
        <w:pStyle w:val="ListParagraph"/>
        <w:numPr>
          <w:ilvl w:val="0"/>
          <w:numId w:val="19"/>
        </w:numPr>
        <w:ind w:left="357" w:hanging="357"/>
      </w:pPr>
      <w:r w:rsidRPr="006F2544">
        <w:t>EESC study on "Exposing EU policy gaps to address the Sustainable Development Goals"</w:t>
      </w:r>
    </w:p>
    <w:p w14:paraId="142D84B5" w14:textId="77777777" w:rsidR="00897FA0" w:rsidRPr="006F2544" w:rsidRDefault="00897FA0" w:rsidP="00CE4FAC">
      <w:pPr>
        <w:pStyle w:val="ListParagraph"/>
        <w:numPr>
          <w:ilvl w:val="0"/>
          <w:numId w:val="19"/>
        </w:numPr>
        <w:ind w:left="357" w:hanging="357"/>
      </w:pPr>
      <w:r w:rsidRPr="006F2544">
        <w:rPr>
          <w:color w:val="000000"/>
        </w:rPr>
        <w:t>Promote the use of qualitative</w:t>
      </w:r>
      <w:r w:rsidR="007555F9" w:rsidRPr="006F2544">
        <w:rPr>
          <w:color w:val="000000"/>
        </w:rPr>
        <w:t xml:space="preserve"> </w:t>
      </w:r>
      <w:r w:rsidRPr="006F2544">
        <w:rPr>
          <w:color w:val="000000"/>
        </w:rPr>
        <w:t>indicators</w:t>
      </w:r>
      <w:r w:rsidR="007555F9" w:rsidRPr="006F2544">
        <w:rPr>
          <w:color w:val="000000"/>
        </w:rPr>
        <w:t xml:space="preserve"> that have been generated by civil society</w:t>
      </w:r>
      <w:r w:rsidRPr="006F2544">
        <w:rPr>
          <w:color w:val="000000"/>
        </w:rPr>
        <w:t xml:space="preserve"> in policy evaluation</w:t>
      </w:r>
      <w:r w:rsidR="007555F9" w:rsidRPr="006F2544">
        <w:rPr>
          <w:color w:val="000000"/>
        </w:rPr>
        <w:t>, in order</w:t>
      </w:r>
      <w:r w:rsidRPr="006F2544">
        <w:rPr>
          <w:color w:val="000000"/>
        </w:rPr>
        <w:t xml:space="preserve"> to measure progress on topical policy issues on the basis of the relevant SDGs</w:t>
      </w:r>
    </w:p>
    <w:p w14:paraId="3148C0F0" w14:textId="77777777" w:rsidR="00B638CC" w:rsidRPr="006F2544" w:rsidRDefault="00897FA0" w:rsidP="00CE4FAC">
      <w:pPr>
        <w:pStyle w:val="ListParagraph"/>
        <w:numPr>
          <w:ilvl w:val="0"/>
          <w:numId w:val="19"/>
        </w:numPr>
        <w:ind w:left="357" w:hanging="357"/>
      </w:pPr>
      <w:r w:rsidRPr="006F2544">
        <w:rPr>
          <w:color w:val="000000"/>
        </w:rPr>
        <w:t>Promote the d</w:t>
      </w:r>
      <w:r w:rsidR="002A25AF" w:rsidRPr="006F2544">
        <w:rPr>
          <w:color w:val="000000"/>
        </w:rPr>
        <w:t>evelop</w:t>
      </w:r>
      <w:r w:rsidRPr="006F2544">
        <w:rPr>
          <w:color w:val="000000"/>
        </w:rPr>
        <w:t>ment</w:t>
      </w:r>
      <w:r w:rsidR="002A25AF" w:rsidRPr="006F2544">
        <w:rPr>
          <w:color w:val="000000"/>
        </w:rPr>
        <w:t xml:space="preserve"> </w:t>
      </w:r>
      <w:r w:rsidRPr="006F2544">
        <w:rPr>
          <w:color w:val="000000"/>
        </w:rPr>
        <w:t xml:space="preserve">of </w:t>
      </w:r>
      <w:r w:rsidR="002A25AF" w:rsidRPr="006F2544">
        <w:rPr>
          <w:color w:val="000000"/>
        </w:rPr>
        <w:t>synergies with the European Semester</w:t>
      </w:r>
      <w:r w:rsidR="00753EAC" w:rsidRPr="006F2544">
        <w:rPr>
          <w:color w:val="000000"/>
        </w:rPr>
        <w:t>'s</w:t>
      </w:r>
      <w:r w:rsidR="00981B83" w:rsidRPr="006F2544">
        <w:rPr>
          <w:color w:val="000000"/>
        </w:rPr>
        <w:t xml:space="preserve"> </w:t>
      </w:r>
      <w:r w:rsidR="002A25AF" w:rsidRPr="006F2544">
        <w:rPr>
          <w:color w:val="000000"/>
        </w:rPr>
        <w:t>monitoring process</w:t>
      </w:r>
    </w:p>
    <w:p w14:paraId="4F1E7EF8" w14:textId="55AB7A90" w:rsidR="00B638CC" w:rsidRPr="006F2544" w:rsidRDefault="00C0625D" w:rsidP="00CE4FAC">
      <w:pPr>
        <w:pStyle w:val="ListParagraph"/>
        <w:numPr>
          <w:ilvl w:val="0"/>
          <w:numId w:val="19"/>
        </w:numPr>
        <w:ind w:left="357" w:hanging="357"/>
      </w:pPr>
      <w:r w:rsidRPr="006F2544">
        <w:t>Continue</w:t>
      </w:r>
      <w:r w:rsidR="00641E04" w:rsidRPr="006F2544">
        <w:t xml:space="preserve"> reflection on practical ways to move beyond GDP</w:t>
      </w:r>
      <w:r w:rsidR="00134067" w:rsidRPr="006F2544">
        <w:t xml:space="preserve"> </w:t>
      </w:r>
      <w:r w:rsidR="006234BC" w:rsidRPr="006F2544">
        <w:t xml:space="preserve">covering </w:t>
      </w:r>
      <w:r w:rsidR="00134067" w:rsidRPr="006F2544">
        <w:t xml:space="preserve">economic development, social inclusion and environmental protection in an equal footing. This could take the form </w:t>
      </w:r>
      <w:r w:rsidR="00897FA0" w:rsidRPr="006F2544">
        <w:t>of an event (possibly in cooperation with the Commission) in 2019, 10 years after the EC Communication on "GDP and beyond"</w:t>
      </w:r>
      <w:r w:rsidR="00015AFB">
        <w:t>.</w:t>
      </w:r>
    </w:p>
    <w:p w14:paraId="5FF9CA61" w14:textId="77777777" w:rsidR="00DD1B6A" w:rsidRPr="006F2544" w:rsidRDefault="00DD1B6A" w:rsidP="00063A55">
      <w:pPr>
        <w:pBdr>
          <w:top w:val="nil"/>
          <w:left w:val="nil"/>
          <w:bottom w:val="nil"/>
          <w:right w:val="nil"/>
          <w:between w:val="nil"/>
          <w:bar w:val="nil"/>
        </w:pBdr>
        <w:rPr>
          <w:b/>
        </w:rPr>
      </w:pPr>
    </w:p>
    <w:p w14:paraId="0CD5E6B9" w14:textId="6E8B7A81" w:rsidR="00782187" w:rsidRPr="006F2544" w:rsidRDefault="00223460" w:rsidP="00063A55">
      <w:pPr>
        <w:keepNext/>
        <w:pBdr>
          <w:top w:val="single" w:sz="4" w:space="1" w:color="auto"/>
          <w:left w:val="single" w:sz="4" w:space="4" w:color="auto"/>
          <w:bottom w:val="single" w:sz="4" w:space="1" w:color="auto"/>
          <w:right w:val="single" w:sz="4" w:space="4" w:color="auto"/>
        </w:pBdr>
        <w:rPr>
          <w:b/>
        </w:rPr>
      </w:pPr>
      <w:r w:rsidRPr="006F2544">
        <w:rPr>
          <w:b/>
        </w:rPr>
        <w:t>Working Priority</w:t>
      </w:r>
      <w:r w:rsidR="00782187" w:rsidRPr="006F2544">
        <w:rPr>
          <w:b/>
        </w:rPr>
        <w:t xml:space="preserve"> </w:t>
      </w:r>
      <w:r w:rsidR="00DD1B6A" w:rsidRPr="006F2544">
        <w:rPr>
          <w:b/>
        </w:rPr>
        <w:t>3</w:t>
      </w:r>
      <w:r w:rsidR="00C968DD" w:rsidRPr="006F2544">
        <w:rPr>
          <w:b/>
        </w:rPr>
        <w:t>:</w:t>
      </w:r>
      <w:r w:rsidR="00782187" w:rsidRPr="006F2544">
        <w:rPr>
          <w:b/>
        </w:rPr>
        <w:t xml:space="preserve"> </w:t>
      </w:r>
      <w:r w:rsidR="00134067" w:rsidRPr="006F2544">
        <w:rPr>
          <w:b/>
        </w:rPr>
        <w:t>Towards more sustainable economic models</w:t>
      </w:r>
    </w:p>
    <w:p w14:paraId="050107E0" w14:textId="77777777" w:rsidR="00782187" w:rsidRPr="006F2544" w:rsidRDefault="00782187" w:rsidP="00063A55">
      <w:pPr>
        <w:rPr>
          <w:bdr w:val="single" w:sz="4" w:space="0" w:color="auto"/>
        </w:rPr>
      </w:pPr>
    </w:p>
    <w:p w14:paraId="1397C67D" w14:textId="77777777" w:rsidR="0015780A" w:rsidRPr="006F2544" w:rsidRDefault="00782187" w:rsidP="00063A55">
      <w:pPr>
        <w:rPr>
          <w:b/>
          <w:i/>
        </w:rPr>
      </w:pPr>
      <w:r w:rsidRPr="006F2544">
        <w:rPr>
          <w:b/>
          <w:i/>
        </w:rPr>
        <w:t>Context</w:t>
      </w:r>
    </w:p>
    <w:p w14:paraId="40A66008" w14:textId="444F634C" w:rsidR="00512567" w:rsidRPr="006F2544" w:rsidRDefault="00BF0985" w:rsidP="00CE4FAC">
      <w:pPr>
        <w:pStyle w:val="ListParagraph"/>
        <w:numPr>
          <w:ilvl w:val="0"/>
          <w:numId w:val="9"/>
        </w:numPr>
      </w:pPr>
      <w:r w:rsidRPr="006F2544">
        <w:t>Growing importance of</w:t>
      </w:r>
      <w:r w:rsidR="00ED5F3C" w:rsidRPr="006F2544">
        <w:t xml:space="preserve"> digitali</w:t>
      </w:r>
      <w:r w:rsidR="008F79E0" w:rsidRPr="006F2544">
        <w:t>s</w:t>
      </w:r>
      <w:r w:rsidR="00ED5F3C" w:rsidRPr="006F2544">
        <w:t xml:space="preserve">ation, </w:t>
      </w:r>
      <w:r w:rsidR="00051E8C" w:rsidRPr="006F2544">
        <w:t xml:space="preserve">and of </w:t>
      </w:r>
      <w:r w:rsidR="00DC41C2" w:rsidRPr="006F2544">
        <w:t>n</w:t>
      </w:r>
      <w:r w:rsidR="00782187" w:rsidRPr="006F2544">
        <w:t xml:space="preserve">ew </w:t>
      </w:r>
      <w:r w:rsidR="00A3226C" w:rsidRPr="006F2544">
        <w:t xml:space="preserve">and </w:t>
      </w:r>
      <w:r w:rsidR="00134067" w:rsidRPr="006F2544">
        <w:t xml:space="preserve">emerging </w:t>
      </w:r>
      <w:r w:rsidR="00782187" w:rsidRPr="006F2544">
        <w:t>economic models (low-carbon, functio</w:t>
      </w:r>
      <w:r w:rsidR="00015AFB">
        <w:t>nal, circular, sharing economy)</w:t>
      </w:r>
    </w:p>
    <w:p w14:paraId="49BEFCB4" w14:textId="58998077" w:rsidR="00782187" w:rsidRPr="006F2544" w:rsidRDefault="00051E8C" w:rsidP="00CE4FAC">
      <w:pPr>
        <w:pStyle w:val="ListParagraph"/>
        <w:numPr>
          <w:ilvl w:val="0"/>
          <w:numId w:val="9"/>
        </w:numPr>
      </w:pPr>
      <w:r w:rsidRPr="006F2544">
        <w:t xml:space="preserve">New patterns of social economy </w:t>
      </w:r>
      <w:r w:rsidR="0001453F" w:rsidRPr="006F2544">
        <w:t xml:space="preserve">that are increasingly interconnecting </w:t>
      </w:r>
      <w:r w:rsidR="00512567" w:rsidRPr="006F2544">
        <w:t>social economy with the current economic model</w:t>
      </w:r>
    </w:p>
    <w:p w14:paraId="3EF17183" w14:textId="77777777" w:rsidR="00782187" w:rsidRPr="006F2544" w:rsidRDefault="00782187" w:rsidP="00CE4FAC">
      <w:pPr>
        <w:pStyle w:val="ListParagraph"/>
        <w:numPr>
          <w:ilvl w:val="0"/>
          <w:numId w:val="9"/>
        </w:numPr>
      </w:pPr>
      <w:r w:rsidRPr="006F2544">
        <w:t>Emergence of new practical approaches to apply such models at the local and sectoral level</w:t>
      </w:r>
    </w:p>
    <w:p w14:paraId="4F9C8C8D" w14:textId="77777777" w:rsidR="00782187" w:rsidRPr="006F2544" w:rsidRDefault="00782187" w:rsidP="00CE4FAC">
      <w:pPr>
        <w:pStyle w:val="ListParagraph"/>
        <w:numPr>
          <w:ilvl w:val="0"/>
          <w:numId w:val="9"/>
        </w:numPr>
      </w:pPr>
      <w:r w:rsidRPr="006F2544">
        <w:lastRenderedPageBreak/>
        <w:t>Implementation of the EU Circular Economy Action Plan and related legislation (e.g. Plastics Strategy, single-use plastics, monitoring framework etc.)</w:t>
      </w:r>
    </w:p>
    <w:p w14:paraId="43C8CE85" w14:textId="77777777" w:rsidR="00782187" w:rsidRPr="006F2544" w:rsidRDefault="00782187" w:rsidP="00CE4FAC">
      <w:pPr>
        <w:pStyle w:val="ListParagraph"/>
        <w:numPr>
          <w:ilvl w:val="0"/>
          <w:numId w:val="9"/>
        </w:numPr>
      </w:pPr>
      <w:r w:rsidRPr="006F2544">
        <w:t>European Circular Economy Stakeholder Platform (ECESP), a joint initiative by the EESC and the EC, and related ECESP Coordination Group's work plan</w:t>
      </w:r>
    </w:p>
    <w:p w14:paraId="09A7A13B" w14:textId="77777777" w:rsidR="009341AA" w:rsidRPr="006F2544" w:rsidRDefault="009341AA" w:rsidP="00CE4FAC">
      <w:pPr>
        <w:pStyle w:val="ListParagraph"/>
        <w:numPr>
          <w:ilvl w:val="0"/>
          <w:numId w:val="9"/>
        </w:numPr>
      </w:pPr>
      <w:r w:rsidRPr="006F2544">
        <w:t>The next Multiannual Financial Framework (2021-2027), currently under discussion, must enable the EU to achieve its objectives and contribute to the transition to a low-carbon economy by 2050</w:t>
      </w:r>
    </w:p>
    <w:p w14:paraId="7EE110E6" w14:textId="77777777" w:rsidR="00D8165C" w:rsidRPr="006F2544" w:rsidRDefault="00D8165C" w:rsidP="00CE4FAC">
      <w:pPr>
        <w:pStyle w:val="ListParagraph"/>
        <w:numPr>
          <w:ilvl w:val="0"/>
          <w:numId w:val="9"/>
        </w:numPr>
      </w:pPr>
      <w:r w:rsidRPr="006F2544">
        <w:t>2017 EC Communication on Investing in a smart, innovative and sustainable industry – A renewed EU in</w:t>
      </w:r>
      <w:r w:rsidR="002E499E" w:rsidRPr="006F2544">
        <w:t>du</w:t>
      </w:r>
      <w:r w:rsidRPr="006F2544">
        <w:t>strial policy strategy</w:t>
      </w:r>
    </w:p>
    <w:p w14:paraId="1B5237CD" w14:textId="77777777" w:rsidR="00ED5F3C" w:rsidRPr="006F2544" w:rsidRDefault="00B638CC" w:rsidP="00CE4FAC">
      <w:pPr>
        <w:pStyle w:val="ListParagraph"/>
        <w:numPr>
          <w:ilvl w:val="0"/>
          <w:numId w:val="9"/>
        </w:numPr>
      </w:pPr>
      <w:r w:rsidRPr="006F2544">
        <w:t>European Pillar of Social Rights (EPSR)</w:t>
      </w:r>
    </w:p>
    <w:p w14:paraId="3C336AB2" w14:textId="77777777" w:rsidR="00782187" w:rsidRPr="006F2544" w:rsidRDefault="00782187" w:rsidP="00063A55">
      <w:pPr>
        <w:rPr>
          <w:b/>
        </w:rPr>
      </w:pPr>
    </w:p>
    <w:p w14:paraId="1B91037C" w14:textId="0EE9D69C" w:rsidR="00782187" w:rsidRPr="006F2544" w:rsidRDefault="00782187" w:rsidP="00063A55">
      <w:pPr>
        <w:rPr>
          <w:b/>
          <w:i/>
        </w:rPr>
      </w:pPr>
      <w:r w:rsidRPr="006F2544">
        <w:rPr>
          <w:b/>
          <w:i/>
        </w:rPr>
        <w:t>Proposed actions</w:t>
      </w:r>
    </w:p>
    <w:p w14:paraId="4CBA01F4" w14:textId="77777777" w:rsidR="00681A85" w:rsidRPr="006F2544" w:rsidRDefault="00681A85" w:rsidP="006D3AB5">
      <w:pPr>
        <w:pStyle w:val="ListParagraph"/>
        <w:ind w:left="0"/>
      </w:pPr>
    </w:p>
    <w:p w14:paraId="253F7734" w14:textId="28BEB856" w:rsidR="00782187" w:rsidRPr="006F2544" w:rsidRDefault="00A3226C" w:rsidP="00CE4FAC">
      <w:pPr>
        <w:pStyle w:val="ListParagraph"/>
        <w:numPr>
          <w:ilvl w:val="0"/>
          <w:numId w:val="8"/>
        </w:numPr>
        <w:rPr>
          <w:strike/>
        </w:rPr>
      </w:pPr>
      <w:r w:rsidRPr="006F2544">
        <w:t xml:space="preserve">Promote </w:t>
      </w:r>
      <w:r w:rsidR="00A344F6" w:rsidRPr="006F2544">
        <w:t>concrete recommendations</w:t>
      </w:r>
      <w:r w:rsidR="00BF0985" w:rsidRPr="006F2544">
        <w:t xml:space="preserve"> in relevant EESC opinions</w:t>
      </w:r>
      <w:r w:rsidR="00A344F6" w:rsidRPr="006F2544">
        <w:t xml:space="preserve"> to </w:t>
      </w:r>
      <w:r w:rsidR="00071798" w:rsidRPr="006F2544">
        <w:t xml:space="preserve">implement </w:t>
      </w:r>
      <w:r w:rsidR="008F7695" w:rsidRPr="006F2544">
        <w:t>new sustainable economic models</w:t>
      </w:r>
    </w:p>
    <w:p w14:paraId="0ECCC07D" w14:textId="20604EEC" w:rsidR="0001453F" w:rsidRPr="006F2544" w:rsidRDefault="00E66DE6" w:rsidP="00CE4FAC">
      <w:pPr>
        <w:pStyle w:val="ListParagraph"/>
        <w:numPr>
          <w:ilvl w:val="0"/>
          <w:numId w:val="8"/>
        </w:numPr>
      </w:pPr>
      <w:r w:rsidRPr="006F2544">
        <w:t xml:space="preserve">Cooperate with the </w:t>
      </w:r>
      <w:r w:rsidR="00D22D2D" w:rsidRPr="006F2544">
        <w:t>s</w:t>
      </w:r>
      <w:r w:rsidRPr="006F2544">
        <w:t xml:space="preserve">ections </w:t>
      </w:r>
      <w:r w:rsidR="0001453F" w:rsidRPr="006F2544">
        <w:t>to mainstream social economy into current economic models</w:t>
      </w:r>
      <w:r w:rsidR="003E61C7" w:rsidRPr="006F2544">
        <w:t xml:space="preserve"> </w:t>
      </w:r>
    </w:p>
    <w:p w14:paraId="60013088" w14:textId="5A631951" w:rsidR="002E499E" w:rsidRPr="006F2544" w:rsidRDefault="00E66DE6" w:rsidP="00CE4FAC">
      <w:pPr>
        <w:pStyle w:val="ListParagraph"/>
        <w:numPr>
          <w:ilvl w:val="0"/>
          <w:numId w:val="8"/>
        </w:numPr>
      </w:pPr>
      <w:r w:rsidRPr="006F2544">
        <w:t xml:space="preserve">Cooperate with the </w:t>
      </w:r>
      <w:r w:rsidR="00D22D2D" w:rsidRPr="006F2544">
        <w:t>s</w:t>
      </w:r>
      <w:r w:rsidRPr="006F2544">
        <w:t xml:space="preserve">ections and the CCMI to promote </w:t>
      </w:r>
      <w:r w:rsidR="002E499E" w:rsidRPr="006F2544">
        <w:t>EESC recommendations on a new, sustainable industrial policy strategy</w:t>
      </w:r>
    </w:p>
    <w:p w14:paraId="28AFC94B" w14:textId="002EEC0D" w:rsidR="00034939" w:rsidRPr="006F2544" w:rsidRDefault="00E66DE6" w:rsidP="00CE4FAC">
      <w:pPr>
        <w:pStyle w:val="ListParagraph"/>
        <w:numPr>
          <w:ilvl w:val="0"/>
          <w:numId w:val="8"/>
        </w:numPr>
      </w:pPr>
      <w:r w:rsidRPr="006F2544">
        <w:t xml:space="preserve">Cooperate with the </w:t>
      </w:r>
      <w:r w:rsidR="00D22D2D" w:rsidRPr="006F2544">
        <w:t>s</w:t>
      </w:r>
      <w:r w:rsidRPr="006F2544">
        <w:t xml:space="preserve">ections </w:t>
      </w:r>
      <w:r w:rsidR="0041766F" w:rsidRPr="006F2544">
        <w:t>to green</w:t>
      </w:r>
      <w:r w:rsidR="003E61C7" w:rsidRPr="006F2544">
        <w:t xml:space="preserve"> </w:t>
      </w:r>
      <w:r w:rsidR="00034939" w:rsidRPr="006F2544">
        <w:t>the European Semester, the MFF and its individual EU financing instruments</w:t>
      </w:r>
    </w:p>
    <w:p w14:paraId="7ACA0DB2" w14:textId="77777777" w:rsidR="002E2CBA" w:rsidRPr="006F2544" w:rsidRDefault="002E2CBA" w:rsidP="00CE4FAC">
      <w:pPr>
        <w:pStyle w:val="ListParagraph"/>
        <w:numPr>
          <w:ilvl w:val="0"/>
          <w:numId w:val="8"/>
        </w:numPr>
      </w:pPr>
      <w:r w:rsidRPr="006F2544">
        <w:t>Promote the ECESP more systematically</w:t>
      </w:r>
      <w:r w:rsidR="000F32A6" w:rsidRPr="006F2544">
        <w:t>, especially in the context of the SDG implementation</w:t>
      </w:r>
    </w:p>
    <w:p w14:paraId="347C627F" w14:textId="4E276251" w:rsidR="00782187" w:rsidRPr="006F2544" w:rsidRDefault="0057339F" w:rsidP="00CE4FAC">
      <w:pPr>
        <w:pStyle w:val="ListParagraph"/>
        <w:numPr>
          <w:ilvl w:val="0"/>
          <w:numId w:val="8"/>
        </w:numPr>
      </w:pPr>
      <w:r w:rsidRPr="006F2544">
        <w:t>As part of the circular economy platform, s</w:t>
      </w:r>
      <w:r w:rsidR="00782187" w:rsidRPr="006F2544">
        <w:t xml:space="preserve">tep up momentum </w:t>
      </w:r>
      <w:r w:rsidR="00034939" w:rsidRPr="006F2544">
        <w:t>by applying new means to reach out to those lagging behind</w:t>
      </w:r>
      <w:r w:rsidR="00B86C7F" w:rsidRPr="006F2544">
        <w:t>, e.g. through a study identifying the opportunities and challenges of specific circular economy sectors</w:t>
      </w:r>
      <w:r w:rsidR="009D163C" w:rsidRPr="006F2544">
        <w:t xml:space="preserve"> such as the fast-moving consumer industry</w:t>
      </w:r>
      <w:r w:rsidR="00B86C7F" w:rsidRPr="006F2544">
        <w:t xml:space="preserve"> for work</w:t>
      </w:r>
      <w:r w:rsidR="00015AFB">
        <w:t>ers, supply chain and consumers</w:t>
      </w:r>
    </w:p>
    <w:p w14:paraId="22DB6D24" w14:textId="77777777" w:rsidR="00782187" w:rsidRPr="006F2544" w:rsidRDefault="00782187" w:rsidP="00CE4FAC">
      <w:pPr>
        <w:pStyle w:val="ListParagraph"/>
        <w:numPr>
          <w:ilvl w:val="0"/>
          <w:numId w:val="8"/>
        </w:numPr>
      </w:pPr>
      <w:r w:rsidRPr="006F2544">
        <w:t>Promote and create synergies across the several national, territorial and sectoral circular economy platforms that are developing across Europe</w:t>
      </w:r>
      <w:r w:rsidR="00B86C7F" w:rsidRPr="006F2544">
        <w:t>. The starting point could be a specific study reviewing the existing platforms, identifying synergies and the potential for cooperation.</w:t>
      </w:r>
    </w:p>
    <w:p w14:paraId="56F6D119" w14:textId="7522EF90" w:rsidR="00B638CC" w:rsidRPr="006F2544" w:rsidRDefault="00E66DE6" w:rsidP="00CE4FAC">
      <w:pPr>
        <w:pStyle w:val="ListParagraph"/>
        <w:numPr>
          <w:ilvl w:val="0"/>
          <w:numId w:val="8"/>
        </w:numPr>
      </w:pPr>
      <w:r w:rsidRPr="006F2544">
        <w:t xml:space="preserve">Cooperate with the </w:t>
      </w:r>
      <w:r w:rsidR="00D22D2D" w:rsidRPr="006F2544">
        <w:t>s</w:t>
      </w:r>
      <w:r w:rsidRPr="006F2544">
        <w:t>ections to integrate</w:t>
      </w:r>
      <w:r w:rsidRPr="006D3AB5">
        <w:rPr>
          <w:strike/>
        </w:rPr>
        <w:t xml:space="preserve"> </w:t>
      </w:r>
      <w:r w:rsidRPr="006D3AB5">
        <w:t xml:space="preserve">efforts to green and decarbonize the economy </w:t>
      </w:r>
      <w:r w:rsidRPr="006F2544">
        <w:rPr>
          <w:strike/>
        </w:rPr>
        <w:t xml:space="preserve"> </w:t>
      </w:r>
      <w:r w:rsidRPr="006F2544">
        <w:t>with</w:t>
      </w:r>
      <w:r w:rsidRPr="006D3AB5">
        <w:t xml:space="preserve"> </w:t>
      </w:r>
      <w:r w:rsidR="0063637A" w:rsidRPr="006D3AB5">
        <w:t>s</w:t>
      </w:r>
      <w:r w:rsidR="008E5FC3" w:rsidRPr="006D3AB5">
        <w:t>ocial fairness and justice</w:t>
      </w:r>
    </w:p>
    <w:p w14:paraId="55C08FD0" w14:textId="1E5C59DF" w:rsidR="00A43E6E" w:rsidRPr="006F2544" w:rsidRDefault="00E66DE6" w:rsidP="00CE4FAC">
      <w:pPr>
        <w:pStyle w:val="ListParagraph"/>
        <w:numPr>
          <w:ilvl w:val="0"/>
          <w:numId w:val="8"/>
        </w:numPr>
      </w:pPr>
      <w:r w:rsidRPr="006F2544">
        <w:t xml:space="preserve">Cooperate with the Sections to promote </w:t>
      </w:r>
      <w:r w:rsidR="00A43E6E" w:rsidRPr="006F2544">
        <w:t xml:space="preserve">social funding </w:t>
      </w:r>
      <w:r w:rsidRPr="006F2544">
        <w:t>through</w:t>
      </w:r>
      <w:r w:rsidRPr="006D3AB5" w:rsidDel="00E66DE6">
        <w:rPr>
          <w:strike/>
        </w:rPr>
        <w:t xml:space="preserve"> </w:t>
      </w:r>
      <w:r w:rsidR="00A43E6E" w:rsidRPr="006F2544">
        <w:t>the strand "social inclusion" of the upcoming "European Social Fund Plus" (ESF+)</w:t>
      </w:r>
    </w:p>
    <w:p w14:paraId="5759EF56" w14:textId="77777777" w:rsidR="007802F8" w:rsidRPr="006D3AB5" w:rsidRDefault="007802F8" w:rsidP="00063A55">
      <w:pPr>
        <w:pBdr>
          <w:top w:val="nil"/>
          <w:left w:val="nil"/>
          <w:bottom w:val="nil"/>
          <w:right w:val="nil"/>
          <w:between w:val="nil"/>
          <w:bar w:val="nil"/>
        </w:pBdr>
      </w:pPr>
    </w:p>
    <w:p w14:paraId="303F88BD" w14:textId="12946A8B" w:rsidR="005F68F9" w:rsidRPr="006F2544" w:rsidRDefault="00223460" w:rsidP="00063A55">
      <w:pPr>
        <w:keepNext/>
        <w:pBdr>
          <w:top w:val="single" w:sz="4" w:space="1" w:color="auto"/>
          <w:left w:val="single" w:sz="4" w:space="4" w:color="auto"/>
          <w:bottom w:val="single" w:sz="4" w:space="1" w:color="auto"/>
          <w:right w:val="single" w:sz="4" w:space="4" w:color="auto"/>
        </w:pBdr>
        <w:rPr>
          <w:b/>
        </w:rPr>
      </w:pPr>
      <w:r w:rsidRPr="006F2544">
        <w:rPr>
          <w:b/>
        </w:rPr>
        <w:t xml:space="preserve">Working Priority </w:t>
      </w:r>
      <w:r w:rsidR="00DD1B6A" w:rsidRPr="006F2544">
        <w:rPr>
          <w:b/>
        </w:rPr>
        <w:t>4</w:t>
      </w:r>
      <w:r w:rsidR="00C0625D" w:rsidRPr="006F2544">
        <w:rPr>
          <w:b/>
        </w:rPr>
        <w:t>:</w:t>
      </w:r>
      <w:r w:rsidR="005F68F9" w:rsidRPr="006F2544">
        <w:rPr>
          <w:b/>
        </w:rPr>
        <w:t xml:space="preserve"> Climate policy</w:t>
      </w:r>
      <w:r w:rsidR="00C0625D" w:rsidRPr="006F2544">
        <w:rPr>
          <w:b/>
        </w:rPr>
        <w:t xml:space="preserve"> </w:t>
      </w:r>
      <w:r w:rsidR="0001453F" w:rsidRPr="006F2544">
        <w:rPr>
          <w:b/>
        </w:rPr>
        <w:t>–</w:t>
      </w:r>
      <w:r w:rsidR="005F68F9" w:rsidRPr="006F2544">
        <w:rPr>
          <w:b/>
        </w:rPr>
        <w:t xml:space="preserve"> </w:t>
      </w:r>
      <w:r w:rsidR="0001453F" w:rsidRPr="006F2544">
        <w:rPr>
          <w:b/>
        </w:rPr>
        <w:t xml:space="preserve">more </w:t>
      </w:r>
      <w:r w:rsidR="00E66DE6" w:rsidRPr="006F2544">
        <w:rPr>
          <w:b/>
        </w:rPr>
        <w:t>investment and</w:t>
      </w:r>
      <w:r w:rsidR="00E66DE6" w:rsidRPr="006F2544">
        <w:rPr>
          <w:b/>
          <w:u w:val="single"/>
        </w:rPr>
        <w:t xml:space="preserve"> </w:t>
      </w:r>
      <w:r w:rsidR="00656053" w:rsidRPr="006F2544">
        <w:rPr>
          <w:b/>
        </w:rPr>
        <w:t>f</w:t>
      </w:r>
      <w:r w:rsidR="0001453F" w:rsidRPr="006F2544">
        <w:rPr>
          <w:b/>
        </w:rPr>
        <w:t>inance and engagement</w:t>
      </w:r>
      <w:r w:rsidR="005F68F9" w:rsidRPr="006F2544">
        <w:rPr>
          <w:b/>
        </w:rPr>
        <w:t xml:space="preserve"> by non-state actors</w:t>
      </w:r>
    </w:p>
    <w:p w14:paraId="106D93FA" w14:textId="77777777" w:rsidR="005F68F9" w:rsidRPr="006F2544" w:rsidRDefault="005F68F9" w:rsidP="003863CB">
      <w:pPr>
        <w:keepNext/>
      </w:pPr>
    </w:p>
    <w:p w14:paraId="56D2A513" w14:textId="77777777" w:rsidR="005F68F9" w:rsidRPr="006F2544" w:rsidRDefault="005F68F9" w:rsidP="00063A55">
      <w:pPr>
        <w:rPr>
          <w:b/>
          <w:i/>
        </w:rPr>
      </w:pPr>
      <w:r w:rsidRPr="006F2544">
        <w:rPr>
          <w:b/>
          <w:i/>
        </w:rPr>
        <w:t>Context</w:t>
      </w:r>
    </w:p>
    <w:p w14:paraId="6A13C023" w14:textId="333D356B" w:rsidR="0001453F" w:rsidRPr="006F2544" w:rsidRDefault="0001453F" w:rsidP="00CE4FAC">
      <w:pPr>
        <w:pStyle w:val="ListParagraph"/>
        <w:numPr>
          <w:ilvl w:val="0"/>
          <w:numId w:val="9"/>
        </w:numPr>
      </w:pPr>
      <w:r w:rsidRPr="006F2544">
        <w:t>The European Commission adopted its strategy on Sus</w:t>
      </w:r>
      <w:r w:rsidR="00015AFB">
        <w:t>tainable Finance in March 2018.</w:t>
      </w:r>
    </w:p>
    <w:p w14:paraId="12BEF0AF" w14:textId="4BB7731A" w:rsidR="0001453F" w:rsidRPr="006F2544" w:rsidRDefault="0001453F" w:rsidP="00CE4FAC">
      <w:pPr>
        <w:pStyle w:val="ListParagraph"/>
        <w:numPr>
          <w:ilvl w:val="0"/>
          <w:numId w:val="9"/>
        </w:numPr>
      </w:pPr>
      <w:r w:rsidRPr="006F2544">
        <w:t xml:space="preserve">In the field of climate finance, Europe does not have an integrated investment plan. There are minimum </w:t>
      </w:r>
      <w:r w:rsidR="00015AFB">
        <w:t>investment targets but no plan.</w:t>
      </w:r>
    </w:p>
    <w:p w14:paraId="4224279D" w14:textId="77777777" w:rsidR="005F68F9" w:rsidRPr="006F2544" w:rsidRDefault="005F68F9" w:rsidP="00CE4FAC">
      <w:pPr>
        <w:pStyle w:val="ListParagraph"/>
        <w:numPr>
          <w:ilvl w:val="0"/>
          <w:numId w:val="9"/>
        </w:numPr>
      </w:pPr>
      <w:r w:rsidRPr="006F2544">
        <w:t>Implementation of the Paris Agreement</w:t>
      </w:r>
      <w:r w:rsidR="00F15526" w:rsidRPr="006F2544">
        <w:t xml:space="preserve"> and growing recognition of the role of non-state actors in this process, through the so-called Talanoa Dialogue</w:t>
      </w:r>
    </w:p>
    <w:p w14:paraId="00109B2A" w14:textId="77777777" w:rsidR="0001453F" w:rsidRPr="006F2544" w:rsidRDefault="0001453F" w:rsidP="00CE4FAC">
      <w:pPr>
        <w:pStyle w:val="ListParagraph"/>
        <w:numPr>
          <w:ilvl w:val="0"/>
          <w:numId w:val="9"/>
        </w:numPr>
      </w:pPr>
      <w:r w:rsidRPr="006F2544">
        <w:t>International Climate Governance Coalition, created in 2016 by four European organisations (EESC, CoR, Climate Chance and Comité21)</w:t>
      </w:r>
    </w:p>
    <w:p w14:paraId="181D47AB" w14:textId="77777777" w:rsidR="005F68F9" w:rsidRPr="006F2544" w:rsidRDefault="005F68F9" w:rsidP="00CE4FAC">
      <w:pPr>
        <w:pStyle w:val="ListParagraph"/>
        <w:numPr>
          <w:ilvl w:val="0"/>
          <w:numId w:val="9"/>
        </w:numPr>
      </w:pPr>
      <w:r w:rsidRPr="006F2544">
        <w:lastRenderedPageBreak/>
        <w:t xml:space="preserve">By the first quarter of 2019, EC proposal for a Strategy for long-term </w:t>
      </w:r>
      <w:r w:rsidR="00F15526" w:rsidRPr="006F2544">
        <w:t xml:space="preserve">(2050) </w:t>
      </w:r>
      <w:r w:rsidRPr="006F2544">
        <w:t xml:space="preserve">EU greenhouse gas emissions reduction in accordance with the Paris Agreement, taking </w:t>
      </w:r>
      <w:r w:rsidR="002A52C9" w:rsidRPr="006F2544">
        <w:t>into account the national plans</w:t>
      </w:r>
    </w:p>
    <w:p w14:paraId="36532172" w14:textId="77777777" w:rsidR="00C65C68" w:rsidRPr="006F2544" w:rsidRDefault="00C65C68" w:rsidP="00E61762"/>
    <w:p w14:paraId="0C552043" w14:textId="77777777" w:rsidR="005F68F9" w:rsidRPr="006F2544" w:rsidRDefault="00223460" w:rsidP="00CE4FAC">
      <w:pPr>
        <w:rPr>
          <w:b/>
          <w:i/>
        </w:rPr>
      </w:pPr>
      <w:r w:rsidRPr="006F2544">
        <w:rPr>
          <w:b/>
          <w:i/>
        </w:rPr>
        <w:t>P</w:t>
      </w:r>
      <w:r w:rsidR="009B0DC4" w:rsidRPr="006F2544">
        <w:rPr>
          <w:b/>
          <w:i/>
        </w:rPr>
        <w:t>roposed actions</w:t>
      </w:r>
    </w:p>
    <w:p w14:paraId="38C36EE6" w14:textId="50017D0C" w:rsidR="0001453F" w:rsidRPr="006F2544" w:rsidRDefault="008F7D59" w:rsidP="00CE4FAC">
      <w:pPr>
        <w:pStyle w:val="ListParagraph"/>
        <w:numPr>
          <w:ilvl w:val="0"/>
          <w:numId w:val="9"/>
        </w:numPr>
      </w:pPr>
      <w:r w:rsidRPr="006F2544">
        <w:t xml:space="preserve">Cooperate with the </w:t>
      </w:r>
      <w:r w:rsidR="00D22D2D" w:rsidRPr="006F2544">
        <w:t>s</w:t>
      </w:r>
      <w:r w:rsidRPr="006F2544">
        <w:t xml:space="preserve">ections to enhance public and private investment and finances for the mitigation of and adaptation to the climate change, including the </w:t>
      </w:r>
      <w:r w:rsidR="0001453F" w:rsidRPr="006F2544">
        <w:t>support to small scale projects by non-state actors, response to emergencies and global financing</w:t>
      </w:r>
    </w:p>
    <w:p w14:paraId="3C824F1D" w14:textId="2F09B161" w:rsidR="00F15526" w:rsidRPr="006F2544" w:rsidRDefault="008F7D59" w:rsidP="00CE4FAC">
      <w:pPr>
        <w:pStyle w:val="ListParagraph"/>
        <w:numPr>
          <w:ilvl w:val="0"/>
          <w:numId w:val="9"/>
        </w:numPr>
      </w:pPr>
      <w:r w:rsidRPr="006F2544">
        <w:t xml:space="preserve">Prepare </w:t>
      </w:r>
      <w:r w:rsidR="00F15526" w:rsidRPr="006F2544">
        <w:t>an opinion on the EU 2050 climate strategy and its revised energy roadmap</w:t>
      </w:r>
    </w:p>
    <w:p w14:paraId="6E21D20A" w14:textId="77777777" w:rsidR="00F15526" w:rsidRPr="006F2544" w:rsidRDefault="009B0DC4" w:rsidP="00CE4FAC">
      <w:pPr>
        <w:pStyle w:val="ListParagraph"/>
        <w:numPr>
          <w:ilvl w:val="0"/>
          <w:numId w:val="9"/>
        </w:numPr>
      </w:pPr>
      <w:r w:rsidRPr="006F2544">
        <w:t>Support and amplify the role of non-state actors in bridging the gap to meet the Paris Agreement</w:t>
      </w:r>
      <w:r w:rsidR="00F15526" w:rsidRPr="006F2544">
        <w:t xml:space="preserve">, notably by exploiting the </w:t>
      </w:r>
      <w:r w:rsidR="0096473F" w:rsidRPr="006F2544">
        <w:t>recommendations</w:t>
      </w:r>
      <w:r w:rsidR="00F15526" w:rsidRPr="006F2544">
        <w:t xml:space="preserve"> contained in the EESC study on </w:t>
      </w:r>
      <w:r w:rsidR="0096473F" w:rsidRPr="006F2544">
        <w:t>"Boosting non-state climate action in Europe"</w:t>
      </w:r>
    </w:p>
    <w:p w14:paraId="2283C6EA" w14:textId="77777777" w:rsidR="00F15526" w:rsidRPr="006F2544" w:rsidRDefault="00F15526" w:rsidP="00CE4FAC">
      <w:pPr>
        <w:pStyle w:val="ListParagraph"/>
        <w:numPr>
          <w:ilvl w:val="0"/>
          <w:numId w:val="9"/>
        </w:numPr>
      </w:pPr>
      <w:r w:rsidRPr="006F2544">
        <w:t>Push the EC to launch a vast debate on setting up an EU policy framework to enable more and better climate actions by non-state actors</w:t>
      </w:r>
    </w:p>
    <w:p w14:paraId="3472CD75" w14:textId="77777777" w:rsidR="00F15526" w:rsidRPr="006F2544" w:rsidRDefault="00F15526" w:rsidP="00CE4FAC">
      <w:pPr>
        <w:pStyle w:val="ListParagraph"/>
        <w:numPr>
          <w:ilvl w:val="0"/>
          <w:numId w:val="9"/>
        </w:numPr>
      </w:pPr>
      <w:r w:rsidRPr="006F2544">
        <w:t>Further the promotion of the EESC recommendations on climate justice</w:t>
      </w:r>
    </w:p>
    <w:p w14:paraId="3340E22A" w14:textId="173ED261" w:rsidR="00AA489B" w:rsidRPr="006F2544" w:rsidRDefault="00AA489B" w:rsidP="00CE4FAC">
      <w:pPr>
        <w:pStyle w:val="ListParagraph"/>
        <w:numPr>
          <w:ilvl w:val="0"/>
          <w:numId w:val="9"/>
        </w:numPr>
      </w:pPr>
      <w:r w:rsidRPr="006F2544">
        <w:t>Cooperation with the European Committee of the Region on TEN/660 "</w:t>
      </w:r>
      <w:r w:rsidRPr="006F2544">
        <w:rPr>
          <w:rFonts w:cs="Arial"/>
        </w:rPr>
        <w:t>The effects of a new carbon-free, decentralised and digitalised energy supply structure on jobs and regional economies (own initiative opinion)"</w:t>
      </w:r>
    </w:p>
    <w:p w14:paraId="5B3124DF" w14:textId="77777777" w:rsidR="007802F8" w:rsidRPr="006F2544" w:rsidRDefault="007802F8" w:rsidP="00063A55">
      <w:pPr>
        <w:rPr>
          <w:b/>
        </w:rPr>
      </w:pPr>
    </w:p>
    <w:p w14:paraId="07606106" w14:textId="77777777" w:rsidR="00C3674F" w:rsidRPr="006F2544" w:rsidRDefault="00223460" w:rsidP="00063A55">
      <w:pPr>
        <w:pBdr>
          <w:top w:val="single" w:sz="4" w:space="1" w:color="auto"/>
          <w:left w:val="single" w:sz="4" w:space="4" w:color="auto"/>
          <w:bottom w:val="single" w:sz="4" w:space="1" w:color="auto"/>
          <w:right w:val="single" w:sz="4" w:space="4" w:color="auto"/>
        </w:pBdr>
        <w:rPr>
          <w:b/>
        </w:rPr>
      </w:pPr>
      <w:r w:rsidRPr="006F2544">
        <w:rPr>
          <w:b/>
        </w:rPr>
        <w:t>Working Priority</w:t>
      </w:r>
      <w:r w:rsidR="00063A55" w:rsidRPr="006F2544">
        <w:rPr>
          <w:b/>
        </w:rPr>
        <w:t xml:space="preserve"> </w:t>
      </w:r>
      <w:r w:rsidR="00DD1B6A" w:rsidRPr="006F2544">
        <w:rPr>
          <w:b/>
        </w:rPr>
        <w:t>5</w:t>
      </w:r>
      <w:r w:rsidR="00063A55" w:rsidRPr="006F2544">
        <w:rPr>
          <w:b/>
        </w:rPr>
        <w:t>:</w:t>
      </w:r>
      <w:r w:rsidR="00C3674F" w:rsidRPr="006F2544">
        <w:rPr>
          <w:b/>
        </w:rPr>
        <w:t xml:space="preserve"> Food Sustainability</w:t>
      </w:r>
    </w:p>
    <w:p w14:paraId="1776C6C6" w14:textId="77777777" w:rsidR="00C3674F" w:rsidRPr="006F2544" w:rsidRDefault="00C3674F" w:rsidP="00063A55">
      <w:pPr>
        <w:rPr>
          <w:b/>
        </w:rPr>
      </w:pPr>
    </w:p>
    <w:p w14:paraId="42B4581F" w14:textId="77777777" w:rsidR="00C3674F" w:rsidRPr="006F2544" w:rsidRDefault="00C3674F" w:rsidP="00063A55">
      <w:pPr>
        <w:rPr>
          <w:b/>
          <w:i/>
        </w:rPr>
      </w:pPr>
      <w:r w:rsidRPr="006F2544">
        <w:rPr>
          <w:b/>
          <w:i/>
        </w:rPr>
        <w:t>Context</w:t>
      </w:r>
    </w:p>
    <w:p w14:paraId="1BA56DF6" w14:textId="77A7B9B5" w:rsidR="00191F27" w:rsidRPr="006F2544" w:rsidRDefault="00191F27" w:rsidP="00CE4FAC">
      <w:pPr>
        <w:pStyle w:val="ListParagraph"/>
        <w:numPr>
          <w:ilvl w:val="0"/>
          <w:numId w:val="9"/>
        </w:numPr>
      </w:pPr>
      <w:r w:rsidRPr="006F2544">
        <w:t xml:space="preserve">Food sustainability is </w:t>
      </w:r>
      <w:r w:rsidR="00205059" w:rsidRPr="006F2544">
        <w:t xml:space="preserve">roughly </w:t>
      </w:r>
      <w:r w:rsidRPr="006F2544">
        <w:t xml:space="preserve">addressed by the EC and </w:t>
      </w:r>
      <w:r w:rsidR="0022018A" w:rsidRPr="006F2544">
        <w:t xml:space="preserve">across </w:t>
      </w:r>
      <w:r w:rsidRPr="006F2544">
        <w:t>the EU</w:t>
      </w:r>
      <w:r w:rsidR="0022018A" w:rsidRPr="006F2544">
        <w:t xml:space="preserve"> through several fragmented policy areas (agriculture, environment, health, trade, development, etc.</w:t>
      </w:r>
      <w:r w:rsidR="00015AFB">
        <w:t>)</w:t>
      </w:r>
    </w:p>
    <w:p w14:paraId="347841E5" w14:textId="77777777" w:rsidR="00034939" w:rsidRPr="006F2544" w:rsidRDefault="00191F27" w:rsidP="00CE4FAC">
      <w:pPr>
        <w:pStyle w:val="ListParagraph"/>
        <w:numPr>
          <w:ilvl w:val="0"/>
          <w:numId w:val="9"/>
        </w:numPr>
      </w:pPr>
      <w:r w:rsidRPr="006F2544">
        <w:t>However</w:t>
      </w:r>
      <w:r w:rsidR="00223460" w:rsidRPr="006F2544">
        <w:t>,</w:t>
      </w:r>
      <w:r w:rsidRPr="006F2544">
        <w:t xml:space="preserve"> </w:t>
      </w:r>
      <w:r w:rsidR="00034939" w:rsidRPr="006F2544">
        <w:t xml:space="preserve">14 </w:t>
      </w:r>
      <w:r w:rsidR="009031AB" w:rsidRPr="006F2544">
        <w:t xml:space="preserve">SDGs </w:t>
      </w:r>
      <w:r w:rsidR="00034939" w:rsidRPr="006F2544">
        <w:t xml:space="preserve">out of 17 </w:t>
      </w:r>
      <w:r w:rsidR="009031AB" w:rsidRPr="006F2544">
        <w:t xml:space="preserve">are food-related and </w:t>
      </w:r>
      <w:r w:rsidR="002B3345" w:rsidRPr="006F2544">
        <w:t xml:space="preserve">food sustainability </w:t>
      </w:r>
      <w:r w:rsidR="00034939" w:rsidRPr="006F2544">
        <w:t xml:space="preserve">is at the core of addressing many pressing challenges such as climate change </w:t>
      </w:r>
      <w:r w:rsidR="00205059" w:rsidRPr="006F2544">
        <w:t>and</w:t>
      </w:r>
      <w:r w:rsidR="00034939" w:rsidRPr="006F2544">
        <w:t xml:space="preserve"> biodiversity loss</w:t>
      </w:r>
      <w:r w:rsidR="008D2D08" w:rsidRPr="006F2544">
        <w:t>.</w:t>
      </w:r>
      <w:r w:rsidR="0022018A" w:rsidRPr="006F2544">
        <w:t xml:space="preserve"> This reinforces the need for a comprehensive and integrated EU food policy</w:t>
      </w:r>
    </w:p>
    <w:p w14:paraId="0484CBA2" w14:textId="77777777" w:rsidR="00034939" w:rsidRPr="006F2544" w:rsidRDefault="00034939" w:rsidP="00CE4FAC">
      <w:pPr>
        <w:pStyle w:val="ListParagraph"/>
        <w:numPr>
          <w:ilvl w:val="0"/>
          <w:numId w:val="9"/>
        </w:numPr>
      </w:pPr>
      <w:r w:rsidRPr="006F2544">
        <w:t xml:space="preserve">Food sustainability has an exemplary role to play </w:t>
      </w:r>
      <w:r w:rsidR="00205059" w:rsidRPr="006F2544">
        <w:t xml:space="preserve">in </w:t>
      </w:r>
      <w:r w:rsidRPr="006F2544">
        <w:t>demonstrat</w:t>
      </w:r>
      <w:r w:rsidR="00205059" w:rsidRPr="006F2544">
        <w:t>ing</w:t>
      </w:r>
      <w:r w:rsidRPr="006F2544">
        <w:t xml:space="preserve"> that the implementation of SDGs responds to a real need that is well understood by civil society as a whole</w:t>
      </w:r>
    </w:p>
    <w:p w14:paraId="7584A65E" w14:textId="77777777" w:rsidR="000F3E26" w:rsidRPr="006F2544" w:rsidRDefault="00191F27" w:rsidP="00CE4FAC">
      <w:pPr>
        <w:pStyle w:val="ListParagraph"/>
        <w:numPr>
          <w:ilvl w:val="0"/>
          <w:numId w:val="9"/>
        </w:numPr>
      </w:pPr>
      <w:r w:rsidRPr="006F2544">
        <w:t xml:space="preserve">Addressing food sustainability is also a means </w:t>
      </w:r>
      <w:r w:rsidR="00E8473D" w:rsidRPr="006F2544">
        <w:t>of testing</w:t>
      </w:r>
      <w:r w:rsidRPr="006F2544">
        <w:t xml:space="preserve"> the effectiveness of policy measures to </w:t>
      </w:r>
      <w:r w:rsidR="002B3345" w:rsidRPr="006F2544">
        <w:t>chang</w:t>
      </w:r>
      <w:r w:rsidRPr="006F2544">
        <w:t>e citizens'/consumers'</w:t>
      </w:r>
      <w:r w:rsidR="002B3345" w:rsidRPr="006F2544">
        <w:t xml:space="preserve"> </w:t>
      </w:r>
      <w:r w:rsidR="00AA7128" w:rsidRPr="006F2544">
        <w:t>behaviour</w:t>
      </w:r>
    </w:p>
    <w:p w14:paraId="7CEF5DE7" w14:textId="77777777" w:rsidR="002B3345" w:rsidRPr="006F2544" w:rsidRDefault="002B3345" w:rsidP="00063A55"/>
    <w:p w14:paraId="05F26D91" w14:textId="77777777" w:rsidR="00C3674F" w:rsidRPr="006F2544" w:rsidRDefault="000F3E26" w:rsidP="00063A55">
      <w:pPr>
        <w:rPr>
          <w:b/>
          <w:i/>
        </w:rPr>
      </w:pPr>
      <w:r w:rsidRPr="006F2544">
        <w:rPr>
          <w:b/>
          <w:i/>
        </w:rPr>
        <w:t>P</w:t>
      </w:r>
      <w:r w:rsidR="00191F27" w:rsidRPr="006F2544">
        <w:rPr>
          <w:b/>
          <w:i/>
        </w:rPr>
        <w:t>roposed actions</w:t>
      </w:r>
      <w:r w:rsidR="00CA6286" w:rsidRPr="006F2544">
        <w:rPr>
          <w:b/>
          <w:i/>
        </w:rPr>
        <w:t xml:space="preserve"> (in collaboration with the TSG on Sustainable Food Systems)</w:t>
      </w:r>
    </w:p>
    <w:p w14:paraId="406216E3" w14:textId="77777777" w:rsidR="00F15526" w:rsidRPr="006F2544" w:rsidRDefault="0033386E" w:rsidP="00CE4FAC">
      <w:pPr>
        <w:pStyle w:val="ListParagraph"/>
        <w:numPr>
          <w:ilvl w:val="0"/>
          <w:numId w:val="10"/>
        </w:numPr>
        <w:rPr>
          <w:b/>
        </w:rPr>
      </w:pPr>
      <w:r w:rsidRPr="006F2544">
        <w:t xml:space="preserve">Further promote </w:t>
      </w:r>
      <w:r w:rsidR="00C82CE5" w:rsidRPr="006F2544">
        <w:t>at EU institutional level</w:t>
      </w:r>
      <w:r w:rsidR="00DF5189" w:rsidRPr="006F2544">
        <w:t xml:space="preserve"> </w:t>
      </w:r>
      <w:r w:rsidRPr="006F2544">
        <w:t>the EESC call for the</w:t>
      </w:r>
      <w:r w:rsidR="009031AB" w:rsidRPr="006F2544">
        <w:t xml:space="preserve"> creation of</w:t>
      </w:r>
      <w:r w:rsidR="0071298A" w:rsidRPr="006F2544">
        <w:t xml:space="preserve"> a comprehensive food policy, encompassing different policy areas</w:t>
      </w:r>
      <w:r w:rsidR="00391203" w:rsidRPr="006F2544">
        <w:t xml:space="preserve"> </w:t>
      </w:r>
      <w:r w:rsidR="0071298A" w:rsidRPr="006F2544">
        <w:t>and governan</w:t>
      </w:r>
      <w:r w:rsidR="00F15526" w:rsidRPr="006F2544">
        <w:t>ce levels</w:t>
      </w:r>
      <w:r w:rsidR="0022018A" w:rsidRPr="006F2544">
        <w:t xml:space="preserve">, for example by convening a meeting </w:t>
      </w:r>
      <w:r w:rsidR="00CA6286" w:rsidRPr="006F2544">
        <w:t xml:space="preserve">(in collaboration with IPES Food) </w:t>
      </w:r>
      <w:r w:rsidR="0022018A" w:rsidRPr="006F2544">
        <w:t>of the concerned DGs and stakeholders</w:t>
      </w:r>
      <w:r w:rsidR="00CA6286" w:rsidRPr="006F2544">
        <w:t xml:space="preserve"> to explore the feasibility of an EU Food Policy Council</w:t>
      </w:r>
    </w:p>
    <w:p w14:paraId="0E14D9AF" w14:textId="77777777" w:rsidR="00232B83" w:rsidRPr="006F2544" w:rsidRDefault="00C82CE5" w:rsidP="00CE4FAC">
      <w:pPr>
        <w:pStyle w:val="ListParagraph"/>
        <w:numPr>
          <w:ilvl w:val="0"/>
          <w:numId w:val="10"/>
        </w:numPr>
      </w:pPr>
      <w:r w:rsidRPr="006F2544">
        <w:t xml:space="preserve">Prepare </w:t>
      </w:r>
      <w:r w:rsidR="00F15526" w:rsidRPr="006F2544">
        <w:t>a</w:t>
      </w:r>
      <w:r w:rsidRPr="006F2544">
        <w:t xml:space="preserve"> new opinion on sustainable healthy diets</w:t>
      </w:r>
      <w:r w:rsidR="000E3399" w:rsidRPr="006F2544">
        <w:t xml:space="preserve">, to be discussed </w:t>
      </w:r>
      <w:r w:rsidR="00DF5189" w:rsidRPr="006F2544">
        <w:t>at</w:t>
      </w:r>
      <w:r w:rsidR="000E3399" w:rsidRPr="006F2544">
        <w:t xml:space="preserve"> a joint TSG/SDO meeting in the context of the SDG implementation </w:t>
      </w:r>
    </w:p>
    <w:p w14:paraId="537DAD7F" w14:textId="529989E7" w:rsidR="008D2D08" w:rsidRPr="006F2544" w:rsidRDefault="00232B83" w:rsidP="00CE4FAC">
      <w:pPr>
        <w:pStyle w:val="ListParagraph"/>
        <w:numPr>
          <w:ilvl w:val="0"/>
          <w:numId w:val="10"/>
        </w:numPr>
        <w:rPr>
          <w:b/>
        </w:rPr>
      </w:pPr>
      <w:r w:rsidRPr="006F2544">
        <w:rPr>
          <w:color w:val="222222"/>
        </w:rPr>
        <w:t>Promote more sustainable markets and food supply chains between tradition and innovation</w:t>
      </w:r>
    </w:p>
    <w:p w14:paraId="1775B68F" w14:textId="77777777" w:rsidR="008D2D08" w:rsidRPr="006F2544" w:rsidRDefault="008D2D08" w:rsidP="00063A55"/>
    <w:p w14:paraId="19E94220" w14:textId="77777777" w:rsidR="00822005" w:rsidRPr="006F2544" w:rsidRDefault="00822005" w:rsidP="002F7D94">
      <w:pPr>
        <w:keepNext/>
        <w:keepLines/>
        <w:rPr>
          <w:b/>
          <w:u w:val="single"/>
        </w:rPr>
      </w:pPr>
      <w:r w:rsidRPr="006F2544">
        <w:rPr>
          <w:b/>
          <w:u w:val="single"/>
        </w:rPr>
        <w:lastRenderedPageBreak/>
        <w:t>Internal strategy</w:t>
      </w:r>
    </w:p>
    <w:p w14:paraId="249A859E" w14:textId="77777777" w:rsidR="00822005" w:rsidRPr="006F2544" w:rsidRDefault="00822005" w:rsidP="002F7D94">
      <w:pPr>
        <w:keepNext/>
        <w:keepLines/>
      </w:pPr>
    </w:p>
    <w:p w14:paraId="111D7635" w14:textId="70E3F18C" w:rsidR="007A6DAF" w:rsidRPr="006F2544" w:rsidRDefault="007A6DAF" w:rsidP="002F7D94">
      <w:pPr>
        <w:keepNext/>
        <w:keepLines/>
      </w:pPr>
      <w:r w:rsidRPr="006F2544">
        <w:t xml:space="preserve">Consistently with what precedes, it would be logical </w:t>
      </w:r>
      <w:r w:rsidR="000D6AB9" w:rsidRPr="006F2544">
        <w:t>for</w:t>
      </w:r>
      <w:r w:rsidRPr="006F2544">
        <w:t xml:space="preserve"> the EESC </w:t>
      </w:r>
      <w:r w:rsidR="000D6AB9" w:rsidRPr="006F2544">
        <w:t xml:space="preserve">to </w:t>
      </w:r>
      <w:r w:rsidRPr="006F2544">
        <w:t xml:space="preserve">start a process to define the best </w:t>
      </w:r>
      <w:r w:rsidR="000D6AB9" w:rsidRPr="006F2544">
        <w:t xml:space="preserve">way </w:t>
      </w:r>
      <w:r w:rsidRPr="006F2544">
        <w:t xml:space="preserve">to embed the SDGs in </w:t>
      </w:r>
      <w:r w:rsidR="002B362A" w:rsidRPr="006F2544">
        <w:t>its entire</w:t>
      </w:r>
      <w:r w:rsidRPr="006F2544">
        <w:t xml:space="preserve"> work</w:t>
      </w:r>
      <w:r w:rsidR="002B362A" w:rsidRPr="006F2544">
        <w:t>s</w:t>
      </w:r>
      <w:r w:rsidRPr="006F2544">
        <w:t xml:space="preserve">. </w:t>
      </w:r>
      <w:r w:rsidR="002B362A" w:rsidRPr="006F2544">
        <w:t>For d</w:t>
      </w:r>
      <w:r w:rsidRPr="006F2544">
        <w:t xml:space="preserve">oing what it preaches, the EESC should make </w:t>
      </w:r>
      <w:r w:rsidRPr="006F2544">
        <w:rPr>
          <w:color w:val="000000"/>
        </w:rPr>
        <w:t xml:space="preserve">SDG implementation an integral part of its daily work – both in the administration and for members. The EESC </w:t>
      </w:r>
      <w:r w:rsidR="00F643A6" w:rsidRPr="006F2544">
        <w:rPr>
          <w:color w:val="000000"/>
        </w:rPr>
        <w:t>c</w:t>
      </w:r>
      <w:r w:rsidRPr="006F2544">
        <w:rPr>
          <w:color w:val="000000"/>
        </w:rPr>
        <w:t xml:space="preserve">ould </w:t>
      </w:r>
      <w:r w:rsidR="00F643A6" w:rsidRPr="006F2544">
        <w:rPr>
          <w:color w:val="000000"/>
        </w:rPr>
        <w:t xml:space="preserve">then </w:t>
      </w:r>
      <w:r w:rsidRPr="006F2544">
        <w:rPr>
          <w:color w:val="000000"/>
        </w:rPr>
        <w:t xml:space="preserve">become an example among the EU institutions on </w:t>
      </w:r>
      <w:r w:rsidRPr="006F2544">
        <w:t xml:space="preserve">how to </w:t>
      </w:r>
      <w:r w:rsidR="00015AFB">
        <w:t>apply the SDGs across policies.</w:t>
      </w:r>
    </w:p>
    <w:p w14:paraId="70B41411" w14:textId="77777777" w:rsidR="007A6DAF" w:rsidRPr="006F2544" w:rsidRDefault="007A6DAF" w:rsidP="002F7D94">
      <w:pPr>
        <w:keepNext/>
        <w:keepLines/>
      </w:pPr>
    </w:p>
    <w:p w14:paraId="712F073A" w14:textId="23053278" w:rsidR="007A6DAF" w:rsidRPr="006F2544" w:rsidRDefault="007A6DAF" w:rsidP="002F7D94">
      <w:pPr>
        <w:keepNext/>
        <w:keepLines/>
      </w:pPr>
      <w:r w:rsidRPr="006F2544">
        <w:t xml:space="preserve">The SDO </w:t>
      </w:r>
      <w:r w:rsidR="003333CB" w:rsidRPr="006F2544">
        <w:t>m</w:t>
      </w:r>
      <w:r w:rsidRPr="006F2544">
        <w:t xml:space="preserve">embers will be invited to reflect on the best possible ways to integrate SDGs into the Committee's works. Some of the possible options </w:t>
      </w:r>
      <w:r w:rsidR="002B362A" w:rsidRPr="006F2544">
        <w:t xml:space="preserve">to be explored </w:t>
      </w:r>
      <w:r w:rsidRPr="006F2544">
        <w:t>could be of the following nature:</w:t>
      </w:r>
    </w:p>
    <w:p w14:paraId="785086DE" w14:textId="77777777" w:rsidR="007A6DAF" w:rsidRPr="006F2544" w:rsidRDefault="007A6DAF" w:rsidP="002F7D94">
      <w:pPr>
        <w:keepNext/>
        <w:keepLines/>
      </w:pPr>
    </w:p>
    <w:p w14:paraId="79917D7A" w14:textId="02FEC352" w:rsidR="007A6DAF" w:rsidRPr="006F2544" w:rsidRDefault="007A6DAF" w:rsidP="00CE4FAC">
      <w:pPr>
        <w:pStyle w:val="ListParagraph"/>
        <w:numPr>
          <w:ilvl w:val="0"/>
          <w:numId w:val="7"/>
        </w:numPr>
        <w:spacing w:line="276" w:lineRule="auto"/>
        <w:ind w:left="357" w:hanging="357"/>
        <w:rPr>
          <w:color w:val="000000"/>
        </w:rPr>
      </w:pPr>
      <w:r w:rsidRPr="006F2544">
        <w:rPr>
          <w:color w:val="000000"/>
        </w:rPr>
        <w:t xml:space="preserve">Organise a training programme on SDGs that is focused and relevant for </w:t>
      </w:r>
      <w:r w:rsidR="00F24247" w:rsidRPr="006F2544">
        <w:rPr>
          <w:color w:val="000000"/>
        </w:rPr>
        <w:t>m</w:t>
      </w:r>
      <w:r w:rsidR="00015AFB">
        <w:rPr>
          <w:color w:val="000000"/>
        </w:rPr>
        <w:t>embers</w:t>
      </w:r>
    </w:p>
    <w:p w14:paraId="5D87B9B0" w14:textId="77777777" w:rsidR="007A6DAF" w:rsidRPr="006F2544" w:rsidRDefault="007A6DAF" w:rsidP="00CE4FAC">
      <w:pPr>
        <w:pStyle w:val="ListParagraph"/>
        <w:numPr>
          <w:ilvl w:val="0"/>
          <w:numId w:val="7"/>
        </w:numPr>
        <w:spacing w:line="276" w:lineRule="auto"/>
        <w:ind w:left="357" w:hanging="357"/>
        <w:rPr>
          <w:color w:val="000000"/>
        </w:rPr>
      </w:pPr>
      <w:r w:rsidRPr="006F2544">
        <w:rPr>
          <w:color w:val="000000"/>
        </w:rPr>
        <w:t>Include a regular news item on SDGs (possibly in connection with EMAS) in the monthly newsletter for members</w:t>
      </w:r>
    </w:p>
    <w:p w14:paraId="644EF29F" w14:textId="17252BE7" w:rsidR="007A6DAF" w:rsidRPr="006F2544" w:rsidRDefault="007A6DAF" w:rsidP="00CE4FAC">
      <w:pPr>
        <w:pStyle w:val="ListParagraph"/>
        <w:numPr>
          <w:ilvl w:val="0"/>
          <w:numId w:val="7"/>
        </w:numPr>
        <w:spacing w:line="276" w:lineRule="auto"/>
        <w:ind w:left="357" w:hanging="357"/>
        <w:rPr>
          <w:color w:val="000000"/>
        </w:rPr>
      </w:pPr>
      <w:r w:rsidRPr="006F2544">
        <w:rPr>
          <w:color w:val="000000"/>
        </w:rPr>
        <w:t>Select five specific SDGs to communicate on every year</w:t>
      </w:r>
    </w:p>
    <w:p w14:paraId="1305E5D6" w14:textId="5CE5A74E" w:rsidR="007A6DAF" w:rsidRPr="006F2544" w:rsidRDefault="007A6DAF" w:rsidP="00CE4FAC">
      <w:pPr>
        <w:pStyle w:val="ListParagraph"/>
        <w:numPr>
          <w:ilvl w:val="0"/>
          <w:numId w:val="7"/>
        </w:numPr>
        <w:spacing w:line="276" w:lineRule="auto"/>
        <w:ind w:left="357" w:hanging="357"/>
        <w:rPr>
          <w:color w:val="000000"/>
        </w:rPr>
      </w:pPr>
      <w:r w:rsidRPr="006F2544">
        <w:rPr>
          <w:color w:val="000000"/>
        </w:rPr>
        <w:t xml:space="preserve">Empower SDO </w:t>
      </w:r>
      <w:r w:rsidR="00F24247" w:rsidRPr="006F2544">
        <w:rPr>
          <w:color w:val="000000"/>
        </w:rPr>
        <w:t>m</w:t>
      </w:r>
      <w:r w:rsidRPr="006F2544">
        <w:rPr>
          <w:color w:val="000000"/>
        </w:rPr>
        <w:t>embers as "</w:t>
      </w:r>
      <w:r w:rsidR="00F24247" w:rsidRPr="006F2544">
        <w:rPr>
          <w:color w:val="000000"/>
        </w:rPr>
        <w:t>a</w:t>
      </w:r>
      <w:r w:rsidRPr="006F2544">
        <w:rPr>
          <w:color w:val="000000"/>
        </w:rPr>
        <w:t xml:space="preserve">mbassadors" for sustainable development – with the EESC </w:t>
      </w:r>
      <w:r w:rsidR="00F24247" w:rsidRPr="006F2544">
        <w:rPr>
          <w:color w:val="000000"/>
        </w:rPr>
        <w:t>p</w:t>
      </w:r>
      <w:r w:rsidRPr="006F2544">
        <w:rPr>
          <w:color w:val="000000"/>
        </w:rPr>
        <w:t>resident acting as the top ambassador</w:t>
      </w:r>
    </w:p>
    <w:p w14:paraId="6803F598" w14:textId="3A4B7CAA" w:rsidR="007A6DAF" w:rsidRPr="006F2544" w:rsidRDefault="007A6DAF" w:rsidP="00CE4FAC">
      <w:pPr>
        <w:pStyle w:val="ListParagraph"/>
        <w:numPr>
          <w:ilvl w:val="0"/>
          <w:numId w:val="7"/>
        </w:numPr>
        <w:spacing w:line="276" w:lineRule="auto"/>
        <w:ind w:left="357" w:hanging="357"/>
        <w:rPr>
          <w:color w:val="000000"/>
        </w:rPr>
      </w:pPr>
      <w:r w:rsidRPr="006F2544">
        <w:rPr>
          <w:color w:val="000000"/>
        </w:rPr>
        <w:t>Promote</w:t>
      </w:r>
      <w:r w:rsidR="00F643A6" w:rsidRPr="006F2544">
        <w:rPr>
          <w:color w:val="000000"/>
        </w:rPr>
        <w:t>, on a voluntary basis,</w:t>
      </w:r>
      <w:r w:rsidRPr="006F2544">
        <w:rPr>
          <w:color w:val="000000"/>
        </w:rPr>
        <w:t xml:space="preserve"> the use of an SDG checklist by rapporteurs in the preparation of their opinions in the different Sections/CCMI of the EESC. The checklist would</w:t>
      </w:r>
      <w:r w:rsidR="008F7D59" w:rsidRPr="006F2544">
        <w:rPr>
          <w:color w:val="000000"/>
        </w:rPr>
        <w:t xml:space="preserve"> </w:t>
      </w:r>
      <w:r w:rsidRPr="006F2544">
        <w:rPr>
          <w:color w:val="000000"/>
        </w:rPr>
        <w:t>be a practical tool to assess the extent to which an EESC opinion complies with the SDGs.</w:t>
      </w:r>
    </w:p>
    <w:p w14:paraId="1977A8A7" w14:textId="66A93A73" w:rsidR="007A6DAF" w:rsidRPr="006F2544" w:rsidRDefault="007A6DAF" w:rsidP="00CE4FAC">
      <w:pPr>
        <w:pStyle w:val="ListParagraph"/>
        <w:numPr>
          <w:ilvl w:val="0"/>
          <w:numId w:val="7"/>
        </w:numPr>
        <w:spacing w:line="276" w:lineRule="auto"/>
        <w:ind w:left="357" w:hanging="357"/>
        <w:rPr>
          <w:color w:val="000000"/>
        </w:rPr>
      </w:pPr>
      <w:r w:rsidRPr="006F2544">
        <w:rPr>
          <w:color w:val="000000"/>
        </w:rPr>
        <w:t>Look at how other cross-sectional initiatives have been implemented, for lessons learned, e.g. EMAS</w:t>
      </w:r>
    </w:p>
    <w:p w14:paraId="63218EFF" w14:textId="65C28B7E" w:rsidR="007A6DAF" w:rsidRPr="006F2544" w:rsidRDefault="00F643A6" w:rsidP="00CE4FAC">
      <w:pPr>
        <w:pStyle w:val="ListParagraph"/>
        <w:numPr>
          <w:ilvl w:val="0"/>
          <w:numId w:val="7"/>
        </w:numPr>
        <w:spacing w:line="276" w:lineRule="auto"/>
        <w:ind w:left="357" w:hanging="357"/>
        <w:rPr>
          <w:color w:val="000000"/>
        </w:rPr>
      </w:pPr>
      <w:r w:rsidRPr="006F2544">
        <w:rPr>
          <w:color w:val="000000"/>
        </w:rPr>
        <w:t>P</w:t>
      </w:r>
      <w:r w:rsidR="007A6DAF" w:rsidRPr="006F2544">
        <w:rPr>
          <w:color w:val="000000"/>
        </w:rPr>
        <w:t>ropose that all section presidents are officially SDO members</w:t>
      </w:r>
    </w:p>
    <w:p w14:paraId="748C8F19" w14:textId="77777777" w:rsidR="007A6DAF" w:rsidRPr="006F2544" w:rsidRDefault="007A6DAF" w:rsidP="00CE4FAC">
      <w:pPr>
        <w:pStyle w:val="ListParagraph"/>
        <w:numPr>
          <w:ilvl w:val="0"/>
          <w:numId w:val="7"/>
        </w:numPr>
        <w:spacing w:line="276" w:lineRule="auto"/>
        <w:ind w:left="357" w:hanging="357"/>
        <w:rPr>
          <w:color w:val="000000"/>
        </w:rPr>
      </w:pPr>
      <w:r w:rsidRPr="006F2544">
        <w:rPr>
          <w:color w:val="000000"/>
        </w:rPr>
        <w:t>Identify two main issues per section that could be related to SDG implementation</w:t>
      </w:r>
    </w:p>
    <w:p w14:paraId="2C0FC886" w14:textId="2BC5082E" w:rsidR="007A6DAF" w:rsidRPr="006F2544" w:rsidRDefault="007A6DAF" w:rsidP="00CE4FAC">
      <w:pPr>
        <w:pStyle w:val="ListParagraph"/>
        <w:numPr>
          <w:ilvl w:val="0"/>
          <w:numId w:val="7"/>
        </w:numPr>
        <w:spacing w:line="276" w:lineRule="auto"/>
        <w:ind w:left="357" w:hanging="357"/>
        <w:rPr>
          <w:color w:val="000000"/>
        </w:rPr>
      </w:pPr>
      <w:r w:rsidRPr="006F2544">
        <w:rPr>
          <w:color w:val="000000"/>
        </w:rPr>
        <w:t>Work more closely with relevant EESC bodies (e.g. the European Semester working group, the Labour Market Observatory)</w:t>
      </w:r>
    </w:p>
    <w:p w14:paraId="25847F32" w14:textId="77777777" w:rsidR="007A6DAF" w:rsidRPr="006F2544" w:rsidRDefault="007A6DAF" w:rsidP="002F7D94">
      <w:pPr>
        <w:keepNext/>
        <w:keepLines/>
      </w:pPr>
    </w:p>
    <w:p w14:paraId="5277A812" w14:textId="4978F275" w:rsidR="00A6790D" w:rsidRPr="006F2544" w:rsidRDefault="00C838B2" w:rsidP="002B362A">
      <w:pPr>
        <w:keepNext/>
        <w:keepLines/>
      </w:pPr>
      <w:r w:rsidRPr="006F2544">
        <w:t xml:space="preserve">These and other proposals will be discussed in an SDO meeting in early 2019 with the aim </w:t>
      </w:r>
      <w:r w:rsidR="00F24247" w:rsidRPr="006F2544">
        <w:t>of</w:t>
      </w:r>
      <w:r w:rsidRPr="006F2544">
        <w:t xml:space="preserve"> com</w:t>
      </w:r>
      <w:r w:rsidR="00F24247" w:rsidRPr="006F2544">
        <w:t>ing</w:t>
      </w:r>
      <w:r w:rsidRPr="006F2544">
        <w:t xml:space="preserve"> up with a concrete plan of measures</w:t>
      </w:r>
      <w:r w:rsidR="00D654AD" w:rsidRPr="006F2544">
        <w:t xml:space="preserve"> whenever possible</w:t>
      </w:r>
      <w:r w:rsidRPr="006F2544">
        <w:t>.</w:t>
      </w:r>
    </w:p>
    <w:sectPr w:rsidR="00A6790D" w:rsidRPr="006F2544" w:rsidSect="006F2544">
      <w:headerReference w:type="even" r:id="rId19"/>
      <w:headerReference w:type="default" r:id="rId20"/>
      <w:footerReference w:type="even" r:id="rId21"/>
      <w:footerReference w:type="default" r:id="rId22"/>
      <w:headerReference w:type="first" r:id="rId23"/>
      <w:footerReference w:type="first" r:id="rId24"/>
      <w:type w:val="continuous"/>
      <w:pgSz w:w="11900" w:h="16840"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91AC2" w14:textId="77777777" w:rsidR="00CE4FAC" w:rsidRDefault="00CE4FAC">
      <w:r>
        <w:separator/>
      </w:r>
    </w:p>
  </w:endnote>
  <w:endnote w:type="continuationSeparator" w:id="0">
    <w:p w14:paraId="27E9EA4E" w14:textId="77777777" w:rsidR="00CE4FAC" w:rsidRDefault="00CE4FAC">
      <w:r>
        <w:continuationSeparator/>
      </w:r>
    </w:p>
  </w:endnote>
  <w:endnote w:type="continuationNotice" w:id="1">
    <w:p w14:paraId="3147012C" w14:textId="77777777" w:rsidR="00CE4FAC" w:rsidRDefault="00CE4F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28B5A" w14:textId="77777777" w:rsidR="006F2544" w:rsidRPr="006F2544" w:rsidRDefault="006F2544" w:rsidP="006F25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9B20F" w14:textId="5D13B2A4" w:rsidR="00537E7A" w:rsidRPr="006F2544" w:rsidRDefault="006F2544" w:rsidP="006F2544">
    <w:pPr>
      <w:pStyle w:val="Footer"/>
    </w:pPr>
    <w:r>
      <w:t xml:space="preserve">EESC-2018-03066-00-04-TCD-TRA (EN) </w:t>
    </w:r>
    <w:r>
      <w:fldChar w:fldCharType="begin"/>
    </w:r>
    <w:r>
      <w:instrText xml:space="preserve"> PAGE  \* Arabic  \* MERGEFORMAT </w:instrText>
    </w:r>
    <w:r>
      <w:fldChar w:fldCharType="separate"/>
    </w:r>
    <w:r w:rsidR="009D224D">
      <w:rPr>
        <w:noProof/>
      </w:rPr>
      <w:t>1</w:t>
    </w:r>
    <w:r>
      <w:fldChar w:fldCharType="end"/>
    </w:r>
    <w:r>
      <w:t>/</w:t>
    </w:r>
    <w:fldSimple w:instr=" NUMPAGES ">
      <w:r w:rsidR="009D224D">
        <w:rPr>
          <w:noProof/>
        </w:rPr>
        <w:t>6</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5AC04" w14:textId="77777777" w:rsidR="006F2544" w:rsidRPr="006F2544" w:rsidRDefault="006F2544" w:rsidP="006F25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B04C5" w14:textId="77777777" w:rsidR="00391203" w:rsidRPr="006F2544" w:rsidRDefault="00391203" w:rsidP="006F254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0CE41" w14:textId="2099E80B" w:rsidR="00391203" w:rsidRPr="006F2544" w:rsidRDefault="006F2544" w:rsidP="006F2544">
    <w:pPr>
      <w:pStyle w:val="Footer"/>
    </w:pPr>
    <w:r>
      <w:t xml:space="preserve">EESC-2018-03066-00-04-TCD-TRA (EN) </w:t>
    </w:r>
    <w:r>
      <w:fldChar w:fldCharType="begin"/>
    </w:r>
    <w:r>
      <w:instrText xml:space="preserve"> PAGE  \* Arabic  \* MERGEFORMAT </w:instrText>
    </w:r>
    <w:r>
      <w:fldChar w:fldCharType="separate"/>
    </w:r>
    <w:r w:rsidR="009D224D">
      <w:rPr>
        <w:noProof/>
      </w:rPr>
      <w:t>2</w:t>
    </w:r>
    <w:r>
      <w:fldChar w:fldCharType="end"/>
    </w:r>
    <w:r>
      <w:t>/</w:t>
    </w:r>
    <w:fldSimple w:instr=" NUMPAGES ">
      <w:r w:rsidR="009D224D">
        <w:rPr>
          <w:noProof/>
        </w:rPr>
        <w:t>6</w:t>
      </w:r>
    </w:fldSimple>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D7030" w14:textId="77777777" w:rsidR="00391203" w:rsidRPr="006F2544" w:rsidRDefault="00391203" w:rsidP="006F25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DDE80" w14:textId="77777777" w:rsidR="00CE4FAC" w:rsidRDefault="00CE4FAC">
      <w:r>
        <w:separator/>
      </w:r>
    </w:p>
  </w:footnote>
  <w:footnote w:type="continuationSeparator" w:id="0">
    <w:p w14:paraId="6FCDA353" w14:textId="77777777" w:rsidR="00CE4FAC" w:rsidRDefault="00CE4FAC">
      <w:r>
        <w:continuationSeparator/>
      </w:r>
    </w:p>
  </w:footnote>
  <w:footnote w:type="continuationNotice" w:id="1">
    <w:p w14:paraId="6E3D5CD4" w14:textId="77777777" w:rsidR="00CE4FAC" w:rsidRDefault="00CE4FA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D083C" w14:textId="77777777" w:rsidR="006F2544" w:rsidRPr="006F2544" w:rsidRDefault="006F2544" w:rsidP="006F25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EE760" w14:textId="58D7A977" w:rsidR="006F2544" w:rsidRPr="006F2544" w:rsidRDefault="006F2544" w:rsidP="006F25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3A6BA" w14:textId="77777777" w:rsidR="006F2544" w:rsidRPr="006F2544" w:rsidRDefault="006F2544" w:rsidP="006F254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65B45" w14:textId="77777777" w:rsidR="00391203" w:rsidRPr="006F2544" w:rsidRDefault="00391203" w:rsidP="006F254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305D5" w14:textId="5C97161C" w:rsidR="00391203" w:rsidRPr="006F2544" w:rsidRDefault="00391203" w:rsidP="006F254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97EFE" w14:textId="77777777" w:rsidR="00391203" w:rsidRPr="006F2544" w:rsidRDefault="00391203" w:rsidP="006F25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2B22509"/>
    <w:multiLevelType w:val="hybridMultilevel"/>
    <w:tmpl w:val="1D885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7301B4"/>
    <w:multiLevelType w:val="hybridMultilevel"/>
    <w:tmpl w:val="0DD4FBD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244784F"/>
    <w:multiLevelType w:val="hybridMultilevel"/>
    <w:tmpl w:val="82E64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4F0796"/>
    <w:multiLevelType w:val="hybridMultilevel"/>
    <w:tmpl w:val="66E020C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24C6348"/>
    <w:multiLevelType w:val="hybridMultilevel"/>
    <w:tmpl w:val="38A0A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73965DB"/>
    <w:multiLevelType w:val="hybridMultilevel"/>
    <w:tmpl w:val="9C2E4018"/>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2AD201A9"/>
    <w:multiLevelType w:val="hybridMultilevel"/>
    <w:tmpl w:val="9BCEA5DC"/>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2CFD1063"/>
    <w:multiLevelType w:val="hybridMultilevel"/>
    <w:tmpl w:val="EBFA5FC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F587FBA"/>
    <w:multiLevelType w:val="hybridMultilevel"/>
    <w:tmpl w:val="C57CB38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35F65F38"/>
    <w:multiLevelType w:val="hybridMultilevel"/>
    <w:tmpl w:val="6EEA94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AB274C"/>
    <w:multiLevelType w:val="hybridMultilevel"/>
    <w:tmpl w:val="8A50C756"/>
    <w:lvl w:ilvl="0" w:tplc="20BE63A8">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49D94025"/>
    <w:multiLevelType w:val="hybridMultilevel"/>
    <w:tmpl w:val="1FE4AF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4B815BA1"/>
    <w:multiLevelType w:val="hybridMultilevel"/>
    <w:tmpl w:val="94C6D2D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50662F77"/>
    <w:multiLevelType w:val="hybridMultilevel"/>
    <w:tmpl w:val="6F78D3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5C4787"/>
    <w:multiLevelType w:val="hybridMultilevel"/>
    <w:tmpl w:val="A67ED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3855236"/>
    <w:multiLevelType w:val="hybridMultilevel"/>
    <w:tmpl w:val="40DCB93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7" w15:restartNumberingAfterBreak="0">
    <w:nsid w:val="62935E8D"/>
    <w:multiLevelType w:val="hybridMultilevel"/>
    <w:tmpl w:val="03A6789A"/>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8" w15:restartNumberingAfterBreak="0">
    <w:nsid w:val="676A0D07"/>
    <w:multiLevelType w:val="hybridMultilevel"/>
    <w:tmpl w:val="0198A3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96222F2"/>
    <w:multiLevelType w:val="hybridMultilevel"/>
    <w:tmpl w:val="ABD45E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725F7C9C"/>
    <w:multiLevelType w:val="hybridMultilevel"/>
    <w:tmpl w:val="586A62EC"/>
    <w:lvl w:ilvl="0" w:tplc="0809000F">
      <w:start w:val="1"/>
      <w:numFmt w:val="decimal"/>
      <w:lvlText w:val="%1."/>
      <w:lvlJc w:val="left"/>
      <w:pPr>
        <w:ind w:left="360" w:hanging="360"/>
      </w:pPr>
    </w:lvl>
    <w:lvl w:ilvl="1" w:tplc="8FCCF0B6">
      <w:numFmt w:val="bullet"/>
      <w:lvlText w:val="-"/>
      <w:lvlJc w:val="left"/>
      <w:pPr>
        <w:ind w:left="1080" w:hanging="360"/>
      </w:pPr>
      <w:rPr>
        <w:rFonts w:ascii="Times New Roman" w:eastAsia="Times New Roman" w:hAnsi="Times New Roman" w:cs="Times New Roman"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4"/>
  </w:num>
  <w:num w:numId="3">
    <w:abstractNumId w:val="16"/>
  </w:num>
  <w:num w:numId="4">
    <w:abstractNumId w:val="6"/>
  </w:num>
  <w:num w:numId="5">
    <w:abstractNumId w:val="17"/>
  </w:num>
  <w:num w:numId="6">
    <w:abstractNumId w:val="20"/>
  </w:num>
  <w:num w:numId="7">
    <w:abstractNumId w:val="10"/>
  </w:num>
  <w:num w:numId="8">
    <w:abstractNumId w:val="5"/>
  </w:num>
  <w:num w:numId="9">
    <w:abstractNumId w:val="7"/>
  </w:num>
  <w:num w:numId="10">
    <w:abstractNumId w:val="13"/>
  </w:num>
  <w:num w:numId="11">
    <w:abstractNumId w:val="18"/>
  </w:num>
  <w:num w:numId="12">
    <w:abstractNumId w:val="14"/>
  </w:num>
  <w:num w:numId="13">
    <w:abstractNumId w:val="1"/>
  </w:num>
  <w:num w:numId="14">
    <w:abstractNumId w:val="9"/>
  </w:num>
  <w:num w:numId="15">
    <w:abstractNumId w:val="3"/>
  </w:num>
  <w:num w:numId="16">
    <w:abstractNumId w:val="15"/>
  </w:num>
  <w:num w:numId="17">
    <w:abstractNumId w:val="12"/>
  </w:num>
  <w:num w:numId="18">
    <w:abstractNumId w:val="19"/>
  </w:num>
  <w:num w:numId="19">
    <w:abstractNumId w:val="8"/>
  </w:num>
  <w:num w:numId="20">
    <w:abstractNumId w:val="2"/>
  </w:num>
  <w:num w:numId="21">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868"/>
    <w:rsid w:val="00005F99"/>
    <w:rsid w:val="00006E4C"/>
    <w:rsid w:val="000142F1"/>
    <w:rsid w:val="0001453F"/>
    <w:rsid w:val="000149E2"/>
    <w:rsid w:val="000159DB"/>
    <w:rsid w:val="00015A78"/>
    <w:rsid w:val="00015AFB"/>
    <w:rsid w:val="00017455"/>
    <w:rsid w:val="000258A9"/>
    <w:rsid w:val="00034498"/>
    <w:rsid w:val="00034866"/>
    <w:rsid w:val="00034939"/>
    <w:rsid w:val="00040317"/>
    <w:rsid w:val="0004146E"/>
    <w:rsid w:val="000419E2"/>
    <w:rsid w:val="000429CC"/>
    <w:rsid w:val="00042A64"/>
    <w:rsid w:val="00042B0E"/>
    <w:rsid w:val="000456DE"/>
    <w:rsid w:val="000458B6"/>
    <w:rsid w:val="00046C53"/>
    <w:rsid w:val="00051E8C"/>
    <w:rsid w:val="0005247C"/>
    <w:rsid w:val="00052C8C"/>
    <w:rsid w:val="00056E5A"/>
    <w:rsid w:val="00057AD1"/>
    <w:rsid w:val="00063A55"/>
    <w:rsid w:val="00070871"/>
    <w:rsid w:val="000712D1"/>
    <w:rsid w:val="00071798"/>
    <w:rsid w:val="00075F91"/>
    <w:rsid w:val="00084883"/>
    <w:rsid w:val="00084CA1"/>
    <w:rsid w:val="000870A1"/>
    <w:rsid w:val="00087522"/>
    <w:rsid w:val="000955AC"/>
    <w:rsid w:val="00097268"/>
    <w:rsid w:val="000B32B0"/>
    <w:rsid w:val="000B6368"/>
    <w:rsid w:val="000B7417"/>
    <w:rsid w:val="000C6E44"/>
    <w:rsid w:val="000C7D3D"/>
    <w:rsid w:val="000D1E62"/>
    <w:rsid w:val="000D1E76"/>
    <w:rsid w:val="000D6050"/>
    <w:rsid w:val="000D6AB9"/>
    <w:rsid w:val="000D713F"/>
    <w:rsid w:val="000E3399"/>
    <w:rsid w:val="000E3BD0"/>
    <w:rsid w:val="000E42CA"/>
    <w:rsid w:val="000E4DC9"/>
    <w:rsid w:val="000E68E0"/>
    <w:rsid w:val="000F13C4"/>
    <w:rsid w:val="000F32A6"/>
    <w:rsid w:val="000F3E26"/>
    <w:rsid w:val="000F4189"/>
    <w:rsid w:val="000F4334"/>
    <w:rsid w:val="00101BE9"/>
    <w:rsid w:val="00103C3F"/>
    <w:rsid w:val="00104769"/>
    <w:rsid w:val="0010511C"/>
    <w:rsid w:val="00105C63"/>
    <w:rsid w:val="001165FE"/>
    <w:rsid w:val="00120343"/>
    <w:rsid w:val="00120D2D"/>
    <w:rsid w:val="00122272"/>
    <w:rsid w:val="00123EE6"/>
    <w:rsid w:val="00125FA9"/>
    <w:rsid w:val="00126A04"/>
    <w:rsid w:val="00131719"/>
    <w:rsid w:val="001339AB"/>
    <w:rsid w:val="00134067"/>
    <w:rsid w:val="001428EB"/>
    <w:rsid w:val="00147520"/>
    <w:rsid w:val="00157111"/>
    <w:rsid w:val="0015728A"/>
    <w:rsid w:val="0015780A"/>
    <w:rsid w:val="00162850"/>
    <w:rsid w:val="001719D0"/>
    <w:rsid w:val="00174521"/>
    <w:rsid w:val="001750E6"/>
    <w:rsid w:val="001829C4"/>
    <w:rsid w:val="0018390C"/>
    <w:rsid w:val="0018512A"/>
    <w:rsid w:val="00187370"/>
    <w:rsid w:val="00191F27"/>
    <w:rsid w:val="00196DC9"/>
    <w:rsid w:val="00197545"/>
    <w:rsid w:val="00197D55"/>
    <w:rsid w:val="001A06C7"/>
    <w:rsid w:val="001A27CB"/>
    <w:rsid w:val="001A3A4E"/>
    <w:rsid w:val="001B271D"/>
    <w:rsid w:val="001B62DB"/>
    <w:rsid w:val="001C05F6"/>
    <w:rsid w:val="001C5BEB"/>
    <w:rsid w:val="001D3FA5"/>
    <w:rsid w:val="001D45C9"/>
    <w:rsid w:val="001D52ED"/>
    <w:rsid w:val="001D6630"/>
    <w:rsid w:val="001D754E"/>
    <w:rsid w:val="001E1922"/>
    <w:rsid w:val="001E3E99"/>
    <w:rsid w:val="001E712D"/>
    <w:rsid w:val="001E72F1"/>
    <w:rsid w:val="001F0859"/>
    <w:rsid w:val="001F1071"/>
    <w:rsid w:val="001F5C74"/>
    <w:rsid w:val="00200E2D"/>
    <w:rsid w:val="00205059"/>
    <w:rsid w:val="00207A61"/>
    <w:rsid w:val="00210183"/>
    <w:rsid w:val="00210C52"/>
    <w:rsid w:val="00215E4C"/>
    <w:rsid w:val="00216F11"/>
    <w:rsid w:val="0022018A"/>
    <w:rsid w:val="00223460"/>
    <w:rsid w:val="00224B12"/>
    <w:rsid w:val="002311C9"/>
    <w:rsid w:val="00232B83"/>
    <w:rsid w:val="00233882"/>
    <w:rsid w:val="00235B02"/>
    <w:rsid w:val="002363D8"/>
    <w:rsid w:val="00241CE1"/>
    <w:rsid w:val="00242387"/>
    <w:rsid w:val="002436F4"/>
    <w:rsid w:val="00246D5D"/>
    <w:rsid w:val="00253445"/>
    <w:rsid w:val="002539D9"/>
    <w:rsid w:val="00260EC8"/>
    <w:rsid w:val="00264D69"/>
    <w:rsid w:val="00264FC3"/>
    <w:rsid w:val="00270861"/>
    <w:rsid w:val="0027213B"/>
    <w:rsid w:val="002730D1"/>
    <w:rsid w:val="00273DBF"/>
    <w:rsid w:val="00274DD7"/>
    <w:rsid w:val="00275BEE"/>
    <w:rsid w:val="00276C9B"/>
    <w:rsid w:val="0027777F"/>
    <w:rsid w:val="002860DA"/>
    <w:rsid w:val="00286D4A"/>
    <w:rsid w:val="00292834"/>
    <w:rsid w:val="002936D5"/>
    <w:rsid w:val="0029647B"/>
    <w:rsid w:val="002975D3"/>
    <w:rsid w:val="002A06A7"/>
    <w:rsid w:val="002A25AF"/>
    <w:rsid w:val="002A52C9"/>
    <w:rsid w:val="002A68BD"/>
    <w:rsid w:val="002B3345"/>
    <w:rsid w:val="002B362A"/>
    <w:rsid w:val="002B3F43"/>
    <w:rsid w:val="002B5162"/>
    <w:rsid w:val="002B552C"/>
    <w:rsid w:val="002B5F95"/>
    <w:rsid w:val="002B6E60"/>
    <w:rsid w:val="002B7A7F"/>
    <w:rsid w:val="002C0A39"/>
    <w:rsid w:val="002C289C"/>
    <w:rsid w:val="002D4A47"/>
    <w:rsid w:val="002D63CB"/>
    <w:rsid w:val="002E2CBA"/>
    <w:rsid w:val="002E3946"/>
    <w:rsid w:val="002E3E2F"/>
    <w:rsid w:val="002E499E"/>
    <w:rsid w:val="002E6BFA"/>
    <w:rsid w:val="002E76A3"/>
    <w:rsid w:val="002F76F7"/>
    <w:rsid w:val="002F7D94"/>
    <w:rsid w:val="00302518"/>
    <w:rsid w:val="00304F07"/>
    <w:rsid w:val="003075C0"/>
    <w:rsid w:val="00311CC6"/>
    <w:rsid w:val="00317470"/>
    <w:rsid w:val="00331E58"/>
    <w:rsid w:val="003333CB"/>
    <w:rsid w:val="0033386E"/>
    <w:rsid w:val="00341301"/>
    <w:rsid w:val="00343DC2"/>
    <w:rsid w:val="00346BB4"/>
    <w:rsid w:val="0034781B"/>
    <w:rsid w:val="00355378"/>
    <w:rsid w:val="003557C2"/>
    <w:rsid w:val="0036078A"/>
    <w:rsid w:val="00360A9B"/>
    <w:rsid w:val="0036132A"/>
    <w:rsid w:val="00366AA9"/>
    <w:rsid w:val="00367B15"/>
    <w:rsid w:val="00371635"/>
    <w:rsid w:val="003745B8"/>
    <w:rsid w:val="00376616"/>
    <w:rsid w:val="00377891"/>
    <w:rsid w:val="00382074"/>
    <w:rsid w:val="003863CB"/>
    <w:rsid w:val="00387611"/>
    <w:rsid w:val="00391203"/>
    <w:rsid w:val="003912FE"/>
    <w:rsid w:val="00391879"/>
    <w:rsid w:val="00395959"/>
    <w:rsid w:val="00395DBB"/>
    <w:rsid w:val="003A066C"/>
    <w:rsid w:val="003A123A"/>
    <w:rsid w:val="003A3525"/>
    <w:rsid w:val="003A3529"/>
    <w:rsid w:val="003A4449"/>
    <w:rsid w:val="003A4BA3"/>
    <w:rsid w:val="003A665D"/>
    <w:rsid w:val="003A6875"/>
    <w:rsid w:val="003A71FB"/>
    <w:rsid w:val="003C5A41"/>
    <w:rsid w:val="003C6194"/>
    <w:rsid w:val="003E1345"/>
    <w:rsid w:val="003E2517"/>
    <w:rsid w:val="003E2EE0"/>
    <w:rsid w:val="003E3788"/>
    <w:rsid w:val="003E61C7"/>
    <w:rsid w:val="003E6220"/>
    <w:rsid w:val="003E6399"/>
    <w:rsid w:val="003E6472"/>
    <w:rsid w:val="003E7409"/>
    <w:rsid w:val="003F1959"/>
    <w:rsid w:val="003F39DC"/>
    <w:rsid w:val="003F731A"/>
    <w:rsid w:val="004026EB"/>
    <w:rsid w:val="004036CF"/>
    <w:rsid w:val="00406BC2"/>
    <w:rsid w:val="00413FF0"/>
    <w:rsid w:val="00417143"/>
    <w:rsid w:val="0041766F"/>
    <w:rsid w:val="00422981"/>
    <w:rsid w:val="00424C70"/>
    <w:rsid w:val="00425C68"/>
    <w:rsid w:val="0043445E"/>
    <w:rsid w:val="00436753"/>
    <w:rsid w:val="004402F9"/>
    <w:rsid w:val="004467F8"/>
    <w:rsid w:val="0046715B"/>
    <w:rsid w:val="004740B0"/>
    <w:rsid w:val="00477993"/>
    <w:rsid w:val="0048742F"/>
    <w:rsid w:val="00490030"/>
    <w:rsid w:val="0049296C"/>
    <w:rsid w:val="00492BFC"/>
    <w:rsid w:val="00493029"/>
    <w:rsid w:val="004940E5"/>
    <w:rsid w:val="004956EA"/>
    <w:rsid w:val="00497ECC"/>
    <w:rsid w:val="004A0E31"/>
    <w:rsid w:val="004A2B80"/>
    <w:rsid w:val="004A5D0B"/>
    <w:rsid w:val="004B08EF"/>
    <w:rsid w:val="004B3347"/>
    <w:rsid w:val="004C21D9"/>
    <w:rsid w:val="004C3E37"/>
    <w:rsid w:val="004D11ED"/>
    <w:rsid w:val="004D201C"/>
    <w:rsid w:val="004D27D6"/>
    <w:rsid w:val="004D62F2"/>
    <w:rsid w:val="004D6947"/>
    <w:rsid w:val="004E3C77"/>
    <w:rsid w:val="004E6472"/>
    <w:rsid w:val="004E7353"/>
    <w:rsid w:val="004F6D58"/>
    <w:rsid w:val="0050311B"/>
    <w:rsid w:val="005049ED"/>
    <w:rsid w:val="00510196"/>
    <w:rsid w:val="00512567"/>
    <w:rsid w:val="00514309"/>
    <w:rsid w:val="00514EC8"/>
    <w:rsid w:val="00520E4D"/>
    <w:rsid w:val="00522326"/>
    <w:rsid w:val="00523507"/>
    <w:rsid w:val="00537E7A"/>
    <w:rsid w:val="00541175"/>
    <w:rsid w:val="005419EF"/>
    <w:rsid w:val="00541EBD"/>
    <w:rsid w:val="00550341"/>
    <w:rsid w:val="0055218E"/>
    <w:rsid w:val="005627F4"/>
    <w:rsid w:val="00565A22"/>
    <w:rsid w:val="00571099"/>
    <w:rsid w:val="005711AE"/>
    <w:rsid w:val="0057339F"/>
    <w:rsid w:val="005826B3"/>
    <w:rsid w:val="00586794"/>
    <w:rsid w:val="00591809"/>
    <w:rsid w:val="00596974"/>
    <w:rsid w:val="005A557A"/>
    <w:rsid w:val="005B0FD0"/>
    <w:rsid w:val="005B355D"/>
    <w:rsid w:val="005B5418"/>
    <w:rsid w:val="005B7B6D"/>
    <w:rsid w:val="005C19D5"/>
    <w:rsid w:val="005C56C7"/>
    <w:rsid w:val="005C7E5C"/>
    <w:rsid w:val="005D03DC"/>
    <w:rsid w:val="005D0B19"/>
    <w:rsid w:val="005D629D"/>
    <w:rsid w:val="005E0AE7"/>
    <w:rsid w:val="005E39B3"/>
    <w:rsid w:val="005E4EF7"/>
    <w:rsid w:val="005F00BD"/>
    <w:rsid w:val="005F5851"/>
    <w:rsid w:val="005F68F9"/>
    <w:rsid w:val="005F7543"/>
    <w:rsid w:val="006027A5"/>
    <w:rsid w:val="00602F12"/>
    <w:rsid w:val="006040AD"/>
    <w:rsid w:val="00605C15"/>
    <w:rsid w:val="00606BD1"/>
    <w:rsid w:val="006136C5"/>
    <w:rsid w:val="0061441F"/>
    <w:rsid w:val="00614605"/>
    <w:rsid w:val="006152A8"/>
    <w:rsid w:val="006234BC"/>
    <w:rsid w:val="0062571F"/>
    <w:rsid w:val="006266AC"/>
    <w:rsid w:val="00632A25"/>
    <w:rsid w:val="00632AF5"/>
    <w:rsid w:val="00634985"/>
    <w:rsid w:val="0063637A"/>
    <w:rsid w:val="00641327"/>
    <w:rsid w:val="00641974"/>
    <w:rsid w:val="00641E04"/>
    <w:rsid w:val="00642888"/>
    <w:rsid w:val="006464FE"/>
    <w:rsid w:val="0065261B"/>
    <w:rsid w:val="00652858"/>
    <w:rsid w:val="00653B01"/>
    <w:rsid w:val="00656053"/>
    <w:rsid w:val="00657560"/>
    <w:rsid w:val="00660750"/>
    <w:rsid w:val="0066084B"/>
    <w:rsid w:val="006638DE"/>
    <w:rsid w:val="00670DD6"/>
    <w:rsid w:val="006725AB"/>
    <w:rsid w:val="006736D5"/>
    <w:rsid w:val="00673E96"/>
    <w:rsid w:val="00674F30"/>
    <w:rsid w:val="006763D2"/>
    <w:rsid w:val="00680841"/>
    <w:rsid w:val="00681A85"/>
    <w:rsid w:val="006830E5"/>
    <w:rsid w:val="00683664"/>
    <w:rsid w:val="00685F98"/>
    <w:rsid w:val="0068678F"/>
    <w:rsid w:val="00687738"/>
    <w:rsid w:val="0069019F"/>
    <w:rsid w:val="006950B3"/>
    <w:rsid w:val="00695D37"/>
    <w:rsid w:val="006966B2"/>
    <w:rsid w:val="006A0AB6"/>
    <w:rsid w:val="006A5FA5"/>
    <w:rsid w:val="006B28B3"/>
    <w:rsid w:val="006B43BD"/>
    <w:rsid w:val="006B6398"/>
    <w:rsid w:val="006C08B7"/>
    <w:rsid w:val="006C25D4"/>
    <w:rsid w:val="006C547C"/>
    <w:rsid w:val="006C5FEA"/>
    <w:rsid w:val="006C7C69"/>
    <w:rsid w:val="006D2595"/>
    <w:rsid w:val="006D3599"/>
    <w:rsid w:val="006D3AB5"/>
    <w:rsid w:val="006D42CF"/>
    <w:rsid w:val="006D49A8"/>
    <w:rsid w:val="006E148E"/>
    <w:rsid w:val="006E322D"/>
    <w:rsid w:val="006E3FDC"/>
    <w:rsid w:val="006F2544"/>
    <w:rsid w:val="00700AEB"/>
    <w:rsid w:val="00705E18"/>
    <w:rsid w:val="00707C1F"/>
    <w:rsid w:val="007124E8"/>
    <w:rsid w:val="0071298A"/>
    <w:rsid w:val="00713C49"/>
    <w:rsid w:val="00713F61"/>
    <w:rsid w:val="00717E74"/>
    <w:rsid w:val="00722112"/>
    <w:rsid w:val="00722B80"/>
    <w:rsid w:val="00724853"/>
    <w:rsid w:val="00725828"/>
    <w:rsid w:val="00725C0D"/>
    <w:rsid w:val="00734E31"/>
    <w:rsid w:val="00734F6F"/>
    <w:rsid w:val="00741015"/>
    <w:rsid w:val="00741A63"/>
    <w:rsid w:val="007438BB"/>
    <w:rsid w:val="007441B2"/>
    <w:rsid w:val="007459F7"/>
    <w:rsid w:val="00747EE0"/>
    <w:rsid w:val="007538CD"/>
    <w:rsid w:val="00753EAC"/>
    <w:rsid w:val="007555F9"/>
    <w:rsid w:val="007556FB"/>
    <w:rsid w:val="00757DED"/>
    <w:rsid w:val="0076214D"/>
    <w:rsid w:val="007648D7"/>
    <w:rsid w:val="00764AC3"/>
    <w:rsid w:val="00766C00"/>
    <w:rsid w:val="00770D01"/>
    <w:rsid w:val="0077246A"/>
    <w:rsid w:val="007755E6"/>
    <w:rsid w:val="007802F8"/>
    <w:rsid w:val="00782187"/>
    <w:rsid w:val="00782F3B"/>
    <w:rsid w:val="00784269"/>
    <w:rsid w:val="00787AB6"/>
    <w:rsid w:val="007902D5"/>
    <w:rsid w:val="0079032F"/>
    <w:rsid w:val="00794C4A"/>
    <w:rsid w:val="00797B54"/>
    <w:rsid w:val="007A039D"/>
    <w:rsid w:val="007A4B09"/>
    <w:rsid w:val="007A6DAF"/>
    <w:rsid w:val="007C0B6C"/>
    <w:rsid w:val="007C3575"/>
    <w:rsid w:val="007D2A1A"/>
    <w:rsid w:val="007D4907"/>
    <w:rsid w:val="007E2852"/>
    <w:rsid w:val="007E2BB5"/>
    <w:rsid w:val="007F0BAA"/>
    <w:rsid w:val="007F1942"/>
    <w:rsid w:val="007F29AA"/>
    <w:rsid w:val="007F2E64"/>
    <w:rsid w:val="00800393"/>
    <w:rsid w:val="008024A4"/>
    <w:rsid w:val="00804062"/>
    <w:rsid w:val="00804910"/>
    <w:rsid w:val="00805204"/>
    <w:rsid w:val="00812F2D"/>
    <w:rsid w:val="008153B4"/>
    <w:rsid w:val="00822005"/>
    <w:rsid w:val="00822EAE"/>
    <w:rsid w:val="00823A41"/>
    <w:rsid w:val="00827A9E"/>
    <w:rsid w:val="00835101"/>
    <w:rsid w:val="0083778E"/>
    <w:rsid w:val="00842B62"/>
    <w:rsid w:val="0084354B"/>
    <w:rsid w:val="00851629"/>
    <w:rsid w:val="00861590"/>
    <w:rsid w:val="00864BD3"/>
    <w:rsid w:val="00864EC8"/>
    <w:rsid w:val="008669F4"/>
    <w:rsid w:val="00866D74"/>
    <w:rsid w:val="00874257"/>
    <w:rsid w:val="00874661"/>
    <w:rsid w:val="00874B6B"/>
    <w:rsid w:val="00875E40"/>
    <w:rsid w:val="0087779D"/>
    <w:rsid w:val="00882B3B"/>
    <w:rsid w:val="008839F8"/>
    <w:rsid w:val="00891F49"/>
    <w:rsid w:val="00897FA0"/>
    <w:rsid w:val="008A1151"/>
    <w:rsid w:val="008A2421"/>
    <w:rsid w:val="008A650E"/>
    <w:rsid w:val="008B1FC9"/>
    <w:rsid w:val="008B3AD3"/>
    <w:rsid w:val="008C217F"/>
    <w:rsid w:val="008C3FB5"/>
    <w:rsid w:val="008C479A"/>
    <w:rsid w:val="008C5045"/>
    <w:rsid w:val="008C5F40"/>
    <w:rsid w:val="008C6F4B"/>
    <w:rsid w:val="008D1498"/>
    <w:rsid w:val="008D2D08"/>
    <w:rsid w:val="008E3CDD"/>
    <w:rsid w:val="008E5FC3"/>
    <w:rsid w:val="008E6D78"/>
    <w:rsid w:val="008E7BAF"/>
    <w:rsid w:val="008F10A4"/>
    <w:rsid w:val="008F3BAC"/>
    <w:rsid w:val="008F60E7"/>
    <w:rsid w:val="008F6585"/>
    <w:rsid w:val="008F715D"/>
    <w:rsid w:val="008F7695"/>
    <w:rsid w:val="008F79E0"/>
    <w:rsid w:val="008F7D59"/>
    <w:rsid w:val="009031AB"/>
    <w:rsid w:val="0090401C"/>
    <w:rsid w:val="00920421"/>
    <w:rsid w:val="00923454"/>
    <w:rsid w:val="009318BE"/>
    <w:rsid w:val="00932933"/>
    <w:rsid w:val="009341AA"/>
    <w:rsid w:val="00936F53"/>
    <w:rsid w:val="00940877"/>
    <w:rsid w:val="00946EC1"/>
    <w:rsid w:val="0096473F"/>
    <w:rsid w:val="009662ED"/>
    <w:rsid w:val="00972F86"/>
    <w:rsid w:val="00974C1C"/>
    <w:rsid w:val="009750B1"/>
    <w:rsid w:val="00980527"/>
    <w:rsid w:val="00981B83"/>
    <w:rsid w:val="00983281"/>
    <w:rsid w:val="00983882"/>
    <w:rsid w:val="0099098A"/>
    <w:rsid w:val="009915D7"/>
    <w:rsid w:val="0099423D"/>
    <w:rsid w:val="009A1AD0"/>
    <w:rsid w:val="009A1C75"/>
    <w:rsid w:val="009A45D7"/>
    <w:rsid w:val="009B0DC4"/>
    <w:rsid w:val="009B10DE"/>
    <w:rsid w:val="009B4381"/>
    <w:rsid w:val="009C659B"/>
    <w:rsid w:val="009D0CAA"/>
    <w:rsid w:val="009D163C"/>
    <w:rsid w:val="009D1F2A"/>
    <w:rsid w:val="009D224D"/>
    <w:rsid w:val="009E006D"/>
    <w:rsid w:val="009E4825"/>
    <w:rsid w:val="009E53F5"/>
    <w:rsid w:val="009E5808"/>
    <w:rsid w:val="009E7BB2"/>
    <w:rsid w:val="009F0A39"/>
    <w:rsid w:val="009F405B"/>
    <w:rsid w:val="009F470B"/>
    <w:rsid w:val="009F5C58"/>
    <w:rsid w:val="009F64CA"/>
    <w:rsid w:val="00A00189"/>
    <w:rsid w:val="00A001F7"/>
    <w:rsid w:val="00A018AE"/>
    <w:rsid w:val="00A16671"/>
    <w:rsid w:val="00A1795A"/>
    <w:rsid w:val="00A21E2A"/>
    <w:rsid w:val="00A302AD"/>
    <w:rsid w:val="00A32092"/>
    <w:rsid w:val="00A3226C"/>
    <w:rsid w:val="00A344F6"/>
    <w:rsid w:val="00A36BA0"/>
    <w:rsid w:val="00A424D6"/>
    <w:rsid w:val="00A42EBB"/>
    <w:rsid w:val="00A435CE"/>
    <w:rsid w:val="00A43E6E"/>
    <w:rsid w:val="00A47D92"/>
    <w:rsid w:val="00A5259E"/>
    <w:rsid w:val="00A536EE"/>
    <w:rsid w:val="00A53B93"/>
    <w:rsid w:val="00A53EC6"/>
    <w:rsid w:val="00A61325"/>
    <w:rsid w:val="00A61926"/>
    <w:rsid w:val="00A62338"/>
    <w:rsid w:val="00A6790D"/>
    <w:rsid w:val="00A679AB"/>
    <w:rsid w:val="00A742A0"/>
    <w:rsid w:val="00A82756"/>
    <w:rsid w:val="00A8307D"/>
    <w:rsid w:val="00A839A5"/>
    <w:rsid w:val="00A9287B"/>
    <w:rsid w:val="00A93AAC"/>
    <w:rsid w:val="00A94659"/>
    <w:rsid w:val="00AA38CB"/>
    <w:rsid w:val="00AA489B"/>
    <w:rsid w:val="00AA7128"/>
    <w:rsid w:val="00AB63EB"/>
    <w:rsid w:val="00AB6C4E"/>
    <w:rsid w:val="00AB737A"/>
    <w:rsid w:val="00AC0B73"/>
    <w:rsid w:val="00AC3297"/>
    <w:rsid w:val="00AC4E0B"/>
    <w:rsid w:val="00AD2048"/>
    <w:rsid w:val="00AD5BE1"/>
    <w:rsid w:val="00AE072F"/>
    <w:rsid w:val="00AE6C96"/>
    <w:rsid w:val="00AF0570"/>
    <w:rsid w:val="00AF738B"/>
    <w:rsid w:val="00B03E6A"/>
    <w:rsid w:val="00B12C4C"/>
    <w:rsid w:val="00B13D18"/>
    <w:rsid w:val="00B15EF5"/>
    <w:rsid w:val="00B206EC"/>
    <w:rsid w:val="00B21830"/>
    <w:rsid w:val="00B24A3B"/>
    <w:rsid w:val="00B25F1D"/>
    <w:rsid w:val="00B3215C"/>
    <w:rsid w:val="00B32BC2"/>
    <w:rsid w:val="00B333B4"/>
    <w:rsid w:val="00B34E85"/>
    <w:rsid w:val="00B37C24"/>
    <w:rsid w:val="00B37E1C"/>
    <w:rsid w:val="00B412DB"/>
    <w:rsid w:val="00B422C7"/>
    <w:rsid w:val="00B43EDE"/>
    <w:rsid w:val="00B54FF4"/>
    <w:rsid w:val="00B57681"/>
    <w:rsid w:val="00B57ACF"/>
    <w:rsid w:val="00B60B57"/>
    <w:rsid w:val="00B61F2A"/>
    <w:rsid w:val="00B6281E"/>
    <w:rsid w:val="00B62C2A"/>
    <w:rsid w:val="00B638CC"/>
    <w:rsid w:val="00B63F10"/>
    <w:rsid w:val="00B70E20"/>
    <w:rsid w:val="00B71A04"/>
    <w:rsid w:val="00B73174"/>
    <w:rsid w:val="00B80873"/>
    <w:rsid w:val="00B84FFA"/>
    <w:rsid w:val="00B86C7F"/>
    <w:rsid w:val="00B92378"/>
    <w:rsid w:val="00B941F1"/>
    <w:rsid w:val="00BA1AB7"/>
    <w:rsid w:val="00BA1BDF"/>
    <w:rsid w:val="00BA2025"/>
    <w:rsid w:val="00BA4971"/>
    <w:rsid w:val="00BB4003"/>
    <w:rsid w:val="00BC09BA"/>
    <w:rsid w:val="00BC0D92"/>
    <w:rsid w:val="00BC32C0"/>
    <w:rsid w:val="00BC7D84"/>
    <w:rsid w:val="00BD0327"/>
    <w:rsid w:val="00BD43EE"/>
    <w:rsid w:val="00BD54DB"/>
    <w:rsid w:val="00BD57FA"/>
    <w:rsid w:val="00BD5A48"/>
    <w:rsid w:val="00BD5E58"/>
    <w:rsid w:val="00BE26D9"/>
    <w:rsid w:val="00BE3B2D"/>
    <w:rsid w:val="00BE5452"/>
    <w:rsid w:val="00BE5481"/>
    <w:rsid w:val="00BE58DC"/>
    <w:rsid w:val="00BF0985"/>
    <w:rsid w:val="00BF2B31"/>
    <w:rsid w:val="00BF6C34"/>
    <w:rsid w:val="00BF79C4"/>
    <w:rsid w:val="00C0188B"/>
    <w:rsid w:val="00C02056"/>
    <w:rsid w:val="00C04F7C"/>
    <w:rsid w:val="00C0625D"/>
    <w:rsid w:val="00C12E2E"/>
    <w:rsid w:val="00C1450D"/>
    <w:rsid w:val="00C2183C"/>
    <w:rsid w:val="00C219CD"/>
    <w:rsid w:val="00C23453"/>
    <w:rsid w:val="00C24290"/>
    <w:rsid w:val="00C25BAE"/>
    <w:rsid w:val="00C27F10"/>
    <w:rsid w:val="00C32070"/>
    <w:rsid w:val="00C326DB"/>
    <w:rsid w:val="00C33EF4"/>
    <w:rsid w:val="00C33FEA"/>
    <w:rsid w:val="00C34DEF"/>
    <w:rsid w:val="00C3674F"/>
    <w:rsid w:val="00C454DD"/>
    <w:rsid w:val="00C46868"/>
    <w:rsid w:val="00C47930"/>
    <w:rsid w:val="00C52994"/>
    <w:rsid w:val="00C56274"/>
    <w:rsid w:val="00C61639"/>
    <w:rsid w:val="00C63702"/>
    <w:rsid w:val="00C65C68"/>
    <w:rsid w:val="00C66934"/>
    <w:rsid w:val="00C71706"/>
    <w:rsid w:val="00C73660"/>
    <w:rsid w:val="00C829AB"/>
    <w:rsid w:val="00C82CE5"/>
    <w:rsid w:val="00C838B2"/>
    <w:rsid w:val="00C85AB9"/>
    <w:rsid w:val="00C86B4E"/>
    <w:rsid w:val="00C873A9"/>
    <w:rsid w:val="00C94685"/>
    <w:rsid w:val="00C968DD"/>
    <w:rsid w:val="00CA2B7E"/>
    <w:rsid w:val="00CA3E80"/>
    <w:rsid w:val="00CA5330"/>
    <w:rsid w:val="00CA6286"/>
    <w:rsid w:val="00CA6A0B"/>
    <w:rsid w:val="00CA7B38"/>
    <w:rsid w:val="00CB3C05"/>
    <w:rsid w:val="00CB6407"/>
    <w:rsid w:val="00CC38AB"/>
    <w:rsid w:val="00CC3E8B"/>
    <w:rsid w:val="00CC71AE"/>
    <w:rsid w:val="00CE0E53"/>
    <w:rsid w:val="00CE4329"/>
    <w:rsid w:val="00CE4FAC"/>
    <w:rsid w:val="00CE6D45"/>
    <w:rsid w:val="00CE7608"/>
    <w:rsid w:val="00CF0155"/>
    <w:rsid w:val="00CF15D8"/>
    <w:rsid w:val="00CF295A"/>
    <w:rsid w:val="00CF2989"/>
    <w:rsid w:val="00CF70AB"/>
    <w:rsid w:val="00D00230"/>
    <w:rsid w:val="00D00EFC"/>
    <w:rsid w:val="00D0247B"/>
    <w:rsid w:val="00D04ABA"/>
    <w:rsid w:val="00D10D62"/>
    <w:rsid w:val="00D1259E"/>
    <w:rsid w:val="00D14605"/>
    <w:rsid w:val="00D152EC"/>
    <w:rsid w:val="00D16CE3"/>
    <w:rsid w:val="00D20F04"/>
    <w:rsid w:val="00D22D2D"/>
    <w:rsid w:val="00D24636"/>
    <w:rsid w:val="00D26092"/>
    <w:rsid w:val="00D300BC"/>
    <w:rsid w:val="00D33B50"/>
    <w:rsid w:val="00D416A7"/>
    <w:rsid w:val="00D4256D"/>
    <w:rsid w:val="00D42A24"/>
    <w:rsid w:val="00D4779A"/>
    <w:rsid w:val="00D5106B"/>
    <w:rsid w:val="00D51AFA"/>
    <w:rsid w:val="00D532F1"/>
    <w:rsid w:val="00D543EB"/>
    <w:rsid w:val="00D558E3"/>
    <w:rsid w:val="00D64128"/>
    <w:rsid w:val="00D654AD"/>
    <w:rsid w:val="00D678D6"/>
    <w:rsid w:val="00D709E7"/>
    <w:rsid w:val="00D70AD4"/>
    <w:rsid w:val="00D7159E"/>
    <w:rsid w:val="00D720D0"/>
    <w:rsid w:val="00D723B6"/>
    <w:rsid w:val="00D75C84"/>
    <w:rsid w:val="00D8165C"/>
    <w:rsid w:val="00D817AC"/>
    <w:rsid w:val="00D83314"/>
    <w:rsid w:val="00D9598C"/>
    <w:rsid w:val="00D96352"/>
    <w:rsid w:val="00D97009"/>
    <w:rsid w:val="00DA0E09"/>
    <w:rsid w:val="00DA1D9E"/>
    <w:rsid w:val="00DA1E9A"/>
    <w:rsid w:val="00DA3E73"/>
    <w:rsid w:val="00DA4ADD"/>
    <w:rsid w:val="00DA50D7"/>
    <w:rsid w:val="00DA64D2"/>
    <w:rsid w:val="00DB3AB3"/>
    <w:rsid w:val="00DC1164"/>
    <w:rsid w:val="00DC2C93"/>
    <w:rsid w:val="00DC36C1"/>
    <w:rsid w:val="00DC3995"/>
    <w:rsid w:val="00DC41C2"/>
    <w:rsid w:val="00DC7005"/>
    <w:rsid w:val="00DD1B6A"/>
    <w:rsid w:val="00DD1FDE"/>
    <w:rsid w:val="00DD2B38"/>
    <w:rsid w:val="00DD53B6"/>
    <w:rsid w:val="00DD5B03"/>
    <w:rsid w:val="00DE1E8F"/>
    <w:rsid w:val="00DE3297"/>
    <w:rsid w:val="00DE530F"/>
    <w:rsid w:val="00DE588D"/>
    <w:rsid w:val="00DE6AE4"/>
    <w:rsid w:val="00DF41ED"/>
    <w:rsid w:val="00DF5189"/>
    <w:rsid w:val="00E007A5"/>
    <w:rsid w:val="00E00EF7"/>
    <w:rsid w:val="00E02880"/>
    <w:rsid w:val="00E27264"/>
    <w:rsid w:val="00E27BDB"/>
    <w:rsid w:val="00E30E7C"/>
    <w:rsid w:val="00E33637"/>
    <w:rsid w:val="00E41039"/>
    <w:rsid w:val="00E43D7F"/>
    <w:rsid w:val="00E446CC"/>
    <w:rsid w:val="00E4587D"/>
    <w:rsid w:val="00E61762"/>
    <w:rsid w:val="00E6502B"/>
    <w:rsid w:val="00E66DE6"/>
    <w:rsid w:val="00E70169"/>
    <w:rsid w:val="00E71A4A"/>
    <w:rsid w:val="00E73071"/>
    <w:rsid w:val="00E7420C"/>
    <w:rsid w:val="00E81DFD"/>
    <w:rsid w:val="00E83FD5"/>
    <w:rsid w:val="00E8473D"/>
    <w:rsid w:val="00E860D8"/>
    <w:rsid w:val="00E90925"/>
    <w:rsid w:val="00E91E32"/>
    <w:rsid w:val="00E92820"/>
    <w:rsid w:val="00E9479B"/>
    <w:rsid w:val="00E956D7"/>
    <w:rsid w:val="00EA0186"/>
    <w:rsid w:val="00EA60F7"/>
    <w:rsid w:val="00EB23CA"/>
    <w:rsid w:val="00EB7222"/>
    <w:rsid w:val="00EC7978"/>
    <w:rsid w:val="00ED5655"/>
    <w:rsid w:val="00ED5F3C"/>
    <w:rsid w:val="00EE0CBC"/>
    <w:rsid w:val="00EE26EA"/>
    <w:rsid w:val="00EE3F28"/>
    <w:rsid w:val="00EE60E8"/>
    <w:rsid w:val="00EE6DC6"/>
    <w:rsid w:val="00EE7B74"/>
    <w:rsid w:val="00EF1A72"/>
    <w:rsid w:val="00EF3EAD"/>
    <w:rsid w:val="00EF7A6B"/>
    <w:rsid w:val="00F079D7"/>
    <w:rsid w:val="00F07F1C"/>
    <w:rsid w:val="00F119ED"/>
    <w:rsid w:val="00F15526"/>
    <w:rsid w:val="00F16697"/>
    <w:rsid w:val="00F16E79"/>
    <w:rsid w:val="00F23E01"/>
    <w:rsid w:val="00F23F5C"/>
    <w:rsid w:val="00F24247"/>
    <w:rsid w:val="00F3250E"/>
    <w:rsid w:val="00F326C2"/>
    <w:rsid w:val="00F3429B"/>
    <w:rsid w:val="00F35403"/>
    <w:rsid w:val="00F356EF"/>
    <w:rsid w:val="00F369D4"/>
    <w:rsid w:val="00F4276A"/>
    <w:rsid w:val="00F44210"/>
    <w:rsid w:val="00F447DE"/>
    <w:rsid w:val="00F53E1E"/>
    <w:rsid w:val="00F544DF"/>
    <w:rsid w:val="00F548DD"/>
    <w:rsid w:val="00F54DFB"/>
    <w:rsid w:val="00F57021"/>
    <w:rsid w:val="00F6257C"/>
    <w:rsid w:val="00F643A6"/>
    <w:rsid w:val="00F65EBA"/>
    <w:rsid w:val="00F67405"/>
    <w:rsid w:val="00F703D9"/>
    <w:rsid w:val="00F7522C"/>
    <w:rsid w:val="00F7631C"/>
    <w:rsid w:val="00F90B57"/>
    <w:rsid w:val="00F90CA9"/>
    <w:rsid w:val="00F94BB8"/>
    <w:rsid w:val="00FA306A"/>
    <w:rsid w:val="00FA448E"/>
    <w:rsid w:val="00FA4639"/>
    <w:rsid w:val="00FB209D"/>
    <w:rsid w:val="00FB4115"/>
    <w:rsid w:val="00FB6233"/>
    <w:rsid w:val="00FC7881"/>
    <w:rsid w:val="00FD5F10"/>
    <w:rsid w:val="00FE29EE"/>
    <w:rsid w:val="00FE320F"/>
    <w:rsid w:val="00FE6F3E"/>
    <w:rsid w:val="00FF4D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9E0416C"/>
  <w15:docId w15:val="{02768088-9E01-4054-8F7A-9CCC840D0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762"/>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pPr>
    <w:rPr>
      <w:rFonts w:eastAsia="Times New Roman"/>
      <w:sz w:val="22"/>
      <w:szCs w:val="22"/>
      <w:bdr w:val="none" w:sz="0" w:space="0" w:color="auto"/>
      <w:lang w:eastAsia="en-US"/>
    </w:rPr>
  </w:style>
  <w:style w:type="paragraph" w:styleId="Heading1">
    <w:name w:val="heading 1"/>
    <w:basedOn w:val="Normal"/>
    <w:next w:val="Normal"/>
    <w:link w:val="Heading1Char"/>
    <w:qFormat/>
    <w:rsid w:val="00E61762"/>
    <w:pPr>
      <w:numPr>
        <w:numId w:val="1"/>
      </w:numPr>
      <w:ind w:left="567" w:hanging="567"/>
      <w:outlineLvl w:val="0"/>
    </w:pPr>
    <w:rPr>
      <w:kern w:val="28"/>
    </w:rPr>
  </w:style>
  <w:style w:type="paragraph" w:styleId="Heading2">
    <w:name w:val="heading 2"/>
    <w:basedOn w:val="Normal"/>
    <w:next w:val="Normal"/>
    <w:link w:val="Heading2Char"/>
    <w:qFormat/>
    <w:rsid w:val="00E61762"/>
    <w:pPr>
      <w:numPr>
        <w:ilvl w:val="1"/>
        <w:numId w:val="1"/>
      </w:numPr>
      <w:ind w:left="567" w:hanging="567"/>
      <w:outlineLvl w:val="1"/>
    </w:pPr>
  </w:style>
  <w:style w:type="paragraph" w:styleId="Heading3">
    <w:name w:val="heading 3"/>
    <w:basedOn w:val="Normal"/>
    <w:next w:val="Normal"/>
    <w:link w:val="Heading3Char"/>
    <w:qFormat/>
    <w:rsid w:val="00E61762"/>
    <w:pPr>
      <w:numPr>
        <w:ilvl w:val="2"/>
        <w:numId w:val="1"/>
      </w:numPr>
      <w:ind w:left="567" w:hanging="567"/>
      <w:outlineLvl w:val="2"/>
    </w:pPr>
  </w:style>
  <w:style w:type="paragraph" w:styleId="Heading4">
    <w:name w:val="heading 4"/>
    <w:basedOn w:val="Normal"/>
    <w:next w:val="Normal"/>
    <w:link w:val="Heading4Char"/>
    <w:qFormat/>
    <w:rsid w:val="00E61762"/>
    <w:pPr>
      <w:numPr>
        <w:ilvl w:val="3"/>
        <w:numId w:val="1"/>
      </w:numPr>
      <w:ind w:left="567" w:hanging="567"/>
      <w:outlineLvl w:val="3"/>
    </w:pPr>
  </w:style>
  <w:style w:type="paragraph" w:styleId="Heading5">
    <w:name w:val="heading 5"/>
    <w:basedOn w:val="Normal"/>
    <w:next w:val="Normal"/>
    <w:link w:val="Heading5Char"/>
    <w:qFormat/>
    <w:rsid w:val="00E61762"/>
    <w:pPr>
      <w:numPr>
        <w:ilvl w:val="4"/>
        <w:numId w:val="1"/>
      </w:numPr>
      <w:ind w:left="567" w:hanging="567"/>
      <w:outlineLvl w:val="4"/>
    </w:pPr>
  </w:style>
  <w:style w:type="paragraph" w:styleId="Heading6">
    <w:name w:val="heading 6"/>
    <w:basedOn w:val="Normal"/>
    <w:next w:val="Normal"/>
    <w:link w:val="Heading6Char"/>
    <w:qFormat/>
    <w:rsid w:val="00E61762"/>
    <w:pPr>
      <w:numPr>
        <w:ilvl w:val="5"/>
        <w:numId w:val="1"/>
      </w:numPr>
      <w:ind w:left="567" w:hanging="567"/>
      <w:outlineLvl w:val="5"/>
    </w:pPr>
  </w:style>
  <w:style w:type="paragraph" w:styleId="Heading7">
    <w:name w:val="heading 7"/>
    <w:basedOn w:val="Normal"/>
    <w:next w:val="Normal"/>
    <w:link w:val="Heading7Char"/>
    <w:qFormat/>
    <w:rsid w:val="00E61762"/>
    <w:pPr>
      <w:numPr>
        <w:ilvl w:val="6"/>
        <w:numId w:val="1"/>
      </w:numPr>
      <w:ind w:left="567" w:hanging="567"/>
      <w:outlineLvl w:val="6"/>
    </w:pPr>
  </w:style>
  <w:style w:type="paragraph" w:styleId="Heading8">
    <w:name w:val="heading 8"/>
    <w:basedOn w:val="Normal"/>
    <w:next w:val="Normal"/>
    <w:link w:val="Heading8Char"/>
    <w:qFormat/>
    <w:rsid w:val="00E61762"/>
    <w:pPr>
      <w:numPr>
        <w:ilvl w:val="7"/>
        <w:numId w:val="1"/>
      </w:numPr>
      <w:ind w:left="567" w:hanging="567"/>
      <w:outlineLvl w:val="7"/>
    </w:pPr>
  </w:style>
  <w:style w:type="paragraph" w:styleId="Heading9">
    <w:name w:val="heading 9"/>
    <w:basedOn w:val="Normal"/>
    <w:next w:val="Normal"/>
    <w:link w:val="Heading9Char"/>
    <w:qFormat/>
    <w:rsid w:val="00E61762"/>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Revision">
    <w:name w:val="Revision"/>
    <w:hidden/>
    <w:uiPriority w:val="99"/>
    <w:semiHidden/>
    <w:rsid w:val="002730D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FootnoteText">
    <w:name w:val="footnote text"/>
    <w:basedOn w:val="Normal"/>
    <w:link w:val="FootnoteTextChar"/>
    <w:qFormat/>
    <w:rsid w:val="00E61762"/>
    <w:pPr>
      <w:keepLines/>
      <w:spacing w:after="60" w:line="240" w:lineRule="auto"/>
      <w:ind w:left="567" w:hanging="567"/>
    </w:pPr>
    <w:rPr>
      <w:sz w:val="16"/>
    </w:rPr>
  </w:style>
  <w:style w:type="character" w:customStyle="1" w:styleId="FootnoteTextChar">
    <w:name w:val="Footnote Text Char"/>
    <w:basedOn w:val="DefaultParagraphFont"/>
    <w:link w:val="FootnoteText"/>
    <w:rsid w:val="00E446CC"/>
    <w:rPr>
      <w:rFonts w:eastAsia="Times New Roman"/>
      <w:sz w:val="16"/>
      <w:szCs w:val="22"/>
      <w:bdr w:val="none" w:sz="0" w:space="0" w:color="auto"/>
      <w:lang w:val="en-US" w:eastAsia="en-US"/>
    </w:rPr>
  </w:style>
  <w:style w:type="character" w:styleId="FootnoteReference">
    <w:name w:val="footnote reference"/>
    <w:basedOn w:val="DefaultParagraphFont"/>
    <w:unhideWhenUsed/>
    <w:qFormat/>
    <w:rsid w:val="00E61762"/>
    <w:rPr>
      <w:sz w:val="24"/>
      <w:vertAlign w:val="superscript"/>
    </w:rPr>
  </w:style>
  <w:style w:type="paragraph" w:styleId="Header">
    <w:name w:val="header"/>
    <w:basedOn w:val="Normal"/>
    <w:link w:val="HeaderChar"/>
    <w:qFormat/>
    <w:rsid w:val="00E61762"/>
  </w:style>
  <w:style w:type="character" w:customStyle="1" w:styleId="HeaderChar">
    <w:name w:val="Header Char"/>
    <w:basedOn w:val="DefaultParagraphFont"/>
    <w:link w:val="Header"/>
    <w:rsid w:val="00741A63"/>
    <w:rPr>
      <w:rFonts w:eastAsia="Times New Roman"/>
      <w:sz w:val="22"/>
      <w:szCs w:val="22"/>
      <w:bdr w:val="none" w:sz="0" w:space="0" w:color="auto"/>
      <w:lang w:eastAsia="en-US"/>
    </w:rPr>
  </w:style>
  <w:style w:type="paragraph" w:styleId="Footer">
    <w:name w:val="footer"/>
    <w:basedOn w:val="Normal"/>
    <w:link w:val="FooterChar"/>
    <w:qFormat/>
    <w:rsid w:val="00E61762"/>
  </w:style>
  <w:style w:type="character" w:customStyle="1" w:styleId="FooterChar">
    <w:name w:val="Footer Char"/>
    <w:basedOn w:val="DefaultParagraphFont"/>
    <w:link w:val="Footer"/>
    <w:rsid w:val="00741A63"/>
    <w:rPr>
      <w:rFonts w:eastAsia="Times New Roman"/>
      <w:sz w:val="22"/>
      <w:szCs w:val="22"/>
      <w:bdr w:val="none" w:sz="0" w:space="0" w:color="auto"/>
      <w:lang w:eastAsia="en-US"/>
    </w:rPr>
  </w:style>
  <w:style w:type="character" w:styleId="FollowedHyperlink">
    <w:name w:val="FollowedHyperlink"/>
    <w:basedOn w:val="DefaultParagraphFont"/>
    <w:uiPriority w:val="99"/>
    <w:semiHidden/>
    <w:unhideWhenUsed/>
    <w:rsid w:val="00084CA1"/>
    <w:rPr>
      <w:color w:val="FF00FF" w:themeColor="followedHyperlink"/>
      <w:u w:val="single"/>
    </w:rPr>
  </w:style>
  <w:style w:type="character" w:customStyle="1" w:styleId="Heading1Char">
    <w:name w:val="Heading 1 Char"/>
    <w:basedOn w:val="DefaultParagraphFont"/>
    <w:link w:val="Heading1"/>
    <w:rsid w:val="00D720D0"/>
    <w:rPr>
      <w:rFonts w:eastAsia="Times New Roman"/>
      <w:kern w:val="28"/>
      <w:sz w:val="22"/>
      <w:szCs w:val="22"/>
      <w:bdr w:val="none" w:sz="0" w:space="0" w:color="auto"/>
      <w:lang w:val="en-US" w:eastAsia="en-US"/>
    </w:rPr>
  </w:style>
  <w:style w:type="character" w:customStyle="1" w:styleId="Heading2Char">
    <w:name w:val="Heading 2 Char"/>
    <w:basedOn w:val="DefaultParagraphFont"/>
    <w:link w:val="Heading2"/>
    <w:rsid w:val="00D720D0"/>
    <w:rPr>
      <w:rFonts w:eastAsia="Times New Roman"/>
      <w:sz w:val="22"/>
      <w:szCs w:val="22"/>
      <w:bdr w:val="none" w:sz="0" w:space="0" w:color="auto"/>
      <w:lang w:val="en-US" w:eastAsia="en-US"/>
    </w:rPr>
  </w:style>
  <w:style w:type="character" w:customStyle="1" w:styleId="Heading3Char">
    <w:name w:val="Heading 3 Char"/>
    <w:basedOn w:val="DefaultParagraphFont"/>
    <w:link w:val="Heading3"/>
    <w:rsid w:val="00D720D0"/>
    <w:rPr>
      <w:rFonts w:eastAsia="Times New Roman"/>
      <w:sz w:val="22"/>
      <w:szCs w:val="22"/>
      <w:bdr w:val="none" w:sz="0" w:space="0" w:color="auto"/>
      <w:lang w:val="en-US" w:eastAsia="en-US"/>
    </w:rPr>
  </w:style>
  <w:style w:type="character" w:customStyle="1" w:styleId="Heading4Char">
    <w:name w:val="Heading 4 Char"/>
    <w:basedOn w:val="DefaultParagraphFont"/>
    <w:link w:val="Heading4"/>
    <w:rsid w:val="00D720D0"/>
    <w:rPr>
      <w:rFonts w:eastAsia="Times New Roman"/>
      <w:sz w:val="22"/>
      <w:szCs w:val="22"/>
      <w:bdr w:val="none" w:sz="0" w:space="0" w:color="auto"/>
      <w:lang w:val="en-US" w:eastAsia="en-US"/>
    </w:rPr>
  </w:style>
  <w:style w:type="character" w:customStyle="1" w:styleId="Heading5Char">
    <w:name w:val="Heading 5 Char"/>
    <w:basedOn w:val="DefaultParagraphFont"/>
    <w:link w:val="Heading5"/>
    <w:rsid w:val="00D720D0"/>
    <w:rPr>
      <w:rFonts w:eastAsia="Times New Roman"/>
      <w:sz w:val="22"/>
      <w:szCs w:val="22"/>
      <w:bdr w:val="none" w:sz="0" w:space="0" w:color="auto"/>
      <w:lang w:val="en-US" w:eastAsia="en-US"/>
    </w:rPr>
  </w:style>
  <w:style w:type="character" w:customStyle="1" w:styleId="Heading6Char">
    <w:name w:val="Heading 6 Char"/>
    <w:basedOn w:val="DefaultParagraphFont"/>
    <w:link w:val="Heading6"/>
    <w:rsid w:val="00D720D0"/>
    <w:rPr>
      <w:rFonts w:eastAsia="Times New Roman"/>
      <w:sz w:val="22"/>
      <w:szCs w:val="22"/>
      <w:bdr w:val="none" w:sz="0" w:space="0" w:color="auto"/>
      <w:lang w:val="en-US" w:eastAsia="en-US"/>
    </w:rPr>
  </w:style>
  <w:style w:type="character" w:customStyle="1" w:styleId="Heading7Char">
    <w:name w:val="Heading 7 Char"/>
    <w:basedOn w:val="DefaultParagraphFont"/>
    <w:link w:val="Heading7"/>
    <w:rsid w:val="00D720D0"/>
    <w:rPr>
      <w:rFonts w:eastAsia="Times New Roman"/>
      <w:sz w:val="22"/>
      <w:szCs w:val="22"/>
      <w:bdr w:val="none" w:sz="0" w:space="0" w:color="auto"/>
      <w:lang w:val="en-US" w:eastAsia="en-US"/>
    </w:rPr>
  </w:style>
  <w:style w:type="character" w:customStyle="1" w:styleId="Heading8Char">
    <w:name w:val="Heading 8 Char"/>
    <w:basedOn w:val="DefaultParagraphFont"/>
    <w:link w:val="Heading8"/>
    <w:rsid w:val="00D720D0"/>
    <w:rPr>
      <w:rFonts w:eastAsia="Times New Roman"/>
      <w:sz w:val="22"/>
      <w:szCs w:val="22"/>
      <w:bdr w:val="none" w:sz="0" w:space="0" w:color="auto"/>
      <w:lang w:val="en-US" w:eastAsia="en-US"/>
    </w:rPr>
  </w:style>
  <w:style w:type="character" w:customStyle="1" w:styleId="Heading9Char">
    <w:name w:val="Heading 9 Char"/>
    <w:basedOn w:val="DefaultParagraphFont"/>
    <w:link w:val="Heading9"/>
    <w:rsid w:val="00D720D0"/>
    <w:rPr>
      <w:rFonts w:eastAsia="Times New Roman"/>
      <w:sz w:val="22"/>
      <w:szCs w:val="22"/>
      <w:bdr w:val="none" w:sz="0" w:space="0" w:color="auto"/>
      <w:lang w:val="en-US" w:eastAsia="en-US"/>
    </w:rPr>
  </w:style>
  <w:style w:type="paragraph" w:customStyle="1" w:styleId="quotes">
    <w:name w:val="quotes"/>
    <w:basedOn w:val="Normal"/>
    <w:next w:val="Normal"/>
    <w:rsid w:val="00E61762"/>
    <w:pPr>
      <w:ind w:left="720"/>
    </w:pPr>
    <w:rPr>
      <w:i/>
    </w:rPr>
  </w:style>
  <w:style w:type="paragraph" w:styleId="ListParagraph">
    <w:name w:val="List Paragraph"/>
    <w:basedOn w:val="Normal"/>
    <w:uiPriority w:val="34"/>
    <w:qFormat/>
    <w:rsid w:val="00436753"/>
    <w:pPr>
      <w:ind w:left="720"/>
      <w:contextualSpacing/>
    </w:pPr>
  </w:style>
  <w:style w:type="table" w:styleId="TableGrid">
    <w:name w:val="Table Grid"/>
    <w:basedOn w:val="TableNormal"/>
    <w:uiPriority w:val="59"/>
    <w:rsid w:val="00504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48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866"/>
    <w:rPr>
      <w:rFonts w:ascii="Tahoma" w:eastAsia="Times New Roman" w:hAnsi="Tahoma" w:cs="Tahoma"/>
      <w:sz w:val="16"/>
      <w:szCs w:val="16"/>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9616">
      <w:bodyDiv w:val="1"/>
      <w:marLeft w:val="0"/>
      <w:marRight w:val="0"/>
      <w:marTop w:val="0"/>
      <w:marBottom w:val="0"/>
      <w:divBdr>
        <w:top w:val="none" w:sz="0" w:space="0" w:color="auto"/>
        <w:left w:val="none" w:sz="0" w:space="0" w:color="auto"/>
        <w:bottom w:val="none" w:sz="0" w:space="0" w:color="auto"/>
        <w:right w:val="none" w:sz="0" w:space="0" w:color="auto"/>
      </w:divBdr>
    </w:div>
    <w:div w:id="58872425">
      <w:bodyDiv w:val="1"/>
      <w:marLeft w:val="0"/>
      <w:marRight w:val="0"/>
      <w:marTop w:val="0"/>
      <w:marBottom w:val="0"/>
      <w:divBdr>
        <w:top w:val="none" w:sz="0" w:space="0" w:color="auto"/>
        <w:left w:val="none" w:sz="0" w:space="0" w:color="auto"/>
        <w:bottom w:val="none" w:sz="0" w:space="0" w:color="auto"/>
        <w:right w:val="none" w:sz="0" w:space="0" w:color="auto"/>
      </w:divBdr>
    </w:div>
    <w:div w:id="122888578">
      <w:bodyDiv w:val="1"/>
      <w:marLeft w:val="0"/>
      <w:marRight w:val="0"/>
      <w:marTop w:val="0"/>
      <w:marBottom w:val="0"/>
      <w:divBdr>
        <w:top w:val="none" w:sz="0" w:space="0" w:color="auto"/>
        <w:left w:val="none" w:sz="0" w:space="0" w:color="auto"/>
        <w:bottom w:val="none" w:sz="0" w:space="0" w:color="auto"/>
        <w:right w:val="none" w:sz="0" w:space="0" w:color="auto"/>
      </w:divBdr>
      <w:divsChild>
        <w:div w:id="453597534">
          <w:marLeft w:val="0"/>
          <w:marRight w:val="0"/>
          <w:marTop w:val="0"/>
          <w:marBottom w:val="0"/>
          <w:divBdr>
            <w:top w:val="none" w:sz="0" w:space="0" w:color="auto"/>
            <w:left w:val="none" w:sz="0" w:space="0" w:color="auto"/>
            <w:bottom w:val="none" w:sz="0" w:space="0" w:color="auto"/>
            <w:right w:val="none" w:sz="0" w:space="0" w:color="auto"/>
          </w:divBdr>
          <w:divsChild>
            <w:div w:id="1552576987">
              <w:marLeft w:val="0"/>
              <w:marRight w:val="0"/>
              <w:marTop w:val="0"/>
              <w:marBottom w:val="0"/>
              <w:divBdr>
                <w:top w:val="none" w:sz="0" w:space="0" w:color="auto"/>
                <w:left w:val="none" w:sz="0" w:space="0" w:color="auto"/>
                <w:bottom w:val="none" w:sz="0" w:space="0" w:color="auto"/>
                <w:right w:val="none" w:sz="0" w:space="0" w:color="auto"/>
              </w:divBdr>
              <w:divsChild>
                <w:div w:id="1907375624">
                  <w:marLeft w:val="0"/>
                  <w:marRight w:val="0"/>
                  <w:marTop w:val="0"/>
                  <w:marBottom w:val="0"/>
                  <w:divBdr>
                    <w:top w:val="none" w:sz="0" w:space="0" w:color="auto"/>
                    <w:left w:val="none" w:sz="0" w:space="0" w:color="auto"/>
                    <w:bottom w:val="none" w:sz="0" w:space="0" w:color="auto"/>
                    <w:right w:val="none" w:sz="0" w:space="0" w:color="auto"/>
                  </w:divBdr>
                  <w:divsChild>
                    <w:div w:id="1893035559">
                      <w:marLeft w:val="0"/>
                      <w:marRight w:val="0"/>
                      <w:marTop w:val="0"/>
                      <w:marBottom w:val="0"/>
                      <w:divBdr>
                        <w:top w:val="none" w:sz="0" w:space="0" w:color="auto"/>
                        <w:left w:val="none" w:sz="0" w:space="0" w:color="auto"/>
                        <w:bottom w:val="none" w:sz="0" w:space="0" w:color="auto"/>
                        <w:right w:val="none" w:sz="0" w:space="0" w:color="auto"/>
                      </w:divBdr>
                      <w:divsChild>
                        <w:div w:id="513570167">
                          <w:marLeft w:val="0"/>
                          <w:marRight w:val="0"/>
                          <w:marTop w:val="0"/>
                          <w:marBottom w:val="0"/>
                          <w:divBdr>
                            <w:top w:val="none" w:sz="0" w:space="0" w:color="auto"/>
                            <w:left w:val="none" w:sz="0" w:space="0" w:color="auto"/>
                            <w:bottom w:val="none" w:sz="0" w:space="0" w:color="auto"/>
                            <w:right w:val="none" w:sz="0" w:space="0" w:color="auto"/>
                          </w:divBdr>
                          <w:divsChild>
                            <w:div w:id="175655421">
                              <w:marLeft w:val="0"/>
                              <w:marRight w:val="0"/>
                              <w:marTop w:val="0"/>
                              <w:marBottom w:val="0"/>
                              <w:divBdr>
                                <w:top w:val="none" w:sz="0" w:space="0" w:color="auto"/>
                                <w:left w:val="none" w:sz="0" w:space="0" w:color="auto"/>
                                <w:bottom w:val="none" w:sz="0" w:space="0" w:color="auto"/>
                                <w:right w:val="none" w:sz="0" w:space="0" w:color="auto"/>
                              </w:divBdr>
                              <w:divsChild>
                                <w:div w:id="404381309">
                                  <w:marLeft w:val="0"/>
                                  <w:marRight w:val="0"/>
                                  <w:marTop w:val="0"/>
                                  <w:marBottom w:val="0"/>
                                  <w:divBdr>
                                    <w:top w:val="none" w:sz="0" w:space="0" w:color="auto"/>
                                    <w:left w:val="none" w:sz="0" w:space="0" w:color="auto"/>
                                    <w:bottom w:val="none" w:sz="0" w:space="0" w:color="auto"/>
                                    <w:right w:val="none" w:sz="0" w:space="0" w:color="auto"/>
                                  </w:divBdr>
                                  <w:divsChild>
                                    <w:div w:id="1503006448">
                                      <w:marLeft w:val="60"/>
                                      <w:marRight w:val="0"/>
                                      <w:marTop w:val="0"/>
                                      <w:marBottom w:val="0"/>
                                      <w:divBdr>
                                        <w:top w:val="none" w:sz="0" w:space="0" w:color="auto"/>
                                        <w:left w:val="none" w:sz="0" w:space="0" w:color="auto"/>
                                        <w:bottom w:val="none" w:sz="0" w:space="0" w:color="auto"/>
                                        <w:right w:val="none" w:sz="0" w:space="0" w:color="auto"/>
                                      </w:divBdr>
                                      <w:divsChild>
                                        <w:div w:id="1681352406">
                                          <w:marLeft w:val="0"/>
                                          <w:marRight w:val="0"/>
                                          <w:marTop w:val="0"/>
                                          <w:marBottom w:val="0"/>
                                          <w:divBdr>
                                            <w:top w:val="none" w:sz="0" w:space="0" w:color="auto"/>
                                            <w:left w:val="none" w:sz="0" w:space="0" w:color="auto"/>
                                            <w:bottom w:val="none" w:sz="0" w:space="0" w:color="auto"/>
                                            <w:right w:val="none" w:sz="0" w:space="0" w:color="auto"/>
                                          </w:divBdr>
                                          <w:divsChild>
                                            <w:div w:id="436217681">
                                              <w:marLeft w:val="0"/>
                                              <w:marRight w:val="0"/>
                                              <w:marTop w:val="0"/>
                                              <w:marBottom w:val="120"/>
                                              <w:divBdr>
                                                <w:top w:val="single" w:sz="6" w:space="0" w:color="F5F5F5"/>
                                                <w:left w:val="single" w:sz="6" w:space="0" w:color="F5F5F5"/>
                                                <w:bottom w:val="single" w:sz="6" w:space="0" w:color="F5F5F5"/>
                                                <w:right w:val="single" w:sz="6" w:space="0" w:color="F5F5F5"/>
                                              </w:divBdr>
                                              <w:divsChild>
                                                <w:div w:id="1738044595">
                                                  <w:marLeft w:val="0"/>
                                                  <w:marRight w:val="0"/>
                                                  <w:marTop w:val="0"/>
                                                  <w:marBottom w:val="0"/>
                                                  <w:divBdr>
                                                    <w:top w:val="none" w:sz="0" w:space="0" w:color="auto"/>
                                                    <w:left w:val="none" w:sz="0" w:space="0" w:color="auto"/>
                                                    <w:bottom w:val="none" w:sz="0" w:space="0" w:color="auto"/>
                                                    <w:right w:val="none" w:sz="0" w:space="0" w:color="auto"/>
                                                  </w:divBdr>
                                                  <w:divsChild>
                                                    <w:div w:id="1319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673910">
      <w:bodyDiv w:val="1"/>
      <w:marLeft w:val="0"/>
      <w:marRight w:val="0"/>
      <w:marTop w:val="0"/>
      <w:marBottom w:val="0"/>
      <w:divBdr>
        <w:top w:val="none" w:sz="0" w:space="0" w:color="auto"/>
        <w:left w:val="none" w:sz="0" w:space="0" w:color="auto"/>
        <w:bottom w:val="none" w:sz="0" w:space="0" w:color="auto"/>
        <w:right w:val="none" w:sz="0" w:space="0" w:color="auto"/>
      </w:divBdr>
    </w:div>
    <w:div w:id="864555897">
      <w:bodyDiv w:val="1"/>
      <w:marLeft w:val="0"/>
      <w:marRight w:val="0"/>
      <w:marTop w:val="0"/>
      <w:marBottom w:val="0"/>
      <w:divBdr>
        <w:top w:val="none" w:sz="0" w:space="0" w:color="auto"/>
        <w:left w:val="none" w:sz="0" w:space="0" w:color="auto"/>
        <w:bottom w:val="none" w:sz="0" w:space="0" w:color="auto"/>
        <w:right w:val="none" w:sz="0" w:space="0" w:color="auto"/>
      </w:divBdr>
    </w:div>
    <w:div w:id="964583489">
      <w:bodyDiv w:val="1"/>
      <w:marLeft w:val="0"/>
      <w:marRight w:val="0"/>
      <w:marTop w:val="0"/>
      <w:marBottom w:val="0"/>
      <w:divBdr>
        <w:top w:val="none" w:sz="0" w:space="0" w:color="auto"/>
        <w:left w:val="none" w:sz="0" w:space="0" w:color="auto"/>
        <w:bottom w:val="none" w:sz="0" w:space="0" w:color="auto"/>
        <w:right w:val="none" w:sz="0" w:space="0" w:color="auto"/>
      </w:divBdr>
    </w:div>
    <w:div w:id="982467468">
      <w:bodyDiv w:val="1"/>
      <w:marLeft w:val="0"/>
      <w:marRight w:val="0"/>
      <w:marTop w:val="0"/>
      <w:marBottom w:val="0"/>
      <w:divBdr>
        <w:top w:val="none" w:sz="0" w:space="0" w:color="auto"/>
        <w:left w:val="none" w:sz="0" w:space="0" w:color="auto"/>
        <w:bottom w:val="none" w:sz="0" w:space="0" w:color="auto"/>
        <w:right w:val="none" w:sz="0" w:space="0" w:color="auto"/>
      </w:divBdr>
    </w:div>
    <w:div w:id="1143430575">
      <w:bodyDiv w:val="1"/>
      <w:marLeft w:val="0"/>
      <w:marRight w:val="0"/>
      <w:marTop w:val="0"/>
      <w:marBottom w:val="0"/>
      <w:divBdr>
        <w:top w:val="none" w:sz="0" w:space="0" w:color="auto"/>
        <w:left w:val="none" w:sz="0" w:space="0" w:color="auto"/>
        <w:bottom w:val="none" w:sz="0" w:space="0" w:color="auto"/>
        <w:right w:val="none" w:sz="0" w:space="0" w:color="auto"/>
      </w:divBdr>
    </w:div>
    <w:div w:id="1233806633">
      <w:bodyDiv w:val="1"/>
      <w:marLeft w:val="0"/>
      <w:marRight w:val="0"/>
      <w:marTop w:val="0"/>
      <w:marBottom w:val="0"/>
      <w:divBdr>
        <w:top w:val="none" w:sz="0" w:space="0" w:color="auto"/>
        <w:left w:val="none" w:sz="0" w:space="0" w:color="auto"/>
        <w:bottom w:val="none" w:sz="0" w:space="0" w:color="auto"/>
        <w:right w:val="none" w:sz="0" w:space="0" w:color="auto"/>
      </w:divBdr>
    </w:div>
    <w:div w:id="1778527059">
      <w:bodyDiv w:val="1"/>
      <w:marLeft w:val="0"/>
      <w:marRight w:val="0"/>
      <w:marTop w:val="0"/>
      <w:marBottom w:val="0"/>
      <w:divBdr>
        <w:top w:val="none" w:sz="0" w:space="0" w:color="auto"/>
        <w:left w:val="none" w:sz="0" w:space="0" w:color="auto"/>
        <w:bottom w:val="none" w:sz="0" w:space="0" w:color="auto"/>
        <w:right w:val="none" w:sz="0" w:space="0" w:color="auto"/>
      </w:divBdr>
    </w:div>
    <w:div w:id="20260496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135AEC72E874B8448CC1C05B56464BC2" ma:contentTypeVersion="4" ma:contentTypeDescription="Defines the documents for Document Manager V2" ma:contentTypeScope="" ma:versionID="796867c1c04bffba582fe1cd3955b3e8">
  <xsd:schema xmlns:xsd="http://www.w3.org/2001/XMLSchema" xmlns:xs="http://www.w3.org/2001/XMLSchema" xmlns:p="http://schemas.microsoft.com/office/2006/metadata/properties" xmlns:ns2="8975caae-a2e4-4a1b-856a-87d8a7cad937" xmlns:ns3="http://schemas.microsoft.com/sharepoint/v3/fields" xmlns:ns4="b96833ba-8621-4012-9120-ea22cde94db8" targetNamespace="http://schemas.microsoft.com/office/2006/metadata/properties" ma:root="true" ma:fieldsID="a755bf6ec002fd71e42923ba0d84d072" ns2:_="" ns3:_="" ns4:_="">
    <xsd:import namespace="8975caae-a2e4-4a1b-856a-87d8a7cad937"/>
    <xsd:import namespace="http://schemas.microsoft.com/sharepoint/v3/fields"/>
    <xsd:import namespace="b96833ba-8621-4012-9120-ea22cde94db8"/>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6833ba-8621-4012-9120-ea22cde94db8"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RCSZ5D2JPTA3-7-11233</_dlc_DocId>
    <_dlc_DocIdUrl xmlns="8975caae-a2e4-4a1b-856a-87d8a7cad937">
      <Url>http://dm2016/eesc/2018/_layouts/15/DocIdRedir.aspx?ID=RCSZ5D2JPTA3-7-11233</Url>
      <Description>RCSZ5D2JPTA3-7-11233</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8975caae-a2e4-4a1b-856a-87d8a7cad937"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2019-05-17T12:00:00+00:00</ProductionDate>
    <DocumentNumber xmlns="b96833ba-8621-4012-9120-ea22cde94db8">3066</DocumentNumber>
    <FicheYear xmlns="8975caae-a2e4-4a1b-856a-87d8a7cad937">2018</FicheYear>
    <DocumentVersion xmlns="8975caae-a2e4-4a1b-856a-87d8a7cad937">4</DocumentVersion>
    <DossierNumber xmlns="8975caae-a2e4-4a1b-856a-87d8a7cad93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TaxCatchAll xmlns="8975caae-a2e4-4a1b-856a-87d8a7cad937">
      <Value>65</Value>
      <Value>27</Value>
      <Value>25</Value>
      <Value>7</Value>
      <Value>6</Value>
      <Value>5</Value>
      <Value>4</Value>
      <Value>20</Value>
      <Value>1</Value>
      <Value>8</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MeetingDate xmlns="8975caae-a2e4-4a1b-856a-87d8a7cad937">2019-06-11T12:00:00+00:00</MeetingDat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5231</FicheNumber>
    <DocumentYear xmlns="8975caae-a2e4-4a1b-856a-87d8a7cad937">2018</DocumentYear>
    <DocumentPart xmlns="8975caae-a2e4-4a1b-856a-87d8a7cad937">0</DocumentPart>
    <AdoptionDate xmlns="8975caae-a2e4-4a1b-856a-87d8a7cad937" xsi:nil="true"/>
    <RequestingService xmlns="8975caae-a2e4-4a1b-856a-87d8a7cad937">Agriculture, développement rural et environnement</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SDO</TermName>
          <TermId xmlns="http://schemas.microsoft.com/office/infopath/2007/PartnerControls">f24a1fde-f224-4565-8121-6560ec428671</TermId>
        </TermInfo>
      </Terms>
    </MeetingName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MeetingNumber xmlns="b96833ba-8621-4012-9120-ea22cde94db8">66</MeetingNumber>
    <DossierName_0 xmlns="http://schemas.microsoft.com/sharepoint/v3/fields">
      <Terms xmlns="http://schemas.microsoft.com/office/infopath/2007/PartnerControls"/>
    </DossierName_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36F04-BB86-43B6-A2A5-7C010E27022A}">
  <ds:schemaRefs>
    <ds:schemaRef ds:uri="http://schemas.microsoft.com/sharepoint/events"/>
  </ds:schemaRefs>
</ds:datastoreItem>
</file>

<file path=customXml/itemProps2.xml><?xml version="1.0" encoding="utf-8"?>
<ds:datastoreItem xmlns:ds="http://schemas.openxmlformats.org/officeDocument/2006/customXml" ds:itemID="{CE0822FF-0B3E-4F47-994F-28B961596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75caae-a2e4-4a1b-856a-87d8a7cad937"/>
    <ds:schemaRef ds:uri="http://schemas.microsoft.com/sharepoint/v3/fields"/>
    <ds:schemaRef ds:uri="b96833ba-8621-4012-9120-ea22cde94d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88DBCB-FBD0-43E7-87A1-A4B7EF250346}">
  <ds:schemaRefs>
    <ds:schemaRef ds:uri="b96833ba-8621-4012-9120-ea22cde94db8"/>
    <ds:schemaRef ds:uri="http://purl.org/dc/elements/1.1/"/>
    <ds:schemaRef ds:uri="http://schemas.microsoft.com/office/2006/documentManagement/types"/>
    <ds:schemaRef ds:uri="http://purl.org/dc/dcmitype/"/>
    <ds:schemaRef ds:uri="http://schemas.microsoft.com/office/infopath/2007/PartnerControls"/>
    <ds:schemaRef ds:uri="8975caae-a2e4-4a1b-856a-87d8a7cad937"/>
    <ds:schemaRef ds:uri="http://schemas.openxmlformats.org/package/2006/metadata/core-properties"/>
    <ds:schemaRef ds:uri="http://purl.org/dc/terms/"/>
    <ds:schemaRef ds:uri="http://schemas.microsoft.com/sharepoint/v3/field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E5D899A-15AE-47E9-AEB2-0885C962B571}">
  <ds:schemaRefs>
    <ds:schemaRef ds:uri="http://schemas.microsoft.com/sharepoint/v3/contenttype/forms"/>
  </ds:schemaRefs>
</ds:datastoreItem>
</file>

<file path=customXml/itemProps5.xml><?xml version="1.0" encoding="utf-8"?>
<ds:datastoreItem xmlns:ds="http://schemas.openxmlformats.org/officeDocument/2006/customXml" ds:itemID="{25B6D1B9-1608-4D11-A63A-63B35B05E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2280</Words>
  <Characters>13002</Characters>
  <Application>Microsoft Office Word</Application>
  <DocSecurity>0</DocSecurity>
  <Lines>108</Lines>
  <Paragraphs>30</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Future work programme/roadmap 2018-2020</vt:lpstr>
      <vt:lpstr>Future work programme/roadmap 2018-2020</vt:lpstr>
    </vt:vector>
  </TitlesOfParts>
  <Company>CESE-CdR</Company>
  <LinksUpToDate>false</LinksUpToDate>
  <CharactersWithSpaces>15252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 work programme/roadmap 2018-2020</dc:title>
  <dc:subject>Consultative work, various</dc:subject>
  <dc:creator>Chrysoula Panou</dc:creator>
  <cp:keywords>EESC-2018-03066-00-04-TCD-TRA-EN</cp:keywords>
  <dc:description>Rapporteur: -  Original language: - EN Date of document: - 17/05/2019 Date of meeting: - 11/06/2019 External documents: -  Administrator responsible: -  BROZEK-EVERAERT STELLA</dc:description>
  <cp:lastModifiedBy>Lukás Durech</cp:lastModifiedBy>
  <cp:revision>2</cp:revision>
  <cp:lastPrinted>2018-07-10T13:24:00Z</cp:lastPrinted>
  <dcterms:created xsi:type="dcterms:W3CDTF">2019-11-27T16:57:00Z</dcterms:created>
  <dcterms:modified xsi:type="dcterms:W3CDTF">2019-11-27T16:57:00Z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17/05/2019, 17/05/2019, 04/07/2018, 04/07/2018, 13/06/2018, 13/06/2018, 21/03/2016, 21/03/2016, 21/03/2016, 26/01/2016, 26/01/2016, 26/01/2016, 15/01/2016, 15/01/2016, 17/11/2015, 17/11/2015, 16/11/2015, 14/10/2015, 14/10/2015, 14/10/2015</vt:lpwstr>
  </property>
  <property fmtid="{D5CDD505-2E9C-101B-9397-08002B2CF9AE}" pid="4" name="Pref_Time">
    <vt:lpwstr>09:14:28, 08:54:49, 12:08:14, 11:19:16, 11:30:21, 11:21:01, 13:56:12, 13:46:33, 10:07:18, 16:28:14, 16:08:46, 15:58:30, 14:42:45, 13:45:20, 09:53:05, 09:17:36, 17:44:23, 13:07:26, 12:37:44, 12:11:03</vt:lpwstr>
  </property>
  <property fmtid="{D5CDD505-2E9C-101B-9397-08002B2CF9AE}" pid="5" name="Pref_User">
    <vt:lpwstr>hnic, YMUR, amett, shalp, hnic, shalp, amett, enied, ssex, amett, vvos, htoo, amett, ssex, tvoc, mkop, ssex, amett, tvoc, YMUR</vt:lpwstr>
  </property>
  <property fmtid="{D5CDD505-2E9C-101B-9397-08002B2CF9AE}" pid="6" name="Pref_FileName">
    <vt:lpwstr>EESC-2018-03066-00-04-TCD-TRA-EN-CRR.docx, EESC-2018-03066-00-04-TCD-ORI.docx, EESC-2018-03066-00-01-TCD-TRA-EN-CRR.docx, EESC-2018-03066-00-01-TCD-CRR-EN.docx, EESC-2018-03066-00-00-TCD-TRA-EN-CRR.docx, EESC-2018-03066-00-00-TCD-CRR-EN.docx, EESC-2015-05</vt:lpwstr>
  </property>
  <property fmtid="{D5CDD505-2E9C-101B-9397-08002B2CF9AE}" pid="7" name="DocumentType_0">
    <vt:lpwstr>TCD|cd9d6eb6-3f4f-424a-b2d1-57c9d450eaaf</vt:lpwstr>
  </property>
  <property fmtid="{D5CDD505-2E9C-101B-9397-08002B2CF9AE}" pid="8" name="DocumentSource_0">
    <vt:lpwstr>EESC|422833ec-8d7e-4e65-8e4e-8bed07ffb729</vt:lpwstr>
  </property>
  <property fmtid="{D5CDD505-2E9C-101B-9397-08002B2CF9AE}" pid="9" name="ProductionDate">
    <vt:filetime>2018-07-04T12:00:00Z</vt:filetime>
  </property>
  <property fmtid="{D5CDD505-2E9C-101B-9397-08002B2CF9AE}" pid="10" name="DocumentNumber">
    <vt:i4>3066</vt:i4>
  </property>
  <property fmtid="{D5CDD505-2E9C-101B-9397-08002B2CF9AE}" pid="11" name="FicheYear">
    <vt:i4>2018</vt:i4>
  </property>
  <property fmtid="{D5CDD505-2E9C-101B-9397-08002B2CF9AE}" pid="12" name="DocumentVersion">
    <vt:i4>4</vt:i4>
  </property>
  <property fmtid="{D5CDD505-2E9C-101B-9397-08002B2CF9AE}" pid="13" name="Confidentiality_0">
    <vt:lpwstr>Unrestricted|826e22d7-d029-4ec0-a450-0c28ff673572</vt:lpwstr>
  </property>
  <property fmtid="{D5CDD505-2E9C-101B-9397-08002B2CF9AE}" pid="14" name="ContentTypeId">
    <vt:lpwstr>0x010100EA97B91038054C99906057A708A1480A00135AEC72E874B8448CC1C05B56464BC2</vt:lpwstr>
  </property>
  <property fmtid="{D5CDD505-2E9C-101B-9397-08002B2CF9AE}" pid="15" name="TaxCatchAll">
    <vt:lpwstr>65;#SDO|f24a1fde-f224-4565-8121-6560ec428671;#25;#TCD|cd9d6eb6-3f4f-424a-b2d1-57c9d450eaaf;#7;#TRA|150d2a88-1431-44e6-a8ca-0bb753ab8672;#6;#Final|ea5e6674-7b27-4bac-b091-73adbb394efe;#5;#Unrestricted|826e22d7-d029-4ec0-a450-0c28ff673572;#4;#EN|f2175f21-25</vt:lpwstr>
  </property>
  <property fmtid="{D5CDD505-2E9C-101B-9397-08002B2CF9AE}" pid="16" name="DocumentLanguage_0">
    <vt:lpwstr>EN|f2175f21-25d7-44a3-96da-d6a61b075e1b</vt:lpwstr>
  </property>
  <property fmtid="{D5CDD505-2E9C-101B-9397-08002B2CF9AE}" pid="17" name="DocumentStatus_0">
    <vt:lpwstr>TRA|150d2a88-1431-44e6-a8ca-0bb753ab8672</vt:lpwstr>
  </property>
  <property fmtid="{D5CDD505-2E9C-101B-9397-08002B2CF9AE}" pid="18" name="OriginalLanguage_0">
    <vt:lpwstr>EN|f2175f21-25d7-44a3-96da-d6a61b075e1b</vt:lpwstr>
  </property>
  <property fmtid="{D5CDD505-2E9C-101B-9397-08002B2CF9AE}" pid="19" name="AvailableTranslations_0">
    <vt:lpwstr/>
  </property>
  <property fmtid="{D5CDD505-2E9C-101B-9397-08002B2CF9AE}" pid="20" name="VersionStatus_0">
    <vt:lpwstr>Final|ea5e6674-7b27-4bac-b091-73adbb394efe</vt:lpwstr>
  </property>
  <property fmtid="{D5CDD505-2E9C-101B-9397-08002B2CF9AE}" pid="21" name="FicheNumber">
    <vt:i4>5231</vt:i4>
  </property>
  <property fmtid="{D5CDD505-2E9C-101B-9397-08002B2CF9AE}" pid="22" name="DocumentYear">
    <vt:i4>2018</vt:i4>
  </property>
  <property fmtid="{D5CDD505-2E9C-101B-9397-08002B2CF9AE}" pid="23" name="_dlc_DocIdItemGuid">
    <vt:lpwstr>a4ae2187-ee20-4751-864f-0b5119bab0a0</vt:lpwstr>
  </property>
  <property fmtid="{D5CDD505-2E9C-101B-9397-08002B2CF9AE}" pid="24" name="DocumentPart">
    <vt:i4>0</vt:i4>
  </property>
  <property fmtid="{D5CDD505-2E9C-101B-9397-08002B2CF9AE}" pid="25" name="RequestingService">
    <vt:lpwstr>Agriculture, développement rural et environnement</vt:lpwstr>
  </property>
  <property fmtid="{D5CDD505-2E9C-101B-9397-08002B2CF9AE}" pid="26" name="AvailableTranslations">
    <vt:lpwstr>4;#EN|f2175f21-25d7-44a3-96da-d6a61b075e1b;#20;#PL|1e03da61-4678-4e07-b136-b5024ca9197b;#27;#DE|f6b31e5a-26fa-4935-b661-318e46daf27e;#8;#FR|d2afafd3-4c81-4f60-8f52-ee33f2f54ff3</vt:lpwstr>
  </property>
  <property fmtid="{D5CDD505-2E9C-101B-9397-08002B2CF9AE}" pid="27" name="MeetingNumber">
    <vt:i4>66</vt:i4>
  </property>
  <property fmtid="{D5CDD505-2E9C-101B-9397-08002B2CF9AE}" pid="28" name="DossierName_0">
    <vt:lpwstr/>
  </property>
  <property fmtid="{D5CDD505-2E9C-101B-9397-08002B2CF9AE}" pid="29" name="DocumentStatus">
    <vt:lpwstr>7;#TRA|150d2a88-1431-44e6-a8ca-0bb753ab8672</vt:lpwstr>
  </property>
  <property fmtid="{D5CDD505-2E9C-101B-9397-08002B2CF9AE}" pid="30" name="DossierName">
    <vt:lpwstr/>
  </property>
  <property fmtid="{D5CDD505-2E9C-101B-9397-08002B2CF9AE}" pid="31" name="DocumentSource">
    <vt:lpwstr>1;#EESC|422833ec-8d7e-4e65-8e4e-8bed07ffb729</vt:lpwstr>
  </property>
  <property fmtid="{D5CDD505-2E9C-101B-9397-08002B2CF9AE}" pid="32" name="DocumentType">
    <vt:lpwstr>25;#TCD|cd9d6eb6-3f4f-424a-b2d1-57c9d450eaaf</vt:lpwstr>
  </property>
  <property fmtid="{D5CDD505-2E9C-101B-9397-08002B2CF9AE}" pid="33" name="Confidentiality">
    <vt:lpwstr>5;#Unrestricted|826e22d7-d029-4ec0-a450-0c28ff673572</vt:lpwstr>
  </property>
  <property fmtid="{D5CDD505-2E9C-101B-9397-08002B2CF9AE}" pid="34" name="MeetingName_0">
    <vt:lpwstr>SDO|f24a1fde-f224-4565-8121-6560ec428671</vt:lpwstr>
  </property>
  <property fmtid="{D5CDD505-2E9C-101B-9397-08002B2CF9AE}" pid="35" name="DocumentLanguage">
    <vt:lpwstr>4;#EN|f2175f21-25d7-44a3-96da-d6a61b075e1b</vt:lpwstr>
  </property>
  <property fmtid="{D5CDD505-2E9C-101B-9397-08002B2CF9AE}" pid="36" name="OriginalLanguage">
    <vt:lpwstr>4;#EN|f2175f21-25d7-44a3-96da-d6a61b075e1b</vt:lpwstr>
  </property>
  <property fmtid="{D5CDD505-2E9C-101B-9397-08002B2CF9AE}" pid="37" name="MeetingName">
    <vt:lpwstr>65;#SDO|f24a1fde-f224-4565-8121-6560ec428671</vt:lpwstr>
  </property>
  <property fmtid="{D5CDD505-2E9C-101B-9397-08002B2CF9AE}" pid="38" name="MeetingDate">
    <vt:filetime>2019-06-11T12:00:00Z</vt:filetime>
  </property>
  <property fmtid="{D5CDD505-2E9C-101B-9397-08002B2CF9AE}" pid="39" name="VersionStatus">
    <vt:lpwstr>6;#Final|ea5e6674-7b27-4bac-b091-73adbb394efe</vt:lpwstr>
  </property>
  <property fmtid="{D5CDD505-2E9C-101B-9397-08002B2CF9AE}" pid="40" name="_docset_NoMedatataSyncRequired">
    <vt:lpwstr>False</vt:lpwstr>
  </property>
</Properties>
</file>