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A02F7C" w:rsidRDefault="006A08D5" w:rsidP="00912024">
      <w:pPr>
        <w:snapToGrid w:val="0"/>
        <w:jc w:val="center"/>
      </w:pPr>
      <w:r w:rsidRPr="00A02F7C">
        <w:fldChar w:fldCharType="begin"/>
      </w:r>
      <w:r w:rsidRPr="00A02F7C">
        <w:instrText xml:space="preserve">  </w:instrText>
      </w:r>
      <w:r w:rsidRPr="00A02F7C">
        <w:fldChar w:fldCharType="end"/>
      </w:r>
      <w:r w:rsidRPr="00A02F7C">
        <w:rPr>
          <w:noProof/>
          <w:lang w:val="en-GB" w:eastAsia="en-GB"/>
        </w:rPr>
        <w:drawing>
          <wp:inline distT="0" distB="0" distL="0" distR="0" wp14:anchorId="4E96E113" wp14:editId="0D456315">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A02F7C" w:rsidRDefault="00876D7B" w:rsidP="00912024">
      <w:pPr>
        <w:snapToGrid w:val="0"/>
        <w:jc w:val="center"/>
        <w:rPr>
          <w:rFonts w:ascii="Arial" w:eastAsia="MS Mincho" w:hAnsi="Arial" w:cs="Arial"/>
          <w:b/>
          <w:i/>
          <w:sz w:val="20"/>
        </w:rPr>
      </w:pPr>
      <w:r w:rsidRPr="00A02F7C">
        <w:rPr>
          <w:rFonts w:ascii="Arial" w:hAnsi="Arial"/>
          <w:b/>
          <w:i/>
          <w:sz w:val="20"/>
        </w:rPr>
        <w:t>Europeiska ekonomiska och sociala kommittén</w:t>
      </w:r>
    </w:p>
    <w:p w:rsidR="008405A0" w:rsidRPr="00A02F7C" w:rsidRDefault="008405A0" w:rsidP="00912024">
      <w:pPr>
        <w:snapToGrid w:val="0"/>
        <w:rPr>
          <w:lang w:val="en-GB"/>
        </w:rPr>
      </w:pPr>
    </w:p>
    <w:p w:rsidR="008405A0" w:rsidRPr="00A02F7C" w:rsidRDefault="008405A0" w:rsidP="00912024">
      <w:pPr>
        <w:snapToGrid w:val="0"/>
        <w:rPr>
          <w:lang w:val="en-GB"/>
        </w:rPr>
      </w:pPr>
    </w:p>
    <w:p w:rsidR="008405A0" w:rsidRPr="00A02F7C" w:rsidRDefault="00FC0B2C" w:rsidP="00912024">
      <w:pPr>
        <w:snapToGrid w:val="0"/>
        <w:jc w:val="right"/>
        <w:rPr>
          <w:rFonts w:eastAsia="MS Mincho"/>
        </w:rPr>
      </w:pPr>
      <w:r w:rsidRPr="00A02F7C">
        <w:t>Bryssel den 27 augusti 2018</w:t>
      </w:r>
    </w:p>
    <w:p w:rsidR="008405A0" w:rsidRPr="00A02F7C" w:rsidRDefault="008405A0" w:rsidP="00912024">
      <w:pPr>
        <w:snapToGrid w:val="0"/>
        <w:rPr>
          <w:lang w:val="en-GB"/>
        </w:rPr>
      </w:pPr>
    </w:p>
    <w:p w:rsidR="008405A0" w:rsidRPr="00A02F7C" w:rsidRDefault="008405A0" w:rsidP="00912024">
      <w:pPr>
        <w:snapToGrid w:val="0"/>
        <w:rPr>
          <w:lang w:val="en-GB"/>
        </w:rPr>
      </w:pPr>
    </w:p>
    <w:p w:rsidR="00AF6F3E" w:rsidRPr="00A02F7C" w:rsidRDefault="00AF6F3E" w:rsidP="00912024">
      <w:pPr>
        <w:snapToGrid w:val="0"/>
        <w:rPr>
          <w:lang w:val="en-GB"/>
        </w:rPr>
      </w:pPr>
    </w:p>
    <w:p w:rsidR="006819C8" w:rsidRPr="00A02F7C" w:rsidRDefault="006819C8" w:rsidP="00912024">
      <w:pPr>
        <w:snapToGrid w:val="0"/>
        <w:rPr>
          <w:lang w:val="en-GB"/>
        </w:rPr>
      </w:pPr>
    </w:p>
    <w:tbl>
      <w:tblPr>
        <w:tblW w:w="0" w:type="auto"/>
        <w:tblLayout w:type="fixed"/>
        <w:tblLook w:val="0000" w:firstRow="0" w:lastRow="0" w:firstColumn="0" w:lastColumn="0" w:noHBand="0" w:noVBand="0"/>
      </w:tblPr>
      <w:tblGrid>
        <w:gridCol w:w="9289"/>
      </w:tblGrid>
      <w:tr w:rsidR="008405A0" w:rsidRPr="00A02F7C" w:rsidTr="00A72D7A">
        <w:tc>
          <w:tcPr>
            <w:tcW w:w="9289" w:type="dxa"/>
            <w:tcBorders>
              <w:top w:val="nil"/>
              <w:left w:val="nil"/>
              <w:bottom w:val="double" w:sz="4" w:space="0" w:color="auto"/>
              <w:right w:val="nil"/>
            </w:tcBorders>
          </w:tcPr>
          <w:p w:rsidR="008405A0" w:rsidRPr="00A02F7C" w:rsidRDefault="00FC0B2C" w:rsidP="00912024">
            <w:pPr>
              <w:snapToGrid w:val="0"/>
              <w:jc w:val="center"/>
              <w:rPr>
                <w:rFonts w:eastAsia="MS Mincho"/>
                <w:b/>
                <w:sz w:val="32"/>
              </w:rPr>
            </w:pPr>
            <w:r w:rsidRPr="00A02F7C">
              <w:rPr>
                <w:b/>
                <w:sz w:val="32"/>
              </w:rPr>
              <w:t xml:space="preserve">PLENARSESSIONEN </w:t>
            </w:r>
            <w:r w:rsidRPr="00A02F7C">
              <w:rPr>
                <w:b/>
                <w:sz w:val="32"/>
              </w:rPr>
              <w:br/>
              <w:t xml:space="preserve"> </w:t>
            </w:r>
            <w:r w:rsidRPr="00A02F7C">
              <w:rPr>
                <w:b/>
                <w:sz w:val="32"/>
              </w:rPr>
              <w:br/>
              <w:t xml:space="preserve">DEN 11–12 JULI 2018 </w:t>
            </w:r>
            <w:r w:rsidRPr="00A02F7C">
              <w:rPr>
                <w:b/>
                <w:sz w:val="32"/>
              </w:rPr>
              <w:br/>
              <w:t xml:space="preserve"> </w:t>
            </w:r>
            <w:r w:rsidRPr="00A02F7C">
              <w:rPr>
                <w:b/>
                <w:sz w:val="32"/>
              </w:rPr>
              <w:br/>
              <w:t>SAMMANFATTNING AV ANTAGNA YTTRANDEN</w:t>
            </w:r>
          </w:p>
          <w:p w:rsidR="008405A0" w:rsidRPr="00A02F7C" w:rsidRDefault="008405A0" w:rsidP="00912024">
            <w:pPr>
              <w:rPr>
                <w:lang w:val="en-GB"/>
              </w:rPr>
            </w:pPr>
          </w:p>
          <w:p w:rsidR="008405A0" w:rsidRPr="00A02F7C" w:rsidRDefault="008405A0" w:rsidP="00912024">
            <w:pPr>
              <w:rPr>
                <w:lang w:val="en-GB"/>
              </w:rPr>
            </w:pPr>
          </w:p>
        </w:tc>
      </w:tr>
      <w:tr w:rsidR="008405A0" w:rsidRPr="00A02F7C" w:rsidTr="00A72D7A">
        <w:tc>
          <w:tcPr>
            <w:tcW w:w="9289" w:type="dxa"/>
            <w:tcBorders>
              <w:top w:val="double" w:sz="4" w:space="0" w:color="auto"/>
              <w:left w:val="double" w:sz="4" w:space="0" w:color="auto"/>
              <w:bottom w:val="double" w:sz="4" w:space="0" w:color="auto"/>
              <w:right w:val="double" w:sz="4" w:space="0" w:color="auto"/>
            </w:tcBorders>
          </w:tcPr>
          <w:p w:rsidR="00FF15DA" w:rsidRPr="00A02F7C" w:rsidRDefault="00FF15DA" w:rsidP="00912024">
            <w:pPr>
              <w:snapToGrid w:val="0"/>
              <w:jc w:val="center"/>
              <w:rPr>
                <w:b/>
                <w:lang w:val="en-GB"/>
              </w:rPr>
            </w:pPr>
          </w:p>
          <w:p w:rsidR="00FC0B2C" w:rsidRPr="00A02F7C" w:rsidRDefault="00FC0B2C" w:rsidP="00912024">
            <w:pPr>
              <w:snapToGrid w:val="0"/>
              <w:jc w:val="center"/>
              <w:rPr>
                <w:rFonts w:eastAsia="MS Mincho"/>
                <w:b/>
              </w:rPr>
            </w:pPr>
            <w:r w:rsidRPr="00A02F7C">
              <w:rPr>
                <w:b/>
              </w:rPr>
              <w:t>Detta dokument finns tillgängligt på de officiella språken på kommitténs webbplats på följande adress:</w:t>
            </w:r>
          </w:p>
          <w:p w:rsidR="00FC0B2C" w:rsidRPr="00A02F7C" w:rsidRDefault="00FC0B2C" w:rsidP="00912024">
            <w:pPr>
              <w:snapToGrid w:val="0"/>
              <w:jc w:val="center"/>
              <w:rPr>
                <w:b/>
                <w:lang w:val="en-GB"/>
              </w:rPr>
            </w:pPr>
          </w:p>
          <w:p w:rsidR="00FC0B2C" w:rsidRPr="00A02F7C" w:rsidRDefault="00640D7E" w:rsidP="00912024">
            <w:pPr>
              <w:jc w:val="center"/>
              <w:rPr>
                <w:rStyle w:val="Hyperlink"/>
                <w:b/>
              </w:rPr>
            </w:pPr>
            <w:hyperlink r:id="rId14">
              <w:r w:rsidR="00F24C9C" w:rsidRPr="00A02F7C">
                <w:rPr>
                  <w:rStyle w:val="Hyperlink"/>
                </w:rPr>
                <w:t>http://www.eesc.europa.eu/sv/our-work/opinions-information-reports/plenary-session-summaries</w:t>
              </w:r>
            </w:hyperlink>
          </w:p>
          <w:p w:rsidR="00FC0B2C" w:rsidRPr="00A02F7C" w:rsidRDefault="00FC0B2C" w:rsidP="00912024">
            <w:pPr>
              <w:snapToGrid w:val="0"/>
              <w:jc w:val="center"/>
              <w:rPr>
                <w:b/>
                <w:lang w:val="en-GB"/>
              </w:rPr>
            </w:pPr>
          </w:p>
          <w:p w:rsidR="00FC0B2C" w:rsidRPr="00A02F7C" w:rsidRDefault="00FC0B2C" w:rsidP="00912024">
            <w:pPr>
              <w:snapToGrid w:val="0"/>
              <w:jc w:val="center"/>
              <w:rPr>
                <w:rFonts w:eastAsia="SimSun"/>
                <w:b/>
                <w:lang w:val="en-GB"/>
              </w:rPr>
            </w:pPr>
          </w:p>
          <w:p w:rsidR="00FC0B2C" w:rsidRPr="00A02F7C" w:rsidRDefault="00FC0B2C" w:rsidP="00912024">
            <w:pPr>
              <w:snapToGrid w:val="0"/>
              <w:jc w:val="center"/>
              <w:rPr>
                <w:rFonts w:eastAsia="MS Mincho"/>
                <w:b/>
              </w:rPr>
            </w:pPr>
            <w:r w:rsidRPr="00A02F7C">
              <w:rPr>
                <w:b/>
              </w:rPr>
              <w:t>De yttranden som tas upp finns tillgängliga på internet via kommitténs sökmotor:</w:t>
            </w:r>
          </w:p>
          <w:p w:rsidR="00FC0B2C" w:rsidRPr="00A02F7C" w:rsidRDefault="00FC0B2C" w:rsidP="00912024">
            <w:pPr>
              <w:snapToGrid w:val="0"/>
              <w:jc w:val="center"/>
              <w:rPr>
                <w:b/>
                <w:lang w:val="en-GB"/>
              </w:rPr>
            </w:pPr>
          </w:p>
          <w:p w:rsidR="00FC0B2C" w:rsidRPr="00A02F7C" w:rsidRDefault="00640D7E" w:rsidP="00912024">
            <w:pPr>
              <w:jc w:val="center"/>
              <w:rPr>
                <w:rStyle w:val="Hyperlink"/>
                <w:b/>
              </w:rPr>
            </w:pPr>
            <w:hyperlink r:id="rId15">
              <w:r w:rsidR="00F24C9C" w:rsidRPr="00A02F7C">
                <w:rPr>
                  <w:rStyle w:val="Hyperlink"/>
                </w:rPr>
                <w:t>http://dm.eesc.europa.eu/EESCDocumentSearch/Pages/opinionssearch.aspx</w:t>
              </w:r>
            </w:hyperlink>
          </w:p>
          <w:p w:rsidR="008405A0" w:rsidRPr="00A02F7C" w:rsidRDefault="008405A0" w:rsidP="00912024">
            <w:pPr>
              <w:snapToGrid w:val="0"/>
              <w:jc w:val="center"/>
              <w:rPr>
                <w:b/>
                <w:bCs/>
                <w:lang w:val="en-GB"/>
              </w:rPr>
            </w:pPr>
          </w:p>
        </w:tc>
      </w:tr>
    </w:tbl>
    <w:p w:rsidR="008F7791" w:rsidRPr="00A02F7C" w:rsidRDefault="008F7791" w:rsidP="00912024">
      <w:pPr>
        <w:rPr>
          <w:rFonts w:eastAsia="SimSun"/>
          <w:lang w:val="en-GB"/>
        </w:rPr>
      </w:pPr>
    </w:p>
    <w:p w:rsidR="00A9340A" w:rsidRPr="00A02F7C" w:rsidRDefault="00A9340A" w:rsidP="00912024">
      <w:pPr>
        <w:rPr>
          <w:rFonts w:eastAsia="SimSun"/>
          <w:lang w:val="en-GB"/>
        </w:rPr>
        <w:sectPr w:rsidR="00A9340A" w:rsidRPr="00A02F7C" w:rsidSect="002E240A">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A02F7C" w:rsidRDefault="00876D7B" w:rsidP="00912024">
      <w:pPr>
        <w:snapToGrid w:val="0"/>
        <w:rPr>
          <w:b/>
        </w:rPr>
      </w:pPr>
      <w:r w:rsidRPr="00A02F7C">
        <w:rPr>
          <w:b/>
        </w:rPr>
        <w:lastRenderedPageBreak/>
        <w:t>Innehåll:</w:t>
      </w:r>
    </w:p>
    <w:p w:rsidR="00D16D76" w:rsidRPr="00A02F7C" w:rsidRDefault="00D16D76" w:rsidP="00912024">
      <w:pPr>
        <w:rPr>
          <w:lang w:val="en-GB"/>
        </w:rPr>
      </w:pPr>
    </w:p>
    <w:p w:rsidR="00025BC0" w:rsidRPr="00A02F7C" w:rsidRDefault="003353E8">
      <w:pPr>
        <w:pStyle w:val="TOC1"/>
        <w:rPr>
          <w:rFonts w:asciiTheme="minorHAnsi" w:eastAsiaTheme="minorEastAsia" w:hAnsiTheme="minorHAnsi" w:cstheme="minorBidi"/>
          <w:noProof/>
          <w:lang w:val="en-GB" w:eastAsia="en-GB"/>
        </w:rPr>
      </w:pPr>
      <w:r w:rsidRPr="00A02F7C">
        <w:fldChar w:fldCharType="begin"/>
      </w:r>
      <w:r w:rsidRPr="00A02F7C">
        <w:instrText xml:space="preserve"> TOC \o "1-1" \h \z \u </w:instrText>
      </w:r>
      <w:r w:rsidRPr="00A02F7C">
        <w:fldChar w:fldCharType="separate"/>
      </w:r>
      <w:hyperlink w:anchor="_Toc523126582" w:history="1">
        <w:r w:rsidR="00025BC0" w:rsidRPr="00A02F7C">
          <w:rPr>
            <w:rStyle w:val="Hyperlink"/>
            <w:caps/>
            <w:noProof/>
          </w:rPr>
          <w:t>1.</w:t>
        </w:r>
        <w:r w:rsidR="00025BC0" w:rsidRPr="00A02F7C">
          <w:rPr>
            <w:rFonts w:asciiTheme="minorHAnsi" w:eastAsiaTheme="minorEastAsia" w:hAnsiTheme="minorHAnsi" w:cstheme="minorBidi"/>
            <w:noProof/>
            <w:lang w:val="en-GB" w:eastAsia="en-GB"/>
          </w:rPr>
          <w:tab/>
        </w:r>
        <w:r w:rsidR="00025BC0" w:rsidRPr="00A02F7C">
          <w:rPr>
            <w:rStyle w:val="Hyperlink"/>
            <w:b/>
            <w:caps/>
            <w:noProof/>
          </w:rPr>
          <w:t>Ekonomiska och monetära unionen, ekonomisk och social sammanhållning</w:t>
        </w:r>
        <w:r w:rsidR="00025BC0" w:rsidRPr="00A02F7C">
          <w:rPr>
            <w:noProof/>
            <w:webHidden/>
          </w:rPr>
          <w:tab/>
        </w:r>
        <w:r w:rsidR="00025BC0" w:rsidRPr="00A02F7C">
          <w:rPr>
            <w:noProof/>
            <w:webHidden/>
          </w:rPr>
          <w:fldChar w:fldCharType="begin"/>
        </w:r>
        <w:r w:rsidR="00025BC0" w:rsidRPr="00A02F7C">
          <w:rPr>
            <w:noProof/>
            <w:webHidden/>
          </w:rPr>
          <w:instrText xml:space="preserve"> PAGEREF _Toc523126582 \h </w:instrText>
        </w:r>
        <w:r w:rsidR="00025BC0" w:rsidRPr="00A02F7C">
          <w:rPr>
            <w:noProof/>
            <w:webHidden/>
          </w:rPr>
        </w:r>
        <w:r w:rsidR="00025BC0" w:rsidRPr="00A02F7C">
          <w:rPr>
            <w:noProof/>
            <w:webHidden/>
          </w:rPr>
          <w:fldChar w:fldCharType="separate"/>
        </w:r>
        <w:r w:rsidR="00025BC0" w:rsidRPr="00A02F7C">
          <w:rPr>
            <w:noProof/>
            <w:webHidden/>
          </w:rPr>
          <w:t>3</w:t>
        </w:r>
        <w:r w:rsidR="00025BC0" w:rsidRPr="00A02F7C">
          <w:rPr>
            <w:noProof/>
            <w:webHidden/>
          </w:rPr>
          <w:fldChar w:fldCharType="end"/>
        </w:r>
      </w:hyperlink>
    </w:p>
    <w:p w:rsidR="00025BC0" w:rsidRPr="00A02F7C" w:rsidRDefault="00025BC0">
      <w:pPr>
        <w:pStyle w:val="TOC1"/>
        <w:rPr>
          <w:rFonts w:asciiTheme="minorHAnsi" w:eastAsiaTheme="minorEastAsia" w:hAnsiTheme="minorHAnsi" w:cstheme="minorBidi"/>
          <w:noProof/>
          <w:lang w:val="en-GB" w:eastAsia="en-GB"/>
        </w:rPr>
      </w:pPr>
      <w:hyperlink w:anchor="_Toc523126583" w:history="1">
        <w:r w:rsidRPr="00A02F7C">
          <w:rPr>
            <w:rStyle w:val="Hyperlink"/>
            <w:caps/>
            <w:noProof/>
          </w:rPr>
          <w:t>2.</w:t>
        </w:r>
        <w:r w:rsidRPr="00A02F7C">
          <w:rPr>
            <w:rFonts w:asciiTheme="minorHAnsi" w:eastAsiaTheme="minorEastAsia" w:hAnsiTheme="minorHAnsi" w:cstheme="minorBidi"/>
            <w:noProof/>
            <w:lang w:val="en-GB" w:eastAsia="en-GB"/>
          </w:rPr>
          <w:tab/>
        </w:r>
        <w:r w:rsidRPr="00A02F7C">
          <w:rPr>
            <w:rStyle w:val="Hyperlink"/>
            <w:b/>
            <w:caps/>
            <w:noProof/>
          </w:rPr>
          <w:t>Inre marknaden, produktion och konsumtion</w:t>
        </w:r>
        <w:r w:rsidRPr="00A02F7C">
          <w:rPr>
            <w:noProof/>
            <w:webHidden/>
          </w:rPr>
          <w:tab/>
        </w:r>
        <w:r w:rsidRPr="00A02F7C">
          <w:rPr>
            <w:noProof/>
            <w:webHidden/>
          </w:rPr>
          <w:fldChar w:fldCharType="begin"/>
        </w:r>
        <w:r w:rsidRPr="00A02F7C">
          <w:rPr>
            <w:noProof/>
            <w:webHidden/>
          </w:rPr>
          <w:instrText xml:space="preserve"> PAGEREF _Toc523126583 \h </w:instrText>
        </w:r>
        <w:r w:rsidRPr="00A02F7C">
          <w:rPr>
            <w:noProof/>
            <w:webHidden/>
          </w:rPr>
        </w:r>
        <w:r w:rsidRPr="00A02F7C">
          <w:rPr>
            <w:noProof/>
            <w:webHidden/>
          </w:rPr>
          <w:fldChar w:fldCharType="separate"/>
        </w:r>
        <w:r w:rsidRPr="00A02F7C">
          <w:rPr>
            <w:noProof/>
            <w:webHidden/>
          </w:rPr>
          <w:t>10</w:t>
        </w:r>
        <w:r w:rsidRPr="00A02F7C">
          <w:rPr>
            <w:noProof/>
            <w:webHidden/>
          </w:rPr>
          <w:fldChar w:fldCharType="end"/>
        </w:r>
      </w:hyperlink>
    </w:p>
    <w:p w:rsidR="00025BC0" w:rsidRPr="00A02F7C" w:rsidRDefault="00025BC0">
      <w:pPr>
        <w:pStyle w:val="TOC1"/>
        <w:rPr>
          <w:rFonts w:asciiTheme="minorHAnsi" w:eastAsiaTheme="minorEastAsia" w:hAnsiTheme="minorHAnsi" w:cstheme="minorBidi"/>
          <w:noProof/>
          <w:lang w:val="en-GB" w:eastAsia="en-GB"/>
        </w:rPr>
      </w:pPr>
      <w:hyperlink w:anchor="_Toc523126584" w:history="1">
        <w:r w:rsidRPr="00A02F7C">
          <w:rPr>
            <w:rStyle w:val="Hyperlink"/>
            <w:caps/>
            <w:noProof/>
          </w:rPr>
          <w:t>3.</w:t>
        </w:r>
        <w:r w:rsidRPr="00A02F7C">
          <w:rPr>
            <w:rFonts w:asciiTheme="minorHAnsi" w:eastAsiaTheme="minorEastAsia" w:hAnsiTheme="minorHAnsi" w:cstheme="minorBidi"/>
            <w:noProof/>
            <w:lang w:val="en-GB" w:eastAsia="en-GB"/>
          </w:rPr>
          <w:tab/>
        </w:r>
        <w:r w:rsidRPr="00A02F7C">
          <w:rPr>
            <w:rStyle w:val="Hyperlink"/>
            <w:b/>
            <w:caps/>
            <w:noProof/>
          </w:rPr>
          <w:t>Transporter, energi, infrastruktur och informationssamhället</w:t>
        </w:r>
        <w:r w:rsidRPr="00A02F7C">
          <w:rPr>
            <w:noProof/>
            <w:webHidden/>
          </w:rPr>
          <w:tab/>
        </w:r>
        <w:r w:rsidRPr="00A02F7C">
          <w:rPr>
            <w:noProof/>
            <w:webHidden/>
          </w:rPr>
          <w:fldChar w:fldCharType="begin"/>
        </w:r>
        <w:r w:rsidRPr="00A02F7C">
          <w:rPr>
            <w:noProof/>
            <w:webHidden/>
          </w:rPr>
          <w:instrText xml:space="preserve"> PAGEREF _Toc523126584 \h </w:instrText>
        </w:r>
        <w:r w:rsidRPr="00A02F7C">
          <w:rPr>
            <w:noProof/>
            <w:webHidden/>
          </w:rPr>
        </w:r>
        <w:r w:rsidRPr="00A02F7C">
          <w:rPr>
            <w:noProof/>
            <w:webHidden/>
          </w:rPr>
          <w:fldChar w:fldCharType="separate"/>
        </w:r>
        <w:r w:rsidRPr="00A02F7C">
          <w:rPr>
            <w:noProof/>
            <w:webHidden/>
          </w:rPr>
          <w:t>13</w:t>
        </w:r>
        <w:r w:rsidRPr="00A02F7C">
          <w:rPr>
            <w:noProof/>
            <w:webHidden/>
          </w:rPr>
          <w:fldChar w:fldCharType="end"/>
        </w:r>
      </w:hyperlink>
    </w:p>
    <w:p w:rsidR="00025BC0" w:rsidRPr="00A02F7C" w:rsidRDefault="00025BC0">
      <w:pPr>
        <w:pStyle w:val="TOC1"/>
        <w:rPr>
          <w:rFonts w:asciiTheme="minorHAnsi" w:eastAsiaTheme="minorEastAsia" w:hAnsiTheme="minorHAnsi" w:cstheme="minorBidi"/>
          <w:noProof/>
          <w:lang w:val="en-GB" w:eastAsia="en-GB"/>
        </w:rPr>
      </w:pPr>
      <w:hyperlink w:anchor="_Toc523126585" w:history="1">
        <w:r w:rsidRPr="00A02F7C">
          <w:rPr>
            <w:rStyle w:val="Hyperlink"/>
            <w:caps/>
            <w:noProof/>
          </w:rPr>
          <w:t>4.</w:t>
        </w:r>
        <w:r w:rsidRPr="00A02F7C">
          <w:rPr>
            <w:rFonts w:asciiTheme="minorHAnsi" w:eastAsiaTheme="minorEastAsia" w:hAnsiTheme="minorHAnsi" w:cstheme="minorBidi"/>
            <w:noProof/>
            <w:lang w:val="en-GB" w:eastAsia="en-GB"/>
          </w:rPr>
          <w:tab/>
        </w:r>
        <w:r w:rsidRPr="00A02F7C">
          <w:rPr>
            <w:rStyle w:val="Hyperlink"/>
            <w:b/>
            <w:caps/>
            <w:noProof/>
          </w:rPr>
          <w:t>Jordbruk, landsbygdsutveckling och miljö</w:t>
        </w:r>
        <w:r w:rsidRPr="00A02F7C">
          <w:rPr>
            <w:noProof/>
            <w:webHidden/>
          </w:rPr>
          <w:tab/>
        </w:r>
        <w:r w:rsidRPr="00A02F7C">
          <w:rPr>
            <w:noProof/>
            <w:webHidden/>
          </w:rPr>
          <w:fldChar w:fldCharType="begin"/>
        </w:r>
        <w:r w:rsidRPr="00A02F7C">
          <w:rPr>
            <w:noProof/>
            <w:webHidden/>
          </w:rPr>
          <w:instrText xml:space="preserve"> PAGEREF _Toc523126585 \h </w:instrText>
        </w:r>
        <w:r w:rsidRPr="00A02F7C">
          <w:rPr>
            <w:noProof/>
            <w:webHidden/>
          </w:rPr>
        </w:r>
        <w:r w:rsidRPr="00A02F7C">
          <w:rPr>
            <w:noProof/>
            <w:webHidden/>
          </w:rPr>
          <w:fldChar w:fldCharType="separate"/>
        </w:r>
        <w:r w:rsidRPr="00A02F7C">
          <w:rPr>
            <w:noProof/>
            <w:webHidden/>
          </w:rPr>
          <w:t>16</w:t>
        </w:r>
        <w:r w:rsidRPr="00A02F7C">
          <w:rPr>
            <w:noProof/>
            <w:webHidden/>
          </w:rPr>
          <w:fldChar w:fldCharType="end"/>
        </w:r>
      </w:hyperlink>
    </w:p>
    <w:p w:rsidR="00025BC0" w:rsidRPr="00A02F7C" w:rsidRDefault="00025BC0">
      <w:pPr>
        <w:pStyle w:val="TOC1"/>
        <w:rPr>
          <w:rFonts w:asciiTheme="minorHAnsi" w:eastAsiaTheme="minorEastAsia" w:hAnsiTheme="minorHAnsi" w:cstheme="minorBidi"/>
          <w:noProof/>
          <w:lang w:val="en-GB" w:eastAsia="en-GB"/>
        </w:rPr>
      </w:pPr>
      <w:hyperlink w:anchor="_Toc523126586" w:history="1">
        <w:r w:rsidRPr="00A02F7C">
          <w:rPr>
            <w:rStyle w:val="Hyperlink"/>
            <w:bCs/>
            <w:iCs/>
            <w:caps/>
            <w:noProof/>
          </w:rPr>
          <w:t>5.</w:t>
        </w:r>
        <w:r w:rsidRPr="00A02F7C">
          <w:rPr>
            <w:rFonts w:asciiTheme="minorHAnsi" w:eastAsiaTheme="minorEastAsia" w:hAnsiTheme="minorHAnsi" w:cstheme="minorBidi"/>
            <w:noProof/>
            <w:lang w:val="en-GB" w:eastAsia="en-GB"/>
          </w:rPr>
          <w:tab/>
        </w:r>
        <w:r w:rsidRPr="00A02F7C">
          <w:rPr>
            <w:rStyle w:val="Hyperlink"/>
            <w:b/>
            <w:bCs/>
            <w:iCs/>
            <w:caps/>
            <w:noProof/>
          </w:rPr>
          <w:t>Sysselsättning, sociala frågor och medborgarna</w:t>
        </w:r>
        <w:r w:rsidRPr="00A02F7C">
          <w:rPr>
            <w:noProof/>
            <w:webHidden/>
          </w:rPr>
          <w:tab/>
        </w:r>
        <w:r w:rsidRPr="00A02F7C">
          <w:rPr>
            <w:noProof/>
            <w:webHidden/>
          </w:rPr>
          <w:fldChar w:fldCharType="begin"/>
        </w:r>
        <w:r w:rsidRPr="00A02F7C">
          <w:rPr>
            <w:noProof/>
            <w:webHidden/>
          </w:rPr>
          <w:instrText xml:space="preserve"> PAGEREF _Toc523126586 \h </w:instrText>
        </w:r>
        <w:r w:rsidRPr="00A02F7C">
          <w:rPr>
            <w:noProof/>
            <w:webHidden/>
          </w:rPr>
        </w:r>
        <w:r w:rsidRPr="00A02F7C">
          <w:rPr>
            <w:noProof/>
            <w:webHidden/>
          </w:rPr>
          <w:fldChar w:fldCharType="separate"/>
        </w:r>
        <w:r w:rsidRPr="00A02F7C">
          <w:rPr>
            <w:noProof/>
            <w:webHidden/>
          </w:rPr>
          <w:t>22</w:t>
        </w:r>
        <w:r w:rsidRPr="00A02F7C">
          <w:rPr>
            <w:noProof/>
            <w:webHidden/>
          </w:rPr>
          <w:fldChar w:fldCharType="end"/>
        </w:r>
      </w:hyperlink>
    </w:p>
    <w:p w:rsidR="008405A0" w:rsidRPr="00A02F7C" w:rsidRDefault="003353E8" w:rsidP="00912024">
      <w:r w:rsidRPr="00A02F7C">
        <w:fldChar w:fldCharType="end"/>
      </w:r>
      <w:r w:rsidRPr="00A02F7C">
        <w:br w:type="page"/>
      </w:r>
    </w:p>
    <w:p w:rsidR="00421682" w:rsidRPr="00A02F7C" w:rsidRDefault="00AD7EE7" w:rsidP="00912024">
      <w:r w:rsidRPr="00A02F7C">
        <w:lastRenderedPageBreak/>
        <w:t>Följande yttranden antogs vid plenarsessionen den 11–12 juli 2018:</w:t>
      </w:r>
    </w:p>
    <w:p w:rsidR="00A43397" w:rsidRPr="00A02F7C" w:rsidRDefault="00A43397" w:rsidP="00912024">
      <w:pPr>
        <w:rPr>
          <w:lang w:val="en-GB"/>
        </w:rPr>
      </w:pPr>
    </w:p>
    <w:p w:rsidR="00A43397" w:rsidRPr="00A02F7C" w:rsidRDefault="000C491C" w:rsidP="00912024">
      <w:pPr>
        <w:pStyle w:val="Heading1"/>
        <w:ind w:left="567" w:hanging="567"/>
        <w:rPr>
          <w:b/>
          <w:caps/>
        </w:rPr>
      </w:pPr>
      <w:bookmarkStart w:id="0" w:name="_Toc523126582"/>
      <w:r w:rsidRPr="00A02F7C">
        <w:rPr>
          <w:b/>
          <w:caps/>
        </w:rPr>
        <w:t>Ekonomiska och monetära unionen, ekonomisk och social sammanhållning</w:t>
      </w:r>
      <w:bookmarkEnd w:id="0"/>
    </w:p>
    <w:p w:rsidR="009A288E" w:rsidRPr="00A02F7C" w:rsidRDefault="009A288E" w:rsidP="00912024">
      <w:pPr>
        <w:keepNext/>
        <w:rPr>
          <w:color w:val="000000" w:themeColor="text1"/>
        </w:rPr>
      </w:pPr>
    </w:p>
    <w:p w:rsidR="009A288E" w:rsidRPr="00A02F7C" w:rsidRDefault="009A288E" w:rsidP="00912024">
      <w:pPr>
        <w:pStyle w:val="ListParagraph"/>
        <w:numPr>
          <w:ilvl w:val="0"/>
          <w:numId w:val="45"/>
        </w:numPr>
        <w:overflowPunct w:val="0"/>
        <w:autoSpaceDE w:val="0"/>
        <w:autoSpaceDN w:val="0"/>
        <w:adjustRightInd w:val="0"/>
        <w:textAlignment w:val="baseline"/>
        <w:rPr>
          <w:b/>
          <w:i/>
          <w:sz w:val="28"/>
          <w:szCs w:val="28"/>
        </w:rPr>
      </w:pPr>
      <w:r w:rsidRPr="00A02F7C">
        <w:rPr>
          <w:b/>
          <w:i/>
          <w:sz w:val="28"/>
          <w:szCs w:val="28"/>
        </w:rPr>
        <w:t>Paketet om nödlidande lån</w:t>
      </w:r>
    </w:p>
    <w:p w:rsidR="009A288E" w:rsidRPr="00A02F7C" w:rsidRDefault="009A288E" w:rsidP="00912024">
      <w:pPr>
        <w:overflowPunct w:val="0"/>
        <w:autoSpaceDE w:val="0"/>
        <w:autoSpaceDN w:val="0"/>
        <w:adjustRightInd w:val="0"/>
        <w:textAlignment w:val="baseline"/>
        <w:rPr>
          <w:b/>
          <w:i/>
          <w:sz w:val="28"/>
          <w:szCs w:val="28"/>
        </w:rPr>
      </w:pPr>
    </w:p>
    <w:p w:rsidR="009A288E" w:rsidRPr="00A02F7C" w:rsidRDefault="009A288E" w:rsidP="00912024">
      <w:pPr>
        <w:tabs>
          <w:tab w:val="center" w:pos="284"/>
        </w:tabs>
        <w:ind w:left="266" w:hanging="266"/>
      </w:pPr>
      <w:r w:rsidRPr="00A02F7C">
        <w:rPr>
          <w:b/>
        </w:rPr>
        <w:t>Föredragande:</w:t>
      </w:r>
      <w:r w:rsidRPr="00A02F7C">
        <w:tab/>
        <w:t>Juan Mendoza Castro (Arbetstagargruppen – ES)</w:t>
      </w:r>
    </w:p>
    <w:p w:rsidR="009A288E" w:rsidRPr="00A02F7C" w:rsidRDefault="009A288E" w:rsidP="00912024">
      <w:pPr>
        <w:tabs>
          <w:tab w:val="center" w:pos="284"/>
        </w:tabs>
        <w:ind w:left="266" w:hanging="266"/>
      </w:pPr>
    </w:p>
    <w:p w:rsidR="009A288E" w:rsidRPr="00A02F7C" w:rsidRDefault="009A288E" w:rsidP="00912024">
      <w:pPr>
        <w:tabs>
          <w:tab w:val="center" w:pos="0"/>
          <w:tab w:val="left" w:pos="1701"/>
        </w:tabs>
      </w:pPr>
      <w:r w:rsidRPr="00A02F7C">
        <w:rPr>
          <w:b/>
        </w:rPr>
        <w:t>Referens:</w:t>
      </w:r>
      <w:r w:rsidR="007B5B5F" w:rsidRPr="00A02F7C">
        <w:rPr>
          <w:b/>
        </w:rPr>
        <w:tab/>
      </w:r>
      <w:r w:rsidRPr="00A02F7C">
        <w:t>COM(2018) 134 final – 2018/0060 (COD)</w:t>
      </w:r>
    </w:p>
    <w:p w:rsidR="009A288E" w:rsidRPr="00A02F7C" w:rsidRDefault="009A288E" w:rsidP="00912024">
      <w:pPr>
        <w:tabs>
          <w:tab w:val="center" w:pos="0"/>
          <w:tab w:val="left" w:pos="1701"/>
        </w:tabs>
      </w:pPr>
      <w:r w:rsidRPr="00A02F7C">
        <w:tab/>
        <w:t>COM(2018) 135 final – 2018/0063 (COD)</w:t>
      </w:r>
    </w:p>
    <w:p w:rsidR="009A288E" w:rsidRPr="00A02F7C" w:rsidRDefault="009A288E" w:rsidP="00912024">
      <w:pPr>
        <w:tabs>
          <w:tab w:val="center" w:pos="0"/>
          <w:tab w:val="left" w:pos="1701"/>
        </w:tabs>
      </w:pPr>
      <w:r w:rsidRPr="00A02F7C">
        <w:tab/>
        <w:t>EESC-201</w:t>
      </w:r>
      <w:r w:rsidR="00A02F7C" w:rsidRPr="00A02F7C">
        <w:t>8-0</w:t>
      </w:r>
      <w:r w:rsidRPr="00A02F7C">
        <w:t>110</w:t>
      </w:r>
      <w:r w:rsidR="00A02F7C" w:rsidRPr="00A02F7C">
        <w:t>9-00-0</w:t>
      </w:r>
      <w:r w:rsidRPr="00A02F7C">
        <w:t>0-AC-TRA</w:t>
      </w:r>
    </w:p>
    <w:p w:rsidR="009A288E" w:rsidRPr="00A02F7C" w:rsidRDefault="009A288E" w:rsidP="00912024">
      <w:pPr>
        <w:tabs>
          <w:tab w:val="center" w:pos="284"/>
        </w:tabs>
        <w:ind w:left="266" w:hanging="266"/>
      </w:pPr>
    </w:p>
    <w:p w:rsidR="009A288E" w:rsidRPr="00A02F7C" w:rsidRDefault="009A288E" w:rsidP="00912024">
      <w:pPr>
        <w:keepNext/>
        <w:keepLines/>
        <w:tabs>
          <w:tab w:val="center" w:pos="284"/>
        </w:tabs>
        <w:ind w:left="266" w:hanging="266"/>
        <w:rPr>
          <w:b/>
        </w:rPr>
      </w:pPr>
      <w:r w:rsidRPr="00A02F7C">
        <w:rPr>
          <w:b/>
        </w:rPr>
        <w:t>Huvudpunkter:</w:t>
      </w:r>
    </w:p>
    <w:p w:rsidR="00ED6FD4" w:rsidRPr="00A02F7C" w:rsidRDefault="00ED6FD4" w:rsidP="00912024">
      <w:pPr>
        <w:keepNext/>
        <w:rPr>
          <w:color w:val="000000" w:themeColor="text1"/>
        </w:rPr>
      </w:pPr>
    </w:p>
    <w:p w:rsidR="009A288E" w:rsidRPr="00A02F7C" w:rsidRDefault="009A288E" w:rsidP="00912024">
      <w:proofErr w:type="spellStart"/>
      <w:r w:rsidRPr="00A02F7C">
        <w:t>EESK:s</w:t>
      </w:r>
      <w:proofErr w:type="spellEnd"/>
      <w:r w:rsidRPr="00A02F7C">
        <w:t xml:space="preserve"> ståndpunkt:</w:t>
      </w:r>
    </w:p>
    <w:p w:rsidR="009A288E" w:rsidRPr="00A02F7C" w:rsidRDefault="009A288E" w:rsidP="00912024"/>
    <w:p w:rsidR="009A288E" w:rsidRPr="00A02F7C" w:rsidRDefault="009A288E" w:rsidP="00912024">
      <w:pPr>
        <w:pStyle w:val="ListParagraph"/>
        <w:numPr>
          <w:ilvl w:val="0"/>
          <w:numId w:val="33"/>
        </w:numPr>
      </w:pPr>
      <w:r w:rsidRPr="00A02F7C">
        <w:t>EESK välkomnar kommissionens paket, som är en hörnsten i EU:s offensiv för att hantera det bestående problemet med nödlidande lån och ett avgörande steg i riktning mot bankunionen.</w:t>
      </w:r>
    </w:p>
    <w:p w:rsidR="009A288E" w:rsidRPr="00A02F7C" w:rsidRDefault="009A288E" w:rsidP="00912024">
      <w:pPr>
        <w:pStyle w:val="ListParagraph"/>
      </w:pPr>
    </w:p>
    <w:p w:rsidR="009A288E" w:rsidRPr="00A02F7C" w:rsidRDefault="009A288E" w:rsidP="00912024">
      <w:pPr>
        <w:pStyle w:val="ListParagraph"/>
        <w:numPr>
          <w:ilvl w:val="0"/>
          <w:numId w:val="33"/>
        </w:numPr>
      </w:pPr>
      <w:r w:rsidRPr="00A02F7C">
        <w:t>EESK vill fästa uppmärksamheten på den ekonomiska krisens sociala konsekvenser när det gäller utslagning, social rättvisa och hinder för fullbordandet av den inre marknaden.</w:t>
      </w:r>
    </w:p>
    <w:p w:rsidR="009A288E" w:rsidRPr="00A02F7C" w:rsidRDefault="009A288E" w:rsidP="00912024">
      <w:pPr>
        <w:pStyle w:val="ListParagraph"/>
      </w:pPr>
    </w:p>
    <w:p w:rsidR="009A288E" w:rsidRPr="00A02F7C" w:rsidRDefault="009A288E" w:rsidP="00912024">
      <w:pPr>
        <w:pStyle w:val="ListParagraph"/>
        <w:numPr>
          <w:ilvl w:val="0"/>
          <w:numId w:val="33"/>
        </w:numPr>
      </w:pPr>
      <w:r w:rsidRPr="00A02F7C">
        <w:t>EESK efterlyser ansvarsfull utlåning från kreditinstitutens sida.</w:t>
      </w:r>
    </w:p>
    <w:p w:rsidR="009A288E" w:rsidRPr="00A02F7C" w:rsidRDefault="009A288E" w:rsidP="00912024">
      <w:pPr>
        <w:pStyle w:val="ListParagraph"/>
      </w:pPr>
    </w:p>
    <w:p w:rsidR="009A288E" w:rsidRPr="00A02F7C" w:rsidRDefault="009A288E" w:rsidP="00912024">
      <w:pPr>
        <w:pStyle w:val="ListParagraph"/>
        <w:numPr>
          <w:ilvl w:val="0"/>
          <w:numId w:val="33"/>
        </w:numPr>
      </w:pPr>
      <w:r w:rsidRPr="00A02F7C">
        <w:t>EESK stöder tillämpningen av lagstadgade säkerhetsmekanismer som en förebyggande åtgärd för att se till att det finns tillräckliga avsättningar för att täcka kreditförluster på framtida nödlidande lån.</w:t>
      </w:r>
    </w:p>
    <w:p w:rsidR="009A288E" w:rsidRPr="00A02F7C" w:rsidRDefault="009A288E" w:rsidP="00912024">
      <w:pPr>
        <w:pStyle w:val="ListParagraph"/>
      </w:pPr>
    </w:p>
    <w:p w:rsidR="009A288E" w:rsidRPr="00A02F7C" w:rsidRDefault="009A288E" w:rsidP="00912024">
      <w:pPr>
        <w:pStyle w:val="ListParagraph"/>
        <w:numPr>
          <w:ilvl w:val="0"/>
          <w:numId w:val="33"/>
        </w:numPr>
      </w:pPr>
      <w:r w:rsidRPr="00A02F7C">
        <w:t>Den föreslagna "universalstrategin" tar emellertid inte hänsyn till de skillnader som fortfarande finns i nationell civilrätt och de civilrättsliga förfarandenas längd.</w:t>
      </w:r>
    </w:p>
    <w:p w:rsidR="009A288E" w:rsidRPr="00A02F7C" w:rsidRDefault="009A288E" w:rsidP="00912024">
      <w:pPr>
        <w:pStyle w:val="ListParagraph"/>
      </w:pPr>
    </w:p>
    <w:p w:rsidR="009A288E" w:rsidRPr="00A02F7C" w:rsidRDefault="009A288E" w:rsidP="00912024">
      <w:pPr>
        <w:pStyle w:val="ListParagraph"/>
        <w:numPr>
          <w:ilvl w:val="0"/>
          <w:numId w:val="33"/>
        </w:numPr>
      </w:pPr>
      <w:r w:rsidRPr="00A02F7C">
        <w:t>Kommittén framhåller att tidsplanen för avsättningar till nya nödlidande lån kan tvinga bankerna att sälja lånen snabbt.</w:t>
      </w:r>
    </w:p>
    <w:p w:rsidR="009A288E" w:rsidRPr="00A02F7C" w:rsidRDefault="009A288E" w:rsidP="00912024">
      <w:pPr>
        <w:pStyle w:val="ListParagraph"/>
      </w:pPr>
    </w:p>
    <w:p w:rsidR="009A288E" w:rsidRPr="00A02F7C" w:rsidRDefault="009A288E" w:rsidP="00912024">
      <w:pPr>
        <w:pStyle w:val="ListParagraph"/>
        <w:numPr>
          <w:ilvl w:val="0"/>
          <w:numId w:val="33"/>
        </w:numPr>
      </w:pPr>
      <w:r w:rsidRPr="00A02F7C">
        <w:t>Kommissionen bör överväga den särskilda situationen för mindre företag och specialiserade företag med mindre komplexa tillgångsstrukturer.</w:t>
      </w:r>
    </w:p>
    <w:p w:rsidR="009A288E" w:rsidRPr="00A02F7C" w:rsidRDefault="009A288E" w:rsidP="00912024">
      <w:pPr>
        <w:pStyle w:val="ListParagraph"/>
      </w:pPr>
    </w:p>
    <w:p w:rsidR="009A288E" w:rsidRPr="00A02F7C" w:rsidRDefault="009A288E" w:rsidP="00912024">
      <w:pPr>
        <w:pStyle w:val="ListParagraph"/>
        <w:numPr>
          <w:ilvl w:val="0"/>
          <w:numId w:val="33"/>
        </w:numPr>
      </w:pPr>
      <w:r w:rsidRPr="00A02F7C">
        <w:t>EESK efterlyser en specifik konsekvensanalys i syfte att uppskatta de potentiella effekterna av den föreslagna förordningen för bankerna, för kreditgivningen till hushåll, för de små och medelstora företagna och för BNP-tillväxten.</w:t>
      </w:r>
    </w:p>
    <w:p w:rsidR="009A288E" w:rsidRPr="00A02F7C" w:rsidRDefault="009A288E" w:rsidP="00912024">
      <w:pPr>
        <w:pStyle w:val="ListParagraph"/>
      </w:pPr>
    </w:p>
    <w:p w:rsidR="009A288E" w:rsidRPr="00A02F7C" w:rsidRDefault="009A288E" w:rsidP="00912024">
      <w:pPr>
        <w:pStyle w:val="ListParagraph"/>
        <w:numPr>
          <w:ilvl w:val="0"/>
          <w:numId w:val="33"/>
        </w:numPr>
      </w:pPr>
      <w:r w:rsidRPr="00A02F7C">
        <w:t>EESK anser att IFRS 9 bör vara obligatoriskt för alla banker i EU för att ytterligare minska de skillnader i avsättningsnivå som beror på olika redovisningsregler.</w:t>
      </w:r>
    </w:p>
    <w:p w:rsidR="009A288E" w:rsidRPr="00A02F7C" w:rsidRDefault="009A288E" w:rsidP="00912024">
      <w:pPr>
        <w:pStyle w:val="ListParagraph"/>
      </w:pPr>
    </w:p>
    <w:p w:rsidR="009A288E" w:rsidRPr="00A02F7C" w:rsidRDefault="009A288E" w:rsidP="00912024">
      <w:pPr>
        <w:pStyle w:val="ListParagraph"/>
        <w:numPr>
          <w:ilvl w:val="0"/>
          <w:numId w:val="33"/>
        </w:numPr>
      </w:pPr>
      <w:r w:rsidRPr="00A02F7C">
        <w:lastRenderedPageBreak/>
        <w:t>EESK konstaterar att kommissionen föreslår ett svar på många av problemen med fragmenterade sekundärmarknader för nödlidande lån i EU.</w:t>
      </w:r>
    </w:p>
    <w:p w:rsidR="009A288E" w:rsidRPr="00A02F7C" w:rsidRDefault="009A288E" w:rsidP="00912024">
      <w:pPr>
        <w:pStyle w:val="ListParagraph"/>
      </w:pPr>
    </w:p>
    <w:p w:rsidR="009A288E" w:rsidRPr="00A02F7C" w:rsidRDefault="009A288E" w:rsidP="00912024">
      <w:pPr>
        <w:pStyle w:val="ListParagraph"/>
        <w:numPr>
          <w:ilvl w:val="0"/>
          <w:numId w:val="33"/>
        </w:numPr>
      </w:pPr>
      <w:r w:rsidRPr="00A02F7C">
        <w:t>Kommittén anser att tillsynsmyndigheter inte bör uppmuntra försäljning av nödlidande lån.</w:t>
      </w:r>
    </w:p>
    <w:p w:rsidR="009A288E" w:rsidRPr="00A02F7C" w:rsidRDefault="009A288E" w:rsidP="00912024">
      <w:pPr>
        <w:pStyle w:val="ListParagraph"/>
      </w:pPr>
    </w:p>
    <w:p w:rsidR="009A288E" w:rsidRPr="00A02F7C" w:rsidRDefault="009A288E" w:rsidP="00912024">
      <w:pPr>
        <w:pStyle w:val="ListParagraph"/>
        <w:numPr>
          <w:ilvl w:val="0"/>
          <w:numId w:val="33"/>
        </w:numPr>
      </w:pPr>
      <w:r w:rsidRPr="00A02F7C">
        <w:t>EESK understryker vikten av konsumentskydd och skydd av arbetstagare när det gäller följderna av kreditöverförningar.</w:t>
      </w:r>
    </w:p>
    <w:p w:rsidR="009A288E" w:rsidRPr="00A02F7C" w:rsidRDefault="009A288E" w:rsidP="00912024">
      <w:pPr>
        <w:pStyle w:val="ListParagraph"/>
      </w:pPr>
    </w:p>
    <w:p w:rsidR="009A288E" w:rsidRPr="00A02F7C" w:rsidRDefault="009A288E" w:rsidP="00912024">
      <w:pPr>
        <w:pStyle w:val="ListParagraph"/>
        <w:numPr>
          <w:ilvl w:val="0"/>
          <w:numId w:val="33"/>
        </w:numPr>
      </w:pPr>
      <w:r w:rsidRPr="00A02F7C">
        <w:t>EESK välkomnar att rätten till en rättvis rättegång vid en nationell domstol säkerställs om det är nödvändigt och om tillämpningen av detta förfarande, så som det presenteras i förslaget till direktiv, begränsas.</w:t>
      </w:r>
    </w:p>
    <w:p w:rsidR="009A288E" w:rsidRPr="00A02F7C" w:rsidRDefault="009A288E" w:rsidP="00912024">
      <w:pPr>
        <w:pStyle w:val="ListParagraph"/>
      </w:pPr>
    </w:p>
    <w:p w:rsidR="009A288E" w:rsidRPr="00A02F7C" w:rsidRDefault="009A288E" w:rsidP="00912024">
      <w:pPr>
        <w:pStyle w:val="ListParagraph"/>
        <w:numPr>
          <w:ilvl w:val="0"/>
          <w:numId w:val="33"/>
        </w:numPr>
      </w:pPr>
      <w:r w:rsidRPr="00A02F7C">
        <w:t>Förfaranden utanför domstol kan vara till fördel för kreditgivaren, men lösningen på problemet med nödlidande lån är framför allt att stärka de rättsliga förfarandena i hela EU.</w:t>
      </w:r>
    </w:p>
    <w:p w:rsidR="009A288E" w:rsidRPr="00A02F7C" w:rsidRDefault="009A288E" w:rsidP="00912024"/>
    <w:p w:rsidR="009A288E" w:rsidRPr="00A02F7C" w:rsidRDefault="009A288E" w:rsidP="00912024">
      <w:pPr>
        <w:tabs>
          <w:tab w:val="left" w:pos="1418"/>
        </w:tabs>
        <w:rPr>
          <w:i/>
          <w:iCs/>
        </w:rPr>
      </w:pPr>
      <w:r w:rsidRPr="00A02F7C">
        <w:rPr>
          <w:b/>
          <w:bCs/>
          <w:i/>
          <w:iCs/>
        </w:rPr>
        <w:t>Kontaktperson:</w:t>
      </w:r>
      <w:r w:rsidR="007B5B5F" w:rsidRPr="00A02F7C">
        <w:rPr>
          <w:b/>
          <w:bCs/>
          <w:i/>
          <w:iCs/>
        </w:rPr>
        <w:tab/>
        <w:t xml:space="preserve"> </w:t>
      </w:r>
      <w:proofErr w:type="spellStart"/>
      <w:r w:rsidRPr="00A02F7C">
        <w:rPr>
          <w:bCs/>
          <w:i/>
          <w:iCs/>
        </w:rPr>
        <w:t>Krisztina</w:t>
      </w:r>
      <w:proofErr w:type="spellEnd"/>
      <w:r w:rsidRPr="00A02F7C">
        <w:rPr>
          <w:bCs/>
          <w:i/>
          <w:iCs/>
        </w:rPr>
        <w:t xml:space="preserve"> </w:t>
      </w:r>
      <w:proofErr w:type="spellStart"/>
      <w:r w:rsidRPr="00A02F7C">
        <w:rPr>
          <w:bCs/>
          <w:i/>
          <w:iCs/>
        </w:rPr>
        <w:t>Perlaky-Tóth</w:t>
      </w:r>
      <w:proofErr w:type="spellEnd"/>
    </w:p>
    <w:p w:rsidR="009A288E" w:rsidRPr="00A02F7C" w:rsidRDefault="009A288E" w:rsidP="00912024">
      <w:pPr>
        <w:tabs>
          <w:tab w:val="left" w:pos="1418"/>
        </w:tabs>
        <w:rPr>
          <w:i/>
        </w:rPr>
      </w:pPr>
      <w:r w:rsidRPr="00A02F7C">
        <w:rPr>
          <w:i/>
          <w:iCs/>
        </w:rPr>
        <w:tab/>
      </w:r>
      <w:r w:rsidRPr="00A02F7C">
        <w:rPr>
          <w:i/>
        </w:rPr>
        <w:t xml:space="preserve">(Tfn: +32 25469740 – e-post: </w:t>
      </w:r>
      <w:r w:rsidRPr="00A02F7C">
        <w:rPr>
          <w:rStyle w:val="Hyperlink"/>
          <w:i/>
        </w:rPr>
        <w:t>Krisztina.PerlakyToth@eesc.europa.eu</w:t>
      </w:r>
      <w:r w:rsidRPr="00A02F7C">
        <w:rPr>
          <w:i/>
        </w:rPr>
        <w:t>)</w:t>
      </w:r>
    </w:p>
    <w:p w:rsidR="00481E81" w:rsidRPr="00A02F7C" w:rsidRDefault="00481E81" w:rsidP="00912024">
      <w:pPr>
        <w:rPr>
          <w:b/>
          <w:iCs/>
          <w:u w:val="single"/>
          <w:lang w:val="en-GB"/>
        </w:rPr>
      </w:pPr>
    </w:p>
    <w:p w:rsidR="009A288E" w:rsidRPr="00A02F7C" w:rsidRDefault="009A288E" w:rsidP="00912024">
      <w:pPr>
        <w:pStyle w:val="ListParagraph"/>
        <w:numPr>
          <w:ilvl w:val="0"/>
          <w:numId w:val="46"/>
        </w:numPr>
        <w:overflowPunct w:val="0"/>
        <w:autoSpaceDE w:val="0"/>
        <w:autoSpaceDN w:val="0"/>
        <w:adjustRightInd w:val="0"/>
        <w:textAlignment w:val="baseline"/>
        <w:rPr>
          <w:b/>
          <w:bCs/>
          <w:i/>
          <w:iCs/>
          <w:sz w:val="28"/>
          <w:szCs w:val="28"/>
        </w:rPr>
      </w:pPr>
      <w:r w:rsidRPr="00A02F7C">
        <w:rPr>
          <w:b/>
          <w:bCs/>
          <w:i/>
          <w:iCs/>
          <w:sz w:val="28"/>
          <w:szCs w:val="28"/>
        </w:rPr>
        <w:t>Minska hindren för gränsöverskridande distribution av investeringsfonder</w:t>
      </w:r>
    </w:p>
    <w:p w:rsidR="009A288E" w:rsidRPr="00A02F7C" w:rsidRDefault="009A288E" w:rsidP="00912024">
      <w:pPr>
        <w:ind w:firstLine="17"/>
        <w:rPr>
          <w:lang w:val="en-GB"/>
        </w:rPr>
      </w:pPr>
    </w:p>
    <w:p w:rsidR="009A288E" w:rsidRPr="00A02F7C" w:rsidRDefault="009A288E" w:rsidP="00912024">
      <w:r w:rsidRPr="00A02F7C">
        <w:rPr>
          <w:b/>
        </w:rPr>
        <w:t>Föredragande:</w:t>
      </w:r>
      <w:r w:rsidRPr="00A02F7C">
        <w:tab/>
        <w:t xml:space="preserve">Petr </w:t>
      </w:r>
      <w:proofErr w:type="spellStart"/>
      <w:r w:rsidRPr="00A02F7C">
        <w:t>Zahradník</w:t>
      </w:r>
      <w:proofErr w:type="spellEnd"/>
      <w:r w:rsidRPr="00A02F7C">
        <w:t xml:space="preserve"> (Arbetsgivargruppen – CZ)</w:t>
      </w:r>
    </w:p>
    <w:p w:rsidR="009A288E" w:rsidRPr="00A02F7C" w:rsidRDefault="009A288E" w:rsidP="00912024">
      <w:pPr>
        <w:rPr>
          <w:b/>
          <w:lang w:val="en-GB"/>
        </w:rPr>
      </w:pPr>
    </w:p>
    <w:p w:rsidR="009A288E" w:rsidRPr="00A02F7C" w:rsidRDefault="009A288E" w:rsidP="00912024">
      <w:pPr>
        <w:tabs>
          <w:tab w:val="left" w:pos="1701"/>
        </w:tabs>
      </w:pPr>
      <w:r w:rsidRPr="00A02F7C">
        <w:rPr>
          <w:b/>
          <w:bCs/>
        </w:rPr>
        <w:t>Referens:</w:t>
      </w:r>
      <w:r w:rsidR="007B5B5F" w:rsidRPr="00A02F7C">
        <w:rPr>
          <w:b/>
          <w:bCs/>
        </w:rPr>
        <w:tab/>
      </w:r>
      <w:r w:rsidRPr="00A02F7C">
        <w:t>COM(2018) 89 final</w:t>
      </w:r>
    </w:p>
    <w:p w:rsidR="009A288E" w:rsidRPr="00A02F7C" w:rsidRDefault="009A288E" w:rsidP="00912024">
      <w:pPr>
        <w:tabs>
          <w:tab w:val="left" w:pos="1701"/>
        </w:tabs>
        <w:rPr>
          <w:iCs/>
        </w:rPr>
      </w:pPr>
      <w:r w:rsidRPr="00A02F7C">
        <w:tab/>
        <w:t>COM(2018) 92 final – 2018/0041 (COD)</w:t>
      </w:r>
    </w:p>
    <w:p w:rsidR="009A288E" w:rsidRPr="00A02F7C" w:rsidRDefault="009A288E" w:rsidP="00912024">
      <w:pPr>
        <w:tabs>
          <w:tab w:val="left" w:pos="1701"/>
        </w:tabs>
        <w:rPr>
          <w:bCs/>
        </w:rPr>
      </w:pPr>
      <w:r w:rsidRPr="00A02F7C">
        <w:tab/>
        <w:t>COM(2018) 96 final – 2018/0044 (COD)</w:t>
      </w:r>
    </w:p>
    <w:p w:rsidR="009A288E" w:rsidRPr="00A02F7C" w:rsidRDefault="009A288E" w:rsidP="00912024">
      <w:pPr>
        <w:tabs>
          <w:tab w:val="left" w:pos="1701"/>
        </w:tabs>
      </w:pPr>
      <w:r w:rsidRPr="00A02F7C">
        <w:tab/>
        <w:t>COM(2018) 110 final – 2018/0045 (COD)</w:t>
      </w:r>
    </w:p>
    <w:p w:rsidR="009A288E" w:rsidRPr="00A02F7C" w:rsidRDefault="009A288E" w:rsidP="00912024">
      <w:pPr>
        <w:tabs>
          <w:tab w:val="left" w:pos="1701"/>
        </w:tabs>
        <w:ind w:left="-5"/>
      </w:pPr>
      <w:r w:rsidRPr="00A02F7C">
        <w:rPr>
          <w:b/>
          <w:bCs/>
        </w:rPr>
        <w:tab/>
      </w:r>
      <w:r w:rsidRPr="00A02F7C">
        <w:t>EESC-201</w:t>
      </w:r>
      <w:r w:rsidR="00A02F7C" w:rsidRPr="00A02F7C">
        <w:t>8-0</w:t>
      </w:r>
      <w:r w:rsidRPr="00A02F7C">
        <w:t>153</w:t>
      </w:r>
      <w:r w:rsidR="00A02F7C" w:rsidRPr="00A02F7C">
        <w:t>3-00-0</w:t>
      </w:r>
      <w:r w:rsidRPr="00A02F7C">
        <w:t>0-AC-TRA</w:t>
      </w:r>
    </w:p>
    <w:p w:rsidR="009A288E" w:rsidRPr="00A02F7C" w:rsidRDefault="009A288E" w:rsidP="00912024">
      <w:pPr>
        <w:ind w:left="-5"/>
        <w:rPr>
          <w:b/>
        </w:rPr>
      </w:pPr>
      <w:r w:rsidRPr="00A02F7C">
        <w:tab/>
      </w:r>
    </w:p>
    <w:p w:rsidR="009A288E" w:rsidRPr="00A02F7C" w:rsidRDefault="009A288E" w:rsidP="00912024">
      <w:pPr>
        <w:ind w:left="-5"/>
        <w:rPr>
          <w:b/>
        </w:rPr>
      </w:pPr>
      <w:r w:rsidRPr="00A02F7C">
        <w:rPr>
          <w:b/>
        </w:rPr>
        <w:t>Huvudpunkter:</w:t>
      </w:r>
    </w:p>
    <w:p w:rsidR="009A288E" w:rsidRPr="00A02F7C" w:rsidRDefault="009A288E" w:rsidP="00912024">
      <w:pPr>
        <w:rPr>
          <w:lang w:val="fr-BE"/>
        </w:rPr>
      </w:pPr>
    </w:p>
    <w:p w:rsidR="009A288E" w:rsidRPr="00A02F7C" w:rsidRDefault="009A288E" w:rsidP="00912024">
      <w:proofErr w:type="spellStart"/>
      <w:r w:rsidRPr="00A02F7C">
        <w:t>EESK:s</w:t>
      </w:r>
      <w:proofErr w:type="spellEnd"/>
      <w:r w:rsidRPr="00A02F7C">
        <w:t xml:space="preserve"> ståndpunkt:</w:t>
      </w:r>
    </w:p>
    <w:p w:rsidR="009A288E" w:rsidRPr="00A02F7C" w:rsidRDefault="009A288E" w:rsidP="00912024"/>
    <w:p w:rsidR="009A288E" w:rsidRPr="00A02F7C" w:rsidRDefault="009A288E" w:rsidP="00912024">
      <w:pPr>
        <w:pStyle w:val="ListParagraph"/>
        <w:numPr>
          <w:ilvl w:val="0"/>
          <w:numId w:val="31"/>
        </w:numPr>
      </w:pPr>
      <w:r w:rsidRPr="00A02F7C">
        <w:t>EESK stöder det systematiska arbetet med att inf</w:t>
      </w:r>
      <w:r w:rsidR="007B5B5F" w:rsidRPr="00A02F7C">
        <w:t>öra alla grundläggande inslag i </w:t>
      </w:r>
      <w:r w:rsidRPr="00A02F7C">
        <w:t>handlingsplanen för kapitalmarknadsunionen fram till 2019 och räknar med förväntade positiva effekter i form av ökade investeringsmöjligheter och effektivare finansiell förmedling.</w:t>
      </w:r>
    </w:p>
    <w:p w:rsidR="009A288E" w:rsidRPr="00A02F7C" w:rsidRDefault="009A288E" w:rsidP="00912024">
      <w:pPr>
        <w:pStyle w:val="ListParagraph"/>
      </w:pPr>
    </w:p>
    <w:p w:rsidR="009A288E" w:rsidRPr="00A02F7C" w:rsidRDefault="009A288E" w:rsidP="00912024">
      <w:pPr>
        <w:pStyle w:val="ListParagraph"/>
        <w:numPr>
          <w:ilvl w:val="0"/>
          <w:numId w:val="31"/>
        </w:numPr>
      </w:pPr>
      <w:r w:rsidRPr="00A02F7C">
        <w:t>EESK anser att det är viktigt att man hittar ett balanserat förhållande mellan kraven på investerarskydd, som är den främsta principen i detta sammanhang, och skapandet av tillräckligt utrymme för nytänkande bland dem som utformar och distribuerar investeringsprodukter.</w:t>
      </w:r>
    </w:p>
    <w:p w:rsidR="009A288E" w:rsidRPr="00A02F7C" w:rsidRDefault="009A288E" w:rsidP="00912024"/>
    <w:p w:rsidR="009A288E" w:rsidRPr="00A02F7C" w:rsidRDefault="009A288E" w:rsidP="00912024">
      <w:pPr>
        <w:pStyle w:val="ListParagraph"/>
        <w:numPr>
          <w:ilvl w:val="0"/>
          <w:numId w:val="31"/>
        </w:numPr>
      </w:pPr>
      <w:r w:rsidRPr="00A02F7C">
        <w:t xml:space="preserve">EESK anser att de huvudsakliga lagstiftningshindren för gränsöverskridande distribution av investeringsfonder för närvarande utgörs av marknadsföringskrav, föreskrivna avgifter, </w:t>
      </w:r>
      <w:r w:rsidRPr="00A02F7C">
        <w:lastRenderedPageBreak/>
        <w:t>anmälningsförfaranden och administrativa krav på nationell nivå. Kommittén är emellertid medveten om att det finns ytterligare hinder, exempelvis harmonisering av skatteregler.</w:t>
      </w:r>
    </w:p>
    <w:p w:rsidR="009A288E" w:rsidRPr="00A02F7C" w:rsidRDefault="009A288E" w:rsidP="00912024"/>
    <w:p w:rsidR="009A288E" w:rsidRPr="00A02F7C" w:rsidRDefault="009A288E" w:rsidP="00912024">
      <w:pPr>
        <w:pStyle w:val="ListParagraph"/>
        <w:numPr>
          <w:ilvl w:val="0"/>
          <w:numId w:val="31"/>
        </w:numPr>
      </w:pPr>
      <w:r w:rsidRPr="00A02F7C">
        <w:t>EESK anser att huvudorsakerna till de befintliga hindren för gränsöverskridande distribution av investeringsfonder inte i första hand bör sökas i utformningen av nuvarande förordningar, utan framför allt i avsaknaden av instruktioner från Europeiska värdepappers- och marknadsmyndigheten (</w:t>
      </w:r>
      <w:proofErr w:type="spellStart"/>
      <w:r w:rsidRPr="00A02F7C">
        <w:t>Esma</w:t>
      </w:r>
      <w:proofErr w:type="spellEnd"/>
      <w:r w:rsidRPr="00A02F7C">
        <w:t>), vilket leder till att enskilda nationella jurisdiktioner har olika regler.</w:t>
      </w:r>
    </w:p>
    <w:p w:rsidR="009A288E" w:rsidRPr="00A02F7C" w:rsidRDefault="009A288E" w:rsidP="00912024"/>
    <w:p w:rsidR="009A288E" w:rsidRPr="00A02F7C" w:rsidRDefault="009A288E" w:rsidP="00912024">
      <w:pPr>
        <w:pStyle w:val="ListParagraph"/>
        <w:numPr>
          <w:ilvl w:val="0"/>
          <w:numId w:val="31"/>
        </w:numPr>
      </w:pPr>
      <w:r w:rsidRPr="00A02F7C">
        <w:t>EESK anser att man för att uppnå stordriftsfördelar måste begränsa enskilda länders ”kreativitet” vid utformningen av avgiftsstrukturer och satsa på tydligt definierade och klart tolkningsbara nationella förordningar med enhetligt innehåll inom EU.</w:t>
      </w:r>
    </w:p>
    <w:p w:rsidR="009A288E" w:rsidRPr="00A02F7C" w:rsidRDefault="009A288E" w:rsidP="00912024"/>
    <w:p w:rsidR="009A288E" w:rsidRPr="00A02F7C" w:rsidRDefault="009A288E" w:rsidP="00912024">
      <w:pPr>
        <w:pStyle w:val="ListParagraph"/>
        <w:numPr>
          <w:ilvl w:val="0"/>
          <w:numId w:val="31"/>
        </w:numPr>
      </w:pPr>
      <w:r w:rsidRPr="00A02F7C">
        <w:t>EESK välkomnar och stöder avsikten att stärka öppenheten när det gäller föreskrivna avgifter.</w:t>
      </w:r>
    </w:p>
    <w:p w:rsidR="009A288E" w:rsidRPr="00A02F7C" w:rsidRDefault="009A288E" w:rsidP="00912024">
      <w:pPr>
        <w:pStyle w:val="ListParagraph"/>
      </w:pPr>
    </w:p>
    <w:p w:rsidR="009A288E" w:rsidRPr="00A02F7C" w:rsidRDefault="009A288E" w:rsidP="00912024">
      <w:pPr>
        <w:pStyle w:val="ListParagraph"/>
        <w:numPr>
          <w:ilvl w:val="0"/>
          <w:numId w:val="31"/>
        </w:numPr>
      </w:pPr>
      <w:r w:rsidRPr="00A02F7C">
        <w:t xml:space="preserve">EESK välkomnar upprättandet av </w:t>
      </w:r>
      <w:proofErr w:type="spellStart"/>
      <w:r w:rsidRPr="00A02F7C">
        <w:t>Esmas</w:t>
      </w:r>
      <w:proofErr w:type="spellEnd"/>
      <w:r w:rsidRPr="00A02F7C">
        <w:t xml:space="preserve"> databas, men påpekar att man i detta sammanhang inte bör belasta kapitalförvaltarna med ytterligare anmälningskrav.</w:t>
      </w:r>
    </w:p>
    <w:p w:rsidR="009A288E" w:rsidRPr="00A02F7C" w:rsidRDefault="009A288E" w:rsidP="00912024"/>
    <w:p w:rsidR="009A288E" w:rsidRPr="00A02F7C" w:rsidRDefault="009A288E" w:rsidP="00912024">
      <w:pPr>
        <w:pStyle w:val="ListParagraph"/>
        <w:numPr>
          <w:ilvl w:val="0"/>
          <w:numId w:val="31"/>
        </w:numPr>
      </w:pPr>
      <w:r w:rsidRPr="00A02F7C">
        <w:t>EESK lutar åt åsikten att beslutet om att avskaffa de föreslagna reglerna för upphörande av marknadsföring av investeringsfonder bör vara valfritt och bygga på kapitalförvaltarens beslut.</w:t>
      </w:r>
    </w:p>
    <w:p w:rsidR="009A288E" w:rsidRPr="00A02F7C" w:rsidRDefault="009A288E" w:rsidP="00912024"/>
    <w:p w:rsidR="009A288E" w:rsidRPr="00A02F7C" w:rsidRDefault="009A288E" w:rsidP="00912024">
      <w:pPr>
        <w:pStyle w:val="ListParagraph"/>
        <w:numPr>
          <w:ilvl w:val="0"/>
          <w:numId w:val="31"/>
        </w:numPr>
      </w:pPr>
      <w:r w:rsidRPr="00A02F7C">
        <w:t>EESK rekommenderar mer detaljerade regler, så att det säkerställs att personer som erbjuder investeringstjänster är kvalificerade och lämpliga.</w:t>
      </w:r>
    </w:p>
    <w:p w:rsidR="009A288E" w:rsidRPr="00A02F7C" w:rsidRDefault="009A288E" w:rsidP="00912024">
      <w:pPr>
        <w:rPr>
          <w:lang w:val="fr-BE"/>
        </w:rPr>
      </w:pPr>
    </w:p>
    <w:p w:rsidR="009A288E" w:rsidRPr="00A02F7C" w:rsidRDefault="009A288E" w:rsidP="00912024">
      <w:pPr>
        <w:tabs>
          <w:tab w:val="left" w:pos="1418"/>
        </w:tabs>
        <w:rPr>
          <w:i/>
        </w:rPr>
      </w:pPr>
      <w:r w:rsidRPr="00A02F7C">
        <w:rPr>
          <w:b/>
          <w:i/>
        </w:rPr>
        <w:t>Kontaktperson</w:t>
      </w:r>
      <w:r w:rsidRPr="00A02F7C">
        <w:t>:</w:t>
      </w:r>
      <w:r w:rsidRPr="00A02F7C">
        <w:rPr>
          <w:i/>
        </w:rPr>
        <w:t xml:space="preserve"> </w:t>
      </w:r>
      <w:r w:rsidRPr="00A02F7C">
        <w:rPr>
          <w:i/>
        </w:rPr>
        <w:tab/>
        <w:t xml:space="preserve">Georgios </w:t>
      </w:r>
      <w:proofErr w:type="spellStart"/>
      <w:r w:rsidRPr="00A02F7C">
        <w:rPr>
          <w:i/>
        </w:rPr>
        <w:t>Meleas</w:t>
      </w:r>
      <w:proofErr w:type="spellEnd"/>
    </w:p>
    <w:p w:rsidR="009A288E" w:rsidRPr="00A02F7C" w:rsidRDefault="009A288E" w:rsidP="00912024">
      <w:pPr>
        <w:tabs>
          <w:tab w:val="left" w:pos="1418"/>
        </w:tabs>
        <w:rPr>
          <w:rStyle w:val="Hyperlink"/>
          <w:i/>
        </w:rPr>
      </w:pPr>
      <w:r w:rsidRPr="00A02F7C">
        <w:rPr>
          <w:i/>
        </w:rPr>
        <w:tab/>
        <w:t>(Tfn +32 25469795 – e-post:</w:t>
      </w:r>
      <w:r w:rsidRPr="00A02F7C">
        <w:t xml:space="preserve"> </w:t>
      </w:r>
      <w:hyperlink r:id="rId22" w:history="1">
        <w:r w:rsidRPr="00A02F7C">
          <w:rPr>
            <w:rStyle w:val="Hyperlink"/>
            <w:i/>
          </w:rPr>
          <w:t>georgios.meleas@eesc.europa.eu</w:t>
        </w:r>
      </w:hyperlink>
      <w:r w:rsidRPr="00A02F7C">
        <w:t>)</w:t>
      </w:r>
    </w:p>
    <w:p w:rsidR="009A288E" w:rsidRPr="00A02F7C" w:rsidRDefault="009A288E" w:rsidP="00912024">
      <w:pPr>
        <w:keepNext/>
        <w:rPr>
          <w:color w:val="000000" w:themeColor="text1"/>
        </w:rPr>
      </w:pPr>
    </w:p>
    <w:p w:rsidR="009A288E" w:rsidRPr="00A02F7C" w:rsidRDefault="009A288E" w:rsidP="00912024">
      <w:pPr>
        <w:pStyle w:val="ListParagraph"/>
        <w:numPr>
          <w:ilvl w:val="0"/>
          <w:numId w:val="47"/>
        </w:numPr>
        <w:overflowPunct w:val="0"/>
        <w:autoSpaceDE w:val="0"/>
        <w:autoSpaceDN w:val="0"/>
        <w:adjustRightInd w:val="0"/>
        <w:textAlignment w:val="baseline"/>
        <w:rPr>
          <w:b/>
          <w:i/>
          <w:sz w:val="28"/>
          <w:szCs w:val="28"/>
        </w:rPr>
      </w:pPr>
      <w:r w:rsidRPr="00A02F7C">
        <w:rPr>
          <w:b/>
          <w:i/>
          <w:sz w:val="28"/>
          <w:szCs w:val="28"/>
        </w:rPr>
        <w:t>Ram för säkerställda obligationer</w:t>
      </w:r>
    </w:p>
    <w:p w:rsidR="009A288E" w:rsidRPr="00A02F7C" w:rsidRDefault="009A288E" w:rsidP="00912024">
      <w:pPr>
        <w:overflowPunct w:val="0"/>
        <w:autoSpaceDE w:val="0"/>
        <w:autoSpaceDN w:val="0"/>
        <w:adjustRightInd w:val="0"/>
        <w:textAlignment w:val="baseline"/>
        <w:rPr>
          <w:b/>
          <w:i/>
          <w:sz w:val="28"/>
          <w:szCs w:val="28"/>
        </w:rPr>
      </w:pPr>
    </w:p>
    <w:p w:rsidR="009A288E" w:rsidRPr="00A02F7C" w:rsidRDefault="009A288E" w:rsidP="00912024">
      <w:pPr>
        <w:tabs>
          <w:tab w:val="center" w:pos="284"/>
        </w:tabs>
        <w:ind w:left="266" w:hanging="266"/>
      </w:pPr>
      <w:r w:rsidRPr="00A02F7C">
        <w:rPr>
          <w:b/>
        </w:rPr>
        <w:t>Föredragande:</w:t>
      </w:r>
      <w:r w:rsidRPr="00A02F7C">
        <w:tab/>
        <w:t xml:space="preserve">Daniel </w:t>
      </w:r>
      <w:proofErr w:type="spellStart"/>
      <w:r w:rsidRPr="00A02F7C">
        <w:t>Mareels</w:t>
      </w:r>
      <w:proofErr w:type="spellEnd"/>
      <w:r w:rsidRPr="00A02F7C">
        <w:t xml:space="preserve"> (Arbetsgivargruppen – BE)</w:t>
      </w:r>
    </w:p>
    <w:p w:rsidR="009A288E" w:rsidRPr="00A02F7C" w:rsidRDefault="009A288E" w:rsidP="00912024">
      <w:pPr>
        <w:tabs>
          <w:tab w:val="center" w:pos="284"/>
        </w:tabs>
        <w:ind w:left="266" w:hanging="266"/>
      </w:pPr>
    </w:p>
    <w:p w:rsidR="009A288E" w:rsidRPr="00A02F7C" w:rsidRDefault="009A288E" w:rsidP="00912024">
      <w:pPr>
        <w:tabs>
          <w:tab w:val="left" w:pos="1701"/>
        </w:tabs>
      </w:pPr>
      <w:r w:rsidRPr="00A02F7C">
        <w:rPr>
          <w:b/>
        </w:rPr>
        <w:t>Referens:</w:t>
      </w:r>
      <w:r w:rsidR="007B5B5F" w:rsidRPr="00A02F7C">
        <w:rPr>
          <w:b/>
        </w:rPr>
        <w:tab/>
      </w:r>
      <w:r w:rsidRPr="00A02F7C">
        <w:t>COM(2018) 93 final – 2018/0042 (COD)</w:t>
      </w:r>
    </w:p>
    <w:p w:rsidR="009A288E" w:rsidRPr="00A02F7C" w:rsidRDefault="009A288E" w:rsidP="00912024">
      <w:pPr>
        <w:tabs>
          <w:tab w:val="left" w:pos="1701"/>
        </w:tabs>
      </w:pPr>
      <w:r w:rsidRPr="00A02F7C">
        <w:tab/>
        <w:t>COM(2018) 94 final – 2018/0043 (COD)</w:t>
      </w:r>
    </w:p>
    <w:p w:rsidR="009A288E" w:rsidRPr="00A02F7C" w:rsidRDefault="009A288E" w:rsidP="00912024">
      <w:pPr>
        <w:tabs>
          <w:tab w:val="left" w:pos="1701"/>
        </w:tabs>
      </w:pPr>
      <w:r w:rsidRPr="00A02F7C">
        <w:tab/>
        <w:t>EESC-201</w:t>
      </w:r>
      <w:r w:rsidR="00A02F7C" w:rsidRPr="00A02F7C">
        <w:t>8-0</w:t>
      </w:r>
      <w:r w:rsidRPr="00A02F7C">
        <w:t>105</w:t>
      </w:r>
      <w:r w:rsidR="00A02F7C" w:rsidRPr="00A02F7C">
        <w:t>8-00-0</w:t>
      </w:r>
      <w:r w:rsidRPr="00A02F7C">
        <w:t>0-AC-TRA</w:t>
      </w:r>
    </w:p>
    <w:p w:rsidR="009A288E" w:rsidRPr="00A02F7C" w:rsidRDefault="009A288E" w:rsidP="00912024">
      <w:pPr>
        <w:tabs>
          <w:tab w:val="center" w:pos="284"/>
        </w:tabs>
        <w:ind w:left="266" w:hanging="266"/>
      </w:pPr>
    </w:p>
    <w:p w:rsidR="009A288E" w:rsidRPr="00A02F7C" w:rsidRDefault="009A288E" w:rsidP="00912024">
      <w:pPr>
        <w:keepNext/>
        <w:keepLines/>
        <w:tabs>
          <w:tab w:val="center" w:pos="284"/>
        </w:tabs>
        <w:ind w:left="266" w:hanging="266"/>
        <w:rPr>
          <w:b/>
        </w:rPr>
      </w:pPr>
      <w:r w:rsidRPr="00A02F7C">
        <w:rPr>
          <w:b/>
        </w:rPr>
        <w:t>Huvudpunkter:</w:t>
      </w:r>
    </w:p>
    <w:p w:rsidR="00481E81" w:rsidRPr="00A02F7C" w:rsidRDefault="00481E81" w:rsidP="00912024">
      <w:pPr>
        <w:keepNext/>
        <w:rPr>
          <w:color w:val="000000" w:themeColor="text1"/>
        </w:rPr>
      </w:pPr>
    </w:p>
    <w:p w:rsidR="009A288E" w:rsidRPr="00A02F7C" w:rsidRDefault="009A288E" w:rsidP="00912024">
      <w:proofErr w:type="spellStart"/>
      <w:r w:rsidRPr="00A02F7C">
        <w:t>EESK:s</w:t>
      </w:r>
      <w:proofErr w:type="spellEnd"/>
      <w:r w:rsidRPr="00A02F7C">
        <w:t xml:space="preserve"> ståndpunkt:</w:t>
      </w:r>
    </w:p>
    <w:p w:rsidR="009A288E" w:rsidRPr="00A02F7C" w:rsidRDefault="009A288E" w:rsidP="00912024"/>
    <w:p w:rsidR="009A288E" w:rsidRPr="00A02F7C" w:rsidRDefault="009A288E" w:rsidP="00912024">
      <w:pPr>
        <w:pStyle w:val="ListParagraph"/>
        <w:numPr>
          <w:ilvl w:val="0"/>
          <w:numId w:val="34"/>
        </w:numPr>
      </w:pPr>
      <w:r w:rsidRPr="00A02F7C">
        <w:t>EESK välkomnar förslagen om säkerställda obligationer och anser att snabba framsteg måste göras för att uppnå goda resultat, särskilt som dessa förslag bidrar till uppnåendet av målen om att inrätta en handlingsplan för kapitalmarknadsunionen och att fullborda Ekonomiska och monetära unionen. Dessutom främjar säkerställda obligationer gränsöverskridande finansieringstransaktioner och därmed även ökad privat riskdelning.</w:t>
      </w:r>
    </w:p>
    <w:p w:rsidR="009A288E" w:rsidRPr="00A02F7C" w:rsidRDefault="009A288E" w:rsidP="00912024">
      <w:pPr>
        <w:pStyle w:val="ListParagraph"/>
      </w:pPr>
    </w:p>
    <w:p w:rsidR="009A288E" w:rsidRPr="00A02F7C" w:rsidRDefault="009A288E" w:rsidP="00912024">
      <w:pPr>
        <w:pStyle w:val="ListParagraph"/>
        <w:numPr>
          <w:ilvl w:val="0"/>
          <w:numId w:val="34"/>
        </w:numPr>
      </w:pPr>
      <w:r w:rsidRPr="00A02F7C">
        <w:lastRenderedPageBreak/>
        <w:t>Tillfället bör utnyttjas för att se till att säkerställda obligationer får allmän spridning och utveckla marknader för dem i hela unionen.</w:t>
      </w:r>
    </w:p>
    <w:p w:rsidR="009A288E" w:rsidRPr="00A02F7C" w:rsidRDefault="009A288E" w:rsidP="00912024">
      <w:pPr>
        <w:pStyle w:val="ListParagraph"/>
      </w:pPr>
    </w:p>
    <w:p w:rsidR="009A288E" w:rsidRPr="00A02F7C" w:rsidRDefault="009A288E" w:rsidP="00912024">
      <w:pPr>
        <w:pStyle w:val="ListParagraph"/>
        <w:numPr>
          <w:ilvl w:val="0"/>
          <w:numId w:val="34"/>
        </w:numPr>
      </w:pPr>
      <w:r w:rsidRPr="00A02F7C">
        <w:t>EU:s nuvarande ledande ställning på de globala marknaderna för säkerställda obligationer bör stärkas.</w:t>
      </w:r>
    </w:p>
    <w:p w:rsidR="009A288E" w:rsidRPr="00A02F7C" w:rsidRDefault="009A288E" w:rsidP="00912024">
      <w:pPr>
        <w:pStyle w:val="ListParagraph"/>
      </w:pPr>
    </w:p>
    <w:p w:rsidR="009A288E" w:rsidRPr="00A02F7C" w:rsidRDefault="009A288E" w:rsidP="00912024">
      <w:pPr>
        <w:pStyle w:val="ListParagraph"/>
        <w:numPr>
          <w:ilvl w:val="0"/>
          <w:numId w:val="34"/>
        </w:numPr>
      </w:pPr>
      <w:r w:rsidRPr="00A02F7C">
        <w:t xml:space="preserve">Kommittén välkomnar både den valda strategin med minimiharmonisering baserad på nationella bestämmelser och innehållet i förslagen, som </w:t>
      </w:r>
      <w:r w:rsidR="00A02F7C" w:rsidRPr="00A02F7C">
        <w:t>Europaparlamentet</w:t>
      </w:r>
      <w:r w:rsidRPr="00A02F7C">
        <w:t>, tillsynsmyndigheterna och andra berörda parter lagt gedigna grunder för.</w:t>
      </w:r>
    </w:p>
    <w:p w:rsidR="009A288E" w:rsidRPr="00A02F7C" w:rsidRDefault="009A288E" w:rsidP="00912024">
      <w:pPr>
        <w:pStyle w:val="ListParagraph"/>
      </w:pPr>
    </w:p>
    <w:p w:rsidR="009A288E" w:rsidRPr="00A02F7C" w:rsidRDefault="009A288E" w:rsidP="00912024">
      <w:pPr>
        <w:pStyle w:val="ListParagraph"/>
        <w:numPr>
          <w:ilvl w:val="0"/>
          <w:numId w:val="34"/>
        </w:numPr>
      </w:pPr>
      <w:r w:rsidRPr="00A02F7C">
        <w:t>Det är viktigt att medel som skapas genom säkerställda obligationer sedan används för att tillhandahålla ytterligare finansiering till myndigheter, företag och hushåll.</w:t>
      </w:r>
    </w:p>
    <w:p w:rsidR="009A288E" w:rsidRPr="00A02F7C" w:rsidRDefault="009A288E" w:rsidP="00912024">
      <w:pPr>
        <w:pStyle w:val="ListParagraph"/>
      </w:pPr>
    </w:p>
    <w:p w:rsidR="009A288E" w:rsidRPr="00A02F7C" w:rsidRDefault="009A288E" w:rsidP="00912024">
      <w:pPr>
        <w:pStyle w:val="ListParagraph"/>
        <w:numPr>
          <w:ilvl w:val="0"/>
          <w:numId w:val="34"/>
        </w:numPr>
      </w:pPr>
      <w:r w:rsidRPr="00A02F7C">
        <w:t>Kommittén välkomnar att man i förslaget ägnar uppmärksamhet åt frågan att ge även mindre banker tillgång till säkerställda obligationer.</w:t>
      </w:r>
    </w:p>
    <w:p w:rsidR="009A288E" w:rsidRPr="00A02F7C" w:rsidRDefault="009A288E" w:rsidP="00912024">
      <w:pPr>
        <w:pStyle w:val="ListParagraph"/>
      </w:pPr>
    </w:p>
    <w:p w:rsidR="009A288E" w:rsidRPr="00A02F7C" w:rsidRDefault="009A288E" w:rsidP="00912024">
      <w:pPr>
        <w:pStyle w:val="ListParagraph"/>
        <w:numPr>
          <w:ilvl w:val="0"/>
          <w:numId w:val="34"/>
        </w:numPr>
      </w:pPr>
      <w:r w:rsidRPr="00A02F7C">
        <w:t>Kommittén anser dock att man måste undersöka närmare hur denna möjlighet kan öppnas upp så brett som möjligt.</w:t>
      </w:r>
    </w:p>
    <w:p w:rsidR="009A288E" w:rsidRPr="00A02F7C" w:rsidRDefault="009A288E" w:rsidP="00912024">
      <w:pPr>
        <w:pStyle w:val="ListParagraph"/>
      </w:pPr>
    </w:p>
    <w:p w:rsidR="009A288E" w:rsidRPr="00A02F7C" w:rsidRDefault="009A288E" w:rsidP="00912024">
      <w:pPr>
        <w:pStyle w:val="ListParagraph"/>
        <w:numPr>
          <w:ilvl w:val="0"/>
          <w:numId w:val="34"/>
        </w:numPr>
      </w:pPr>
      <w:r w:rsidRPr="00A02F7C">
        <w:t>Kommittén anser att man måste fundera närmare över vilka åtgärder som är nödvändiga och önskvärda för att få även privata sparare och konsumenter att intressera sig för dem.</w:t>
      </w:r>
    </w:p>
    <w:p w:rsidR="009A288E" w:rsidRPr="00A02F7C" w:rsidRDefault="009A288E" w:rsidP="00912024">
      <w:pPr>
        <w:pStyle w:val="ListParagraph"/>
      </w:pPr>
    </w:p>
    <w:p w:rsidR="009A288E" w:rsidRPr="00A02F7C" w:rsidRDefault="009A288E" w:rsidP="00912024">
      <w:pPr>
        <w:pStyle w:val="ListParagraph"/>
        <w:numPr>
          <w:ilvl w:val="0"/>
          <w:numId w:val="34"/>
        </w:numPr>
      </w:pPr>
      <w:r w:rsidRPr="00A02F7C">
        <w:t>EESK rekommenderar också att göra användningen av beteckningen "europeiska säkerställda obligationer" obligatorisk.</w:t>
      </w:r>
    </w:p>
    <w:p w:rsidR="009A288E" w:rsidRPr="00A02F7C" w:rsidRDefault="009A288E" w:rsidP="00912024">
      <w:pPr>
        <w:pStyle w:val="ListParagraph"/>
      </w:pPr>
    </w:p>
    <w:p w:rsidR="009A288E" w:rsidRPr="00A02F7C" w:rsidRDefault="009A288E" w:rsidP="00912024">
      <w:pPr>
        <w:pStyle w:val="ListParagraph"/>
        <w:numPr>
          <w:ilvl w:val="0"/>
          <w:numId w:val="34"/>
        </w:numPr>
      </w:pPr>
      <w:r w:rsidRPr="00A02F7C">
        <w:t>Kommittén anser att utvärderingsperioden bör förlängas från tre till fem år.</w:t>
      </w:r>
    </w:p>
    <w:p w:rsidR="009A288E" w:rsidRPr="00A02F7C" w:rsidRDefault="009A288E" w:rsidP="00912024"/>
    <w:p w:rsidR="009A288E" w:rsidRPr="00A02F7C" w:rsidRDefault="009A288E" w:rsidP="00912024">
      <w:pPr>
        <w:tabs>
          <w:tab w:val="left" w:pos="1418"/>
        </w:tabs>
        <w:rPr>
          <w:i/>
          <w:iCs/>
        </w:rPr>
      </w:pPr>
      <w:r w:rsidRPr="00A02F7C">
        <w:rPr>
          <w:b/>
          <w:bCs/>
          <w:i/>
          <w:iCs/>
        </w:rPr>
        <w:t>Kontaktperson:</w:t>
      </w:r>
      <w:r w:rsidR="007B5B5F" w:rsidRPr="00A02F7C">
        <w:rPr>
          <w:b/>
          <w:bCs/>
          <w:i/>
          <w:iCs/>
        </w:rPr>
        <w:t xml:space="preserve"> </w:t>
      </w:r>
      <w:proofErr w:type="spellStart"/>
      <w:r w:rsidRPr="00A02F7C">
        <w:rPr>
          <w:bCs/>
          <w:i/>
          <w:iCs/>
        </w:rPr>
        <w:t>Krisztina</w:t>
      </w:r>
      <w:proofErr w:type="spellEnd"/>
      <w:r w:rsidRPr="00A02F7C">
        <w:rPr>
          <w:bCs/>
          <w:i/>
          <w:iCs/>
        </w:rPr>
        <w:t xml:space="preserve"> </w:t>
      </w:r>
      <w:proofErr w:type="spellStart"/>
      <w:r w:rsidRPr="00A02F7C">
        <w:rPr>
          <w:bCs/>
          <w:i/>
          <w:iCs/>
        </w:rPr>
        <w:t>Perlaky-Tóth</w:t>
      </w:r>
      <w:proofErr w:type="spellEnd"/>
    </w:p>
    <w:p w:rsidR="009A288E" w:rsidRPr="00A02F7C" w:rsidRDefault="009A288E" w:rsidP="00912024">
      <w:pPr>
        <w:tabs>
          <w:tab w:val="left" w:pos="1418"/>
        </w:tabs>
        <w:rPr>
          <w:i/>
          <w:iCs/>
        </w:rPr>
      </w:pPr>
      <w:r w:rsidRPr="00A02F7C">
        <w:rPr>
          <w:i/>
          <w:iCs/>
        </w:rPr>
        <w:tab/>
        <w:t xml:space="preserve">(Tfn: +32 25469740 – e-post: </w:t>
      </w:r>
      <w:r w:rsidRPr="00A02F7C">
        <w:rPr>
          <w:rStyle w:val="Hyperlink"/>
          <w:i/>
          <w:iCs/>
        </w:rPr>
        <w:t>Krisztina.PerlakyToth@eesc.europa.eu</w:t>
      </w:r>
      <w:r w:rsidRPr="00A02F7C">
        <w:rPr>
          <w:i/>
          <w:iCs/>
        </w:rPr>
        <w:t>)</w:t>
      </w:r>
    </w:p>
    <w:p w:rsidR="009A288E" w:rsidRPr="00A02F7C" w:rsidRDefault="009A288E" w:rsidP="00912024">
      <w:pPr>
        <w:keepNext/>
        <w:rPr>
          <w:color w:val="000000" w:themeColor="text1"/>
        </w:rPr>
      </w:pPr>
    </w:p>
    <w:p w:rsidR="009A288E" w:rsidRPr="00A02F7C" w:rsidRDefault="009A288E" w:rsidP="00912024">
      <w:pPr>
        <w:pStyle w:val="ListParagraph"/>
        <w:keepNext/>
        <w:numPr>
          <w:ilvl w:val="0"/>
          <w:numId w:val="48"/>
        </w:numPr>
        <w:overflowPunct w:val="0"/>
        <w:autoSpaceDE w:val="0"/>
        <w:autoSpaceDN w:val="0"/>
        <w:adjustRightInd w:val="0"/>
        <w:textAlignment w:val="baseline"/>
        <w:rPr>
          <w:b/>
          <w:i/>
          <w:sz w:val="28"/>
          <w:szCs w:val="28"/>
        </w:rPr>
      </w:pPr>
      <w:r w:rsidRPr="00A02F7C">
        <w:rPr>
          <w:b/>
          <w:i/>
          <w:sz w:val="28"/>
          <w:szCs w:val="28"/>
        </w:rPr>
        <w:t>Finansteknik</w:t>
      </w:r>
    </w:p>
    <w:p w:rsidR="009A288E" w:rsidRPr="00A02F7C" w:rsidRDefault="009A288E" w:rsidP="00912024">
      <w:pPr>
        <w:keepNext/>
        <w:overflowPunct w:val="0"/>
        <w:autoSpaceDE w:val="0"/>
        <w:autoSpaceDN w:val="0"/>
        <w:adjustRightInd w:val="0"/>
        <w:textAlignment w:val="baseline"/>
        <w:rPr>
          <w:b/>
          <w:i/>
          <w:sz w:val="28"/>
          <w:szCs w:val="28"/>
        </w:rPr>
      </w:pPr>
    </w:p>
    <w:p w:rsidR="009A288E" w:rsidRPr="00A02F7C" w:rsidRDefault="009A288E" w:rsidP="00912024">
      <w:pPr>
        <w:tabs>
          <w:tab w:val="left" w:pos="1701"/>
        </w:tabs>
      </w:pPr>
      <w:r w:rsidRPr="00A02F7C">
        <w:rPr>
          <w:b/>
        </w:rPr>
        <w:t>Föredragande:</w:t>
      </w:r>
      <w:r w:rsidRPr="00A02F7C">
        <w:tab/>
      </w:r>
      <w:proofErr w:type="spellStart"/>
      <w:r w:rsidRPr="00A02F7C">
        <w:t>Petru</w:t>
      </w:r>
      <w:proofErr w:type="spellEnd"/>
      <w:r w:rsidRPr="00A02F7C">
        <w:t xml:space="preserve"> </w:t>
      </w:r>
      <w:proofErr w:type="spellStart"/>
      <w:r w:rsidRPr="00A02F7C">
        <w:t>Sorin</w:t>
      </w:r>
      <w:proofErr w:type="spellEnd"/>
      <w:r w:rsidRPr="00A02F7C">
        <w:t xml:space="preserve"> </w:t>
      </w:r>
      <w:proofErr w:type="spellStart"/>
      <w:r w:rsidRPr="00A02F7C">
        <w:t>Dandea</w:t>
      </w:r>
      <w:proofErr w:type="spellEnd"/>
      <w:r w:rsidRPr="00A02F7C">
        <w:t xml:space="preserve"> (Arbetstagargruppen – RO)</w:t>
      </w:r>
    </w:p>
    <w:p w:rsidR="009A288E" w:rsidRPr="00A02F7C" w:rsidRDefault="009A288E" w:rsidP="00912024">
      <w:pPr>
        <w:tabs>
          <w:tab w:val="left" w:pos="1701"/>
        </w:tabs>
      </w:pPr>
    </w:p>
    <w:p w:rsidR="009A288E" w:rsidRPr="00A02F7C" w:rsidRDefault="009A288E" w:rsidP="00912024">
      <w:pPr>
        <w:tabs>
          <w:tab w:val="left" w:pos="1701"/>
        </w:tabs>
      </w:pPr>
      <w:r w:rsidRPr="00A02F7C">
        <w:rPr>
          <w:b/>
        </w:rPr>
        <w:t>Referens:</w:t>
      </w:r>
      <w:r w:rsidR="007B5B5F" w:rsidRPr="00A02F7C">
        <w:rPr>
          <w:b/>
        </w:rPr>
        <w:t xml:space="preserve"> </w:t>
      </w:r>
      <w:r w:rsidR="007B5B5F" w:rsidRPr="00A02F7C">
        <w:rPr>
          <w:b/>
        </w:rPr>
        <w:tab/>
      </w:r>
      <w:r w:rsidRPr="00A02F7C">
        <w:t>COM(2018) 109 final</w:t>
      </w:r>
    </w:p>
    <w:p w:rsidR="009A288E" w:rsidRPr="00A02F7C" w:rsidRDefault="009A288E" w:rsidP="00912024">
      <w:pPr>
        <w:tabs>
          <w:tab w:val="left" w:pos="1701"/>
        </w:tabs>
      </w:pPr>
      <w:r w:rsidRPr="00A02F7C">
        <w:tab/>
        <w:t>EESC-201</w:t>
      </w:r>
      <w:r w:rsidR="00A02F7C" w:rsidRPr="00A02F7C">
        <w:t>8-0</w:t>
      </w:r>
      <w:r w:rsidRPr="00A02F7C">
        <w:t>105</w:t>
      </w:r>
      <w:r w:rsidR="00A02F7C" w:rsidRPr="00A02F7C">
        <w:t>6-00-0</w:t>
      </w:r>
      <w:r w:rsidRPr="00A02F7C">
        <w:t>0-AC-TRA</w:t>
      </w:r>
    </w:p>
    <w:p w:rsidR="009A288E" w:rsidRPr="00A02F7C" w:rsidRDefault="009A288E" w:rsidP="00912024">
      <w:pPr>
        <w:tabs>
          <w:tab w:val="center" w:pos="284"/>
        </w:tabs>
        <w:ind w:left="266" w:hanging="266"/>
      </w:pPr>
    </w:p>
    <w:p w:rsidR="009A288E" w:rsidRPr="00A02F7C" w:rsidRDefault="009A288E" w:rsidP="00912024">
      <w:pPr>
        <w:keepNext/>
        <w:keepLines/>
        <w:tabs>
          <w:tab w:val="center" w:pos="284"/>
        </w:tabs>
        <w:ind w:left="266" w:hanging="266"/>
        <w:rPr>
          <w:b/>
        </w:rPr>
      </w:pPr>
      <w:r w:rsidRPr="00A02F7C">
        <w:rPr>
          <w:b/>
        </w:rPr>
        <w:t>Huvudpunkter:</w:t>
      </w:r>
    </w:p>
    <w:p w:rsidR="009A288E" w:rsidRPr="00A02F7C" w:rsidRDefault="009A288E" w:rsidP="00912024">
      <w:pPr>
        <w:keepNext/>
        <w:rPr>
          <w:color w:val="000000" w:themeColor="text1"/>
        </w:rPr>
      </w:pPr>
    </w:p>
    <w:p w:rsidR="009A288E" w:rsidRPr="00A02F7C" w:rsidRDefault="009A288E" w:rsidP="00912024">
      <w:pPr>
        <w:keepNext/>
        <w:rPr>
          <w:color w:val="000000" w:themeColor="text1"/>
        </w:rPr>
      </w:pPr>
      <w:proofErr w:type="spellStart"/>
      <w:r w:rsidRPr="00A02F7C">
        <w:rPr>
          <w:color w:val="000000" w:themeColor="text1"/>
        </w:rPr>
        <w:t>EESK:s</w:t>
      </w:r>
      <w:proofErr w:type="spellEnd"/>
      <w:r w:rsidRPr="00A02F7C">
        <w:rPr>
          <w:color w:val="000000" w:themeColor="text1"/>
        </w:rPr>
        <w:t xml:space="preserve"> ståndpunkt:</w:t>
      </w:r>
    </w:p>
    <w:p w:rsidR="009A288E" w:rsidRPr="00A02F7C" w:rsidRDefault="009A288E" w:rsidP="00912024">
      <w:pPr>
        <w:keepNext/>
        <w:rPr>
          <w:color w:val="000000" w:themeColor="text1"/>
        </w:rPr>
      </w:pPr>
    </w:p>
    <w:p w:rsidR="009A288E" w:rsidRPr="00A02F7C" w:rsidRDefault="009A288E" w:rsidP="00912024">
      <w:pPr>
        <w:pStyle w:val="ListParagraph"/>
        <w:numPr>
          <w:ilvl w:val="0"/>
          <w:numId w:val="35"/>
        </w:numPr>
      </w:pPr>
      <w:r w:rsidRPr="00A02F7C">
        <w:t xml:space="preserve">EESK stöder kommissionens handlingsplan för </w:t>
      </w:r>
      <w:proofErr w:type="spellStart"/>
      <w:r w:rsidRPr="00A02F7C">
        <w:t>fintech</w:t>
      </w:r>
      <w:proofErr w:type="spellEnd"/>
      <w:r w:rsidRPr="00A02F7C">
        <w:t xml:space="preserve"> och anser att utvecklingen av finansteknik kan erbjuda ett antal fördelar för både de europeiska företagen och deras kunder.</w:t>
      </w:r>
    </w:p>
    <w:p w:rsidR="009A288E" w:rsidRPr="00A02F7C" w:rsidRDefault="009A288E" w:rsidP="00912024"/>
    <w:p w:rsidR="009A288E" w:rsidRPr="00A02F7C" w:rsidRDefault="009A288E" w:rsidP="00912024">
      <w:pPr>
        <w:pStyle w:val="ListParagraph"/>
        <w:numPr>
          <w:ilvl w:val="0"/>
          <w:numId w:val="35"/>
        </w:numPr>
      </w:pPr>
      <w:r w:rsidRPr="00A02F7C">
        <w:lastRenderedPageBreak/>
        <w:t xml:space="preserve">Kommittén anser att de åtgärder som anges i handlingsplanen när det gäller att förbättra </w:t>
      </w:r>
      <w:proofErr w:type="spellStart"/>
      <w:r w:rsidRPr="00A02F7C">
        <w:t>it-säkerheten</w:t>
      </w:r>
      <w:proofErr w:type="spellEnd"/>
      <w:r w:rsidRPr="00A02F7C">
        <w:t xml:space="preserve"> och motståndskraften inom finanssektorn är viktiga, men att de bör kompletteras med regler som säkerställer enhetlighet i utvecklingen av finansteknik i EU.</w:t>
      </w:r>
    </w:p>
    <w:p w:rsidR="009A288E" w:rsidRPr="00A02F7C" w:rsidRDefault="009A288E" w:rsidP="00912024"/>
    <w:p w:rsidR="009A288E" w:rsidRPr="00A02F7C" w:rsidRDefault="009A288E" w:rsidP="00912024">
      <w:pPr>
        <w:pStyle w:val="ListParagraph"/>
        <w:numPr>
          <w:ilvl w:val="0"/>
          <w:numId w:val="35"/>
        </w:numPr>
      </w:pPr>
      <w:r w:rsidRPr="00A02F7C">
        <w:t xml:space="preserve">Kommittén anser att regleringsnivån för aktörer inom finansteknik bör omfattas av samma regler som den finansiella sektorn, framför allt i fråga om </w:t>
      </w:r>
      <w:proofErr w:type="spellStart"/>
      <w:r w:rsidRPr="00A02F7C">
        <w:t>resiliens</w:t>
      </w:r>
      <w:proofErr w:type="spellEnd"/>
      <w:r w:rsidRPr="00A02F7C">
        <w:t xml:space="preserve">, tillsyn och </w:t>
      </w:r>
      <w:proofErr w:type="spellStart"/>
      <w:r w:rsidRPr="00A02F7C">
        <w:t>it-säkerhet</w:t>
      </w:r>
      <w:proofErr w:type="spellEnd"/>
      <w:r w:rsidRPr="00A02F7C">
        <w:t>.</w:t>
      </w:r>
    </w:p>
    <w:p w:rsidR="002E240A" w:rsidRPr="00A02F7C" w:rsidRDefault="002E240A" w:rsidP="00912024"/>
    <w:p w:rsidR="009A288E" w:rsidRPr="00A02F7C" w:rsidRDefault="00AC18F5" w:rsidP="00912024">
      <w:pPr>
        <w:pStyle w:val="ListParagraph"/>
        <w:numPr>
          <w:ilvl w:val="0"/>
          <w:numId w:val="35"/>
        </w:numPr>
      </w:pPr>
      <w:r w:rsidRPr="00A02F7C">
        <w:t>EESK rekommenderar kommissionen att noga följa kryptovaluto</w:t>
      </w:r>
      <w:r w:rsidR="007B5B5F" w:rsidRPr="00A02F7C">
        <w:t>r och deras stora volatilitet i </w:t>
      </w:r>
      <w:r w:rsidRPr="00A02F7C">
        <w:t>samarbete med de europeiska tillsynsmyndigheterna. Vid behov bör man på EU-nivå vidta alla nödvändiga åtgärder så att säkerheten och stabiliteten i det finansiella och ekonomiska systemet inte på något sätt och inte vid någon tidpunkt kan äventyras.</w:t>
      </w:r>
    </w:p>
    <w:p w:rsidR="009A288E" w:rsidRPr="00A02F7C" w:rsidRDefault="009A288E" w:rsidP="00912024"/>
    <w:p w:rsidR="009A288E" w:rsidRPr="00A02F7C" w:rsidRDefault="009A288E" w:rsidP="00912024">
      <w:pPr>
        <w:pStyle w:val="ListParagraph"/>
        <w:numPr>
          <w:ilvl w:val="0"/>
          <w:numId w:val="35"/>
        </w:numPr>
      </w:pPr>
      <w:r w:rsidRPr="00A02F7C">
        <w:t>EESK uppmanar medlemsstaterna att utforma och genomföra program med aktiva arbetsmarknadsåtgärder som gör att arbetstagare som påverkas av införandet av innovativ teknik inom finanssektorn så snart som möjligt kan hitta en ny anställning.</w:t>
      </w:r>
    </w:p>
    <w:p w:rsidR="009A288E" w:rsidRPr="00A02F7C" w:rsidRDefault="009A288E" w:rsidP="00912024"/>
    <w:p w:rsidR="009A288E" w:rsidRPr="00A02F7C" w:rsidRDefault="009A288E" w:rsidP="00912024">
      <w:pPr>
        <w:tabs>
          <w:tab w:val="left" w:pos="1701"/>
        </w:tabs>
        <w:rPr>
          <w:i/>
          <w:iCs/>
        </w:rPr>
      </w:pPr>
      <w:r w:rsidRPr="00A02F7C">
        <w:rPr>
          <w:b/>
          <w:bCs/>
          <w:i/>
          <w:iCs/>
        </w:rPr>
        <w:t>Kontaktperson:</w:t>
      </w:r>
      <w:r w:rsidR="007B5B5F" w:rsidRPr="00A02F7C">
        <w:rPr>
          <w:b/>
          <w:bCs/>
          <w:i/>
          <w:iCs/>
        </w:rPr>
        <w:t xml:space="preserve"> </w:t>
      </w:r>
      <w:r w:rsidRPr="00A02F7C">
        <w:rPr>
          <w:bCs/>
          <w:i/>
          <w:iCs/>
        </w:rPr>
        <w:t xml:space="preserve">Gerald </w:t>
      </w:r>
      <w:proofErr w:type="spellStart"/>
      <w:r w:rsidRPr="00A02F7C">
        <w:rPr>
          <w:bCs/>
          <w:i/>
          <w:iCs/>
        </w:rPr>
        <w:t>Klec</w:t>
      </w:r>
      <w:proofErr w:type="spellEnd"/>
    </w:p>
    <w:p w:rsidR="009A288E" w:rsidRPr="00A02F7C" w:rsidRDefault="009A288E" w:rsidP="00912024">
      <w:pPr>
        <w:tabs>
          <w:tab w:val="left" w:pos="1701"/>
        </w:tabs>
        <w:rPr>
          <w:i/>
          <w:iCs/>
        </w:rPr>
      </w:pPr>
      <w:r w:rsidRPr="00A02F7C">
        <w:rPr>
          <w:i/>
          <w:iCs/>
        </w:rPr>
        <w:tab/>
        <w:t xml:space="preserve">(Tfn: +3225469909 – e-post: </w:t>
      </w:r>
      <w:hyperlink r:id="rId23" w:history="1">
        <w:r w:rsidRPr="00A02F7C">
          <w:rPr>
            <w:rStyle w:val="Hyperlink"/>
            <w:i/>
            <w:iCs/>
          </w:rPr>
          <w:t>gerald.klec@eesc.europa.eu</w:t>
        </w:r>
      </w:hyperlink>
      <w:r w:rsidRPr="00A02F7C">
        <w:rPr>
          <w:i/>
          <w:iCs/>
        </w:rPr>
        <w:t>)</w:t>
      </w:r>
    </w:p>
    <w:p w:rsidR="009A288E" w:rsidRPr="00A02F7C" w:rsidRDefault="009A288E" w:rsidP="00CA0433">
      <w:pPr>
        <w:rPr>
          <w:color w:val="000000" w:themeColor="text1"/>
        </w:rPr>
      </w:pPr>
    </w:p>
    <w:p w:rsidR="009A288E" w:rsidRPr="00A02F7C" w:rsidRDefault="009A288E" w:rsidP="00912024">
      <w:pPr>
        <w:pStyle w:val="ListParagraph"/>
        <w:keepNext/>
        <w:numPr>
          <w:ilvl w:val="0"/>
          <w:numId w:val="49"/>
        </w:numPr>
        <w:overflowPunct w:val="0"/>
        <w:autoSpaceDE w:val="0"/>
        <w:autoSpaceDN w:val="0"/>
        <w:adjustRightInd w:val="0"/>
        <w:textAlignment w:val="baseline"/>
        <w:rPr>
          <w:b/>
          <w:i/>
          <w:sz w:val="28"/>
          <w:szCs w:val="28"/>
        </w:rPr>
      </w:pPr>
      <w:r w:rsidRPr="00A02F7C">
        <w:rPr>
          <w:b/>
          <w:i/>
          <w:sz w:val="28"/>
          <w:szCs w:val="28"/>
        </w:rPr>
        <w:t>Gräsrotsfinansiering och person-till-person-finansiering</w:t>
      </w:r>
    </w:p>
    <w:p w:rsidR="009A288E" w:rsidRPr="00A02F7C" w:rsidRDefault="009A288E" w:rsidP="00912024">
      <w:pPr>
        <w:keepNext/>
        <w:overflowPunct w:val="0"/>
        <w:autoSpaceDE w:val="0"/>
        <w:autoSpaceDN w:val="0"/>
        <w:adjustRightInd w:val="0"/>
        <w:textAlignment w:val="baseline"/>
        <w:rPr>
          <w:b/>
          <w:i/>
          <w:sz w:val="28"/>
          <w:szCs w:val="28"/>
        </w:rPr>
      </w:pPr>
    </w:p>
    <w:p w:rsidR="009A288E" w:rsidRPr="00A02F7C" w:rsidRDefault="009A288E" w:rsidP="00912024">
      <w:pPr>
        <w:keepNext/>
        <w:tabs>
          <w:tab w:val="left" w:pos="1701"/>
        </w:tabs>
      </w:pPr>
      <w:r w:rsidRPr="00A02F7C">
        <w:rPr>
          <w:b/>
        </w:rPr>
        <w:t>Föredragande:</w:t>
      </w:r>
      <w:r w:rsidRPr="00A02F7C">
        <w:tab/>
        <w:t xml:space="preserve">Daniel </w:t>
      </w:r>
      <w:proofErr w:type="spellStart"/>
      <w:r w:rsidRPr="00A02F7C">
        <w:t>Mareels</w:t>
      </w:r>
      <w:proofErr w:type="spellEnd"/>
      <w:r w:rsidRPr="00A02F7C">
        <w:t xml:space="preserve"> (Arbetsgivargruppen – BE)</w:t>
      </w:r>
    </w:p>
    <w:p w:rsidR="009A288E" w:rsidRPr="00A02F7C" w:rsidRDefault="009A288E" w:rsidP="00912024">
      <w:pPr>
        <w:keepNext/>
        <w:tabs>
          <w:tab w:val="left" w:pos="1701"/>
        </w:tabs>
      </w:pPr>
    </w:p>
    <w:p w:rsidR="009A288E" w:rsidRPr="00A02F7C" w:rsidRDefault="009A288E" w:rsidP="00912024">
      <w:pPr>
        <w:keepNext/>
        <w:tabs>
          <w:tab w:val="left" w:pos="1701"/>
        </w:tabs>
      </w:pPr>
      <w:r w:rsidRPr="00A02F7C">
        <w:rPr>
          <w:b/>
        </w:rPr>
        <w:t>Referens:</w:t>
      </w:r>
      <w:r w:rsidR="007B5B5F" w:rsidRPr="00A02F7C">
        <w:rPr>
          <w:b/>
        </w:rPr>
        <w:tab/>
      </w:r>
      <w:r w:rsidRPr="00A02F7C">
        <w:t>COM(2018) 99 final - 2018/0047 (COD)</w:t>
      </w:r>
    </w:p>
    <w:p w:rsidR="009A288E" w:rsidRPr="00A02F7C" w:rsidRDefault="009A288E" w:rsidP="00912024">
      <w:pPr>
        <w:tabs>
          <w:tab w:val="left" w:pos="1701"/>
        </w:tabs>
      </w:pPr>
      <w:r w:rsidRPr="00A02F7C">
        <w:tab/>
        <w:t>COM(2018) 113 final - 2018/0048 (COD)</w:t>
      </w:r>
    </w:p>
    <w:p w:rsidR="009A288E" w:rsidRPr="00A02F7C" w:rsidRDefault="009A288E" w:rsidP="00912024">
      <w:pPr>
        <w:tabs>
          <w:tab w:val="left" w:pos="1701"/>
        </w:tabs>
      </w:pPr>
      <w:r w:rsidRPr="00A02F7C">
        <w:tab/>
        <w:t>EESC-201</w:t>
      </w:r>
      <w:r w:rsidR="00A02F7C" w:rsidRPr="00A02F7C">
        <w:t>8-0</w:t>
      </w:r>
      <w:r w:rsidRPr="00A02F7C">
        <w:t>110</w:t>
      </w:r>
      <w:r w:rsidR="00A02F7C" w:rsidRPr="00A02F7C">
        <w:t>8-00-0</w:t>
      </w:r>
      <w:r w:rsidRPr="00A02F7C">
        <w:t>0-AC-TRA</w:t>
      </w:r>
    </w:p>
    <w:p w:rsidR="009A288E" w:rsidRPr="00A02F7C" w:rsidRDefault="009A288E" w:rsidP="00912024">
      <w:pPr>
        <w:tabs>
          <w:tab w:val="center" w:pos="284"/>
        </w:tabs>
        <w:ind w:left="266" w:hanging="266"/>
      </w:pPr>
    </w:p>
    <w:p w:rsidR="009A288E" w:rsidRPr="00A02F7C" w:rsidRDefault="009A288E" w:rsidP="00912024">
      <w:pPr>
        <w:keepNext/>
        <w:keepLines/>
        <w:tabs>
          <w:tab w:val="center" w:pos="284"/>
        </w:tabs>
        <w:ind w:left="266" w:hanging="266"/>
        <w:rPr>
          <w:b/>
        </w:rPr>
      </w:pPr>
      <w:r w:rsidRPr="00A02F7C">
        <w:rPr>
          <w:b/>
        </w:rPr>
        <w:t>Huvudpunkter:</w:t>
      </w:r>
    </w:p>
    <w:p w:rsidR="00481E81" w:rsidRPr="00A02F7C" w:rsidRDefault="00481E81" w:rsidP="00912024">
      <w:pPr>
        <w:keepNext/>
        <w:rPr>
          <w:color w:val="000000" w:themeColor="text1"/>
        </w:rPr>
      </w:pPr>
    </w:p>
    <w:p w:rsidR="009A288E" w:rsidRPr="00A02F7C" w:rsidRDefault="009A288E" w:rsidP="00912024">
      <w:pPr>
        <w:outlineLvl w:val="1"/>
      </w:pPr>
      <w:proofErr w:type="spellStart"/>
      <w:r w:rsidRPr="00A02F7C">
        <w:t>EESK:s</w:t>
      </w:r>
      <w:proofErr w:type="spellEnd"/>
      <w:r w:rsidRPr="00A02F7C">
        <w:t xml:space="preserve"> ståndpunkt:</w:t>
      </w:r>
    </w:p>
    <w:p w:rsidR="009A288E" w:rsidRPr="00A02F7C" w:rsidRDefault="009A288E" w:rsidP="00912024">
      <w:pPr>
        <w:ind w:left="567"/>
        <w:outlineLvl w:val="1"/>
      </w:pPr>
    </w:p>
    <w:p w:rsidR="009A288E" w:rsidRPr="00A02F7C" w:rsidRDefault="009A288E" w:rsidP="00912024">
      <w:pPr>
        <w:pStyle w:val="ListParagraph"/>
        <w:numPr>
          <w:ilvl w:val="0"/>
          <w:numId w:val="37"/>
        </w:numPr>
        <w:outlineLvl w:val="1"/>
      </w:pPr>
      <w:r w:rsidRPr="00A02F7C">
        <w:t>EESK välkomnar eftertryckligen dessa förslag om att inrätta ett stödjande ramverk för gräsrotsfinansiering i form av en 29:e ordning. EESK efterlyser därför snabba framsteg på detta område för att nå goda resultat, särskilt med tanke på att frågan utgör en del av ett bredare sammanhang som är mycket viktigt för kommittén.</w:t>
      </w:r>
    </w:p>
    <w:p w:rsidR="009A288E" w:rsidRPr="00A02F7C" w:rsidRDefault="009A288E" w:rsidP="00912024"/>
    <w:p w:rsidR="009A288E" w:rsidRPr="00A02F7C" w:rsidRDefault="009A288E" w:rsidP="00912024">
      <w:pPr>
        <w:pStyle w:val="ListParagraph"/>
        <w:numPr>
          <w:ilvl w:val="0"/>
          <w:numId w:val="37"/>
        </w:numPr>
        <w:outlineLvl w:val="1"/>
      </w:pPr>
      <w:r w:rsidRPr="00A02F7C">
        <w:t>Det är positivt att man har tagit hänsyn till finansieringen av små, nystartade och innovativa företag. Gräsrotsfinansiering är särskilt relevant för dessa företag som en del av deras finansieringstrappa när de övergår från en uppstarts- till en expansionsfas och traditionell finansiering inte alltid är tillgänglig. Samtidigt skapas fler och bättre möjligheter för investerare.</w:t>
      </w:r>
    </w:p>
    <w:p w:rsidR="009A288E" w:rsidRPr="00A02F7C" w:rsidRDefault="009A288E" w:rsidP="00912024"/>
    <w:p w:rsidR="009A288E" w:rsidRPr="00A02F7C" w:rsidRDefault="009A288E" w:rsidP="00912024">
      <w:pPr>
        <w:pStyle w:val="ListParagraph"/>
        <w:numPr>
          <w:ilvl w:val="0"/>
          <w:numId w:val="37"/>
        </w:numPr>
        <w:outlineLvl w:val="1"/>
      </w:pPr>
      <w:r w:rsidRPr="00A02F7C">
        <w:t xml:space="preserve">Kommittén välkomnar att man utnyttjar innovativa produkter och lösningar som baseras på modern teknik så att detta framåtblickande förslag också bidrar till inrättandet av en digital inre marknad. Det skapas också en gränsöverskridande dimension som bidrar till en effektiv </w:t>
      </w:r>
      <w:r w:rsidRPr="00A02F7C">
        <w:lastRenderedPageBreak/>
        <w:t>integration och fördjupning av kapitalmarknaderna. Förverkligandet av en enhetlig harmoniserad marknad i EU med samma regler för både företag och investerare bör vara ett centralt inslag.</w:t>
      </w:r>
    </w:p>
    <w:p w:rsidR="009A288E" w:rsidRPr="00A02F7C" w:rsidRDefault="009A288E" w:rsidP="00912024">
      <w:pPr>
        <w:outlineLvl w:val="1"/>
      </w:pPr>
    </w:p>
    <w:p w:rsidR="009A288E" w:rsidRPr="00A02F7C" w:rsidRDefault="009A288E" w:rsidP="00912024">
      <w:pPr>
        <w:pStyle w:val="ListParagraph"/>
        <w:numPr>
          <w:ilvl w:val="0"/>
          <w:numId w:val="37"/>
        </w:numPr>
        <w:outlineLvl w:val="1"/>
      </w:pPr>
      <w:r w:rsidRPr="00A02F7C">
        <w:t>Kommittén välkomnar att man uppmärksammar riskerna i samband med gräsrotsfinansiering och marknader för gräsrotsfinansiering, men anser samtidigt att man – åtminstone till en början – bör lägga ännu större vikt vid dessa riskaspekter i syfte att bättre kartlägga dem eller minska dem när så är möjligt.</w:t>
      </w:r>
    </w:p>
    <w:p w:rsidR="009A288E" w:rsidRPr="00A02F7C" w:rsidRDefault="009A288E" w:rsidP="00912024"/>
    <w:p w:rsidR="009A288E" w:rsidRPr="00A02F7C" w:rsidRDefault="009A288E" w:rsidP="00912024">
      <w:pPr>
        <w:pStyle w:val="ListParagraph"/>
        <w:numPr>
          <w:ilvl w:val="0"/>
          <w:numId w:val="38"/>
        </w:numPr>
        <w:outlineLvl w:val="2"/>
      </w:pPr>
      <w:r w:rsidRPr="00A02F7C">
        <w:t>Kommittén anser att riskbedömningen av enskilda projekt på plattformar för gräsrotsfinansiering i alltför hög grad överlåts till marknaderna och investerarna. EESK efterlyser lämpliga åtgärder för att bättre kartlägga eller begränsa alla risker, såväl finansiella som icke-finansiella. I slutändan handlar det om ett bättre skydd av investerarna.</w:t>
      </w:r>
    </w:p>
    <w:p w:rsidR="009A288E" w:rsidRPr="00A02F7C" w:rsidRDefault="009A288E" w:rsidP="00912024">
      <w:pPr>
        <w:ind w:left="567"/>
        <w:outlineLvl w:val="2"/>
      </w:pPr>
    </w:p>
    <w:p w:rsidR="009A288E" w:rsidRPr="00A02F7C" w:rsidRDefault="009A288E" w:rsidP="00912024">
      <w:pPr>
        <w:pStyle w:val="ListParagraph"/>
        <w:numPr>
          <w:ilvl w:val="0"/>
          <w:numId w:val="38"/>
        </w:numPr>
        <w:outlineLvl w:val="2"/>
      </w:pPr>
      <w:r w:rsidRPr="00A02F7C">
        <w:t>Europeiska värdepappers- och marknadsmyndighetens (</w:t>
      </w:r>
      <w:proofErr w:type="spellStart"/>
      <w:r w:rsidRPr="00A02F7C">
        <w:t>Esma</w:t>
      </w:r>
      <w:proofErr w:type="spellEnd"/>
      <w:r w:rsidRPr="00A02F7C">
        <w:t>) roll tycks vara tydlig, men detsamma kan inte riktigt sägas när det gäller de nationella tillsynsmyndigheternas roll. Kommittén anser att det här behövs större tydlighet. Dessutom ställer sig EESK frågan om inte de nationella tillsynsmyndigheterna bör ges en viktig roll, eftersom de befinner sig närmare de nationella marknaderna och bättre kan bedöma lokala situationer.</w:t>
      </w:r>
    </w:p>
    <w:p w:rsidR="009A288E" w:rsidRPr="00A02F7C" w:rsidRDefault="009A288E" w:rsidP="00912024">
      <w:pPr>
        <w:keepNext/>
        <w:rPr>
          <w:color w:val="000000" w:themeColor="text1"/>
        </w:rPr>
      </w:pPr>
    </w:p>
    <w:p w:rsidR="009A288E" w:rsidRPr="00A02F7C" w:rsidRDefault="009A288E" w:rsidP="00912024">
      <w:pPr>
        <w:tabs>
          <w:tab w:val="left" w:pos="1418"/>
        </w:tabs>
        <w:rPr>
          <w:i/>
          <w:iCs/>
        </w:rPr>
      </w:pPr>
      <w:r w:rsidRPr="00A02F7C">
        <w:rPr>
          <w:b/>
          <w:bCs/>
          <w:i/>
          <w:iCs/>
        </w:rPr>
        <w:t>Kontaktperson:</w:t>
      </w:r>
      <w:r w:rsidR="007B5B5F" w:rsidRPr="00A02F7C">
        <w:rPr>
          <w:b/>
          <w:bCs/>
          <w:i/>
          <w:iCs/>
        </w:rPr>
        <w:t xml:space="preserve"> </w:t>
      </w:r>
      <w:r w:rsidRPr="00A02F7C">
        <w:rPr>
          <w:bCs/>
          <w:i/>
          <w:iCs/>
        </w:rPr>
        <w:t xml:space="preserve">Georgios </w:t>
      </w:r>
      <w:proofErr w:type="spellStart"/>
      <w:r w:rsidRPr="00A02F7C">
        <w:rPr>
          <w:bCs/>
          <w:i/>
          <w:iCs/>
        </w:rPr>
        <w:t>Meleas</w:t>
      </w:r>
      <w:proofErr w:type="spellEnd"/>
    </w:p>
    <w:p w:rsidR="009A288E" w:rsidRPr="00A02F7C" w:rsidRDefault="009A288E" w:rsidP="00912024">
      <w:pPr>
        <w:tabs>
          <w:tab w:val="left" w:pos="1418"/>
        </w:tabs>
      </w:pPr>
      <w:r w:rsidRPr="00A02F7C">
        <w:rPr>
          <w:i/>
          <w:iCs/>
        </w:rPr>
        <w:tab/>
        <w:t>(Tfn +32 25469740 – e-post:</w:t>
      </w:r>
      <w:r w:rsidRPr="00A02F7C">
        <w:t xml:space="preserve"> </w:t>
      </w:r>
      <w:hyperlink r:id="rId24" w:history="1">
        <w:r w:rsidRPr="00A02F7C">
          <w:rPr>
            <w:rStyle w:val="Hyperlink"/>
            <w:i/>
            <w:iCs/>
          </w:rPr>
          <w:t>Georgios.Meleas@eesc.europa.eu</w:t>
        </w:r>
      </w:hyperlink>
      <w:r w:rsidRPr="00A02F7C">
        <w:rPr>
          <w:i/>
          <w:iCs/>
        </w:rPr>
        <w:t>)</w:t>
      </w:r>
    </w:p>
    <w:p w:rsidR="009A288E" w:rsidRPr="00A02F7C" w:rsidRDefault="009A288E" w:rsidP="00912024">
      <w:pPr>
        <w:rPr>
          <w:color w:val="000000" w:themeColor="text1"/>
        </w:rPr>
      </w:pPr>
    </w:p>
    <w:p w:rsidR="009A288E" w:rsidRPr="00A02F7C" w:rsidRDefault="009A288E" w:rsidP="00CA0433">
      <w:pPr>
        <w:pStyle w:val="ListParagraph"/>
        <w:keepNext/>
        <w:numPr>
          <w:ilvl w:val="0"/>
          <w:numId w:val="50"/>
        </w:numPr>
        <w:overflowPunct w:val="0"/>
        <w:autoSpaceDE w:val="0"/>
        <w:autoSpaceDN w:val="0"/>
        <w:adjustRightInd w:val="0"/>
        <w:textAlignment w:val="baseline"/>
        <w:rPr>
          <w:b/>
          <w:i/>
          <w:sz w:val="28"/>
          <w:szCs w:val="28"/>
        </w:rPr>
      </w:pPr>
      <w:r w:rsidRPr="00A02F7C">
        <w:rPr>
          <w:b/>
          <w:i/>
          <w:sz w:val="28"/>
          <w:szCs w:val="28"/>
        </w:rPr>
        <w:t>Beskattning av multinationella företags vinster i den digitala ekonomin</w:t>
      </w:r>
    </w:p>
    <w:p w:rsidR="009A288E" w:rsidRPr="00A02F7C" w:rsidRDefault="009A288E" w:rsidP="00CA0433">
      <w:pPr>
        <w:keepNext/>
        <w:overflowPunct w:val="0"/>
        <w:autoSpaceDE w:val="0"/>
        <w:autoSpaceDN w:val="0"/>
        <w:adjustRightInd w:val="0"/>
        <w:textAlignment w:val="baseline"/>
        <w:rPr>
          <w:sz w:val="28"/>
          <w:szCs w:val="28"/>
        </w:rPr>
      </w:pPr>
    </w:p>
    <w:p w:rsidR="009A288E" w:rsidRPr="00A02F7C" w:rsidRDefault="009A288E" w:rsidP="00912024">
      <w:pPr>
        <w:tabs>
          <w:tab w:val="left" w:pos="1701"/>
        </w:tabs>
      </w:pPr>
      <w:r w:rsidRPr="00A02F7C">
        <w:rPr>
          <w:b/>
        </w:rPr>
        <w:t>Föredragande:</w:t>
      </w:r>
      <w:r w:rsidR="007B5B5F" w:rsidRPr="00A02F7C">
        <w:rPr>
          <w:b/>
        </w:rPr>
        <w:tab/>
      </w:r>
      <w:r w:rsidRPr="00A02F7C">
        <w:t>Krister Andersson (Arbetsgivargruppen – SE)</w:t>
      </w:r>
    </w:p>
    <w:p w:rsidR="009A288E" w:rsidRPr="00A02F7C" w:rsidRDefault="009A288E" w:rsidP="00912024">
      <w:pPr>
        <w:tabs>
          <w:tab w:val="left" w:pos="1701"/>
        </w:tabs>
      </w:pPr>
      <w:r w:rsidRPr="00A02F7C">
        <w:tab/>
      </w:r>
      <w:proofErr w:type="spellStart"/>
      <w:r w:rsidRPr="00A02F7C">
        <w:t>Petru</w:t>
      </w:r>
      <w:proofErr w:type="spellEnd"/>
      <w:r w:rsidRPr="00A02F7C">
        <w:t xml:space="preserve"> </w:t>
      </w:r>
      <w:proofErr w:type="spellStart"/>
      <w:r w:rsidRPr="00A02F7C">
        <w:t>Sorin</w:t>
      </w:r>
      <w:proofErr w:type="spellEnd"/>
      <w:r w:rsidRPr="00A02F7C">
        <w:t xml:space="preserve"> </w:t>
      </w:r>
      <w:proofErr w:type="spellStart"/>
      <w:r w:rsidRPr="00A02F7C">
        <w:t>Dandea</w:t>
      </w:r>
      <w:proofErr w:type="spellEnd"/>
      <w:r w:rsidRPr="00A02F7C">
        <w:t xml:space="preserve"> (Arbetstagargruppen – RO)</w:t>
      </w:r>
    </w:p>
    <w:p w:rsidR="009A288E" w:rsidRPr="00A02F7C" w:rsidRDefault="009A288E" w:rsidP="00912024">
      <w:pPr>
        <w:tabs>
          <w:tab w:val="left" w:pos="1701"/>
        </w:tabs>
      </w:pPr>
    </w:p>
    <w:p w:rsidR="009A288E" w:rsidRPr="00A02F7C" w:rsidRDefault="009A288E" w:rsidP="00912024">
      <w:pPr>
        <w:tabs>
          <w:tab w:val="left" w:pos="1701"/>
        </w:tabs>
      </w:pPr>
      <w:r w:rsidRPr="00A02F7C">
        <w:rPr>
          <w:b/>
        </w:rPr>
        <w:t>Referens:</w:t>
      </w:r>
      <w:r w:rsidR="007B5B5F" w:rsidRPr="00A02F7C">
        <w:rPr>
          <w:b/>
        </w:rPr>
        <w:tab/>
      </w:r>
      <w:r w:rsidRPr="00A02F7C">
        <w:t>COM(2018) 147 final - 2018/0072 (CNS)</w:t>
      </w:r>
    </w:p>
    <w:p w:rsidR="009A288E" w:rsidRPr="00A02F7C" w:rsidRDefault="009A288E" w:rsidP="00912024">
      <w:pPr>
        <w:tabs>
          <w:tab w:val="left" w:pos="1701"/>
        </w:tabs>
      </w:pPr>
      <w:r w:rsidRPr="00A02F7C">
        <w:tab/>
        <w:t>COM(2018) 148 final - 2018/0073 (CNS)</w:t>
      </w:r>
    </w:p>
    <w:p w:rsidR="009A288E" w:rsidRPr="00A02F7C" w:rsidRDefault="009A288E" w:rsidP="00912024">
      <w:pPr>
        <w:tabs>
          <w:tab w:val="left" w:pos="1701"/>
        </w:tabs>
      </w:pPr>
      <w:r w:rsidRPr="00A02F7C">
        <w:tab/>
        <w:t>EESC-201</w:t>
      </w:r>
      <w:r w:rsidR="00A02F7C" w:rsidRPr="00A02F7C">
        <w:t>8-0</w:t>
      </w:r>
      <w:r w:rsidRPr="00A02F7C">
        <w:t>155</w:t>
      </w:r>
      <w:r w:rsidR="00A02F7C" w:rsidRPr="00A02F7C">
        <w:t>6-00-0</w:t>
      </w:r>
      <w:r w:rsidRPr="00A02F7C">
        <w:t>0-AC-TRA</w:t>
      </w:r>
    </w:p>
    <w:p w:rsidR="009A288E" w:rsidRPr="00A02F7C" w:rsidRDefault="009A288E" w:rsidP="00912024">
      <w:pPr>
        <w:tabs>
          <w:tab w:val="center" w:pos="284"/>
        </w:tabs>
        <w:ind w:left="266" w:hanging="266"/>
        <w:rPr>
          <w:b/>
        </w:rPr>
      </w:pPr>
    </w:p>
    <w:p w:rsidR="009A288E" w:rsidRPr="00A02F7C" w:rsidRDefault="009A288E" w:rsidP="00912024">
      <w:pPr>
        <w:tabs>
          <w:tab w:val="center" w:pos="284"/>
        </w:tabs>
        <w:ind w:left="266" w:hanging="266"/>
        <w:rPr>
          <w:b/>
        </w:rPr>
      </w:pPr>
      <w:r w:rsidRPr="00A02F7C">
        <w:rPr>
          <w:b/>
        </w:rPr>
        <w:t>Huvudpunkter:</w:t>
      </w:r>
    </w:p>
    <w:p w:rsidR="009A288E" w:rsidRPr="00A02F7C" w:rsidRDefault="009A288E" w:rsidP="00912024">
      <w:pPr>
        <w:rPr>
          <w:color w:val="000000" w:themeColor="text1"/>
        </w:rPr>
      </w:pPr>
    </w:p>
    <w:p w:rsidR="009A288E" w:rsidRPr="00A02F7C" w:rsidRDefault="009A288E" w:rsidP="00912024">
      <w:pPr>
        <w:rPr>
          <w:color w:val="000000" w:themeColor="text1"/>
        </w:rPr>
      </w:pPr>
      <w:proofErr w:type="spellStart"/>
      <w:r w:rsidRPr="00A02F7C">
        <w:rPr>
          <w:color w:val="000000" w:themeColor="text1"/>
        </w:rPr>
        <w:t>EESK:s</w:t>
      </w:r>
      <w:proofErr w:type="spellEnd"/>
      <w:r w:rsidRPr="00A02F7C">
        <w:rPr>
          <w:color w:val="000000" w:themeColor="text1"/>
        </w:rPr>
        <w:t xml:space="preserve"> ståndpunkt:</w:t>
      </w:r>
    </w:p>
    <w:p w:rsidR="009A288E" w:rsidRPr="00A02F7C" w:rsidRDefault="009A288E" w:rsidP="00912024">
      <w:pPr>
        <w:rPr>
          <w:color w:val="000000" w:themeColor="text1"/>
        </w:rPr>
      </w:pPr>
    </w:p>
    <w:p w:rsidR="009A288E" w:rsidRPr="00A02F7C" w:rsidRDefault="009A288E" w:rsidP="00912024">
      <w:pPr>
        <w:pStyle w:val="ListParagraph"/>
        <w:numPr>
          <w:ilvl w:val="0"/>
          <w:numId w:val="36"/>
        </w:numPr>
        <w:rPr>
          <w:color w:val="000000" w:themeColor="text1"/>
        </w:rPr>
      </w:pPr>
      <w:r w:rsidRPr="00A02F7C">
        <w:rPr>
          <w:color w:val="000000" w:themeColor="text1"/>
        </w:rPr>
        <w:t>EESK välkomnar kommissionens initiativ i fråga om beskattning av den digitala ekonomin, som ger ytterligare impulser till internationella diskussioner genom att ge ett tydligt exempel på hur de nuvarande beskattningsprinciperna kan omvandlas.</w:t>
      </w:r>
    </w:p>
    <w:p w:rsidR="009A288E" w:rsidRPr="00A02F7C" w:rsidRDefault="009A288E" w:rsidP="00912024">
      <w:pPr>
        <w:rPr>
          <w:color w:val="000000" w:themeColor="text1"/>
        </w:rPr>
      </w:pPr>
    </w:p>
    <w:p w:rsidR="009A288E" w:rsidRPr="00A02F7C" w:rsidRDefault="009A288E" w:rsidP="00912024">
      <w:pPr>
        <w:pStyle w:val="ListParagraph"/>
        <w:numPr>
          <w:ilvl w:val="0"/>
          <w:numId w:val="36"/>
        </w:numPr>
        <w:rPr>
          <w:color w:val="000000" w:themeColor="text1"/>
        </w:rPr>
      </w:pPr>
      <w:r w:rsidRPr="00A02F7C">
        <w:rPr>
          <w:color w:val="000000" w:themeColor="text1"/>
        </w:rPr>
        <w:t>EESK anser att lösningen i slutändan måste vara global för att man bättre ska kunna utnyttja globaliseringens fördelar, med god global styrning och internationella regler, och välkomnar därför ett nära samarbete mellan kommissionen, medlemsstaterna och OECD för att stödja utvecklingen av en internationell lösning.</w:t>
      </w:r>
    </w:p>
    <w:p w:rsidR="009A288E" w:rsidRPr="00A02F7C" w:rsidRDefault="009A288E" w:rsidP="00912024">
      <w:pPr>
        <w:rPr>
          <w:color w:val="000000" w:themeColor="text1"/>
        </w:rPr>
      </w:pPr>
    </w:p>
    <w:p w:rsidR="009A288E" w:rsidRPr="00A02F7C" w:rsidRDefault="009A288E" w:rsidP="00912024">
      <w:pPr>
        <w:pStyle w:val="ListParagraph"/>
        <w:numPr>
          <w:ilvl w:val="0"/>
          <w:numId w:val="36"/>
        </w:numPr>
        <w:rPr>
          <w:color w:val="000000" w:themeColor="text1"/>
        </w:rPr>
      </w:pPr>
      <w:r w:rsidRPr="00A02F7C">
        <w:rPr>
          <w:color w:val="000000" w:themeColor="text1"/>
        </w:rPr>
        <w:lastRenderedPageBreak/>
        <w:t>Det är mycket viktigt att utveckla nya principer för hur företagsvinster ska hänföras till ett EU-land och beskattas, i dialog med EU:s handelspartner.</w:t>
      </w:r>
    </w:p>
    <w:p w:rsidR="009A288E" w:rsidRPr="00A02F7C" w:rsidRDefault="009A288E" w:rsidP="00912024">
      <w:pPr>
        <w:rPr>
          <w:color w:val="000000" w:themeColor="text1"/>
        </w:rPr>
      </w:pPr>
    </w:p>
    <w:p w:rsidR="009A288E" w:rsidRPr="00A02F7C" w:rsidRDefault="009A288E" w:rsidP="00912024">
      <w:pPr>
        <w:pStyle w:val="ListParagraph"/>
        <w:numPr>
          <w:ilvl w:val="0"/>
          <w:numId w:val="36"/>
        </w:numPr>
        <w:rPr>
          <w:color w:val="000000" w:themeColor="text1"/>
        </w:rPr>
      </w:pPr>
      <w:r w:rsidRPr="00A02F7C">
        <w:rPr>
          <w:color w:val="000000" w:themeColor="text1"/>
        </w:rPr>
        <w:t>EESK betonar att konsekvensbedömningen bör kompletteras med en analys av vilken inverkan den tillfälliga åtgärden kommer att ha på investeringar, uppstartsföretag, arbetstillfällen och tillväxt. Den behöver också visa hur förslaget påverkar små och medelstora företag.</w:t>
      </w:r>
    </w:p>
    <w:p w:rsidR="009A288E" w:rsidRPr="00A02F7C" w:rsidRDefault="009A288E" w:rsidP="00912024">
      <w:pPr>
        <w:rPr>
          <w:color w:val="000000" w:themeColor="text1"/>
        </w:rPr>
      </w:pPr>
    </w:p>
    <w:p w:rsidR="009A288E" w:rsidRPr="00A02F7C" w:rsidRDefault="009A288E" w:rsidP="00912024">
      <w:pPr>
        <w:pStyle w:val="ListParagraph"/>
        <w:numPr>
          <w:ilvl w:val="0"/>
          <w:numId w:val="36"/>
        </w:numPr>
        <w:rPr>
          <w:color w:val="000000" w:themeColor="text1"/>
        </w:rPr>
      </w:pPr>
      <w:r w:rsidRPr="00A02F7C">
        <w:rPr>
          <w:color w:val="000000" w:themeColor="text1"/>
        </w:rPr>
        <w:t>Den tillfälliga åtgärd som kommissionen föreslår för beskattning av vissa digitala tjänster innebär inte beskattning av företagens vinster utan av omsättningen, och detta tillvägagångssätt skiljer sig från det globala systemet för bolagsbeskattning, som baseras på beskattning av vinst. Försäljningslandet kommer inte att få skatteintäkter från företagsvinster för digitala företag som saknar fysisk närvaro.</w:t>
      </w:r>
    </w:p>
    <w:p w:rsidR="009A288E" w:rsidRPr="00A02F7C" w:rsidRDefault="009A288E" w:rsidP="00912024">
      <w:pPr>
        <w:rPr>
          <w:color w:val="000000" w:themeColor="text1"/>
        </w:rPr>
      </w:pPr>
    </w:p>
    <w:p w:rsidR="009A288E" w:rsidRPr="00A02F7C" w:rsidRDefault="009A288E" w:rsidP="00912024">
      <w:pPr>
        <w:pStyle w:val="ListParagraph"/>
        <w:numPr>
          <w:ilvl w:val="0"/>
          <w:numId w:val="36"/>
        </w:numPr>
        <w:rPr>
          <w:color w:val="000000" w:themeColor="text1"/>
        </w:rPr>
      </w:pPr>
      <w:r w:rsidRPr="00A02F7C">
        <w:rPr>
          <w:color w:val="000000" w:themeColor="text1"/>
        </w:rPr>
        <w:t>EESK befarar att en sådan förändring av beskattningen kommer att gynna större ekonomier med många konsumenter på bekostnad av mindre exportekonomier och understryker att alla lösningar, både kort- och långsiktiga, när det gäller beskattning av digitala affärsmodeller måste ge ett rättvist och likvärdigt ekonomiskt resultat för alla ekonomier i EU.</w:t>
      </w:r>
    </w:p>
    <w:p w:rsidR="00A02F7C" w:rsidRPr="00A02F7C" w:rsidRDefault="00A02F7C" w:rsidP="00912024">
      <w:pPr>
        <w:pStyle w:val="ListParagraph"/>
      </w:pPr>
    </w:p>
    <w:p w:rsidR="009A288E" w:rsidRPr="00A02F7C" w:rsidRDefault="00A02F7C" w:rsidP="00912024">
      <w:pPr>
        <w:pStyle w:val="ListParagraph"/>
        <w:numPr>
          <w:ilvl w:val="0"/>
          <w:numId w:val="36"/>
        </w:numPr>
        <w:rPr>
          <w:color w:val="000000" w:themeColor="text1"/>
        </w:rPr>
      </w:pPr>
      <w:r w:rsidRPr="00A02F7C">
        <w:rPr>
          <w:color w:val="000000" w:themeColor="text1"/>
        </w:rPr>
        <w:t>E</w:t>
      </w:r>
      <w:r w:rsidR="009A288E" w:rsidRPr="00A02F7C">
        <w:rPr>
          <w:color w:val="000000" w:themeColor="text1"/>
        </w:rPr>
        <w:t>ESK noterar att det inte finns någon tidsbegränsning eller annan mekanism som säkerställer att den tillfälliga åtgärden upphör att gälla när en mer långsiktig lösning hittas och uppmanar eftertryckligen rådet att ta fram sådana bestämmelser om den tillfälliga åtgärden införs.</w:t>
      </w:r>
    </w:p>
    <w:p w:rsidR="009A288E" w:rsidRPr="00A02F7C" w:rsidRDefault="009A288E" w:rsidP="00912024">
      <w:pPr>
        <w:rPr>
          <w:color w:val="000000" w:themeColor="text1"/>
        </w:rPr>
      </w:pPr>
    </w:p>
    <w:p w:rsidR="009A288E" w:rsidRPr="00A02F7C" w:rsidRDefault="009A288E" w:rsidP="00912024">
      <w:pPr>
        <w:pStyle w:val="ListParagraph"/>
        <w:numPr>
          <w:ilvl w:val="0"/>
          <w:numId w:val="36"/>
        </w:numPr>
        <w:rPr>
          <w:color w:val="000000" w:themeColor="text1"/>
        </w:rPr>
      </w:pPr>
      <w:r w:rsidRPr="00A02F7C">
        <w:rPr>
          <w:color w:val="000000" w:themeColor="text1"/>
        </w:rPr>
        <w:t>Förslaget att genomföra en omsättningsskatt har lett till en intensiv internationell debatt, vilket var ett av syftena med initiativet. Europa måste nu komma fram till en ge</w:t>
      </w:r>
      <w:r w:rsidR="007B5B5F" w:rsidRPr="00A02F7C">
        <w:rPr>
          <w:color w:val="000000" w:themeColor="text1"/>
        </w:rPr>
        <w:t>mensam ståndpunkt i </w:t>
      </w:r>
      <w:r w:rsidRPr="00A02F7C">
        <w:rPr>
          <w:color w:val="000000" w:themeColor="text1"/>
        </w:rPr>
        <w:t>de pågående diskussionerna inom OECD.</w:t>
      </w:r>
    </w:p>
    <w:p w:rsidR="009A288E" w:rsidRPr="00A02F7C" w:rsidRDefault="009A288E" w:rsidP="00912024">
      <w:pPr>
        <w:rPr>
          <w:color w:val="000000" w:themeColor="text1"/>
        </w:rPr>
      </w:pPr>
    </w:p>
    <w:p w:rsidR="009A288E" w:rsidRPr="00A02F7C" w:rsidRDefault="009A288E" w:rsidP="00912024">
      <w:pPr>
        <w:tabs>
          <w:tab w:val="left" w:pos="1418"/>
        </w:tabs>
        <w:ind w:right="-141"/>
        <w:rPr>
          <w:i/>
          <w:iCs/>
        </w:rPr>
      </w:pPr>
      <w:r w:rsidRPr="00A02F7C">
        <w:rPr>
          <w:b/>
          <w:bCs/>
          <w:i/>
          <w:iCs/>
        </w:rPr>
        <w:t>Kontaktperson:</w:t>
      </w:r>
      <w:r w:rsidR="007B5B5F" w:rsidRPr="00A02F7C">
        <w:rPr>
          <w:b/>
          <w:bCs/>
          <w:i/>
          <w:iCs/>
        </w:rPr>
        <w:t xml:space="preserve"> </w:t>
      </w:r>
      <w:proofErr w:type="spellStart"/>
      <w:r w:rsidRPr="00A02F7C">
        <w:rPr>
          <w:bCs/>
          <w:i/>
          <w:iCs/>
        </w:rPr>
        <w:t>Jüri</w:t>
      </w:r>
      <w:proofErr w:type="spellEnd"/>
      <w:r w:rsidRPr="00A02F7C">
        <w:rPr>
          <w:bCs/>
          <w:i/>
          <w:iCs/>
        </w:rPr>
        <w:t> </w:t>
      </w:r>
      <w:proofErr w:type="spellStart"/>
      <w:r w:rsidRPr="00A02F7C">
        <w:rPr>
          <w:bCs/>
          <w:i/>
          <w:iCs/>
        </w:rPr>
        <w:t>Soosaar</w:t>
      </w:r>
      <w:proofErr w:type="spellEnd"/>
    </w:p>
    <w:p w:rsidR="009A288E" w:rsidRPr="00A02F7C" w:rsidRDefault="009A288E" w:rsidP="00912024">
      <w:pPr>
        <w:tabs>
          <w:tab w:val="left" w:pos="1418"/>
        </w:tabs>
        <w:ind w:right="-141"/>
      </w:pPr>
      <w:r w:rsidRPr="00A02F7C">
        <w:rPr>
          <w:b/>
          <w:bCs/>
          <w:i/>
          <w:iCs/>
        </w:rPr>
        <w:tab/>
      </w:r>
      <w:r w:rsidRPr="00A02F7C">
        <w:rPr>
          <w:i/>
          <w:iCs/>
        </w:rPr>
        <w:t xml:space="preserve">(Tfn +32 25469740 – e-post: </w:t>
      </w:r>
      <w:hyperlink r:id="rId25" w:history="1">
        <w:r w:rsidRPr="00A02F7C">
          <w:rPr>
            <w:rStyle w:val="Hyperlink"/>
            <w:i/>
          </w:rPr>
          <w:t>Juri.Soosaar</w:t>
        </w:r>
        <w:r w:rsidRPr="00A02F7C">
          <w:rPr>
            <w:rStyle w:val="Hyperlink"/>
            <w:i/>
            <w:iCs/>
          </w:rPr>
          <w:t>@eesc.europa.eu</w:t>
        </w:r>
      </w:hyperlink>
      <w:r w:rsidRPr="00A02F7C">
        <w:rPr>
          <w:i/>
          <w:iCs/>
        </w:rPr>
        <w:t>)</w:t>
      </w:r>
    </w:p>
    <w:p w:rsidR="009A288E" w:rsidRPr="00A02F7C" w:rsidRDefault="009A288E" w:rsidP="00912024">
      <w:pPr>
        <w:rPr>
          <w:color w:val="000000" w:themeColor="text1"/>
        </w:rPr>
      </w:pPr>
    </w:p>
    <w:p w:rsidR="009A288E" w:rsidRPr="00A02F7C" w:rsidRDefault="009A288E" w:rsidP="00912024">
      <w:pPr>
        <w:pStyle w:val="ListParagraph"/>
        <w:numPr>
          <w:ilvl w:val="0"/>
          <w:numId w:val="51"/>
        </w:numPr>
        <w:overflowPunct w:val="0"/>
        <w:autoSpaceDE w:val="0"/>
        <w:autoSpaceDN w:val="0"/>
        <w:adjustRightInd w:val="0"/>
        <w:textAlignment w:val="baseline"/>
        <w:rPr>
          <w:b/>
          <w:i/>
          <w:sz w:val="28"/>
          <w:szCs w:val="28"/>
        </w:rPr>
      </w:pPr>
      <w:r w:rsidRPr="00A02F7C">
        <w:rPr>
          <w:b/>
          <w:i/>
          <w:sz w:val="28"/>
          <w:szCs w:val="28"/>
        </w:rPr>
        <w:t>EU:s tullområde – ändring</w:t>
      </w:r>
    </w:p>
    <w:p w:rsidR="009A288E" w:rsidRPr="00A02F7C" w:rsidRDefault="009A288E" w:rsidP="00912024">
      <w:pPr>
        <w:tabs>
          <w:tab w:val="center" w:pos="284"/>
        </w:tabs>
        <w:ind w:left="266" w:hanging="266"/>
      </w:pPr>
    </w:p>
    <w:p w:rsidR="009A288E" w:rsidRPr="00A02F7C" w:rsidRDefault="009A288E" w:rsidP="00912024">
      <w:pPr>
        <w:tabs>
          <w:tab w:val="left" w:pos="1701"/>
        </w:tabs>
        <w:ind w:left="-5"/>
      </w:pPr>
      <w:r w:rsidRPr="00A02F7C">
        <w:rPr>
          <w:b/>
          <w:bCs/>
        </w:rPr>
        <w:t>Referens:</w:t>
      </w:r>
      <w:r w:rsidR="007B5B5F" w:rsidRPr="00A02F7C">
        <w:rPr>
          <w:b/>
          <w:bCs/>
        </w:rPr>
        <w:tab/>
      </w:r>
      <w:r w:rsidRPr="00A02F7C">
        <w:t>COM(2018) 261 final – 2018/0124 (CNS)</w:t>
      </w:r>
    </w:p>
    <w:p w:rsidR="009A288E" w:rsidRPr="00A02F7C" w:rsidRDefault="009A288E" w:rsidP="00912024">
      <w:pPr>
        <w:tabs>
          <w:tab w:val="left" w:pos="1701"/>
        </w:tabs>
        <w:ind w:left="-5"/>
      </w:pPr>
      <w:r w:rsidRPr="00A02F7C">
        <w:rPr>
          <w:b/>
          <w:bCs/>
        </w:rPr>
        <w:tab/>
      </w:r>
      <w:r w:rsidRPr="00A02F7C">
        <w:t>EESC-201</w:t>
      </w:r>
      <w:r w:rsidR="00A02F7C" w:rsidRPr="00A02F7C">
        <w:t>8-0</w:t>
      </w:r>
      <w:r w:rsidRPr="00A02F7C">
        <w:t>293</w:t>
      </w:r>
      <w:r w:rsidR="00A02F7C" w:rsidRPr="00A02F7C">
        <w:t>0-00-0</w:t>
      </w:r>
      <w:r w:rsidRPr="00A02F7C">
        <w:t>0-AC-TRA</w:t>
      </w:r>
    </w:p>
    <w:p w:rsidR="009A288E" w:rsidRPr="00A02F7C" w:rsidRDefault="009A288E" w:rsidP="00912024">
      <w:pPr>
        <w:outlineLvl w:val="1"/>
      </w:pPr>
    </w:p>
    <w:p w:rsidR="009A288E" w:rsidRPr="00A02F7C" w:rsidRDefault="009A288E" w:rsidP="00912024">
      <w:pPr>
        <w:pStyle w:val="Heading2"/>
        <w:numPr>
          <w:ilvl w:val="0"/>
          <w:numId w:val="0"/>
        </w:numPr>
      </w:pPr>
      <w:r w:rsidRPr="00A02F7C">
        <w:t>Eftersom kommittén stöder kommissionens förslag, som inte föranleder några särskilda kommentarer, beslutade EESK att avge ett positivt yttrande om förslaget.</w:t>
      </w:r>
    </w:p>
    <w:p w:rsidR="009A288E" w:rsidRPr="00A02F7C" w:rsidRDefault="009A288E" w:rsidP="00912024">
      <w:pPr>
        <w:tabs>
          <w:tab w:val="center" w:pos="284"/>
        </w:tabs>
        <w:ind w:left="266" w:hanging="266"/>
        <w:rPr>
          <w:lang w:val="fr-BE"/>
        </w:rPr>
      </w:pPr>
    </w:p>
    <w:p w:rsidR="009A288E" w:rsidRPr="00A02F7C" w:rsidRDefault="009A288E" w:rsidP="00912024">
      <w:pPr>
        <w:tabs>
          <w:tab w:val="left" w:pos="0"/>
          <w:tab w:val="left" w:pos="1418"/>
        </w:tabs>
        <w:ind w:right="-141"/>
        <w:rPr>
          <w:i/>
          <w:iCs/>
        </w:rPr>
      </w:pPr>
      <w:r w:rsidRPr="00A02F7C">
        <w:rPr>
          <w:b/>
          <w:bCs/>
          <w:i/>
          <w:iCs/>
        </w:rPr>
        <w:t>Kontaktperson:</w:t>
      </w:r>
      <w:r w:rsidR="007B5B5F" w:rsidRPr="00A02F7C">
        <w:rPr>
          <w:b/>
          <w:bCs/>
          <w:i/>
          <w:iCs/>
        </w:rPr>
        <w:t xml:space="preserve"> </w:t>
      </w:r>
      <w:proofErr w:type="spellStart"/>
      <w:r w:rsidRPr="00A02F7C">
        <w:rPr>
          <w:bCs/>
          <w:i/>
          <w:iCs/>
        </w:rPr>
        <w:t>Jüri</w:t>
      </w:r>
      <w:proofErr w:type="spellEnd"/>
      <w:r w:rsidRPr="00A02F7C">
        <w:rPr>
          <w:bCs/>
          <w:i/>
          <w:iCs/>
        </w:rPr>
        <w:t> </w:t>
      </w:r>
      <w:proofErr w:type="spellStart"/>
      <w:r w:rsidRPr="00A02F7C">
        <w:rPr>
          <w:bCs/>
          <w:i/>
          <w:iCs/>
        </w:rPr>
        <w:t>Soosaar</w:t>
      </w:r>
      <w:proofErr w:type="spellEnd"/>
    </w:p>
    <w:p w:rsidR="009A288E" w:rsidRPr="00A02F7C" w:rsidRDefault="009A288E" w:rsidP="00912024">
      <w:pPr>
        <w:tabs>
          <w:tab w:val="left" w:pos="1418"/>
        </w:tabs>
        <w:rPr>
          <w:i/>
          <w:iCs/>
        </w:rPr>
      </w:pPr>
      <w:r w:rsidRPr="00A02F7C">
        <w:rPr>
          <w:i/>
          <w:iCs/>
        </w:rPr>
        <w:tab/>
        <w:t xml:space="preserve">(Tfn +32 25469740 – e-post: </w:t>
      </w:r>
      <w:hyperlink r:id="rId26" w:history="1">
        <w:r w:rsidRPr="00A02F7C">
          <w:rPr>
            <w:rStyle w:val="Hyperlink"/>
            <w:i/>
          </w:rPr>
          <w:t>Juri.Soosaar</w:t>
        </w:r>
        <w:r w:rsidRPr="00A02F7C">
          <w:rPr>
            <w:rStyle w:val="Hyperlink"/>
            <w:i/>
            <w:iCs/>
          </w:rPr>
          <w:t>@eesc.europa.eu</w:t>
        </w:r>
      </w:hyperlink>
      <w:r w:rsidRPr="00A02F7C">
        <w:rPr>
          <w:i/>
          <w:iCs/>
        </w:rPr>
        <w:t>)</w:t>
      </w:r>
    </w:p>
    <w:p w:rsidR="00481E81" w:rsidRPr="00A02F7C" w:rsidRDefault="00481E81" w:rsidP="00912024">
      <w:pPr>
        <w:ind w:left="-567"/>
        <w:rPr>
          <w:color w:val="000000" w:themeColor="text1"/>
          <w:sz w:val="16"/>
          <w:szCs w:val="16"/>
        </w:rPr>
      </w:pPr>
    </w:p>
    <w:p w:rsidR="009A288E" w:rsidRPr="00A02F7C" w:rsidRDefault="009A288E" w:rsidP="007B5B5F">
      <w:pPr>
        <w:pStyle w:val="ListParagraph"/>
        <w:keepNext/>
        <w:keepLines/>
        <w:numPr>
          <w:ilvl w:val="0"/>
          <w:numId w:val="52"/>
        </w:numPr>
        <w:overflowPunct w:val="0"/>
        <w:autoSpaceDE w:val="0"/>
        <w:autoSpaceDN w:val="0"/>
        <w:adjustRightInd w:val="0"/>
        <w:textAlignment w:val="baseline"/>
        <w:rPr>
          <w:b/>
          <w:i/>
          <w:sz w:val="28"/>
          <w:szCs w:val="28"/>
        </w:rPr>
      </w:pPr>
      <w:r w:rsidRPr="00A02F7C">
        <w:rPr>
          <w:b/>
          <w:i/>
          <w:sz w:val="28"/>
          <w:szCs w:val="28"/>
        </w:rPr>
        <w:lastRenderedPageBreak/>
        <w:t>Mervärdesskatt – Förlängning av det frivilliga förfarandet för omvänd betalningsskyldighet och mekanismen för snabba insatser</w:t>
      </w:r>
    </w:p>
    <w:p w:rsidR="009A288E" w:rsidRPr="00A02F7C" w:rsidRDefault="009A288E" w:rsidP="007B5B5F">
      <w:pPr>
        <w:keepNext/>
        <w:keepLines/>
        <w:tabs>
          <w:tab w:val="center" w:pos="284"/>
        </w:tabs>
        <w:ind w:left="266" w:hanging="266"/>
      </w:pPr>
    </w:p>
    <w:p w:rsidR="009A288E" w:rsidRPr="00A02F7C" w:rsidRDefault="009A288E" w:rsidP="007B5B5F">
      <w:pPr>
        <w:keepNext/>
        <w:keepLines/>
        <w:tabs>
          <w:tab w:val="left" w:pos="1701"/>
        </w:tabs>
        <w:ind w:left="-5"/>
      </w:pPr>
      <w:r w:rsidRPr="00A02F7C">
        <w:rPr>
          <w:b/>
          <w:bCs/>
        </w:rPr>
        <w:t>Referens:</w:t>
      </w:r>
      <w:r w:rsidR="007B5B5F" w:rsidRPr="00A02F7C">
        <w:rPr>
          <w:b/>
          <w:bCs/>
        </w:rPr>
        <w:tab/>
      </w:r>
      <w:r w:rsidRPr="00A02F7C">
        <w:t>COM(2018) 298 final - 2018/0150 (CNS)</w:t>
      </w:r>
    </w:p>
    <w:p w:rsidR="009A288E" w:rsidRPr="00A02F7C" w:rsidRDefault="009A288E" w:rsidP="007B5B5F">
      <w:pPr>
        <w:keepNext/>
        <w:keepLines/>
        <w:tabs>
          <w:tab w:val="left" w:pos="1701"/>
        </w:tabs>
        <w:ind w:left="-5"/>
      </w:pPr>
      <w:r w:rsidRPr="00A02F7C">
        <w:rPr>
          <w:b/>
          <w:bCs/>
        </w:rPr>
        <w:tab/>
      </w:r>
      <w:r w:rsidRPr="00A02F7C">
        <w:t>EESC-201</w:t>
      </w:r>
      <w:r w:rsidR="00A02F7C" w:rsidRPr="00A02F7C">
        <w:t>8-0</w:t>
      </w:r>
      <w:r w:rsidRPr="00A02F7C">
        <w:t>352</w:t>
      </w:r>
      <w:r w:rsidR="00A02F7C" w:rsidRPr="00A02F7C">
        <w:t>2-00-0</w:t>
      </w:r>
      <w:r w:rsidRPr="00A02F7C">
        <w:t>0-AC-TRA</w:t>
      </w:r>
    </w:p>
    <w:p w:rsidR="009A288E" w:rsidRPr="00A02F7C" w:rsidRDefault="009A288E" w:rsidP="007B5B5F">
      <w:pPr>
        <w:keepNext/>
        <w:keepLines/>
        <w:outlineLvl w:val="1"/>
        <w:rPr>
          <w:sz w:val="16"/>
          <w:szCs w:val="16"/>
        </w:rPr>
      </w:pPr>
    </w:p>
    <w:p w:rsidR="009A288E" w:rsidRPr="00A02F7C" w:rsidRDefault="009A288E" w:rsidP="00912024">
      <w:pPr>
        <w:pStyle w:val="Heading2"/>
        <w:numPr>
          <w:ilvl w:val="0"/>
          <w:numId w:val="0"/>
        </w:numPr>
      </w:pPr>
      <w:r w:rsidRPr="00A02F7C">
        <w:t>Eftersom kommittén stöder kommissionens förslag, som inte föranleder några särskilda kommentarer, beslutade EESK att avge ett positivt yttrande om förslaget.</w:t>
      </w:r>
    </w:p>
    <w:p w:rsidR="009A288E" w:rsidRPr="00A02F7C" w:rsidRDefault="009A288E" w:rsidP="00912024">
      <w:pPr>
        <w:tabs>
          <w:tab w:val="center" w:pos="284"/>
        </w:tabs>
        <w:ind w:left="266" w:hanging="266"/>
        <w:rPr>
          <w:sz w:val="16"/>
          <w:szCs w:val="16"/>
          <w:lang w:val="fr-BE"/>
        </w:rPr>
      </w:pPr>
    </w:p>
    <w:p w:rsidR="009A288E" w:rsidRPr="00A02F7C" w:rsidRDefault="009A288E" w:rsidP="00912024">
      <w:pPr>
        <w:tabs>
          <w:tab w:val="left" w:pos="0"/>
          <w:tab w:val="left" w:pos="1418"/>
        </w:tabs>
        <w:ind w:right="-141"/>
        <w:rPr>
          <w:i/>
          <w:iCs/>
        </w:rPr>
      </w:pPr>
      <w:r w:rsidRPr="00A02F7C">
        <w:rPr>
          <w:b/>
          <w:bCs/>
          <w:i/>
          <w:iCs/>
        </w:rPr>
        <w:t>Kontaktperson:</w:t>
      </w:r>
      <w:r w:rsidR="007B5B5F" w:rsidRPr="00A02F7C">
        <w:rPr>
          <w:b/>
          <w:bCs/>
          <w:i/>
          <w:iCs/>
        </w:rPr>
        <w:t xml:space="preserve"> </w:t>
      </w:r>
      <w:proofErr w:type="spellStart"/>
      <w:r w:rsidRPr="00A02F7C">
        <w:rPr>
          <w:bCs/>
          <w:i/>
          <w:iCs/>
        </w:rPr>
        <w:t>Jüri</w:t>
      </w:r>
      <w:proofErr w:type="spellEnd"/>
      <w:r w:rsidRPr="00A02F7C">
        <w:rPr>
          <w:bCs/>
          <w:i/>
          <w:iCs/>
        </w:rPr>
        <w:t> </w:t>
      </w:r>
      <w:proofErr w:type="spellStart"/>
      <w:r w:rsidRPr="00A02F7C">
        <w:rPr>
          <w:bCs/>
          <w:i/>
          <w:iCs/>
        </w:rPr>
        <w:t>Soosaar</w:t>
      </w:r>
      <w:proofErr w:type="spellEnd"/>
    </w:p>
    <w:p w:rsidR="009A288E" w:rsidRPr="00A02F7C" w:rsidRDefault="009A288E" w:rsidP="00912024">
      <w:pPr>
        <w:tabs>
          <w:tab w:val="left" w:pos="1418"/>
        </w:tabs>
      </w:pPr>
      <w:r w:rsidRPr="00A02F7C">
        <w:rPr>
          <w:i/>
          <w:iCs/>
        </w:rPr>
        <w:tab/>
        <w:t xml:space="preserve">(Tfn +32 25469740 – e-post: </w:t>
      </w:r>
      <w:hyperlink r:id="rId27" w:history="1">
        <w:r w:rsidRPr="00A02F7C">
          <w:rPr>
            <w:rStyle w:val="Hyperlink"/>
            <w:i/>
          </w:rPr>
          <w:t>Juri.Soosaar</w:t>
        </w:r>
        <w:r w:rsidRPr="00A02F7C">
          <w:rPr>
            <w:rStyle w:val="Hyperlink"/>
            <w:i/>
            <w:iCs/>
          </w:rPr>
          <w:t>@eesc.europa.eu</w:t>
        </w:r>
      </w:hyperlink>
      <w:r w:rsidRPr="00A02F7C">
        <w:rPr>
          <w:i/>
          <w:iCs/>
        </w:rPr>
        <w:t>)</w:t>
      </w:r>
    </w:p>
    <w:p w:rsidR="00B73A91" w:rsidRPr="00A02F7C" w:rsidRDefault="00B73A91" w:rsidP="00912024">
      <w:pPr>
        <w:jc w:val="left"/>
        <w:rPr>
          <w:lang w:val="en-GB"/>
        </w:rPr>
      </w:pPr>
    </w:p>
    <w:p w:rsidR="00A43397" w:rsidRPr="00A02F7C" w:rsidRDefault="000C491C" w:rsidP="00912024">
      <w:pPr>
        <w:pStyle w:val="Heading1"/>
        <w:ind w:left="567" w:hanging="567"/>
        <w:rPr>
          <w:b/>
          <w:caps/>
        </w:rPr>
      </w:pPr>
      <w:bookmarkStart w:id="1" w:name="_Toc514234401"/>
      <w:bookmarkStart w:id="2" w:name="_Toc514234649"/>
      <w:bookmarkStart w:id="3" w:name="_Toc514234896"/>
      <w:bookmarkStart w:id="4" w:name="_Toc514235021"/>
      <w:bookmarkStart w:id="5" w:name="_Toc514235145"/>
      <w:bookmarkStart w:id="6" w:name="_Toc514235268"/>
      <w:bookmarkStart w:id="7" w:name="_Toc514235388"/>
      <w:bookmarkStart w:id="8" w:name="_Toc514235506"/>
      <w:bookmarkStart w:id="9" w:name="_Toc514235624"/>
      <w:bookmarkStart w:id="10" w:name="_Toc514234402"/>
      <w:bookmarkStart w:id="11" w:name="_Toc514234650"/>
      <w:bookmarkStart w:id="12" w:name="_Toc514234897"/>
      <w:bookmarkStart w:id="13" w:name="_Toc514235022"/>
      <w:bookmarkStart w:id="14" w:name="_Toc514235146"/>
      <w:bookmarkStart w:id="15" w:name="_Toc514235269"/>
      <w:bookmarkStart w:id="16" w:name="_Toc514235389"/>
      <w:bookmarkStart w:id="17" w:name="_Toc514235507"/>
      <w:bookmarkStart w:id="18" w:name="_Toc514235625"/>
      <w:bookmarkStart w:id="19" w:name="_Toc514234403"/>
      <w:bookmarkStart w:id="20" w:name="_Toc514234651"/>
      <w:bookmarkStart w:id="21" w:name="_Toc514234898"/>
      <w:bookmarkStart w:id="22" w:name="_Toc514235023"/>
      <w:bookmarkStart w:id="23" w:name="_Toc514235147"/>
      <w:bookmarkStart w:id="24" w:name="_Toc514235270"/>
      <w:bookmarkStart w:id="25" w:name="_Toc514235390"/>
      <w:bookmarkStart w:id="26" w:name="_Toc514235508"/>
      <w:bookmarkStart w:id="27" w:name="_Toc514235626"/>
      <w:bookmarkStart w:id="28" w:name="_Toc514234404"/>
      <w:bookmarkStart w:id="29" w:name="_Toc514234652"/>
      <w:bookmarkStart w:id="30" w:name="_Toc514234899"/>
      <w:bookmarkStart w:id="31" w:name="_Toc514235024"/>
      <w:bookmarkStart w:id="32" w:name="_Toc514235148"/>
      <w:bookmarkStart w:id="33" w:name="_Toc514235271"/>
      <w:bookmarkStart w:id="34" w:name="_Toc514235391"/>
      <w:bookmarkStart w:id="35" w:name="_Toc514235509"/>
      <w:bookmarkStart w:id="36" w:name="_Toc514235627"/>
      <w:bookmarkStart w:id="37" w:name="_Toc514234405"/>
      <w:bookmarkStart w:id="38" w:name="_Toc514234653"/>
      <w:bookmarkStart w:id="39" w:name="_Toc514234900"/>
      <w:bookmarkStart w:id="40" w:name="_Toc514235025"/>
      <w:bookmarkStart w:id="41" w:name="_Toc514235149"/>
      <w:bookmarkStart w:id="42" w:name="_Toc514235272"/>
      <w:bookmarkStart w:id="43" w:name="_Toc514235392"/>
      <w:bookmarkStart w:id="44" w:name="_Toc514235510"/>
      <w:bookmarkStart w:id="45" w:name="_Toc514235628"/>
      <w:bookmarkStart w:id="46" w:name="_Toc514234406"/>
      <w:bookmarkStart w:id="47" w:name="_Toc514234654"/>
      <w:bookmarkStart w:id="48" w:name="_Toc514234901"/>
      <w:bookmarkStart w:id="49" w:name="_Toc514235026"/>
      <w:bookmarkStart w:id="50" w:name="_Toc514235150"/>
      <w:bookmarkStart w:id="51" w:name="_Toc514235273"/>
      <w:bookmarkStart w:id="52" w:name="_Toc514235393"/>
      <w:bookmarkStart w:id="53" w:name="_Toc514235511"/>
      <w:bookmarkStart w:id="54" w:name="_Toc514235629"/>
      <w:bookmarkStart w:id="55" w:name="_Toc514234407"/>
      <w:bookmarkStart w:id="56" w:name="_Toc514234655"/>
      <w:bookmarkStart w:id="57" w:name="_Toc514234902"/>
      <w:bookmarkStart w:id="58" w:name="_Toc514235027"/>
      <w:bookmarkStart w:id="59" w:name="_Toc514235151"/>
      <w:bookmarkStart w:id="60" w:name="_Toc514235274"/>
      <w:bookmarkStart w:id="61" w:name="_Toc514235394"/>
      <w:bookmarkStart w:id="62" w:name="_Toc514235512"/>
      <w:bookmarkStart w:id="63" w:name="_Toc514235630"/>
      <w:bookmarkStart w:id="64" w:name="_Toc514234408"/>
      <w:bookmarkStart w:id="65" w:name="_Toc514234656"/>
      <w:bookmarkStart w:id="66" w:name="_Toc514234903"/>
      <w:bookmarkStart w:id="67" w:name="_Toc514235028"/>
      <w:bookmarkStart w:id="68" w:name="_Toc514235152"/>
      <w:bookmarkStart w:id="69" w:name="_Toc514235275"/>
      <w:bookmarkStart w:id="70" w:name="_Toc514235395"/>
      <w:bookmarkStart w:id="71" w:name="_Toc514235513"/>
      <w:bookmarkStart w:id="72" w:name="_Toc514235631"/>
      <w:bookmarkStart w:id="73" w:name="_Toc514234409"/>
      <w:bookmarkStart w:id="74" w:name="_Toc514234657"/>
      <w:bookmarkStart w:id="75" w:name="_Toc514234904"/>
      <w:bookmarkStart w:id="76" w:name="_Toc514235029"/>
      <w:bookmarkStart w:id="77" w:name="_Toc514235153"/>
      <w:bookmarkStart w:id="78" w:name="_Toc514235276"/>
      <w:bookmarkStart w:id="79" w:name="_Toc514235396"/>
      <w:bookmarkStart w:id="80" w:name="_Toc514235514"/>
      <w:bookmarkStart w:id="81" w:name="_Toc514235632"/>
      <w:bookmarkStart w:id="82" w:name="_Toc514234410"/>
      <w:bookmarkStart w:id="83" w:name="_Toc514234658"/>
      <w:bookmarkStart w:id="84" w:name="_Toc514234905"/>
      <w:bookmarkStart w:id="85" w:name="_Toc514235030"/>
      <w:bookmarkStart w:id="86" w:name="_Toc514235154"/>
      <w:bookmarkStart w:id="87" w:name="_Toc514235277"/>
      <w:bookmarkStart w:id="88" w:name="_Toc514235397"/>
      <w:bookmarkStart w:id="89" w:name="_Toc514235515"/>
      <w:bookmarkStart w:id="90" w:name="_Toc514235633"/>
      <w:bookmarkStart w:id="91" w:name="_Toc514234411"/>
      <w:bookmarkStart w:id="92" w:name="_Toc514234659"/>
      <w:bookmarkStart w:id="93" w:name="_Toc514234906"/>
      <w:bookmarkStart w:id="94" w:name="_Toc514235031"/>
      <w:bookmarkStart w:id="95" w:name="_Toc514235155"/>
      <w:bookmarkStart w:id="96" w:name="_Toc514235278"/>
      <w:bookmarkStart w:id="97" w:name="_Toc514235398"/>
      <w:bookmarkStart w:id="98" w:name="_Toc514235516"/>
      <w:bookmarkStart w:id="99" w:name="_Toc514235634"/>
      <w:bookmarkStart w:id="100" w:name="_Toc514234412"/>
      <w:bookmarkStart w:id="101" w:name="_Toc514234660"/>
      <w:bookmarkStart w:id="102" w:name="_Toc514234907"/>
      <w:bookmarkStart w:id="103" w:name="_Toc514235032"/>
      <w:bookmarkStart w:id="104" w:name="_Toc514235156"/>
      <w:bookmarkStart w:id="105" w:name="_Toc514235279"/>
      <w:bookmarkStart w:id="106" w:name="_Toc514235399"/>
      <w:bookmarkStart w:id="107" w:name="_Toc514235517"/>
      <w:bookmarkStart w:id="108" w:name="_Toc514235635"/>
      <w:bookmarkStart w:id="109" w:name="_Toc514234413"/>
      <w:bookmarkStart w:id="110" w:name="_Toc514234661"/>
      <w:bookmarkStart w:id="111" w:name="_Toc514234908"/>
      <w:bookmarkStart w:id="112" w:name="_Toc514235033"/>
      <w:bookmarkStart w:id="113" w:name="_Toc514235157"/>
      <w:bookmarkStart w:id="114" w:name="_Toc514235280"/>
      <w:bookmarkStart w:id="115" w:name="_Toc514235400"/>
      <w:bookmarkStart w:id="116" w:name="_Toc514235518"/>
      <w:bookmarkStart w:id="117" w:name="_Toc514235636"/>
      <w:bookmarkStart w:id="118" w:name="_Toc514234414"/>
      <w:bookmarkStart w:id="119" w:name="_Toc514234662"/>
      <w:bookmarkStart w:id="120" w:name="_Toc514234909"/>
      <w:bookmarkStart w:id="121" w:name="_Toc514235034"/>
      <w:bookmarkStart w:id="122" w:name="_Toc514235158"/>
      <w:bookmarkStart w:id="123" w:name="_Toc514235281"/>
      <w:bookmarkStart w:id="124" w:name="_Toc514235401"/>
      <w:bookmarkStart w:id="125" w:name="_Toc514235519"/>
      <w:bookmarkStart w:id="126" w:name="_Toc514235637"/>
      <w:bookmarkStart w:id="127" w:name="_Toc514234415"/>
      <w:bookmarkStart w:id="128" w:name="_Toc514234663"/>
      <w:bookmarkStart w:id="129" w:name="_Toc514234910"/>
      <w:bookmarkStart w:id="130" w:name="_Toc514235035"/>
      <w:bookmarkStart w:id="131" w:name="_Toc514235159"/>
      <w:bookmarkStart w:id="132" w:name="_Toc514235282"/>
      <w:bookmarkStart w:id="133" w:name="_Toc514235402"/>
      <w:bookmarkStart w:id="134" w:name="_Toc514235520"/>
      <w:bookmarkStart w:id="135" w:name="_Toc514235638"/>
      <w:bookmarkStart w:id="136" w:name="_Toc514234416"/>
      <w:bookmarkStart w:id="137" w:name="_Toc514234664"/>
      <w:bookmarkStart w:id="138" w:name="_Toc514234911"/>
      <w:bookmarkStart w:id="139" w:name="_Toc514235036"/>
      <w:bookmarkStart w:id="140" w:name="_Toc514235160"/>
      <w:bookmarkStart w:id="141" w:name="_Toc514235283"/>
      <w:bookmarkStart w:id="142" w:name="_Toc514235403"/>
      <w:bookmarkStart w:id="143" w:name="_Toc514235521"/>
      <w:bookmarkStart w:id="144" w:name="_Toc514235639"/>
      <w:bookmarkStart w:id="145" w:name="_Toc514234417"/>
      <w:bookmarkStart w:id="146" w:name="_Toc514234665"/>
      <w:bookmarkStart w:id="147" w:name="_Toc514234912"/>
      <w:bookmarkStart w:id="148" w:name="_Toc514235037"/>
      <w:bookmarkStart w:id="149" w:name="_Toc514235161"/>
      <w:bookmarkStart w:id="150" w:name="_Toc514235284"/>
      <w:bookmarkStart w:id="151" w:name="_Toc514235404"/>
      <w:bookmarkStart w:id="152" w:name="_Toc514235522"/>
      <w:bookmarkStart w:id="153" w:name="_Toc514235640"/>
      <w:bookmarkStart w:id="154" w:name="_Toc514234418"/>
      <w:bookmarkStart w:id="155" w:name="_Toc514234666"/>
      <w:bookmarkStart w:id="156" w:name="_Toc514234913"/>
      <w:bookmarkStart w:id="157" w:name="_Toc514235038"/>
      <w:bookmarkStart w:id="158" w:name="_Toc514235162"/>
      <w:bookmarkStart w:id="159" w:name="_Toc514235285"/>
      <w:bookmarkStart w:id="160" w:name="_Toc514235405"/>
      <w:bookmarkStart w:id="161" w:name="_Toc514235523"/>
      <w:bookmarkStart w:id="162" w:name="_Toc514235641"/>
      <w:bookmarkStart w:id="163" w:name="_Toc514234419"/>
      <w:bookmarkStart w:id="164" w:name="_Toc514234667"/>
      <w:bookmarkStart w:id="165" w:name="_Toc514234914"/>
      <w:bookmarkStart w:id="166" w:name="_Toc514235039"/>
      <w:bookmarkStart w:id="167" w:name="_Toc514235163"/>
      <w:bookmarkStart w:id="168" w:name="_Toc514235286"/>
      <w:bookmarkStart w:id="169" w:name="_Toc514235406"/>
      <w:bookmarkStart w:id="170" w:name="_Toc514235524"/>
      <w:bookmarkStart w:id="171" w:name="_Toc514235642"/>
      <w:bookmarkStart w:id="172" w:name="_Toc514234420"/>
      <w:bookmarkStart w:id="173" w:name="_Toc514234668"/>
      <w:bookmarkStart w:id="174" w:name="_Toc514234915"/>
      <w:bookmarkStart w:id="175" w:name="_Toc514235040"/>
      <w:bookmarkStart w:id="176" w:name="_Toc514235164"/>
      <w:bookmarkStart w:id="177" w:name="_Toc514235287"/>
      <w:bookmarkStart w:id="178" w:name="_Toc514235407"/>
      <w:bookmarkStart w:id="179" w:name="_Toc514235525"/>
      <w:bookmarkStart w:id="180" w:name="_Toc514235643"/>
      <w:bookmarkStart w:id="181" w:name="_Toc514234421"/>
      <w:bookmarkStart w:id="182" w:name="_Toc514234669"/>
      <w:bookmarkStart w:id="183" w:name="_Toc514234916"/>
      <w:bookmarkStart w:id="184" w:name="_Toc514235041"/>
      <w:bookmarkStart w:id="185" w:name="_Toc514235165"/>
      <w:bookmarkStart w:id="186" w:name="_Toc514235288"/>
      <w:bookmarkStart w:id="187" w:name="_Toc514235408"/>
      <w:bookmarkStart w:id="188" w:name="_Toc514235526"/>
      <w:bookmarkStart w:id="189" w:name="_Toc514235644"/>
      <w:bookmarkStart w:id="190" w:name="_Toc514234422"/>
      <w:bookmarkStart w:id="191" w:name="_Toc514234670"/>
      <w:bookmarkStart w:id="192" w:name="_Toc514234917"/>
      <w:bookmarkStart w:id="193" w:name="_Toc514235042"/>
      <w:bookmarkStart w:id="194" w:name="_Toc514235166"/>
      <w:bookmarkStart w:id="195" w:name="_Toc514235289"/>
      <w:bookmarkStart w:id="196" w:name="_Toc514235409"/>
      <w:bookmarkStart w:id="197" w:name="_Toc514235527"/>
      <w:bookmarkStart w:id="198" w:name="_Toc514235645"/>
      <w:bookmarkStart w:id="199" w:name="_Toc514234423"/>
      <w:bookmarkStart w:id="200" w:name="_Toc514234671"/>
      <w:bookmarkStart w:id="201" w:name="_Toc514234918"/>
      <w:bookmarkStart w:id="202" w:name="_Toc514235043"/>
      <w:bookmarkStart w:id="203" w:name="_Toc514235167"/>
      <w:bookmarkStart w:id="204" w:name="_Toc514235290"/>
      <w:bookmarkStart w:id="205" w:name="_Toc514235410"/>
      <w:bookmarkStart w:id="206" w:name="_Toc514235528"/>
      <w:bookmarkStart w:id="207" w:name="_Toc514235646"/>
      <w:bookmarkStart w:id="208" w:name="_Toc514234424"/>
      <w:bookmarkStart w:id="209" w:name="_Toc514234672"/>
      <w:bookmarkStart w:id="210" w:name="_Toc514234919"/>
      <w:bookmarkStart w:id="211" w:name="_Toc514235044"/>
      <w:bookmarkStart w:id="212" w:name="_Toc514235168"/>
      <w:bookmarkStart w:id="213" w:name="_Toc514235291"/>
      <w:bookmarkStart w:id="214" w:name="_Toc514235411"/>
      <w:bookmarkStart w:id="215" w:name="_Toc514235529"/>
      <w:bookmarkStart w:id="216" w:name="_Toc514235647"/>
      <w:bookmarkStart w:id="217" w:name="_Toc514234425"/>
      <w:bookmarkStart w:id="218" w:name="_Toc514234673"/>
      <w:bookmarkStart w:id="219" w:name="_Toc514234920"/>
      <w:bookmarkStart w:id="220" w:name="_Toc514235045"/>
      <w:bookmarkStart w:id="221" w:name="_Toc514235169"/>
      <w:bookmarkStart w:id="222" w:name="_Toc514235292"/>
      <w:bookmarkStart w:id="223" w:name="_Toc514235412"/>
      <w:bookmarkStart w:id="224" w:name="_Toc514235530"/>
      <w:bookmarkStart w:id="225" w:name="_Toc514235648"/>
      <w:bookmarkStart w:id="226" w:name="_Toc514234426"/>
      <w:bookmarkStart w:id="227" w:name="_Toc514234674"/>
      <w:bookmarkStart w:id="228" w:name="_Toc514234921"/>
      <w:bookmarkStart w:id="229" w:name="_Toc514235046"/>
      <w:bookmarkStart w:id="230" w:name="_Toc514235170"/>
      <w:bookmarkStart w:id="231" w:name="_Toc514235293"/>
      <w:bookmarkStart w:id="232" w:name="_Toc514235413"/>
      <w:bookmarkStart w:id="233" w:name="_Toc514235531"/>
      <w:bookmarkStart w:id="234" w:name="_Toc514235649"/>
      <w:bookmarkStart w:id="235" w:name="_Toc514234427"/>
      <w:bookmarkStart w:id="236" w:name="_Toc514234675"/>
      <w:bookmarkStart w:id="237" w:name="_Toc514234922"/>
      <w:bookmarkStart w:id="238" w:name="_Toc514235047"/>
      <w:bookmarkStart w:id="239" w:name="_Toc514235171"/>
      <w:bookmarkStart w:id="240" w:name="_Toc514235294"/>
      <w:bookmarkStart w:id="241" w:name="_Toc514235414"/>
      <w:bookmarkStart w:id="242" w:name="_Toc514235532"/>
      <w:bookmarkStart w:id="243" w:name="_Toc514235650"/>
      <w:bookmarkStart w:id="244" w:name="_Toc514234428"/>
      <w:bookmarkStart w:id="245" w:name="_Toc514234676"/>
      <w:bookmarkStart w:id="246" w:name="_Toc514234923"/>
      <w:bookmarkStart w:id="247" w:name="_Toc514235048"/>
      <w:bookmarkStart w:id="248" w:name="_Toc514235172"/>
      <w:bookmarkStart w:id="249" w:name="_Toc514235295"/>
      <w:bookmarkStart w:id="250" w:name="_Toc514235415"/>
      <w:bookmarkStart w:id="251" w:name="_Toc514235533"/>
      <w:bookmarkStart w:id="252" w:name="_Toc514235651"/>
      <w:bookmarkStart w:id="253" w:name="_Toc514234429"/>
      <w:bookmarkStart w:id="254" w:name="_Toc514234677"/>
      <w:bookmarkStart w:id="255" w:name="_Toc514234924"/>
      <w:bookmarkStart w:id="256" w:name="_Toc514235049"/>
      <w:bookmarkStart w:id="257" w:name="_Toc514235173"/>
      <w:bookmarkStart w:id="258" w:name="_Toc514235296"/>
      <w:bookmarkStart w:id="259" w:name="_Toc514235416"/>
      <w:bookmarkStart w:id="260" w:name="_Toc514235534"/>
      <w:bookmarkStart w:id="261" w:name="_Toc514235652"/>
      <w:bookmarkStart w:id="262" w:name="_Toc514234430"/>
      <w:bookmarkStart w:id="263" w:name="_Toc514234678"/>
      <w:bookmarkStart w:id="264" w:name="_Toc514234925"/>
      <w:bookmarkStart w:id="265" w:name="_Toc514235050"/>
      <w:bookmarkStart w:id="266" w:name="_Toc514235174"/>
      <w:bookmarkStart w:id="267" w:name="_Toc514235297"/>
      <w:bookmarkStart w:id="268" w:name="_Toc514235417"/>
      <w:bookmarkStart w:id="269" w:name="_Toc514235535"/>
      <w:bookmarkStart w:id="270" w:name="_Toc514235653"/>
      <w:bookmarkStart w:id="271" w:name="_Toc514234431"/>
      <w:bookmarkStart w:id="272" w:name="_Toc514234679"/>
      <w:bookmarkStart w:id="273" w:name="_Toc514234926"/>
      <w:bookmarkStart w:id="274" w:name="_Toc514235051"/>
      <w:bookmarkStart w:id="275" w:name="_Toc514235175"/>
      <w:bookmarkStart w:id="276" w:name="_Toc514235298"/>
      <w:bookmarkStart w:id="277" w:name="_Toc514235418"/>
      <w:bookmarkStart w:id="278" w:name="_Toc514235536"/>
      <w:bookmarkStart w:id="279" w:name="_Toc514235654"/>
      <w:bookmarkStart w:id="280" w:name="_Toc514234432"/>
      <w:bookmarkStart w:id="281" w:name="_Toc514234680"/>
      <w:bookmarkStart w:id="282" w:name="_Toc514234927"/>
      <w:bookmarkStart w:id="283" w:name="_Toc514235052"/>
      <w:bookmarkStart w:id="284" w:name="_Toc514235176"/>
      <w:bookmarkStart w:id="285" w:name="_Toc514235299"/>
      <w:bookmarkStart w:id="286" w:name="_Toc514235419"/>
      <w:bookmarkStart w:id="287" w:name="_Toc514235537"/>
      <w:bookmarkStart w:id="288" w:name="_Toc514235655"/>
      <w:bookmarkStart w:id="289" w:name="_Toc514234433"/>
      <w:bookmarkStart w:id="290" w:name="_Toc514234681"/>
      <w:bookmarkStart w:id="291" w:name="_Toc514234928"/>
      <w:bookmarkStart w:id="292" w:name="_Toc514235053"/>
      <w:bookmarkStart w:id="293" w:name="_Toc514235177"/>
      <w:bookmarkStart w:id="294" w:name="_Toc514235300"/>
      <w:bookmarkStart w:id="295" w:name="_Toc514235420"/>
      <w:bookmarkStart w:id="296" w:name="_Toc514235538"/>
      <w:bookmarkStart w:id="297" w:name="_Toc514235656"/>
      <w:bookmarkStart w:id="298" w:name="_Toc514234434"/>
      <w:bookmarkStart w:id="299" w:name="_Toc514234682"/>
      <w:bookmarkStart w:id="300" w:name="_Toc514234929"/>
      <w:bookmarkStart w:id="301" w:name="_Toc514235054"/>
      <w:bookmarkStart w:id="302" w:name="_Toc514235178"/>
      <w:bookmarkStart w:id="303" w:name="_Toc514235301"/>
      <w:bookmarkStart w:id="304" w:name="_Toc514235421"/>
      <w:bookmarkStart w:id="305" w:name="_Toc514235539"/>
      <w:bookmarkStart w:id="306" w:name="_Toc514235657"/>
      <w:bookmarkStart w:id="307" w:name="_Toc514234435"/>
      <w:bookmarkStart w:id="308" w:name="_Toc514234683"/>
      <w:bookmarkStart w:id="309" w:name="_Toc514234930"/>
      <w:bookmarkStart w:id="310" w:name="_Toc514235055"/>
      <w:bookmarkStart w:id="311" w:name="_Toc514235179"/>
      <w:bookmarkStart w:id="312" w:name="_Toc514235302"/>
      <w:bookmarkStart w:id="313" w:name="_Toc514235422"/>
      <w:bookmarkStart w:id="314" w:name="_Toc514235540"/>
      <w:bookmarkStart w:id="315" w:name="_Toc514235658"/>
      <w:bookmarkStart w:id="316" w:name="_Toc514234436"/>
      <w:bookmarkStart w:id="317" w:name="_Toc514234684"/>
      <w:bookmarkStart w:id="318" w:name="_Toc514234931"/>
      <w:bookmarkStart w:id="319" w:name="_Toc514235056"/>
      <w:bookmarkStart w:id="320" w:name="_Toc514235180"/>
      <w:bookmarkStart w:id="321" w:name="_Toc514235303"/>
      <w:bookmarkStart w:id="322" w:name="_Toc514235423"/>
      <w:bookmarkStart w:id="323" w:name="_Toc514235541"/>
      <w:bookmarkStart w:id="324" w:name="_Toc514235659"/>
      <w:bookmarkStart w:id="325" w:name="_Toc514234437"/>
      <w:bookmarkStart w:id="326" w:name="_Toc514234685"/>
      <w:bookmarkStart w:id="327" w:name="_Toc514234932"/>
      <w:bookmarkStart w:id="328" w:name="_Toc514235057"/>
      <w:bookmarkStart w:id="329" w:name="_Toc514235181"/>
      <w:bookmarkStart w:id="330" w:name="_Toc514235304"/>
      <w:bookmarkStart w:id="331" w:name="_Toc514235424"/>
      <w:bookmarkStart w:id="332" w:name="_Toc514235542"/>
      <w:bookmarkStart w:id="333" w:name="_Toc514235660"/>
      <w:bookmarkStart w:id="334" w:name="_Toc514234438"/>
      <w:bookmarkStart w:id="335" w:name="_Toc514234686"/>
      <w:bookmarkStart w:id="336" w:name="_Toc514234933"/>
      <w:bookmarkStart w:id="337" w:name="_Toc514235058"/>
      <w:bookmarkStart w:id="338" w:name="_Toc514235182"/>
      <w:bookmarkStart w:id="339" w:name="_Toc514235305"/>
      <w:bookmarkStart w:id="340" w:name="_Toc514235425"/>
      <w:bookmarkStart w:id="341" w:name="_Toc514235543"/>
      <w:bookmarkStart w:id="342" w:name="_Toc514235661"/>
      <w:bookmarkStart w:id="343" w:name="_Toc514234439"/>
      <w:bookmarkStart w:id="344" w:name="_Toc514234687"/>
      <w:bookmarkStart w:id="345" w:name="_Toc514234934"/>
      <w:bookmarkStart w:id="346" w:name="_Toc514235059"/>
      <w:bookmarkStart w:id="347" w:name="_Toc514235183"/>
      <w:bookmarkStart w:id="348" w:name="_Toc514235306"/>
      <w:bookmarkStart w:id="349" w:name="_Toc514235426"/>
      <w:bookmarkStart w:id="350" w:name="_Toc514235544"/>
      <w:bookmarkStart w:id="351" w:name="_Toc514235662"/>
      <w:bookmarkStart w:id="352" w:name="_Toc514234440"/>
      <w:bookmarkStart w:id="353" w:name="_Toc514234688"/>
      <w:bookmarkStart w:id="354" w:name="_Toc514234935"/>
      <w:bookmarkStart w:id="355" w:name="_Toc514235060"/>
      <w:bookmarkStart w:id="356" w:name="_Toc514235184"/>
      <w:bookmarkStart w:id="357" w:name="_Toc514235307"/>
      <w:bookmarkStart w:id="358" w:name="_Toc514235427"/>
      <w:bookmarkStart w:id="359" w:name="_Toc514235545"/>
      <w:bookmarkStart w:id="360" w:name="_Toc514235663"/>
      <w:bookmarkStart w:id="361" w:name="_Toc514234441"/>
      <w:bookmarkStart w:id="362" w:name="_Toc514234689"/>
      <w:bookmarkStart w:id="363" w:name="_Toc514234936"/>
      <w:bookmarkStart w:id="364" w:name="_Toc514235061"/>
      <w:bookmarkStart w:id="365" w:name="_Toc514235185"/>
      <w:bookmarkStart w:id="366" w:name="_Toc514235308"/>
      <w:bookmarkStart w:id="367" w:name="_Toc514235428"/>
      <w:bookmarkStart w:id="368" w:name="_Toc514235546"/>
      <w:bookmarkStart w:id="369" w:name="_Toc514235664"/>
      <w:bookmarkStart w:id="370" w:name="_Toc514234442"/>
      <w:bookmarkStart w:id="371" w:name="_Toc514234690"/>
      <w:bookmarkStart w:id="372" w:name="_Toc514234937"/>
      <w:bookmarkStart w:id="373" w:name="_Toc514235062"/>
      <w:bookmarkStart w:id="374" w:name="_Toc514235186"/>
      <w:bookmarkStart w:id="375" w:name="_Toc514235309"/>
      <w:bookmarkStart w:id="376" w:name="_Toc514235429"/>
      <w:bookmarkStart w:id="377" w:name="_Toc514235547"/>
      <w:bookmarkStart w:id="378" w:name="_Toc514235665"/>
      <w:bookmarkStart w:id="379" w:name="_Toc514234443"/>
      <w:bookmarkStart w:id="380" w:name="_Toc514234691"/>
      <w:bookmarkStart w:id="381" w:name="_Toc514234938"/>
      <w:bookmarkStart w:id="382" w:name="_Toc514235063"/>
      <w:bookmarkStart w:id="383" w:name="_Toc514235187"/>
      <w:bookmarkStart w:id="384" w:name="_Toc514235310"/>
      <w:bookmarkStart w:id="385" w:name="_Toc514235430"/>
      <w:bookmarkStart w:id="386" w:name="_Toc514235548"/>
      <w:bookmarkStart w:id="387" w:name="_Toc514235666"/>
      <w:bookmarkStart w:id="388" w:name="_Toc514234444"/>
      <w:bookmarkStart w:id="389" w:name="_Toc514234692"/>
      <w:bookmarkStart w:id="390" w:name="_Toc514234939"/>
      <w:bookmarkStart w:id="391" w:name="_Toc514235064"/>
      <w:bookmarkStart w:id="392" w:name="_Toc514235188"/>
      <w:bookmarkStart w:id="393" w:name="_Toc514235311"/>
      <w:bookmarkStart w:id="394" w:name="_Toc514235431"/>
      <w:bookmarkStart w:id="395" w:name="_Toc514235549"/>
      <w:bookmarkStart w:id="396" w:name="_Toc514235667"/>
      <w:bookmarkStart w:id="397" w:name="_Toc514234445"/>
      <w:bookmarkStart w:id="398" w:name="_Toc514234693"/>
      <w:bookmarkStart w:id="399" w:name="_Toc514234940"/>
      <w:bookmarkStart w:id="400" w:name="_Toc514235065"/>
      <w:bookmarkStart w:id="401" w:name="_Toc514235189"/>
      <w:bookmarkStart w:id="402" w:name="_Toc514235312"/>
      <w:bookmarkStart w:id="403" w:name="_Toc514235432"/>
      <w:bookmarkStart w:id="404" w:name="_Toc514235550"/>
      <w:bookmarkStart w:id="405" w:name="_Toc514235668"/>
      <w:bookmarkStart w:id="406" w:name="_Toc514234446"/>
      <w:bookmarkStart w:id="407" w:name="_Toc514234694"/>
      <w:bookmarkStart w:id="408" w:name="_Toc514234941"/>
      <w:bookmarkStart w:id="409" w:name="_Toc514235066"/>
      <w:bookmarkStart w:id="410" w:name="_Toc514235190"/>
      <w:bookmarkStart w:id="411" w:name="_Toc514235313"/>
      <w:bookmarkStart w:id="412" w:name="_Toc514235433"/>
      <w:bookmarkStart w:id="413" w:name="_Toc514235551"/>
      <w:bookmarkStart w:id="414" w:name="_Toc514235669"/>
      <w:bookmarkStart w:id="415" w:name="_Toc514234447"/>
      <w:bookmarkStart w:id="416" w:name="_Toc514234695"/>
      <w:bookmarkStart w:id="417" w:name="_Toc514234942"/>
      <w:bookmarkStart w:id="418" w:name="_Toc514235067"/>
      <w:bookmarkStart w:id="419" w:name="_Toc514235191"/>
      <w:bookmarkStart w:id="420" w:name="_Toc514235314"/>
      <w:bookmarkStart w:id="421" w:name="_Toc514235434"/>
      <w:bookmarkStart w:id="422" w:name="_Toc514235552"/>
      <w:bookmarkStart w:id="423" w:name="_Toc514235670"/>
      <w:bookmarkStart w:id="424" w:name="_Toc514234448"/>
      <w:bookmarkStart w:id="425" w:name="_Toc514234696"/>
      <w:bookmarkStart w:id="426" w:name="_Toc514234943"/>
      <w:bookmarkStart w:id="427" w:name="_Toc514235068"/>
      <w:bookmarkStart w:id="428" w:name="_Toc514235192"/>
      <w:bookmarkStart w:id="429" w:name="_Toc514235315"/>
      <w:bookmarkStart w:id="430" w:name="_Toc514235435"/>
      <w:bookmarkStart w:id="431" w:name="_Toc514235553"/>
      <w:bookmarkStart w:id="432" w:name="_Toc514235671"/>
      <w:bookmarkStart w:id="433" w:name="_Toc514234449"/>
      <w:bookmarkStart w:id="434" w:name="_Toc514234697"/>
      <w:bookmarkStart w:id="435" w:name="_Toc514234944"/>
      <w:bookmarkStart w:id="436" w:name="_Toc514235069"/>
      <w:bookmarkStart w:id="437" w:name="_Toc514235193"/>
      <w:bookmarkStart w:id="438" w:name="_Toc514235316"/>
      <w:bookmarkStart w:id="439" w:name="_Toc514235436"/>
      <w:bookmarkStart w:id="440" w:name="_Toc514235554"/>
      <w:bookmarkStart w:id="441" w:name="_Toc514235672"/>
      <w:bookmarkStart w:id="442" w:name="_Toc514234450"/>
      <w:bookmarkStart w:id="443" w:name="_Toc514234698"/>
      <w:bookmarkStart w:id="444" w:name="_Toc514234945"/>
      <w:bookmarkStart w:id="445" w:name="_Toc514235070"/>
      <w:bookmarkStart w:id="446" w:name="_Toc514235194"/>
      <w:bookmarkStart w:id="447" w:name="_Toc514235317"/>
      <w:bookmarkStart w:id="448" w:name="_Toc514235437"/>
      <w:bookmarkStart w:id="449" w:name="_Toc514235555"/>
      <w:bookmarkStart w:id="450" w:name="_Toc514235673"/>
      <w:bookmarkStart w:id="451" w:name="_Toc514234451"/>
      <w:bookmarkStart w:id="452" w:name="_Toc514234699"/>
      <w:bookmarkStart w:id="453" w:name="_Toc514234946"/>
      <w:bookmarkStart w:id="454" w:name="_Toc514235071"/>
      <w:bookmarkStart w:id="455" w:name="_Toc514235195"/>
      <w:bookmarkStart w:id="456" w:name="_Toc514235318"/>
      <w:bookmarkStart w:id="457" w:name="_Toc514235438"/>
      <w:bookmarkStart w:id="458" w:name="_Toc514235556"/>
      <w:bookmarkStart w:id="459" w:name="_Toc514235674"/>
      <w:bookmarkStart w:id="460" w:name="_Toc514234452"/>
      <w:bookmarkStart w:id="461" w:name="_Toc514234700"/>
      <w:bookmarkStart w:id="462" w:name="_Toc514234947"/>
      <w:bookmarkStart w:id="463" w:name="_Toc514235072"/>
      <w:bookmarkStart w:id="464" w:name="_Toc514235196"/>
      <w:bookmarkStart w:id="465" w:name="_Toc514235319"/>
      <w:bookmarkStart w:id="466" w:name="_Toc514235439"/>
      <w:bookmarkStart w:id="467" w:name="_Toc514235557"/>
      <w:bookmarkStart w:id="468" w:name="_Toc514235675"/>
      <w:bookmarkStart w:id="469" w:name="_Toc514234453"/>
      <w:bookmarkStart w:id="470" w:name="_Toc514234701"/>
      <w:bookmarkStart w:id="471" w:name="_Toc514234948"/>
      <w:bookmarkStart w:id="472" w:name="_Toc514235073"/>
      <w:bookmarkStart w:id="473" w:name="_Toc514235197"/>
      <w:bookmarkStart w:id="474" w:name="_Toc514235320"/>
      <w:bookmarkStart w:id="475" w:name="_Toc514235440"/>
      <w:bookmarkStart w:id="476" w:name="_Toc514235558"/>
      <w:bookmarkStart w:id="477" w:name="_Toc514235676"/>
      <w:bookmarkStart w:id="478" w:name="_Toc514234454"/>
      <w:bookmarkStart w:id="479" w:name="_Toc514234702"/>
      <w:bookmarkStart w:id="480" w:name="_Toc514234949"/>
      <w:bookmarkStart w:id="481" w:name="_Toc514235074"/>
      <w:bookmarkStart w:id="482" w:name="_Toc514235198"/>
      <w:bookmarkStart w:id="483" w:name="_Toc514235321"/>
      <w:bookmarkStart w:id="484" w:name="_Toc514235441"/>
      <w:bookmarkStart w:id="485" w:name="_Toc514235559"/>
      <w:bookmarkStart w:id="486" w:name="_Toc514235677"/>
      <w:bookmarkStart w:id="487" w:name="_Toc514234455"/>
      <w:bookmarkStart w:id="488" w:name="_Toc514234703"/>
      <w:bookmarkStart w:id="489" w:name="_Toc514234950"/>
      <w:bookmarkStart w:id="490" w:name="_Toc514235075"/>
      <w:bookmarkStart w:id="491" w:name="_Toc514235199"/>
      <w:bookmarkStart w:id="492" w:name="_Toc514235322"/>
      <w:bookmarkStart w:id="493" w:name="_Toc514235442"/>
      <w:bookmarkStart w:id="494" w:name="_Toc514235560"/>
      <w:bookmarkStart w:id="495" w:name="_Toc514235678"/>
      <w:bookmarkStart w:id="496" w:name="_Toc514234456"/>
      <w:bookmarkStart w:id="497" w:name="_Toc514234704"/>
      <w:bookmarkStart w:id="498" w:name="_Toc514234951"/>
      <w:bookmarkStart w:id="499" w:name="_Toc514235076"/>
      <w:bookmarkStart w:id="500" w:name="_Toc514235200"/>
      <w:bookmarkStart w:id="501" w:name="_Toc514235323"/>
      <w:bookmarkStart w:id="502" w:name="_Toc514235443"/>
      <w:bookmarkStart w:id="503" w:name="_Toc514235561"/>
      <w:bookmarkStart w:id="504" w:name="_Toc514235679"/>
      <w:bookmarkStart w:id="505" w:name="_Toc514234457"/>
      <w:bookmarkStart w:id="506" w:name="_Toc514234705"/>
      <w:bookmarkStart w:id="507" w:name="_Toc514234952"/>
      <w:bookmarkStart w:id="508" w:name="_Toc514235077"/>
      <w:bookmarkStart w:id="509" w:name="_Toc514235201"/>
      <w:bookmarkStart w:id="510" w:name="_Toc514235324"/>
      <w:bookmarkStart w:id="511" w:name="_Toc514235444"/>
      <w:bookmarkStart w:id="512" w:name="_Toc514235562"/>
      <w:bookmarkStart w:id="513" w:name="_Toc514235680"/>
      <w:bookmarkStart w:id="514" w:name="_Toc514234458"/>
      <w:bookmarkStart w:id="515" w:name="_Toc514234706"/>
      <w:bookmarkStart w:id="516" w:name="_Toc514234953"/>
      <w:bookmarkStart w:id="517" w:name="_Toc514235078"/>
      <w:bookmarkStart w:id="518" w:name="_Toc514235202"/>
      <w:bookmarkStart w:id="519" w:name="_Toc514235325"/>
      <w:bookmarkStart w:id="520" w:name="_Toc514235445"/>
      <w:bookmarkStart w:id="521" w:name="_Toc514235563"/>
      <w:bookmarkStart w:id="522" w:name="_Toc514235681"/>
      <w:bookmarkStart w:id="523" w:name="_Toc514234459"/>
      <w:bookmarkStart w:id="524" w:name="_Toc514234707"/>
      <w:bookmarkStart w:id="525" w:name="_Toc514234954"/>
      <w:bookmarkStart w:id="526" w:name="_Toc514235079"/>
      <w:bookmarkStart w:id="527" w:name="_Toc514235203"/>
      <w:bookmarkStart w:id="528" w:name="_Toc514235326"/>
      <w:bookmarkStart w:id="529" w:name="_Toc514235446"/>
      <w:bookmarkStart w:id="530" w:name="_Toc514235564"/>
      <w:bookmarkStart w:id="531" w:name="_Toc514235682"/>
      <w:bookmarkStart w:id="532" w:name="_Toc514234460"/>
      <w:bookmarkStart w:id="533" w:name="_Toc514234708"/>
      <w:bookmarkStart w:id="534" w:name="_Toc514234955"/>
      <w:bookmarkStart w:id="535" w:name="_Toc514235080"/>
      <w:bookmarkStart w:id="536" w:name="_Toc514235204"/>
      <w:bookmarkStart w:id="537" w:name="_Toc514235327"/>
      <w:bookmarkStart w:id="538" w:name="_Toc514235447"/>
      <w:bookmarkStart w:id="539" w:name="_Toc514235565"/>
      <w:bookmarkStart w:id="540" w:name="_Toc514235683"/>
      <w:bookmarkStart w:id="541" w:name="_Toc514234461"/>
      <w:bookmarkStart w:id="542" w:name="_Toc514234709"/>
      <w:bookmarkStart w:id="543" w:name="_Toc514234956"/>
      <w:bookmarkStart w:id="544" w:name="_Toc514235081"/>
      <w:bookmarkStart w:id="545" w:name="_Toc514235205"/>
      <w:bookmarkStart w:id="546" w:name="_Toc514235328"/>
      <w:bookmarkStart w:id="547" w:name="_Toc514235448"/>
      <w:bookmarkStart w:id="548" w:name="_Toc514235566"/>
      <w:bookmarkStart w:id="549" w:name="_Toc514235684"/>
      <w:bookmarkStart w:id="550" w:name="_Toc514234462"/>
      <w:bookmarkStart w:id="551" w:name="_Toc514234710"/>
      <w:bookmarkStart w:id="552" w:name="_Toc514234957"/>
      <w:bookmarkStart w:id="553" w:name="_Toc514235082"/>
      <w:bookmarkStart w:id="554" w:name="_Toc514235206"/>
      <w:bookmarkStart w:id="555" w:name="_Toc514235329"/>
      <w:bookmarkStart w:id="556" w:name="_Toc514235449"/>
      <w:bookmarkStart w:id="557" w:name="_Toc514235567"/>
      <w:bookmarkStart w:id="558" w:name="_Toc514235685"/>
      <w:bookmarkStart w:id="559" w:name="_Toc514234463"/>
      <w:bookmarkStart w:id="560" w:name="_Toc514234711"/>
      <w:bookmarkStart w:id="561" w:name="_Toc514234958"/>
      <w:bookmarkStart w:id="562" w:name="_Toc514235083"/>
      <w:bookmarkStart w:id="563" w:name="_Toc514235207"/>
      <w:bookmarkStart w:id="564" w:name="_Toc514235330"/>
      <w:bookmarkStart w:id="565" w:name="_Toc514235450"/>
      <w:bookmarkStart w:id="566" w:name="_Toc514235568"/>
      <w:bookmarkStart w:id="567" w:name="_Toc514235686"/>
      <w:bookmarkStart w:id="568" w:name="_Toc514234464"/>
      <w:bookmarkStart w:id="569" w:name="_Toc514234712"/>
      <w:bookmarkStart w:id="570" w:name="_Toc514234959"/>
      <w:bookmarkStart w:id="571" w:name="_Toc514235084"/>
      <w:bookmarkStart w:id="572" w:name="_Toc514235208"/>
      <w:bookmarkStart w:id="573" w:name="_Toc514235331"/>
      <w:bookmarkStart w:id="574" w:name="_Toc514235451"/>
      <w:bookmarkStart w:id="575" w:name="_Toc514235569"/>
      <w:bookmarkStart w:id="576" w:name="_Toc514235687"/>
      <w:bookmarkStart w:id="577" w:name="_Toc514234465"/>
      <w:bookmarkStart w:id="578" w:name="_Toc514234713"/>
      <w:bookmarkStart w:id="579" w:name="_Toc514234960"/>
      <w:bookmarkStart w:id="580" w:name="_Toc514235085"/>
      <w:bookmarkStart w:id="581" w:name="_Toc514235209"/>
      <w:bookmarkStart w:id="582" w:name="_Toc514235332"/>
      <w:bookmarkStart w:id="583" w:name="_Toc514235452"/>
      <w:bookmarkStart w:id="584" w:name="_Toc514235570"/>
      <w:bookmarkStart w:id="585" w:name="_Toc514235688"/>
      <w:bookmarkStart w:id="586" w:name="_Toc514234466"/>
      <w:bookmarkStart w:id="587" w:name="_Toc514234714"/>
      <w:bookmarkStart w:id="588" w:name="_Toc514234961"/>
      <w:bookmarkStart w:id="589" w:name="_Toc514235086"/>
      <w:bookmarkStart w:id="590" w:name="_Toc514235210"/>
      <w:bookmarkStart w:id="591" w:name="_Toc514235333"/>
      <w:bookmarkStart w:id="592" w:name="_Toc514235453"/>
      <w:bookmarkStart w:id="593" w:name="_Toc514235571"/>
      <w:bookmarkStart w:id="594" w:name="_Toc514235689"/>
      <w:bookmarkStart w:id="595" w:name="_Toc514234467"/>
      <w:bookmarkStart w:id="596" w:name="_Toc514234715"/>
      <w:bookmarkStart w:id="597" w:name="_Toc514234962"/>
      <w:bookmarkStart w:id="598" w:name="_Toc514235087"/>
      <w:bookmarkStart w:id="599" w:name="_Toc514235211"/>
      <w:bookmarkStart w:id="600" w:name="_Toc514235334"/>
      <w:bookmarkStart w:id="601" w:name="_Toc514235454"/>
      <w:bookmarkStart w:id="602" w:name="_Toc514235572"/>
      <w:bookmarkStart w:id="603" w:name="_Toc514235690"/>
      <w:bookmarkStart w:id="604" w:name="_Toc514234468"/>
      <w:bookmarkStart w:id="605" w:name="_Toc514234716"/>
      <w:bookmarkStart w:id="606" w:name="_Toc514234963"/>
      <w:bookmarkStart w:id="607" w:name="_Toc514235088"/>
      <w:bookmarkStart w:id="608" w:name="_Toc514235212"/>
      <w:bookmarkStart w:id="609" w:name="_Toc514235335"/>
      <w:bookmarkStart w:id="610" w:name="_Toc514235455"/>
      <w:bookmarkStart w:id="611" w:name="_Toc514235573"/>
      <w:bookmarkStart w:id="612" w:name="_Toc514235691"/>
      <w:bookmarkStart w:id="613" w:name="_Toc514234469"/>
      <w:bookmarkStart w:id="614" w:name="_Toc514234717"/>
      <w:bookmarkStart w:id="615" w:name="_Toc514234964"/>
      <w:bookmarkStart w:id="616" w:name="_Toc514235089"/>
      <w:bookmarkStart w:id="617" w:name="_Toc514235213"/>
      <w:bookmarkStart w:id="618" w:name="_Toc514235336"/>
      <w:bookmarkStart w:id="619" w:name="_Toc514235456"/>
      <w:bookmarkStart w:id="620" w:name="_Toc514235574"/>
      <w:bookmarkStart w:id="621" w:name="_Toc514235692"/>
      <w:bookmarkStart w:id="622" w:name="_Toc514234470"/>
      <w:bookmarkStart w:id="623" w:name="_Toc514234718"/>
      <w:bookmarkStart w:id="624" w:name="_Toc514234965"/>
      <w:bookmarkStart w:id="625" w:name="_Toc514235090"/>
      <w:bookmarkStart w:id="626" w:name="_Toc514235214"/>
      <w:bookmarkStart w:id="627" w:name="_Toc514235337"/>
      <w:bookmarkStart w:id="628" w:name="_Toc514235457"/>
      <w:bookmarkStart w:id="629" w:name="_Toc514235575"/>
      <w:bookmarkStart w:id="630" w:name="_Toc514235693"/>
      <w:bookmarkStart w:id="631" w:name="_Toc514234471"/>
      <w:bookmarkStart w:id="632" w:name="_Toc514234719"/>
      <w:bookmarkStart w:id="633" w:name="_Toc514234966"/>
      <w:bookmarkStart w:id="634" w:name="_Toc514235091"/>
      <w:bookmarkStart w:id="635" w:name="_Toc514235215"/>
      <w:bookmarkStart w:id="636" w:name="_Toc514235338"/>
      <w:bookmarkStart w:id="637" w:name="_Toc514235458"/>
      <w:bookmarkStart w:id="638" w:name="_Toc514235576"/>
      <w:bookmarkStart w:id="639" w:name="_Toc514235694"/>
      <w:bookmarkStart w:id="640" w:name="_Toc514234472"/>
      <w:bookmarkStart w:id="641" w:name="_Toc514234720"/>
      <w:bookmarkStart w:id="642" w:name="_Toc514234967"/>
      <w:bookmarkStart w:id="643" w:name="_Toc514235092"/>
      <w:bookmarkStart w:id="644" w:name="_Toc514235216"/>
      <w:bookmarkStart w:id="645" w:name="_Toc514235339"/>
      <w:bookmarkStart w:id="646" w:name="_Toc514235459"/>
      <w:bookmarkStart w:id="647" w:name="_Toc514235577"/>
      <w:bookmarkStart w:id="648" w:name="_Toc514235695"/>
      <w:bookmarkStart w:id="649" w:name="_Toc514234473"/>
      <w:bookmarkStart w:id="650" w:name="_Toc514234721"/>
      <w:bookmarkStart w:id="651" w:name="_Toc514234968"/>
      <w:bookmarkStart w:id="652" w:name="_Toc514235093"/>
      <w:bookmarkStart w:id="653" w:name="_Toc514235217"/>
      <w:bookmarkStart w:id="654" w:name="_Toc514235340"/>
      <w:bookmarkStart w:id="655" w:name="_Toc514235460"/>
      <w:bookmarkStart w:id="656" w:name="_Toc514235578"/>
      <w:bookmarkStart w:id="657" w:name="_Toc514235696"/>
      <w:bookmarkStart w:id="658" w:name="_Toc514234474"/>
      <w:bookmarkStart w:id="659" w:name="_Toc514234722"/>
      <w:bookmarkStart w:id="660" w:name="_Toc514234969"/>
      <w:bookmarkStart w:id="661" w:name="_Toc514235094"/>
      <w:bookmarkStart w:id="662" w:name="_Toc514235218"/>
      <w:bookmarkStart w:id="663" w:name="_Toc514235341"/>
      <w:bookmarkStart w:id="664" w:name="_Toc514235461"/>
      <w:bookmarkStart w:id="665" w:name="_Toc514235579"/>
      <w:bookmarkStart w:id="666" w:name="_Toc514235697"/>
      <w:bookmarkStart w:id="667" w:name="_Toc514234475"/>
      <w:bookmarkStart w:id="668" w:name="_Toc514234723"/>
      <w:bookmarkStart w:id="669" w:name="_Toc514234970"/>
      <w:bookmarkStart w:id="670" w:name="_Toc514235095"/>
      <w:bookmarkStart w:id="671" w:name="_Toc514235219"/>
      <w:bookmarkStart w:id="672" w:name="_Toc514235342"/>
      <w:bookmarkStart w:id="673" w:name="_Toc514235462"/>
      <w:bookmarkStart w:id="674" w:name="_Toc514235580"/>
      <w:bookmarkStart w:id="675" w:name="_Toc514235698"/>
      <w:bookmarkStart w:id="676" w:name="_Toc514234476"/>
      <w:bookmarkStart w:id="677" w:name="_Toc514234724"/>
      <w:bookmarkStart w:id="678" w:name="_Toc514234971"/>
      <w:bookmarkStart w:id="679" w:name="_Toc514235096"/>
      <w:bookmarkStart w:id="680" w:name="_Toc514235220"/>
      <w:bookmarkStart w:id="681" w:name="_Toc514235343"/>
      <w:bookmarkStart w:id="682" w:name="_Toc514235463"/>
      <w:bookmarkStart w:id="683" w:name="_Toc514235581"/>
      <w:bookmarkStart w:id="684" w:name="_Toc514235699"/>
      <w:bookmarkStart w:id="685" w:name="_Toc514234477"/>
      <w:bookmarkStart w:id="686" w:name="_Toc514234725"/>
      <w:bookmarkStart w:id="687" w:name="_Toc514234972"/>
      <w:bookmarkStart w:id="688" w:name="_Toc514235097"/>
      <w:bookmarkStart w:id="689" w:name="_Toc514235221"/>
      <w:bookmarkStart w:id="690" w:name="_Toc514235344"/>
      <w:bookmarkStart w:id="691" w:name="_Toc514235464"/>
      <w:bookmarkStart w:id="692" w:name="_Toc514235582"/>
      <w:bookmarkStart w:id="693" w:name="_Toc514235700"/>
      <w:bookmarkStart w:id="694" w:name="_Toc514234478"/>
      <w:bookmarkStart w:id="695" w:name="_Toc514234726"/>
      <w:bookmarkStart w:id="696" w:name="_Toc514234973"/>
      <w:bookmarkStart w:id="697" w:name="_Toc514235098"/>
      <w:bookmarkStart w:id="698" w:name="_Toc514235222"/>
      <w:bookmarkStart w:id="699" w:name="_Toc514235345"/>
      <w:bookmarkStart w:id="700" w:name="_Toc514235465"/>
      <w:bookmarkStart w:id="701" w:name="_Toc514235583"/>
      <w:bookmarkStart w:id="702" w:name="_Toc514235701"/>
      <w:bookmarkStart w:id="703" w:name="_Toc514234479"/>
      <w:bookmarkStart w:id="704" w:name="_Toc514234727"/>
      <w:bookmarkStart w:id="705" w:name="_Toc514234974"/>
      <w:bookmarkStart w:id="706" w:name="_Toc514235099"/>
      <w:bookmarkStart w:id="707" w:name="_Toc514235223"/>
      <w:bookmarkStart w:id="708" w:name="_Toc514235346"/>
      <w:bookmarkStart w:id="709" w:name="_Toc514235466"/>
      <w:bookmarkStart w:id="710" w:name="_Toc514235584"/>
      <w:bookmarkStart w:id="711" w:name="_Toc514235702"/>
      <w:bookmarkStart w:id="712" w:name="_Toc514234480"/>
      <w:bookmarkStart w:id="713" w:name="_Toc514234728"/>
      <w:bookmarkStart w:id="714" w:name="_Toc514234975"/>
      <w:bookmarkStart w:id="715" w:name="_Toc514235100"/>
      <w:bookmarkStart w:id="716" w:name="_Toc514235224"/>
      <w:bookmarkStart w:id="717" w:name="_Toc514235347"/>
      <w:bookmarkStart w:id="718" w:name="_Toc514235467"/>
      <w:bookmarkStart w:id="719" w:name="_Toc514235585"/>
      <w:bookmarkStart w:id="720" w:name="_Toc514235703"/>
      <w:bookmarkStart w:id="721" w:name="_Toc514234481"/>
      <w:bookmarkStart w:id="722" w:name="_Toc514234729"/>
      <w:bookmarkStart w:id="723" w:name="_Toc514234976"/>
      <w:bookmarkStart w:id="724" w:name="_Toc514235101"/>
      <w:bookmarkStart w:id="725" w:name="_Toc514235225"/>
      <w:bookmarkStart w:id="726" w:name="_Toc514235348"/>
      <w:bookmarkStart w:id="727" w:name="_Toc514235468"/>
      <w:bookmarkStart w:id="728" w:name="_Toc514235586"/>
      <w:bookmarkStart w:id="729" w:name="_Toc514235704"/>
      <w:bookmarkStart w:id="730" w:name="_Toc514234482"/>
      <w:bookmarkStart w:id="731" w:name="_Toc514234730"/>
      <w:bookmarkStart w:id="732" w:name="_Toc514234977"/>
      <w:bookmarkStart w:id="733" w:name="_Toc514235102"/>
      <w:bookmarkStart w:id="734" w:name="_Toc514235226"/>
      <w:bookmarkStart w:id="735" w:name="_Toc514235349"/>
      <w:bookmarkStart w:id="736" w:name="_Toc514235469"/>
      <w:bookmarkStart w:id="737" w:name="_Toc514235587"/>
      <w:bookmarkStart w:id="738" w:name="_Toc514235705"/>
      <w:bookmarkStart w:id="739" w:name="_Toc514234483"/>
      <w:bookmarkStart w:id="740" w:name="_Toc514234731"/>
      <w:bookmarkStart w:id="741" w:name="_Toc514234978"/>
      <w:bookmarkStart w:id="742" w:name="_Toc514235103"/>
      <w:bookmarkStart w:id="743" w:name="_Toc514235227"/>
      <w:bookmarkStart w:id="744" w:name="_Toc514235350"/>
      <w:bookmarkStart w:id="745" w:name="_Toc514235470"/>
      <w:bookmarkStart w:id="746" w:name="_Toc514235588"/>
      <w:bookmarkStart w:id="747" w:name="_Toc514235706"/>
      <w:bookmarkStart w:id="748" w:name="_Toc514234484"/>
      <w:bookmarkStart w:id="749" w:name="_Toc514234732"/>
      <w:bookmarkStart w:id="750" w:name="_Toc514234979"/>
      <w:bookmarkStart w:id="751" w:name="_Toc514235104"/>
      <w:bookmarkStart w:id="752" w:name="_Toc514235228"/>
      <w:bookmarkStart w:id="753" w:name="_Toc514235351"/>
      <w:bookmarkStart w:id="754" w:name="_Toc514235471"/>
      <w:bookmarkStart w:id="755" w:name="_Toc514235589"/>
      <w:bookmarkStart w:id="756" w:name="_Toc514235707"/>
      <w:bookmarkStart w:id="757" w:name="_Toc514234485"/>
      <w:bookmarkStart w:id="758" w:name="_Toc514234733"/>
      <w:bookmarkStart w:id="759" w:name="_Toc514234980"/>
      <w:bookmarkStart w:id="760" w:name="_Toc514235105"/>
      <w:bookmarkStart w:id="761" w:name="_Toc514235229"/>
      <w:bookmarkStart w:id="762" w:name="_Toc514235352"/>
      <w:bookmarkStart w:id="763" w:name="_Toc514235472"/>
      <w:bookmarkStart w:id="764" w:name="_Toc514235590"/>
      <w:bookmarkStart w:id="765" w:name="_Toc514235708"/>
      <w:bookmarkStart w:id="766" w:name="_Toc514234486"/>
      <w:bookmarkStart w:id="767" w:name="_Toc514234734"/>
      <w:bookmarkStart w:id="768" w:name="_Toc514234981"/>
      <w:bookmarkStart w:id="769" w:name="_Toc514235106"/>
      <w:bookmarkStart w:id="770" w:name="_Toc514235230"/>
      <w:bookmarkStart w:id="771" w:name="_Toc514235353"/>
      <w:bookmarkStart w:id="772" w:name="_Toc514235473"/>
      <w:bookmarkStart w:id="773" w:name="_Toc514235591"/>
      <w:bookmarkStart w:id="774" w:name="_Toc514235709"/>
      <w:bookmarkStart w:id="775" w:name="_Toc514234487"/>
      <w:bookmarkStart w:id="776" w:name="_Toc514234735"/>
      <w:bookmarkStart w:id="777" w:name="_Toc514234982"/>
      <w:bookmarkStart w:id="778" w:name="_Toc514235107"/>
      <w:bookmarkStart w:id="779" w:name="_Toc514235231"/>
      <w:bookmarkStart w:id="780" w:name="_Toc514235354"/>
      <w:bookmarkStart w:id="781" w:name="_Toc514235474"/>
      <w:bookmarkStart w:id="782" w:name="_Toc514235592"/>
      <w:bookmarkStart w:id="783" w:name="_Toc514235710"/>
      <w:bookmarkStart w:id="784" w:name="_Toc514234488"/>
      <w:bookmarkStart w:id="785" w:name="_Toc514234736"/>
      <w:bookmarkStart w:id="786" w:name="_Toc514234983"/>
      <w:bookmarkStart w:id="787" w:name="_Toc514235108"/>
      <w:bookmarkStart w:id="788" w:name="_Toc514235232"/>
      <w:bookmarkStart w:id="789" w:name="_Toc514235355"/>
      <w:bookmarkStart w:id="790" w:name="_Toc514235475"/>
      <w:bookmarkStart w:id="791" w:name="_Toc514235593"/>
      <w:bookmarkStart w:id="792" w:name="_Toc514235711"/>
      <w:bookmarkStart w:id="793" w:name="_Toc514234489"/>
      <w:bookmarkStart w:id="794" w:name="_Toc514234737"/>
      <w:bookmarkStart w:id="795" w:name="_Toc514234984"/>
      <w:bookmarkStart w:id="796" w:name="_Toc514235109"/>
      <w:bookmarkStart w:id="797" w:name="_Toc514235233"/>
      <w:bookmarkStart w:id="798" w:name="_Toc514235356"/>
      <w:bookmarkStart w:id="799" w:name="_Toc514235476"/>
      <w:bookmarkStart w:id="800" w:name="_Toc514235594"/>
      <w:bookmarkStart w:id="801" w:name="_Toc514235712"/>
      <w:bookmarkStart w:id="802" w:name="_Toc514234490"/>
      <w:bookmarkStart w:id="803" w:name="_Toc514234738"/>
      <w:bookmarkStart w:id="804" w:name="_Toc514234985"/>
      <w:bookmarkStart w:id="805" w:name="_Toc514235110"/>
      <w:bookmarkStart w:id="806" w:name="_Toc514235234"/>
      <w:bookmarkStart w:id="807" w:name="_Toc514235357"/>
      <w:bookmarkStart w:id="808" w:name="_Toc514235477"/>
      <w:bookmarkStart w:id="809" w:name="_Toc514235595"/>
      <w:bookmarkStart w:id="810" w:name="_Toc514235713"/>
      <w:bookmarkStart w:id="811" w:name="_Toc514234491"/>
      <w:bookmarkStart w:id="812" w:name="_Toc514234739"/>
      <w:bookmarkStart w:id="813" w:name="_Toc514234986"/>
      <w:bookmarkStart w:id="814" w:name="_Toc514235111"/>
      <w:bookmarkStart w:id="815" w:name="_Toc514235235"/>
      <w:bookmarkStart w:id="816" w:name="_Toc514235358"/>
      <w:bookmarkStart w:id="817" w:name="_Toc514235478"/>
      <w:bookmarkStart w:id="818" w:name="_Toc514235596"/>
      <w:bookmarkStart w:id="819" w:name="_Toc514235714"/>
      <w:bookmarkStart w:id="820" w:name="_Toc514234492"/>
      <w:bookmarkStart w:id="821" w:name="_Toc514234740"/>
      <w:bookmarkStart w:id="822" w:name="_Toc514234987"/>
      <w:bookmarkStart w:id="823" w:name="_Toc514235112"/>
      <w:bookmarkStart w:id="824" w:name="_Toc514235236"/>
      <w:bookmarkStart w:id="825" w:name="_Toc514235359"/>
      <w:bookmarkStart w:id="826" w:name="_Toc514235479"/>
      <w:bookmarkStart w:id="827" w:name="_Toc514235597"/>
      <w:bookmarkStart w:id="828" w:name="_Toc514235715"/>
      <w:bookmarkStart w:id="829" w:name="_Toc52312658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sidRPr="00A02F7C">
        <w:rPr>
          <w:b/>
          <w:caps/>
        </w:rPr>
        <w:t>Inre marknaden, produktion och konsumtion</w:t>
      </w:r>
      <w:bookmarkEnd w:id="829"/>
    </w:p>
    <w:p w:rsidR="00481E81" w:rsidRPr="00A02F7C" w:rsidRDefault="00481E81" w:rsidP="00912024">
      <w:pPr>
        <w:ind w:left="-567"/>
        <w:rPr>
          <w:lang w:val="en-GB"/>
        </w:rPr>
      </w:pPr>
    </w:p>
    <w:p w:rsidR="009A288E" w:rsidRPr="00A02F7C" w:rsidRDefault="00282C78" w:rsidP="00912024">
      <w:pPr>
        <w:pStyle w:val="ListParagraph"/>
        <w:numPr>
          <w:ilvl w:val="0"/>
          <w:numId w:val="54"/>
        </w:numPr>
        <w:overflowPunct w:val="0"/>
        <w:autoSpaceDE w:val="0"/>
        <w:autoSpaceDN w:val="0"/>
        <w:adjustRightInd w:val="0"/>
        <w:textAlignment w:val="baseline"/>
        <w:rPr>
          <w:sz w:val="24"/>
          <w:szCs w:val="24"/>
        </w:rPr>
      </w:pPr>
      <w:r w:rsidRPr="00A02F7C">
        <w:rPr>
          <w:b/>
          <w:i/>
          <w:sz w:val="28"/>
          <w:szCs w:val="28"/>
        </w:rPr>
        <w:t>Utvidgning av det gemensamma eurobetalningsområdet</w:t>
      </w:r>
    </w:p>
    <w:p w:rsidR="009A288E" w:rsidRPr="00A02F7C" w:rsidRDefault="009A288E" w:rsidP="00912024">
      <w:pPr>
        <w:tabs>
          <w:tab w:val="center" w:pos="284"/>
        </w:tabs>
        <w:ind w:left="266" w:hanging="266"/>
        <w:rPr>
          <w:b/>
          <w:lang w:val="fr-FR"/>
        </w:rPr>
      </w:pPr>
    </w:p>
    <w:p w:rsidR="009A288E" w:rsidRPr="00A02F7C" w:rsidRDefault="009A288E" w:rsidP="00912024">
      <w:pPr>
        <w:tabs>
          <w:tab w:val="center" w:pos="284"/>
        </w:tabs>
        <w:ind w:left="266" w:hanging="266"/>
      </w:pPr>
      <w:r w:rsidRPr="00A02F7C">
        <w:rPr>
          <w:b/>
        </w:rPr>
        <w:t>Föredragande:</w:t>
      </w:r>
      <w:r w:rsidRPr="00A02F7C">
        <w:tab/>
        <w:t xml:space="preserve">Daniel </w:t>
      </w:r>
      <w:proofErr w:type="spellStart"/>
      <w:r w:rsidRPr="00A02F7C">
        <w:t>Mareels</w:t>
      </w:r>
      <w:proofErr w:type="spellEnd"/>
      <w:r w:rsidRPr="00A02F7C">
        <w:t xml:space="preserve"> (Arbetsgivargruppen – BE)</w:t>
      </w:r>
    </w:p>
    <w:p w:rsidR="009A288E" w:rsidRPr="00A02F7C" w:rsidRDefault="009A288E" w:rsidP="00912024">
      <w:pPr>
        <w:tabs>
          <w:tab w:val="center" w:pos="284"/>
        </w:tabs>
        <w:ind w:left="266" w:hanging="266"/>
        <w:rPr>
          <w:b/>
          <w:lang w:val="fr-FR"/>
        </w:rPr>
      </w:pPr>
    </w:p>
    <w:p w:rsidR="009A288E" w:rsidRPr="00A02F7C" w:rsidRDefault="009A288E" w:rsidP="00912024">
      <w:pPr>
        <w:tabs>
          <w:tab w:val="left" w:pos="1701"/>
        </w:tabs>
      </w:pPr>
      <w:r w:rsidRPr="00A02F7C">
        <w:rPr>
          <w:b/>
        </w:rPr>
        <w:t>Referens:</w:t>
      </w:r>
      <w:r w:rsidR="007B5B5F" w:rsidRPr="00A02F7C">
        <w:rPr>
          <w:b/>
        </w:rPr>
        <w:tab/>
      </w:r>
      <w:r w:rsidRPr="00A02F7C">
        <w:t>COM(2018) 163 final – 2018/0076 (COD)</w:t>
      </w:r>
    </w:p>
    <w:p w:rsidR="009A288E" w:rsidRPr="00A02F7C" w:rsidRDefault="009A288E" w:rsidP="00912024">
      <w:pPr>
        <w:tabs>
          <w:tab w:val="left" w:pos="1701"/>
        </w:tabs>
      </w:pPr>
      <w:r w:rsidRPr="00A02F7C">
        <w:tab/>
        <w:t>EESC-201</w:t>
      </w:r>
      <w:r w:rsidR="00A02F7C" w:rsidRPr="00A02F7C">
        <w:t>8-0</w:t>
      </w:r>
      <w:r w:rsidRPr="00A02F7C">
        <w:t>199</w:t>
      </w:r>
      <w:r w:rsidR="00A02F7C" w:rsidRPr="00A02F7C">
        <w:t>3-00-0</w:t>
      </w:r>
      <w:r w:rsidRPr="00A02F7C">
        <w:t>0-AC-TRA</w:t>
      </w:r>
    </w:p>
    <w:p w:rsidR="009A288E" w:rsidRPr="00A02F7C" w:rsidRDefault="009A288E" w:rsidP="00912024">
      <w:pPr>
        <w:tabs>
          <w:tab w:val="center" w:pos="284"/>
        </w:tabs>
        <w:ind w:left="266" w:hanging="266"/>
        <w:rPr>
          <w:lang w:val="fr-FR"/>
        </w:rPr>
      </w:pPr>
    </w:p>
    <w:p w:rsidR="009A288E" w:rsidRPr="00A02F7C" w:rsidRDefault="00B73A91" w:rsidP="00912024">
      <w:pPr>
        <w:tabs>
          <w:tab w:val="center" w:pos="284"/>
        </w:tabs>
        <w:ind w:left="266" w:hanging="266"/>
        <w:rPr>
          <w:b/>
        </w:rPr>
      </w:pPr>
      <w:r w:rsidRPr="00A02F7C">
        <w:rPr>
          <w:b/>
        </w:rPr>
        <w:t>Huvudpunkter:</w:t>
      </w:r>
    </w:p>
    <w:p w:rsidR="00481E81" w:rsidRPr="00A02F7C" w:rsidRDefault="00481E81" w:rsidP="00912024">
      <w:pPr>
        <w:tabs>
          <w:tab w:val="center" w:pos="284"/>
        </w:tabs>
        <w:ind w:left="-567" w:hanging="266"/>
        <w:rPr>
          <w:lang w:val="fr-FR"/>
        </w:rPr>
      </w:pPr>
    </w:p>
    <w:p w:rsidR="009A288E" w:rsidRPr="00A02F7C" w:rsidRDefault="009A288E" w:rsidP="00912024">
      <w:pPr>
        <w:rPr>
          <w:szCs w:val="24"/>
        </w:rPr>
      </w:pPr>
      <w:proofErr w:type="spellStart"/>
      <w:r w:rsidRPr="00A02F7C">
        <w:t>EESK:s</w:t>
      </w:r>
      <w:proofErr w:type="spellEnd"/>
      <w:r w:rsidRPr="00A02F7C">
        <w:t xml:space="preserve"> ståndpunkt:</w:t>
      </w:r>
    </w:p>
    <w:p w:rsidR="009A288E" w:rsidRPr="00A02F7C" w:rsidRDefault="009A288E" w:rsidP="00912024">
      <w:pPr>
        <w:pStyle w:val="ListParagraph"/>
        <w:numPr>
          <w:ilvl w:val="0"/>
          <w:numId w:val="5"/>
        </w:numPr>
        <w:overflowPunct w:val="0"/>
        <w:autoSpaceDE w:val="0"/>
        <w:autoSpaceDN w:val="0"/>
        <w:adjustRightInd w:val="0"/>
        <w:ind w:left="714" w:hanging="357"/>
        <w:textAlignment w:val="baseline"/>
        <w:rPr>
          <w:szCs w:val="24"/>
        </w:rPr>
      </w:pPr>
      <w:r w:rsidRPr="00A02F7C">
        <w:t>EESK välkomnar detta förslag som syftar till att minska kostnaden för gränsöverskridande betalningar i euro i medlemsstater utanför euroområdet.</w:t>
      </w:r>
    </w:p>
    <w:p w:rsidR="009A288E" w:rsidRPr="00A02F7C" w:rsidRDefault="009A288E" w:rsidP="00912024">
      <w:pPr>
        <w:pStyle w:val="ListParagraph"/>
        <w:numPr>
          <w:ilvl w:val="0"/>
          <w:numId w:val="5"/>
        </w:numPr>
        <w:overflowPunct w:val="0"/>
        <w:autoSpaceDE w:val="0"/>
        <w:autoSpaceDN w:val="0"/>
        <w:adjustRightInd w:val="0"/>
        <w:ind w:left="714" w:hanging="357"/>
        <w:textAlignment w:val="baseline"/>
        <w:rPr>
          <w:szCs w:val="24"/>
        </w:rPr>
      </w:pPr>
      <w:r w:rsidRPr="00A02F7C">
        <w:t>EESK uppmanar till ett snabbt genomförande av förslaget.</w:t>
      </w:r>
    </w:p>
    <w:p w:rsidR="009A288E" w:rsidRPr="00A02F7C" w:rsidRDefault="009A288E" w:rsidP="00912024">
      <w:pPr>
        <w:pStyle w:val="ListParagraph"/>
        <w:numPr>
          <w:ilvl w:val="0"/>
          <w:numId w:val="5"/>
        </w:numPr>
        <w:overflowPunct w:val="0"/>
        <w:autoSpaceDE w:val="0"/>
        <w:autoSpaceDN w:val="0"/>
        <w:adjustRightInd w:val="0"/>
        <w:ind w:left="714" w:hanging="357"/>
        <w:textAlignment w:val="baseline"/>
        <w:rPr>
          <w:szCs w:val="24"/>
        </w:rPr>
      </w:pPr>
      <w:r w:rsidRPr="00A02F7C">
        <w:t>Kommittén betraktar denna fördjupning av den inre marknaden och de positiva ekonomiska effekter som skapas på detta sätt som viktiga.</w:t>
      </w:r>
    </w:p>
    <w:p w:rsidR="009A288E" w:rsidRPr="00A02F7C" w:rsidRDefault="009A288E" w:rsidP="00912024">
      <w:pPr>
        <w:pStyle w:val="ListParagraph"/>
        <w:numPr>
          <w:ilvl w:val="0"/>
          <w:numId w:val="5"/>
        </w:numPr>
        <w:overflowPunct w:val="0"/>
        <w:autoSpaceDE w:val="0"/>
        <w:autoSpaceDN w:val="0"/>
        <w:adjustRightInd w:val="0"/>
        <w:ind w:left="714" w:hanging="357"/>
        <w:textAlignment w:val="baseline"/>
        <w:rPr>
          <w:szCs w:val="24"/>
        </w:rPr>
      </w:pPr>
      <w:r w:rsidRPr="00A02F7C">
        <w:t>Kommittén välkomnar att det ursprungliga syftet med det gemensamma eurobetalningsområdet, dvs. att alla betalningar i euro inom EU ska betraktas som inhemska betalningar, därmed kommer att uppnås.</w:t>
      </w:r>
    </w:p>
    <w:p w:rsidR="009A288E" w:rsidRPr="00A02F7C" w:rsidRDefault="009A288E" w:rsidP="00912024">
      <w:pPr>
        <w:pStyle w:val="ListParagraph"/>
        <w:numPr>
          <w:ilvl w:val="0"/>
          <w:numId w:val="5"/>
        </w:numPr>
        <w:overflowPunct w:val="0"/>
        <w:autoSpaceDE w:val="0"/>
        <w:autoSpaceDN w:val="0"/>
        <w:adjustRightInd w:val="0"/>
        <w:ind w:left="714" w:hanging="357"/>
        <w:textAlignment w:val="baseline"/>
        <w:rPr>
          <w:szCs w:val="24"/>
        </w:rPr>
      </w:pPr>
      <w:r w:rsidRPr="00A02F7C">
        <w:t>Kommittén efterlyser ett större fokus på den kostnad som bankerna får på grund av detta förslag.</w:t>
      </w:r>
    </w:p>
    <w:p w:rsidR="009A288E" w:rsidRPr="00A02F7C" w:rsidRDefault="009A288E" w:rsidP="00912024">
      <w:pPr>
        <w:pStyle w:val="ListParagraph"/>
        <w:numPr>
          <w:ilvl w:val="0"/>
          <w:numId w:val="5"/>
        </w:numPr>
        <w:overflowPunct w:val="0"/>
        <w:autoSpaceDE w:val="0"/>
        <w:autoSpaceDN w:val="0"/>
        <w:adjustRightInd w:val="0"/>
        <w:ind w:left="714" w:hanging="357"/>
        <w:textAlignment w:val="baseline"/>
        <w:rPr>
          <w:szCs w:val="24"/>
        </w:rPr>
      </w:pPr>
      <w:r w:rsidRPr="00A02F7C">
        <w:t xml:space="preserve">Kommittén anser att nya kompletterande insynskrav är lämpliga eftersom de kommer att ge </w:t>
      </w:r>
      <w:bookmarkStart w:id="830" w:name="_GoBack"/>
      <w:bookmarkEnd w:id="830"/>
      <w:r w:rsidRPr="00A02F7C">
        <w:t>konsumenterna möjlighet att göra rätt val vid sådana transaktioner till ett rimligt pris.</w:t>
      </w:r>
    </w:p>
    <w:p w:rsidR="009A288E" w:rsidRPr="00A02F7C" w:rsidRDefault="009A288E" w:rsidP="00912024">
      <w:pPr>
        <w:pStyle w:val="ListParagraph"/>
        <w:numPr>
          <w:ilvl w:val="0"/>
          <w:numId w:val="5"/>
        </w:numPr>
        <w:overflowPunct w:val="0"/>
        <w:autoSpaceDE w:val="0"/>
        <w:autoSpaceDN w:val="0"/>
        <w:adjustRightInd w:val="0"/>
        <w:ind w:left="714" w:hanging="357"/>
        <w:textAlignment w:val="baseline"/>
        <w:rPr>
          <w:szCs w:val="24"/>
        </w:rPr>
      </w:pPr>
      <w:r w:rsidRPr="00A02F7C">
        <w:t>EESK påpekar att det utan tvekan finns en stor möjlighet här att få till stånd en god och tydlig kommunikation med alla medborgare i unionen för att förklara hur EU genomför positiva förändringar för alla och tillhandahåller lösningar på vardagsproblem.</w:t>
      </w:r>
    </w:p>
    <w:p w:rsidR="009A288E" w:rsidRPr="00A02F7C" w:rsidRDefault="009A288E" w:rsidP="00912024">
      <w:pPr>
        <w:rPr>
          <w:szCs w:val="24"/>
          <w:lang w:val="fr-FR"/>
        </w:rPr>
      </w:pPr>
    </w:p>
    <w:p w:rsidR="009A288E" w:rsidRPr="00A02F7C" w:rsidRDefault="009A288E" w:rsidP="00912024">
      <w:pPr>
        <w:tabs>
          <w:tab w:val="left" w:pos="1418"/>
        </w:tabs>
        <w:rPr>
          <w:i/>
        </w:rPr>
      </w:pPr>
      <w:r w:rsidRPr="00A02F7C">
        <w:rPr>
          <w:b/>
          <w:i/>
        </w:rPr>
        <w:t>Kontaktperson</w:t>
      </w:r>
      <w:r w:rsidRPr="00A02F7C">
        <w:t>:</w:t>
      </w:r>
      <w:r w:rsidRPr="00A02F7C">
        <w:tab/>
      </w:r>
      <w:r w:rsidR="007B5B5F" w:rsidRPr="00A02F7C">
        <w:t xml:space="preserve"> </w:t>
      </w:r>
      <w:r w:rsidRPr="00A02F7C">
        <w:rPr>
          <w:i/>
        </w:rPr>
        <w:t xml:space="preserve">Claudia </w:t>
      </w:r>
      <w:proofErr w:type="spellStart"/>
      <w:r w:rsidRPr="00A02F7C">
        <w:rPr>
          <w:i/>
        </w:rPr>
        <w:t>Drewes-Wran</w:t>
      </w:r>
      <w:proofErr w:type="spellEnd"/>
    </w:p>
    <w:p w:rsidR="009A288E" w:rsidRPr="00A02F7C" w:rsidRDefault="00B73A91" w:rsidP="00912024">
      <w:pPr>
        <w:tabs>
          <w:tab w:val="left" w:pos="1418"/>
        </w:tabs>
        <w:rPr>
          <w:i/>
        </w:rPr>
      </w:pPr>
      <w:r w:rsidRPr="00A02F7C">
        <w:rPr>
          <w:i/>
        </w:rPr>
        <w:tab/>
        <w:t xml:space="preserve">(Tfn +32 25468067 – e-post: </w:t>
      </w:r>
      <w:hyperlink r:id="rId28" w:history="1">
        <w:r w:rsidRPr="00A02F7C">
          <w:rPr>
            <w:rStyle w:val="Hyperlink"/>
            <w:i/>
          </w:rPr>
          <w:t>claudia.drewes-wran@eesc.europa.eu</w:t>
        </w:r>
      </w:hyperlink>
      <w:r w:rsidRPr="00A02F7C">
        <w:rPr>
          <w:i/>
        </w:rPr>
        <w:t>)</w:t>
      </w:r>
    </w:p>
    <w:p w:rsidR="009A288E" w:rsidRPr="00A02F7C" w:rsidRDefault="005127A0" w:rsidP="007B5B5F">
      <w:pPr>
        <w:pStyle w:val="ListParagraph"/>
        <w:keepNext/>
        <w:keepLines/>
        <w:numPr>
          <w:ilvl w:val="0"/>
          <w:numId w:val="53"/>
        </w:numPr>
        <w:overflowPunct w:val="0"/>
        <w:autoSpaceDE w:val="0"/>
        <w:autoSpaceDN w:val="0"/>
        <w:adjustRightInd w:val="0"/>
        <w:textAlignment w:val="baseline"/>
        <w:rPr>
          <w:sz w:val="24"/>
          <w:szCs w:val="24"/>
        </w:rPr>
      </w:pPr>
      <w:r w:rsidRPr="00A02F7C">
        <w:rPr>
          <w:b/>
          <w:i/>
          <w:sz w:val="28"/>
          <w:szCs w:val="28"/>
        </w:rPr>
        <w:lastRenderedPageBreak/>
        <w:t>Tillämpningen av Euro 5-steget på typgodkännande av två- och trehjuliga fordon och fyrhjulingar</w:t>
      </w:r>
    </w:p>
    <w:p w:rsidR="009A288E" w:rsidRPr="00A02F7C" w:rsidRDefault="009A288E" w:rsidP="007B5B5F">
      <w:pPr>
        <w:keepNext/>
        <w:keepLines/>
        <w:tabs>
          <w:tab w:val="center" w:pos="284"/>
        </w:tabs>
        <w:ind w:left="266" w:hanging="266"/>
        <w:rPr>
          <w:b/>
          <w:lang w:val="fr-FR"/>
        </w:rPr>
      </w:pPr>
    </w:p>
    <w:p w:rsidR="009A288E" w:rsidRPr="00A02F7C" w:rsidRDefault="009A288E" w:rsidP="007B5B5F">
      <w:pPr>
        <w:keepNext/>
        <w:keepLines/>
        <w:tabs>
          <w:tab w:val="left" w:pos="1701"/>
        </w:tabs>
      </w:pPr>
      <w:r w:rsidRPr="00A02F7C">
        <w:rPr>
          <w:b/>
        </w:rPr>
        <w:t>Föredragande:</w:t>
      </w:r>
      <w:r w:rsidR="007B5B5F" w:rsidRPr="00A02F7C">
        <w:rPr>
          <w:b/>
        </w:rPr>
        <w:t xml:space="preserve"> </w:t>
      </w:r>
      <w:proofErr w:type="spellStart"/>
      <w:r w:rsidRPr="00A02F7C">
        <w:t>Gerardo</w:t>
      </w:r>
      <w:proofErr w:type="spellEnd"/>
      <w:r w:rsidRPr="00A02F7C">
        <w:t xml:space="preserve"> </w:t>
      </w:r>
      <w:proofErr w:type="spellStart"/>
      <w:r w:rsidRPr="00A02F7C">
        <w:t>Larghi</w:t>
      </w:r>
      <w:proofErr w:type="spellEnd"/>
      <w:r w:rsidRPr="00A02F7C">
        <w:t xml:space="preserve"> (Arbetstagargruppen – IT)</w:t>
      </w:r>
    </w:p>
    <w:p w:rsidR="009A288E" w:rsidRPr="00A02F7C" w:rsidRDefault="009A288E" w:rsidP="007B5B5F">
      <w:pPr>
        <w:keepNext/>
        <w:keepLines/>
        <w:tabs>
          <w:tab w:val="center" w:pos="284"/>
        </w:tabs>
        <w:ind w:left="266" w:hanging="266"/>
        <w:rPr>
          <w:b/>
          <w:lang w:val="fr-FR"/>
        </w:rPr>
      </w:pPr>
    </w:p>
    <w:p w:rsidR="009A288E" w:rsidRPr="00A02F7C" w:rsidRDefault="009A288E" w:rsidP="00912024">
      <w:pPr>
        <w:tabs>
          <w:tab w:val="left" w:pos="1701"/>
        </w:tabs>
      </w:pPr>
      <w:r w:rsidRPr="00A02F7C">
        <w:rPr>
          <w:b/>
        </w:rPr>
        <w:t>Referens:</w:t>
      </w:r>
      <w:r w:rsidR="007B5B5F" w:rsidRPr="00A02F7C">
        <w:rPr>
          <w:b/>
        </w:rPr>
        <w:tab/>
      </w:r>
      <w:r w:rsidRPr="00A02F7C">
        <w:t>COM(2018) 137 final – 2018/0065 (COD)</w:t>
      </w:r>
    </w:p>
    <w:p w:rsidR="009A288E" w:rsidRPr="00A02F7C" w:rsidRDefault="00B73A91" w:rsidP="00912024">
      <w:pPr>
        <w:tabs>
          <w:tab w:val="left" w:pos="1701"/>
        </w:tabs>
      </w:pPr>
      <w:r w:rsidRPr="00A02F7C">
        <w:tab/>
        <w:t>EESC-201</w:t>
      </w:r>
      <w:r w:rsidR="00A02F7C" w:rsidRPr="00A02F7C">
        <w:t>8-0</w:t>
      </w:r>
      <w:r w:rsidRPr="00A02F7C">
        <w:t>226</w:t>
      </w:r>
      <w:r w:rsidR="00A02F7C" w:rsidRPr="00A02F7C">
        <w:t>3-00-0</w:t>
      </w:r>
      <w:r w:rsidRPr="00A02F7C">
        <w:t>0-AC</w:t>
      </w:r>
    </w:p>
    <w:p w:rsidR="009A288E" w:rsidRPr="00A02F7C" w:rsidRDefault="009A288E" w:rsidP="00912024">
      <w:pPr>
        <w:tabs>
          <w:tab w:val="center" w:pos="284"/>
        </w:tabs>
        <w:ind w:left="266" w:hanging="266"/>
        <w:rPr>
          <w:lang w:val="fr-FR"/>
        </w:rPr>
      </w:pPr>
    </w:p>
    <w:p w:rsidR="009A288E" w:rsidRPr="00A02F7C" w:rsidRDefault="00B73A91" w:rsidP="00912024">
      <w:pPr>
        <w:tabs>
          <w:tab w:val="center" w:pos="284"/>
        </w:tabs>
        <w:ind w:left="266" w:hanging="266"/>
        <w:rPr>
          <w:b/>
        </w:rPr>
      </w:pPr>
      <w:r w:rsidRPr="00A02F7C">
        <w:rPr>
          <w:b/>
        </w:rPr>
        <w:t>Huvudpunkter:</w:t>
      </w:r>
    </w:p>
    <w:p w:rsidR="009A288E" w:rsidRPr="00A02F7C" w:rsidRDefault="009A288E" w:rsidP="00912024">
      <w:pPr>
        <w:rPr>
          <w:b/>
          <w:lang w:val="fr-FR"/>
        </w:rPr>
      </w:pPr>
    </w:p>
    <w:p w:rsidR="009A288E" w:rsidRPr="00A02F7C" w:rsidRDefault="009A288E" w:rsidP="00912024">
      <w:pPr>
        <w:rPr>
          <w:color w:val="000000" w:themeColor="text1"/>
        </w:rPr>
      </w:pPr>
      <w:proofErr w:type="spellStart"/>
      <w:r w:rsidRPr="00A02F7C">
        <w:t>EESK:s</w:t>
      </w:r>
      <w:proofErr w:type="spellEnd"/>
      <w:r w:rsidRPr="00A02F7C">
        <w:t xml:space="preserve"> ståndpunkt:</w:t>
      </w:r>
    </w:p>
    <w:p w:rsidR="009A288E" w:rsidRPr="00A02F7C" w:rsidRDefault="009A288E" w:rsidP="00912024">
      <w:pPr>
        <w:pStyle w:val="ListParagraph"/>
        <w:numPr>
          <w:ilvl w:val="0"/>
          <w:numId w:val="6"/>
        </w:numPr>
        <w:rPr>
          <w:color w:val="000000" w:themeColor="text1"/>
        </w:rPr>
      </w:pPr>
      <w:r w:rsidRPr="00A02F7C">
        <w:rPr>
          <w:color w:val="000000" w:themeColor="text1"/>
        </w:rPr>
        <w:t>EESK välkomnar förslaget eftersom det finner en balans mellan behovet av att utveckla teknik med låg miljöpåverkan (Euro 5-godkännande) och vissa företags faktiska förmåga att införa den inom de fastställda tidsfristerna (teknisk genomförbarhet).</w:t>
      </w:r>
    </w:p>
    <w:p w:rsidR="009A288E" w:rsidRPr="00A02F7C" w:rsidRDefault="009A288E" w:rsidP="00912024">
      <w:pPr>
        <w:pStyle w:val="ListParagraph"/>
        <w:numPr>
          <w:ilvl w:val="0"/>
          <w:numId w:val="6"/>
        </w:numPr>
        <w:rPr>
          <w:color w:val="000000" w:themeColor="text1"/>
        </w:rPr>
      </w:pPr>
      <w:r w:rsidRPr="00A02F7C">
        <w:rPr>
          <w:color w:val="000000" w:themeColor="text1"/>
        </w:rPr>
        <w:t>EESK anser att lagstiftningen kommer att få positiva effekter på kostnaderna för företagen och följaktligen för kostnaderna för konsumenterna.</w:t>
      </w:r>
    </w:p>
    <w:p w:rsidR="009A288E" w:rsidRPr="00A02F7C" w:rsidRDefault="009A288E" w:rsidP="00912024">
      <w:pPr>
        <w:pStyle w:val="ListParagraph"/>
        <w:numPr>
          <w:ilvl w:val="0"/>
          <w:numId w:val="6"/>
        </w:numPr>
        <w:rPr>
          <w:color w:val="000000" w:themeColor="text1"/>
        </w:rPr>
      </w:pPr>
      <w:r w:rsidRPr="00A02F7C">
        <w:rPr>
          <w:color w:val="000000" w:themeColor="text1"/>
        </w:rPr>
        <w:t>Kommittén ställer sig positiv till att förlänga kommissionens befogenhet att anta delegerade akter med ytterligare fem år.</w:t>
      </w:r>
    </w:p>
    <w:p w:rsidR="009A288E" w:rsidRPr="00A02F7C" w:rsidRDefault="009A288E" w:rsidP="00912024">
      <w:pPr>
        <w:pStyle w:val="ListParagraph"/>
        <w:numPr>
          <w:ilvl w:val="0"/>
          <w:numId w:val="6"/>
        </w:numPr>
        <w:rPr>
          <w:color w:val="000000" w:themeColor="text1"/>
        </w:rPr>
      </w:pPr>
      <w:r w:rsidRPr="00A02F7C">
        <w:rPr>
          <w:color w:val="000000" w:themeColor="text1"/>
        </w:rPr>
        <w:t>Vi anser att detta är avgörande för att man i tid ska kunna anpass</w:t>
      </w:r>
      <w:r w:rsidR="007B5B5F" w:rsidRPr="00A02F7C">
        <w:rPr>
          <w:color w:val="000000" w:themeColor="text1"/>
        </w:rPr>
        <w:t>a den gällande lagstiftningen i </w:t>
      </w:r>
      <w:r w:rsidRPr="00A02F7C">
        <w:rPr>
          <w:color w:val="000000" w:themeColor="text1"/>
        </w:rPr>
        <w:t>enlighet med den ständiga tekniska utvecklingen och marknadsutvecklingen inom sektorn.</w:t>
      </w:r>
    </w:p>
    <w:p w:rsidR="009A288E" w:rsidRPr="00A02F7C" w:rsidRDefault="009A288E" w:rsidP="00912024">
      <w:pPr>
        <w:pStyle w:val="ListParagraph"/>
        <w:numPr>
          <w:ilvl w:val="0"/>
          <w:numId w:val="6"/>
        </w:numPr>
        <w:rPr>
          <w:color w:val="000000" w:themeColor="text1"/>
        </w:rPr>
      </w:pPr>
      <w:r w:rsidRPr="00A02F7C">
        <w:rPr>
          <w:color w:val="000000" w:themeColor="text1"/>
        </w:rPr>
        <w:t>Kommittén rekommenderar kommissionen att snarast inleda en ytterligare undersökning om energiförbrukningen hos fordon i kategorierna L1e-A och L1e-B, i syfte att erbjuda företagen inom sektorn ett stabilt regelverk.</w:t>
      </w:r>
    </w:p>
    <w:p w:rsidR="009A288E" w:rsidRPr="00A02F7C" w:rsidRDefault="009A288E" w:rsidP="00912024">
      <w:pPr>
        <w:pStyle w:val="ListParagraph"/>
        <w:numPr>
          <w:ilvl w:val="0"/>
          <w:numId w:val="6"/>
        </w:numPr>
        <w:rPr>
          <w:color w:val="000000" w:themeColor="text1"/>
        </w:rPr>
      </w:pPr>
      <w:r w:rsidRPr="00A02F7C">
        <w:rPr>
          <w:color w:val="000000" w:themeColor="text1"/>
        </w:rPr>
        <w:t>EESK ställer sig bakom kommissionens förslag om att skjuta upp tillämpningen av Euro 5-utsläppsgränsvärdena för lätta fyrhjulingar (mopedbilar – L6e-B), trehjuliga mopeder (L2e-U), trialmotorcyklar (L3e-AxT) och enduromotorcyklar (L3e-AxE).</w:t>
      </w:r>
    </w:p>
    <w:p w:rsidR="009A288E" w:rsidRPr="00A02F7C" w:rsidRDefault="009A288E" w:rsidP="00912024">
      <w:pPr>
        <w:pStyle w:val="ListParagraph"/>
        <w:numPr>
          <w:ilvl w:val="0"/>
          <w:numId w:val="6"/>
        </w:numPr>
        <w:rPr>
          <w:color w:val="000000" w:themeColor="text1"/>
        </w:rPr>
      </w:pPr>
      <w:r w:rsidRPr="00A02F7C">
        <w:rPr>
          <w:color w:val="000000" w:themeColor="text1"/>
        </w:rPr>
        <w:t>Vi rekommenderar att detta undantag ska förlängas till 202</w:t>
      </w:r>
      <w:r w:rsidR="007B5B5F" w:rsidRPr="00A02F7C">
        <w:rPr>
          <w:color w:val="000000" w:themeColor="text1"/>
        </w:rPr>
        <w:t>4, såsom ursprungligen antogs i </w:t>
      </w:r>
      <w:r w:rsidRPr="00A02F7C">
        <w:rPr>
          <w:color w:val="000000" w:themeColor="text1"/>
        </w:rPr>
        <w:t>konsekvensbedömningen.</w:t>
      </w:r>
    </w:p>
    <w:p w:rsidR="009A288E" w:rsidRPr="00A02F7C" w:rsidRDefault="009A288E" w:rsidP="00912024">
      <w:pPr>
        <w:rPr>
          <w:b/>
          <w:lang w:val="fr-FR"/>
        </w:rPr>
      </w:pPr>
    </w:p>
    <w:p w:rsidR="009A288E" w:rsidRPr="00A02F7C" w:rsidRDefault="009A288E" w:rsidP="00912024">
      <w:pPr>
        <w:tabs>
          <w:tab w:val="left" w:pos="1418"/>
        </w:tabs>
        <w:rPr>
          <w:i/>
        </w:rPr>
      </w:pPr>
      <w:r w:rsidRPr="00A02F7C">
        <w:rPr>
          <w:b/>
          <w:i/>
        </w:rPr>
        <w:t>Kontaktperson</w:t>
      </w:r>
      <w:r w:rsidRPr="00A02F7C">
        <w:t>:</w:t>
      </w:r>
      <w:r w:rsidRPr="00A02F7C">
        <w:tab/>
      </w:r>
      <w:r w:rsidR="007B5B5F" w:rsidRPr="00A02F7C">
        <w:t xml:space="preserve"> </w:t>
      </w:r>
      <w:r w:rsidRPr="00A02F7C">
        <w:rPr>
          <w:i/>
        </w:rPr>
        <w:t xml:space="preserve">Claudia </w:t>
      </w:r>
      <w:proofErr w:type="spellStart"/>
      <w:r w:rsidRPr="00A02F7C">
        <w:rPr>
          <w:i/>
        </w:rPr>
        <w:t>Drewes-Wran</w:t>
      </w:r>
      <w:proofErr w:type="spellEnd"/>
    </w:p>
    <w:p w:rsidR="009A288E" w:rsidRPr="00A02F7C" w:rsidRDefault="00ED7F77" w:rsidP="00912024">
      <w:pPr>
        <w:tabs>
          <w:tab w:val="left" w:pos="1418"/>
        </w:tabs>
        <w:rPr>
          <w:i/>
        </w:rPr>
      </w:pPr>
      <w:r w:rsidRPr="00A02F7C">
        <w:rPr>
          <w:i/>
        </w:rPr>
        <w:tab/>
        <w:t xml:space="preserve">(Tfn +32 25468067 – e-post: </w:t>
      </w:r>
      <w:hyperlink r:id="rId29" w:history="1">
        <w:r w:rsidRPr="00A02F7C">
          <w:rPr>
            <w:rStyle w:val="Hyperlink"/>
            <w:i/>
          </w:rPr>
          <w:t>claudia.drewes-wran@eesc.europa.eu</w:t>
        </w:r>
      </w:hyperlink>
      <w:r w:rsidRPr="00A02F7C">
        <w:rPr>
          <w:i/>
        </w:rPr>
        <w:t>)</w:t>
      </w:r>
    </w:p>
    <w:p w:rsidR="00481E81" w:rsidRPr="00A02F7C" w:rsidRDefault="00481E81" w:rsidP="00912024">
      <w:pPr>
        <w:ind w:left="-567" w:hanging="284"/>
        <w:rPr>
          <w:i/>
          <w:iCs/>
          <w:u w:val="single"/>
        </w:rPr>
      </w:pPr>
    </w:p>
    <w:p w:rsidR="009A288E" w:rsidRPr="00A02F7C" w:rsidRDefault="007F330A" w:rsidP="00912024">
      <w:pPr>
        <w:pStyle w:val="ListParagraph"/>
        <w:numPr>
          <w:ilvl w:val="0"/>
          <w:numId w:val="55"/>
        </w:numPr>
        <w:overflowPunct w:val="0"/>
        <w:autoSpaceDE w:val="0"/>
        <w:autoSpaceDN w:val="0"/>
        <w:adjustRightInd w:val="0"/>
        <w:textAlignment w:val="baseline"/>
        <w:rPr>
          <w:sz w:val="24"/>
          <w:szCs w:val="24"/>
        </w:rPr>
      </w:pPr>
      <w:r w:rsidRPr="00A02F7C">
        <w:rPr>
          <w:b/>
          <w:i/>
          <w:sz w:val="28"/>
          <w:szCs w:val="28"/>
        </w:rPr>
        <w:t xml:space="preserve">Översyn av förordningen om saluföring och användning av </w:t>
      </w:r>
      <w:proofErr w:type="spellStart"/>
      <w:r w:rsidRPr="00A02F7C">
        <w:rPr>
          <w:b/>
          <w:i/>
          <w:sz w:val="28"/>
          <w:szCs w:val="28"/>
        </w:rPr>
        <w:t>sprängämnesprekursorer</w:t>
      </w:r>
      <w:proofErr w:type="spellEnd"/>
    </w:p>
    <w:p w:rsidR="009A288E" w:rsidRPr="00A02F7C" w:rsidRDefault="009A288E" w:rsidP="00912024">
      <w:pPr>
        <w:tabs>
          <w:tab w:val="center" w:pos="284"/>
        </w:tabs>
        <w:ind w:left="266" w:hanging="266"/>
        <w:rPr>
          <w:b/>
          <w:lang w:val="fr-FR"/>
        </w:rPr>
      </w:pPr>
    </w:p>
    <w:p w:rsidR="009A288E" w:rsidRPr="00A02F7C" w:rsidRDefault="009A288E" w:rsidP="00912024">
      <w:pPr>
        <w:tabs>
          <w:tab w:val="left" w:pos="1701"/>
        </w:tabs>
      </w:pPr>
      <w:r w:rsidRPr="00A02F7C">
        <w:rPr>
          <w:b/>
        </w:rPr>
        <w:t>Föredragande:</w:t>
      </w:r>
      <w:r w:rsidR="007B5B5F" w:rsidRPr="00A02F7C">
        <w:rPr>
          <w:b/>
        </w:rPr>
        <w:t xml:space="preserve"> </w:t>
      </w:r>
      <w:r w:rsidRPr="00A02F7C">
        <w:t>David Sears (Arbetsgivargruppen – UK)</w:t>
      </w:r>
    </w:p>
    <w:p w:rsidR="009A288E" w:rsidRPr="00A02F7C" w:rsidRDefault="009A288E" w:rsidP="00912024">
      <w:pPr>
        <w:tabs>
          <w:tab w:val="left" w:pos="1701"/>
        </w:tabs>
        <w:rPr>
          <w:b/>
          <w:lang w:val="fr-FR"/>
        </w:rPr>
      </w:pPr>
    </w:p>
    <w:p w:rsidR="009A288E" w:rsidRPr="00A02F7C" w:rsidRDefault="009A288E" w:rsidP="00912024">
      <w:pPr>
        <w:tabs>
          <w:tab w:val="left" w:pos="1701"/>
        </w:tabs>
      </w:pPr>
      <w:r w:rsidRPr="00A02F7C">
        <w:rPr>
          <w:b/>
        </w:rPr>
        <w:t>Referens:</w:t>
      </w:r>
      <w:r w:rsidR="007B5B5F" w:rsidRPr="00A02F7C">
        <w:rPr>
          <w:b/>
        </w:rPr>
        <w:t xml:space="preserve"> </w:t>
      </w:r>
      <w:r w:rsidR="007B5B5F" w:rsidRPr="00A02F7C">
        <w:rPr>
          <w:b/>
        </w:rPr>
        <w:tab/>
      </w:r>
      <w:r w:rsidRPr="00A02F7C">
        <w:t>COM(2018) 209 final – 2018/0103 (COD)</w:t>
      </w:r>
    </w:p>
    <w:p w:rsidR="009A288E" w:rsidRPr="00A02F7C" w:rsidRDefault="009A288E" w:rsidP="00912024">
      <w:pPr>
        <w:tabs>
          <w:tab w:val="left" w:pos="1701"/>
        </w:tabs>
      </w:pPr>
      <w:r w:rsidRPr="00A02F7C">
        <w:tab/>
        <w:t>EESC-201</w:t>
      </w:r>
      <w:r w:rsidR="00A02F7C" w:rsidRPr="00A02F7C">
        <w:t>8-0</w:t>
      </w:r>
      <w:r w:rsidRPr="00A02F7C">
        <w:t>223</w:t>
      </w:r>
      <w:r w:rsidR="00A02F7C" w:rsidRPr="00A02F7C">
        <w:t>5-00-0</w:t>
      </w:r>
      <w:r w:rsidRPr="00A02F7C">
        <w:t>0-AC-TRA</w:t>
      </w:r>
    </w:p>
    <w:p w:rsidR="009A288E" w:rsidRPr="00A02F7C" w:rsidRDefault="009A288E" w:rsidP="00912024">
      <w:pPr>
        <w:tabs>
          <w:tab w:val="center" w:pos="284"/>
        </w:tabs>
        <w:ind w:left="266" w:hanging="266"/>
        <w:rPr>
          <w:lang w:val="fr-FR"/>
        </w:rPr>
      </w:pPr>
    </w:p>
    <w:p w:rsidR="009A288E" w:rsidRPr="00A02F7C" w:rsidRDefault="00B73A91" w:rsidP="007B5B5F">
      <w:pPr>
        <w:keepNext/>
        <w:keepLines/>
        <w:tabs>
          <w:tab w:val="center" w:pos="284"/>
        </w:tabs>
        <w:ind w:left="266" w:hanging="266"/>
        <w:rPr>
          <w:b/>
        </w:rPr>
      </w:pPr>
      <w:r w:rsidRPr="00A02F7C">
        <w:rPr>
          <w:b/>
        </w:rPr>
        <w:lastRenderedPageBreak/>
        <w:t>Huvudpunkter:</w:t>
      </w:r>
    </w:p>
    <w:p w:rsidR="00481E81" w:rsidRPr="00A02F7C" w:rsidRDefault="00481E81" w:rsidP="007B5B5F">
      <w:pPr>
        <w:keepNext/>
        <w:keepLines/>
        <w:rPr>
          <w:lang w:val="fr-FR"/>
        </w:rPr>
      </w:pPr>
    </w:p>
    <w:p w:rsidR="009A288E" w:rsidRPr="00A02F7C" w:rsidRDefault="009A288E" w:rsidP="007B5B5F">
      <w:pPr>
        <w:keepNext/>
        <w:keepLines/>
      </w:pPr>
      <w:r w:rsidRPr="00A02F7C">
        <w:t>EESK välkomnar den föreslagna förordningen men</w:t>
      </w:r>
    </w:p>
    <w:p w:rsidR="009A288E" w:rsidRPr="00A02F7C" w:rsidRDefault="009A288E" w:rsidP="007B5B5F">
      <w:pPr>
        <w:pStyle w:val="ListParagraph"/>
        <w:keepNext/>
        <w:keepLines/>
        <w:numPr>
          <w:ilvl w:val="0"/>
          <w:numId w:val="6"/>
        </w:numPr>
      </w:pPr>
      <w:r w:rsidRPr="00A02F7C">
        <w:t>framhåller att det finns ett antal områden där större tydlighet när det gäller tillämpningsområdet och genomförandet av förordningen bör övervägas,</w:t>
      </w:r>
    </w:p>
    <w:p w:rsidR="009A288E" w:rsidRPr="00A02F7C" w:rsidRDefault="009A288E" w:rsidP="00912024">
      <w:pPr>
        <w:pStyle w:val="ListParagraph"/>
        <w:numPr>
          <w:ilvl w:val="0"/>
          <w:numId w:val="6"/>
        </w:numPr>
      </w:pPr>
      <w:r w:rsidRPr="00A02F7C">
        <w:t>ifrågasätter hur ändamålsenligt det är att samla en grupp så vitt skilda ämnen i en enda förordning; detta gör det svårt att utarbeta lagstiftningen och ännu svårare att genomföra den,</w:t>
      </w:r>
    </w:p>
    <w:p w:rsidR="009A288E" w:rsidRPr="00A02F7C" w:rsidRDefault="009A288E" w:rsidP="00912024">
      <w:pPr>
        <w:pStyle w:val="ListParagraph"/>
        <w:numPr>
          <w:ilvl w:val="0"/>
          <w:numId w:val="6"/>
        </w:numPr>
        <w:rPr>
          <w:color w:val="000000" w:themeColor="text1"/>
        </w:rPr>
      </w:pPr>
      <w:r w:rsidRPr="00A02F7C">
        <w:t>rekommenderar en annan, ämnesspecifik strategi.</w:t>
      </w:r>
    </w:p>
    <w:p w:rsidR="009A288E" w:rsidRPr="00A02F7C" w:rsidRDefault="009A288E" w:rsidP="00912024">
      <w:pPr>
        <w:rPr>
          <w:b/>
          <w:lang w:val="fr-FR"/>
        </w:rPr>
      </w:pPr>
    </w:p>
    <w:p w:rsidR="009A288E" w:rsidRPr="00A02F7C" w:rsidRDefault="009A288E" w:rsidP="00912024">
      <w:pPr>
        <w:tabs>
          <w:tab w:val="left" w:pos="1418"/>
        </w:tabs>
        <w:rPr>
          <w:i/>
        </w:rPr>
      </w:pPr>
      <w:r w:rsidRPr="00A02F7C">
        <w:rPr>
          <w:b/>
          <w:i/>
        </w:rPr>
        <w:t>Kontaktperson</w:t>
      </w:r>
      <w:r w:rsidRPr="00A02F7C">
        <w:t>:</w:t>
      </w:r>
      <w:r w:rsidRPr="00A02F7C">
        <w:tab/>
      </w:r>
      <w:r w:rsidR="007B5B5F" w:rsidRPr="00A02F7C">
        <w:tab/>
      </w:r>
      <w:r w:rsidRPr="00A02F7C">
        <w:rPr>
          <w:i/>
        </w:rPr>
        <w:t>Jean-Pierre Faure</w:t>
      </w:r>
    </w:p>
    <w:p w:rsidR="009A288E" w:rsidRPr="00A02F7C" w:rsidRDefault="00ED7F77" w:rsidP="00912024">
      <w:pPr>
        <w:tabs>
          <w:tab w:val="left" w:pos="1418"/>
        </w:tabs>
        <w:rPr>
          <w:i/>
        </w:rPr>
      </w:pPr>
      <w:r w:rsidRPr="00A02F7C">
        <w:rPr>
          <w:i/>
        </w:rPr>
        <w:tab/>
        <w:t xml:space="preserve">(Tfn +32 25469615 – e-post: </w:t>
      </w:r>
      <w:hyperlink r:id="rId30" w:history="1">
        <w:r w:rsidRPr="00A02F7C">
          <w:rPr>
            <w:rStyle w:val="Hyperlink"/>
            <w:i/>
          </w:rPr>
          <w:t>jean-pierre.faure@eesc.europa.eu</w:t>
        </w:r>
      </w:hyperlink>
      <w:r w:rsidRPr="00A02F7C">
        <w:rPr>
          <w:i/>
        </w:rPr>
        <w:t>)</w:t>
      </w:r>
    </w:p>
    <w:p w:rsidR="009A288E" w:rsidRPr="00A02F7C" w:rsidRDefault="009A288E" w:rsidP="00912024">
      <w:pPr>
        <w:rPr>
          <w:i/>
          <w:iCs/>
          <w:u w:val="single"/>
        </w:rPr>
      </w:pPr>
    </w:p>
    <w:p w:rsidR="009A288E" w:rsidRPr="00A02F7C" w:rsidRDefault="007F330A" w:rsidP="00CA0433">
      <w:pPr>
        <w:keepNext/>
        <w:numPr>
          <w:ilvl w:val="0"/>
          <w:numId w:val="4"/>
        </w:numPr>
        <w:overflowPunct w:val="0"/>
        <w:autoSpaceDE w:val="0"/>
        <w:autoSpaceDN w:val="0"/>
        <w:adjustRightInd w:val="0"/>
        <w:textAlignment w:val="baseline"/>
        <w:rPr>
          <w:sz w:val="24"/>
          <w:szCs w:val="24"/>
        </w:rPr>
      </w:pPr>
      <w:r w:rsidRPr="00A02F7C">
        <w:rPr>
          <w:b/>
          <w:i/>
          <w:sz w:val="28"/>
          <w:szCs w:val="28"/>
        </w:rPr>
        <w:t>Unionens tullkodex (ändring)</w:t>
      </w:r>
    </w:p>
    <w:p w:rsidR="009A288E" w:rsidRPr="00A02F7C" w:rsidRDefault="009A288E" w:rsidP="00CA0433">
      <w:pPr>
        <w:keepNext/>
        <w:tabs>
          <w:tab w:val="center" w:pos="284"/>
        </w:tabs>
        <w:ind w:left="266" w:hanging="266"/>
        <w:rPr>
          <w:b/>
          <w:lang w:val="fr-FR"/>
        </w:rPr>
      </w:pPr>
    </w:p>
    <w:p w:rsidR="009A288E" w:rsidRPr="00A02F7C" w:rsidRDefault="007E6F14" w:rsidP="00CA0433">
      <w:pPr>
        <w:keepNext/>
        <w:tabs>
          <w:tab w:val="left" w:pos="1701"/>
        </w:tabs>
      </w:pPr>
      <w:r w:rsidRPr="00A02F7C">
        <w:rPr>
          <w:b/>
        </w:rPr>
        <w:t>Huvudföredragande:</w:t>
      </w:r>
      <w:r w:rsidR="007B5B5F" w:rsidRPr="00A02F7C">
        <w:rPr>
          <w:b/>
        </w:rPr>
        <w:tab/>
      </w:r>
      <w:proofErr w:type="spellStart"/>
      <w:r w:rsidRPr="00A02F7C">
        <w:t>Antonello</w:t>
      </w:r>
      <w:proofErr w:type="spellEnd"/>
      <w:r w:rsidRPr="00A02F7C">
        <w:t xml:space="preserve"> </w:t>
      </w:r>
      <w:proofErr w:type="spellStart"/>
      <w:r w:rsidRPr="00A02F7C">
        <w:t>Pezzini</w:t>
      </w:r>
      <w:proofErr w:type="spellEnd"/>
      <w:r w:rsidRPr="00A02F7C">
        <w:t xml:space="preserve"> (Arbetsgivargruppen – IT)</w:t>
      </w:r>
    </w:p>
    <w:p w:rsidR="009A288E" w:rsidRPr="00A02F7C" w:rsidRDefault="009A288E" w:rsidP="00CA0433">
      <w:pPr>
        <w:keepNext/>
        <w:tabs>
          <w:tab w:val="left" w:pos="1701"/>
        </w:tabs>
        <w:rPr>
          <w:b/>
          <w:lang w:val="fr-FR"/>
        </w:rPr>
      </w:pPr>
    </w:p>
    <w:p w:rsidR="009A288E" w:rsidRPr="00A02F7C" w:rsidRDefault="009A288E" w:rsidP="00CA0433">
      <w:pPr>
        <w:keepNext/>
        <w:tabs>
          <w:tab w:val="left" w:pos="1701"/>
        </w:tabs>
      </w:pPr>
      <w:r w:rsidRPr="00A02F7C">
        <w:rPr>
          <w:b/>
        </w:rPr>
        <w:t>Referens:</w:t>
      </w:r>
      <w:r w:rsidR="007B5B5F" w:rsidRPr="00A02F7C">
        <w:rPr>
          <w:b/>
        </w:rPr>
        <w:tab/>
      </w:r>
      <w:r w:rsidRPr="00A02F7C">
        <w:t>COM(2018) 259 final – 2018/0123 (COD)</w:t>
      </w:r>
    </w:p>
    <w:p w:rsidR="009A288E" w:rsidRPr="00A02F7C" w:rsidRDefault="009A288E" w:rsidP="00CA0433">
      <w:pPr>
        <w:keepNext/>
        <w:tabs>
          <w:tab w:val="left" w:pos="1701"/>
        </w:tabs>
      </w:pPr>
      <w:r w:rsidRPr="00A02F7C">
        <w:tab/>
        <w:t>EESC-201</w:t>
      </w:r>
      <w:r w:rsidR="00A02F7C" w:rsidRPr="00A02F7C">
        <w:t>8-0</w:t>
      </w:r>
      <w:r w:rsidRPr="00A02F7C">
        <w:t>282</w:t>
      </w:r>
      <w:r w:rsidR="00A02F7C" w:rsidRPr="00A02F7C">
        <w:t>5-00-0</w:t>
      </w:r>
      <w:r w:rsidRPr="00A02F7C">
        <w:t>0-AC-TRA</w:t>
      </w:r>
    </w:p>
    <w:p w:rsidR="009A288E" w:rsidRPr="00A02F7C" w:rsidRDefault="009A288E" w:rsidP="00CA0433">
      <w:pPr>
        <w:keepNext/>
        <w:tabs>
          <w:tab w:val="center" w:pos="284"/>
        </w:tabs>
        <w:ind w:left="266" w:hanging="266"/>
        <w:rPr>
          <w:lang w:val="fr-FR"/>
        </w:rPr>
      </w:pPr>
    </w:p>
    <w:p w:rsidR="009A288E" w:rsidRPr="00A02F7C" w:rsidRDefault="00ED7F77" w:rsidP="00912024">
      <w:pPr>
        <w:tabs>
          <w:tab w:val="center" w:pos="284"/>
        </w:tabs>
        <w:ind w:left="266" w:hanging="266"/>
        <w:rPr>
          <w:b/>
        </w:rPr>
      </w:pPr>
      <w:r w:rsidRPr="00A02F7C">
        <w:rPr>
          <w:b/>
        </w:rPr>
        <w:t>Huvudpunkter:</w:t>
      </w:r>
    </w:p>
    <w:p w:rsidR="00481E81" w:rsidRPr="00A02F7C" w:rsidRDefault="00481E81" w:rsidP="00912024">
      <w:pPr>
        <w:rPr>
          <w:b/>
          <w:lang w:val="fr-FR"/>
        </w:rPr>
      </w:pPr>
    </w:p>
    <w:p w:rsidR="009A288E" w:rsidRPr="00A02F7C" w:rsidRDefault="009A288E" w:rsidP="00912024">
      <w:proofErr w:type="spellStart"/>
      <w:r w:rsidRPr="00A02F7C">
        <w:t>EESK:s</w:t>
      </w:r>
      <w:proofErr w:type="spellEnd"/>
      <w:r w:rsidRPr="00A02F7C">
        <w:t xml:space="preserve"> ståndpunkt:</w:t>
      </w:r>
    </w:p>
    <w:p w:rsidR="009A288E" w:rsidRPr="00A02F7C" w:rsidRDefault="009A288E" w:rsidP="00912024">
      <w:pPr>
        <w:pStyle w:val="ListParagraph"/>
        <w:numPr>
          <w:ilvl w:val="0"/>
          <w:numId w:val="6"/>
        </w:numPr>
        <w:overflowPunct w:val="0"/>
        <w:autoSpaceDE w:val="0"/>
        <w:autoSpaceDN w:val="0"/>
        <w:adjustRightInd w:val="0"/>
        <w:textAlignment w:val="baseline"/>
      </w:pPr>
      <w:r w:rsidRPr="00A02F7C">
        <w:t>EESK stöder den föreslagna rättsliga ramen, dvs. ändringar av bestämmelser och tekniska regler i unionens tullkodex, rättelser av tekniska fel och brister, anpassning av kodexen till det internationella avtalet mellan EU och Kanada (</w:t>
      </w:r>
      <w:proofErr w:type="spellStart"/>
      <w:r w:rsidRPr="00A02F7C">
        <w:t>Ceta</w:t>
      </w:r>
      <w:proofErr w:type="spellEnd"/>
      <w:r w:rsidRPr="00A02F7C">
        <w:t xml:space="preserve">) samt inkludering av den italienska kommunen </w:t>
      </w:r>
      <w:proofErr w:type="spellStart"/>
      <w:r w:rsidRPr="00A02F7C">
        <w:t>Campione</w:t>
      </w:r>
      <w:proofErr w:type="spellEnd"/>
      <w:r w:rsidRPr="00A02F7C">
        <w:t xml:space="preserve"> d’Italia och den italienska delen av Luganosjön i unionen</w:t>
      </w:r>
      <w:r w:rsidR="007B5B5F" w:rsidRPr="00A02F7C">
        <w:t>s tullområde, i </w:t>
      </w:r>
      <w:r w:rsidRPr="00A02F7C">
        <w:t>enlighet med begäran av den berörda medlemsstaten.</w:t>
      </w:r>
    </w:p>
    <w:p w:rsidR="009A288E" w:rsidRPr="00A02F7C" w:rsidRDefault="009A288E" w:rsidP="00912024">
      <w:pPr>
        <w:pStyle w:val="ListParagraph"/>
        <w:numPr>
          <w:ilvl w:val="0"/>
          <w:numId w:val="6"/>
        </w:numPr>
        <w:overflowPunct w:val="0"/>
        <w:autoSpaceDE w:val="0"/>
        <w:autoSpaceDN w:val="0"/>
        <w:adjustRightInd w:val="0"/>
        <w:textAlignment w:val="baseline"/>
      </w:pPr>
      <w:r w:rsidRPr="00A02F7C">
        <w:t>När det gäller inkluderingen av ”territoriella enklaver” rekommenderar kommittén särskild uppmärksamhet så att nödvändiga ändringar samtidigt görs i direktiven 2008/118/EG (om punktskatter) och 2006/112/EG (om moms).</w:t>
      </w:r>
    </w:p>
    <w:p w:rsidR="009A288E" w:rsidRPr="00A02F7C" w:rsidRDefault="009A288E" w:rsidP="00912024">
      <w:pPr>
        <w:pStyle w:val="ListParagraph"/>
        <w:numPr>
          <w:ilvl w:val="0"/>
          <w:numId w:val="6"/>
        </w:numPr>
        <w:overflowPunct w:val="0"/>
        <w:autoSpaceDE w:val="0"/>
        <w:autoSpaceDN w:val="0"/>
        <w:adjustRightInd w:val="0"/>
        <w:textAlignment w:val="baseline"/>
      </w:pPr>
      <w:r w:rsidRPr="00A02F7C">
        <w:t xml:space="preserve">EESK uppmanar också kommissionen att 2021 till kommittén översända den planerade rapporten om </w:t>
      </w:r>
      <w:proofErr w:type="spellStart"/>
      <w:r w:rsidRPr="00A02F7C">
        <w:t>interimsutvärderingen</w:t>
      </w:r>
      <w:proofErr w:type="spellEnd"/>
      <w:r w:rsidRPr="00A02F7C">
        <w:t xml:space="preserve"> av den rättsliga ramen för unionens tullkodex, i syfte att bedöma lämpligheten hos de ändringar som görs genom denna förordning och effektiviteten hos de gemensamma digitala system som måste införas fram till dess.</w:t>
      </w:r>
    </w:p>
    <w:p w:rsidR="009A288E" w:rsidRPr="00A02F7C" w:rsidRDefault="009A288E" w:rsidP="00912024">
      <w:pPr>
        <w:rPr>
          <w:b/>
          <w:lang w:val="fr-FR"/>
        </w:rPr>
      </w:pPr>
    </w:p>
    <w:p w:rsidR="009A288E" w:rsidRPr="00A02F7C" w:rsidRDefault="009A288E" w:rsidP="00912024">
      <w:pPr>
        <w:tabs>
          <w:tab w:val="left" w:pos="1418"/>
        </w:tabs>
        <w:rPr>
          <w:i/>
        </w:rPr>
      </w:pPr>
      <w:r w:rsidRPr="00A02F7C">
        <w:rPr>
          <w:b/>
          <w:i/>
        </w:rPr>
        <w:t>Kontaktperson</w:t>
      </w:r>
      <w:r w:rsidRPr="00A02F7C">
        <w:t>:</w:t>
      </w:r>
      <w:r w:rsidRPr="00A02F7C">
        <w:tab/>
      </w:r>
      <w:r w:rsidRPr="00A02F7C">
        <w:rPr>
          <w:i/>
        </w:rPr>
        <w:t>Jana </w:t>
      </w:r>
      <w:proofErr w:type="spellStart"/>
      <w:r w:rsidRPr="00A02F7C">
        <w:rPr>
          <w:i/>
        </w:rPr>
        <w:t>Valant</w:t>
      </w:r>
      <w:proofErr w:type="spellEnd"/>
    </w:p>
    <w:p w:rsidR="009A288E" w:rsidRPr="00A02F7C" w:rsidRDefault="00ED7F77" w:rsidP="00912024">
      <w:pPr>
        <w:tabs>
          <w:tab w:val="left" w:pos="1418"/>
        </w:tabs>
        <w:rPr>
          <w:i/>
        </w:rPr>
      </w:pPr>
      <w:r w:rsidRPr="00A02F7C">
        <w:rPr>
          <w:i/>
        </w:rPr>
        <w:tab/>
        <w:t xml:space="preserve">(Tfn +32 25468924 – e-post: </w:t>
      </w:r>
      <w:hyperlink r:id="rId31" w:history="1">
        <w:r w:rsidRPr="00A02F7C">
          <w:rPr>
            <w:rStyle w:val="Hyperlink"/>
            <w:i/>
          </w:rPr>
          <w:t>jana.valant@eesc.europa.eu</w:t>
        </w:r>
      </w:hyperlink>
      <w:r w:rsidRPr="00A02F7C">
        <w:t>)</w:t>
      </w:r>
    </w:p>
    <w:p w:rsidR="009A288E" w:rsidRPr="00A02F7C" w:rsidRDefault="009A288E" w:rsidP="00912024"/>
    <w:p w:rsidR="00ED7F77" w:rsidRPr="00A02F7C" w:rsidRDefault="00ED7F77" w:rsidP="00912024">
      <w:pPr>
        <w:jc w:val="left"/>
      </w:pPr>
      <w:r w:rsidRPr="00A02F7C">
        <w:br w:type="page"/>
      </w:r>
    </w:p>
    <w:p w:rsidR="00F2269F" w:rsidRPr="00A02F7C" w:rsidRDefault="00F2269F" w:rsidP="00912024">
      <w:pPr>
        <w:pStyle w:val="Heading1"/>
        <w:ind w:left="567" w:hanging="567"/>
        <w:rPr>
          <w:b/>
          <w:caps/>
        </w:rPr>
      </w:pPr>
      <w:bookmarkStart w:id="831" w:name="_Toc523126584"/>
      <w:r w:rsidRPr="00A02F7C">
        <w:rPr>
          <w:b/>
          <w:caps/>
        </w:rPr>
        <w:lastRenderedPageBreak/>
        <w:t>Transporter, energi, infrastruktur och informationssamhället</w:t>
      </w:r>
      <w:bookmarkEnd w:id="831"/>
    </w:p>
    <w:p w:rsidR="009A288E" w:rsidRPr="00A02F7C" w:rsidRDefault="009A288E" w:rsidP="00912024">
      <w:pPr>
        <w:ind w:left="-567"/>
        <w:rPr>
          <w:i/>
          <w:lang w:val="en-GB"/>
        </w:rPr>
      </w:pPr>
    </w:p>
    <w:p w:rsidR="009A288E" w:rsidRPr="00A02F7C" w:rsidRDefault="009A288E" w:rsidP="00912024">
      <w:pPr>
        <w:numPr>
          <w:ilvl w:val="0"/>
          <w:numId w:val="2"/>
        </w:numPr>
        <w:overflowPunct w:val="0"/>
        <w:autoSpaceDE w:val="0"/>
        <w:autoSpaceDN w:val="0"/>
        <w:adjustRightInd w:val="0"/>
        <w:textAlignment w:val="baseline"/>
        <w:rPr>
          <w:bCs/>
        </w:rPr>
      </w:pPr>
      <w:r w:rsidRPr="00A02F7C">
        <w:rPr>
          <w:b/>
          <w:i/>
          <w:sz w:val="28"/>
          <w:szCs w:val="28"/>
        </w:rPr>
        <w:t>Effekterna av en ny koldioxidfri, decentraliserad och digitaliserad energiförsörjningsstruktur på arbetstillfällena och de regionala ekonomierna</w:t>
      </w:r>
    </w:p>
    <w:p w:rsidR="009A288E" w:rsidRPr="00A02F7C" w:rsidRDefault="009A288E" w:rsidP="00912024">
      <w:pPr>
        <w:rPr>
          <w:bCs/>
          <w:lang w:val="en-GB"/>
        </w:rPr>
      </w:pPr>
    </w:p>
    <w:p w:rsidR="009A288E" w:rsidRPr="00A02F7C" w:rsidRDefault="009A288E" w:rsidP="00912024">
      <w:pPr>
        <w:tabs>
          <w:tab w:val="left" w:pos="1701"/>
        </w:tabs>
      </w:pPr>
      <w:r w:rsidRPr="00A02F7C">
        <w:rPr>
          <w:b/>
        </w:rPr>
        <w:t>Föredragande:</w:t>
      </w:r>
      <w:r w:rsidR="007B5B5F" w:rsidRPr="00A02F7C">
        <w:rPr>
          <w:b/>
        </w:rPr>
        <w:tab/>
      </w:r>
      <w:r w:rsidRPr="00A02F7C">
        <w:t xml:space="preserve">Lutz </w:t>
      </w:r>
      <w:proofErr w:type="spellStart"/>
      <w:r w:rsidRPr="00A02F7C">
        <w:t>Ribbe</w:t>
      </w:r>
      <w:proofErr w:type="spellEnd"/>
      <w:r w:rsidRPr="00A02F7C">
        <w:t xml:space="preserve"> (Mångfald Europa – DE)</w:t>
      </w:r>
    </w:p>
    <w:p w:rsidR="00ED7F77" w:rsidRPr="00A02F7C" w:rsidRDefault="009A288E" w:rsidP="00912024">
      <w:pPr>
        <w:tabs>
          <w:tab w:val="left" w:pos="1701"/>
        </w:tabs>
      </w:pPr>
      <w:r w:rsidRPr="00A02F7C">
        <w:rPr>
          <w:b/>
        </w:rPr>
        <w:t>Referens:</w:t>
      </w:r>
      <w:r w:rsidR="007B5B5F" w:rsidRPr="00A02F7C">
        <w:rPr>
          <w:b/>
        </w:rPr>
        <w:tab/>
      </w:r>
      <w:r w:rsidRPr="00A02F7C">
        <w:t>Yttrande på eget initiativ</w:t>
      </w:r>
    </w:p>
    <w:p w:rsidR="009A288E" w:rsidRPr="00A02F7C" w:rsidRDefault="00ED7F77" w:rsidP="00912024">
      <w:pPr>
        <w:tabs>
          <w:tab w:val="left" w:pos="1701"/>
        </w:tabs>
      </w:pPr>
      <w:r w:rsidRPr="00A02F7C">
        <w:tab/>
        <w:t>EESC-201</w:t>
      </w:r>
      <w:r w:rsidR="00A02F7C" w:rsidRPr="00A02F7C">
        <w:t>8-0</w:t>
      </w:r>
      <w:r w:rsidRPr="00A02F7C">
        <w:t>098</w:t>
      </w:r>
      <w:r w:rsidR="00A02F7C" w:rsidRPr="00A02F7C">
        <w:t>4-00-0</w:t>
      </w:r>
      <w:r w:rsidRPr="00A02F7C">
        <w:t>0-AC-TRA</w:t>
      </w:r>
    </w:p>
    <w:p w:rsidR="009A288E" w:rsidRPr="00A02F7C" w:rsidRDefault="009A288E" w:rsidP="00912024">
      <w:pPr>
        <w:tabs>
          <w:tab w:val="num" w:pos="550"/>
        </w:tabs>
        <w:rPr>
          <w:b/>
          <w:lang w:val="en-GB"/>
        </w:rPr>
      </w:pPr>
    </w:p>
    <w:p w:rsidR="009A288E" w:rsidRPr="00A02F7C" w:rsidRDefault="009A288E" w:rsidP="00912024">
      <w:pPr>
        <w:rPr>
          <w:color w:val="000000"/>
        </w:rPr>
      </w:pPr>
      <w:r w:rsidRPr="00A02F7C">
        <w:rPr>
          <w:b/>
        </w:rPr>
        <w:t>Huvudpunkter:</w:t>
      </w:r>
    </w:p>
    <w:p w:rsidR="00481E81" w:rsidRPr="00A02F7C" w:rsidRDefault="00481E81" w:rsidP="00912024"/>
    <w:p w:rsidR="009A288E" w:rsidRPr="00A02F7C" w:rsidRDefault="009A288E" w:rsidP="00912024">
      <w:pPr>
        <w:pStyle w:val="ListParagraph"/>
        <w:numPr>
          <w:ilvl w:val="0"/>
          <w:numId w:val="56"/>
        </w:numPr>
      </w:pPr>
      <w:r w:rsidRPr="00A02F7C">
        <w:t>Yttrandets huvudbudskap är att omställningen av energisystemet till en koldioxidfri, decentraliserad och digitaliserad försörjning erbjuder stora möjligheter, särskilt för strukturellt svaga regioner och landsbygdsområden i Europa. Utbyggnaden av förnybar energi kan ge betydande positiva effekter på sysselsättningen och utformas på ett sådant sätt att helt nya impulser uppnås för den regionala ekonomin. Det finns därför potential för att ömsesidigt stärka de positiva effekterna av den europeiska energi- och sammanhållningspolitiken. Europeiska ekonomiska och sociala kommittén beklagar att kommissionen och medlemsstaterna ännu inte fullt ut har insett denna potential, och än mindre tagit vara på den.</w:t>
      </w:r>
    </w:p>
    <w:p w:rsidR="009A288E" w:rsidRPr="00A02F7C" w:rsidRDefault="009A288E" w:rsidP="00912024">
      <w:pPr>
        <w:pStyle w:val="ListParagraph"/>
        <w:numPr>
          <w:ilvl w:val="0"/>
          <w:numId w:val="57"/>
        </w:numPr>
      </w:pPr>
      <w:r w:rsidRPr="00A02F7C">
        <w:t>EESK rekommenderar att man inom ramen för "planer för en regional cirkulär energiekonomi" utarbetar analyser som öppnar för en differentierad bedömning av den förnybara energins regionalekonomiska potential för varje enskild region. Planerna för en regional cirkulär energiekonomi skulle kunna bilda utgångspunkten för en strukturerad och differentierad dialog med lokalbefolkningen, vilket är viktigt för att a) bibehålla eller vinna lokal acceptans för förnybar energi och b) stärka de regionala ekonomiska centrumen.</w:t>
      </w:r>
    </w:p>
    <w:p w:rsidR="00ED7F77" w:rsidRPr="00A02F7C" w:rsidRDefault="00ED7F77" w:rsidP="00912024"/>
    <w:p w:rsidR="009A288E" w:rsidRPr="00A02F7C" w:rsidRDefault="009A288E" w:rsidP="00912024">
      <w:pPr>
        <w:tabs>
          <w:tab w:val="left" w:pos="1418"/>
        </w:tabs>
        <w:rPr>
          <w:i/>
        </w:rPr>
      </w:pPr>
      <w:r w:rsidRPr="00A02F7C">
        <w:rPr>
          <w:b/>
          <w:i/>
        </w:rPr>
        <w:t>Kontaktperson:</w:t>
      </w:r>
      <w:r w:rsidRPr="00A02F7C">
        <w:rPr>
          <w:i/>
        </w:rPr>
        <w:tab/>
      </w:r>
      <w:r w:rsidR="007B5B5F" w:rsidRPr="00A02F7C">
        <w:rPr>
          <w:i/>
        </w:rPr>
        <w:t xml:space="preserve"> </w:t>
      </w:r>
      <w:r w:rsidRPr="00A02F7C">
        <w:rPr>
          <w:i/>
        </w:rPr>
        <w:t>Kristian </w:t>
      </w:r>
      <w:proofErr w:type="spellStart"/>
      <w:r w:rsidRPr="00A02F7C">
        <w:rPr>
          <w:i/>
        </w:rPr>
        <w:t>Krieger</w:t>
      </w:r>
      <w:proofErr w:type="spellEnd"/>
    </w:p>
    <w:p w:rsidR="009A288E" w:rsidRPr="00A02F7C" w:rsidRDefault="00ED70E2" w:rsidP="00912024">
      <w:pPr>
        <w:tabs>
          <w:tab w:val="left" w:pos="1418"/>
        </w:tabs>
        <w:rPr>
          <w:i/>
        </w:rPr>
      </w:pPr>
      <w:r w:rsidRPr="00A02F7C">
        <w:rPr>
          <w:i/>
        </w:rPr>
        <w:tab/>
        <w:t xml:space="preserve">(Tfn +32 25468921 – e-post: </w:t>
      </w:r>
      <w:hyperlink r:id="rId32" w:history="1">
        <w:r w:rsidRPr="00A02F7C">
          <w:rPr>
            <w:rStyle w:val="Hyperlink"/>
            <w:i/>
          </w:rPr>
          <w:t>Kristian.Krieger@eesc.europa.eu</w:t>
        </w:r>
      </w:hyperlink>
      <w:r w:rsidRPr="00A02F7C">
        <w:rPr>
          <w:i/>
        </w:rPr>
        <w:t>)</w:t>
      </w:r>
    </w:p>
    <w:p w:rsidR="009A288E" w:rsidRPr="00A02F7C" w:rsidRDefault="009A288E" w:rsidP="00912024">
      <w:pPr>
        <w:keepNext/>
        <w:ind w:left="567"/>
        <w:rPr>
          <w:b/>
          <w:bCs/>
          <w:i/>
          <w:iCs/>
          <w:sz w:val="28"/>
          <w:szCs w:val="28"/>
          <w:lang w:val="en-GB"/>
        </w:rPr>
      </w:pPr>
    </w:p>
    <w:p w:rsidR="009A288E" w:rsidRPr="00A02F7C" w:rsidRDefault="009A288E" w:rsidP="00912024">
      <w:pPr>
        <w:pStyle w:val="ListParagraph"/>
        <w:keepNext/>
        <w:numPr>
          <w:ilvl w:val="0"/>
          <w:numId w:val="58"/>
        </w:numPr>
        <w:rPr>
          <w:b/>
          <w:bCs/>
          <w:i/>
          <w:iCs/>
          <w:sz w:val="28"/>
          <w:szCs w:val="28"/>
        </w:rPr>
      </w:pPr>
      <w:r w:rsidRPr="00A02F7C">
        <w:rPr>
          <w:b/>
          <w:bCs/>
          <w:i/>
          <w:iCs/>
          <w:sz w:val="28"/>
          <w:szCs w:val="28"/>
        </w:rPr>
        <w:t>Transporternas roll för uppnåendet av målen för hållbar utveckling och konsekvenserna för EU:s politiska beslutsfattande</w:t>
      </w:r>
    </w:p>
    <w:p w:rsidR="009A288E" w:rsidRPr="00A02F7C" w:rsidRDefault="009A288E" w:rsidP="00912024">
      <w:pPr>
        <w:keepNext/>
        <w:rPr>
          <w:lang w:val="en-GB"/>
        </w:rPr>
      </w:pPr>
    </w:p>
    <w:p w:rsidR="009A288E" w:rsidRPr="00A02F7C" w:rsidRDefault="009A288E" w:rsidP="00912024">
      <w:pPr>
        <w:keepNext/>
        <w:tabs>
          <w:tab w:val="left" w:pos="1701"/>
        </w:tabs>
      </w:pPr>
      <w:r w:rsidRPr="00A02F7C">
        <w:rPr>
          <w:b/>
        </w:rPr>
        <w:t>Föredragande:</w:t>
      </w:r>
      <w:r w:rsidR="007B5B5F" w:rsidRPr="00A02F7C">
        <w:rPr>
          <w:b/>
        </w:rPr>
        <w:t xml:space="preserve"> </w:t>
      </w:r>
      <w:r w:rsidRPr="00A02F7C">
        <w:t xml:space="preserve">Tellervo </w:t>
      </w:r>
      <w:proofErr w:type="spellStart"/>
      <w:r w:rsidRPr="00A02F7C">
        <w:t>Kylä-Harakka-Ruonala</w:t>
      </w:r>
      <w:proofErr w:type="spellEnd"/>
      <w:r w:rsidRPr="00A02F7C">
        <w:t xml:space="preserve"> (Arbetsgivargruppen – FI)</w:t>
      </w:r>
    </w:p>
    <w:p w:rsidR="00ED70E2" w:rsidRPr="00A02F7C" w:rsidRDefault="009A288E" w:rsidP="00912024">
      <w:pPr>
        <w:keepNext/>
        <w:tabs>
          <w:tab w:val="left" w:pos="1701"/>
        </w:tabs>
        <w:rPr>
          <w:kern w:val="28"/>
        </w:rPr>
      </w:pPr>
      <w:r w:rsidRPr="00A02F7C">
        <w:rPr>
          <w:b/>
          <w:bCs/>
        </w:rPr>
        <w:t>Referens:</w:t>
      </w:r>
      <w:r w:rsidR="007B5B5F" w:rsidRPr="00A02F7C">
        <w:rPr>
          <w:b/>
          <w:bCs/>
        </w:rPr>
        <w:tab/>
      </w:r>
      <w:r w:rsidRPr="00A02F7C">
        <w:t>Yttrande på eget initiativ</w:t>
      </w:r>
    </w:p>
    <w:p w:rsidR="009A288E" w:rsidRPr="00A02F7C" w:rsidRDefault="00ED70E2" w:rsidP="00912024">
      <w:pPr>
        <w:tabs>
          <w:tab w:val="left" w:pos="1701"/>
        </w:tabs>
        <w:rPr>
          <w:kern w:val="28"/>
        </w:rPr>
      </w:pPr>
      <w:r w:rsidRPr="00A02F7C">
        <w:tab/>
        <w:t>EESC-201</w:t>
      </w:r>
      <w:r w:rsidR="00A02F7C" w:rsidRPr="00A02F7C">
        <w:t>8-0</w:t>
      </w:r>
      <w:r w:rsidRPr="00A02F7C">
        <w:t>098</w:t>
      </w:r>
      <w:r w:rsidR="00A02F7C" w:rsidRPr="00A02F7C">
        <w:t>2-00-0</w:t>
      </w:r>
      <w:r w:rsidRPr="00A02F7C">
        <w:t>0-AC-TRA</w:t>
      </w:r>
    </w:p>
    <w:p w:rsidR="009A288E" w:rsidRPr="00A02F7C" w:rsidRDefault="009A288E" w:rsidP="00912024">
      <w:pPr>
        <w:rPr>
          <w:rFonts w:eastAsia="Calibri"/>
          <w:lang w:val="en-GB"/>
        </w:rPr>
      </w:pPr>
    </w:p>
    <w:p w:rsidR="009A288E" w:rsidRPr="00A02F7C" w:rsidRDefault="009A288E" w:rsidP="00912024">
      <w:pPr>
        <w:rPr>
          <w:b/>
          <w:bCs/>
          <w:u w:val="single"/>
        </w:rPr>
      </w:pPr>
      <w:r w:rsidRPr="00A02F7C">
        <w:rPr>
          <w:b/>
          <w:bCs/>
        </w:rPr>
        <w:t>Huvudpunkter:</w:t>
      </w:r>
    </w:p>
    <w:p w:rsidR="00481E81" w:rsidRPr="00A02F7C" w:rsidRDefault="00481E81" w:rsidP="00912024">
      <w:pPr>
        <w:outlineLvl w:val="1"/>
        <w:rPr>
          <w:lang w:val="en-GB" w:eastAsia="fi-FI"/>
        </w:rPr>
      </w:pPr>
    </w:p>
    <w:p w:rsidR="009A288E" w:rsidRPr="00A02F7C" w:rsidRDefault="009A288E" w:rsidP="00912024">
      <w:pPr>
        <w:pStyle w:val="ListParagraph"/>
        <w:numPr>
          <w:ilvl w:val="0"/>
          <w:numId w:val="59"/>
        </w:numPr>
        <w:outlineLvl w:val="1"/>
      </w:pPr>
      <w:r w:rsidRPr="00A02F7C">
        <w:t xml:space="preserve">Transportsektorn är viktig för uppnåendet av flera av målen för hållbar utveckling. Den bidrar i hög grad till målen för hållbar utveckling avseende ekonomisk utveckling, industri och små och medelstora företag, samt handel och investeringar. Följaktligen bidrar den också till uppnåendet av de mål för hållbar utveckling som syftar till att främja sysselsättning och välbefinnande och minska ojämlikhet och utestängning. Samtidigt finns det många utmaningar </w:t>
      </w:r>
      <w:r w:rsidRPr="00A02F7C">
        <w:lastRenderedPageBreak/>
        <w:t>inom transportsektorn när det gäller målen för hållbar utveckling, t.ex. behovet av att minska klimat- och miljöpåverkan, förbättra transportsystemen och trafiksäkerheten och hantera problem som rör sysselsättning och anständigt arbete.</w:t>
      </w:r>
    </w:p>
    <w:p w:rsidR="009A288E" w:rsidRPr="00A02F7C" w:rsidRDefault="009A288E" w:rsidP="00912024">
      <w:pPr>
        <w:rPr>
          <w:lang w:val="en-GB" w:eastAsia="fi-FI"/>
        </w:rPr>
      </w:pPr>
    </w:p>
    <w:p w:rsidR="009A288E" w:rsidRPr="00A02F7C" w:rsidRDefault="009A288E" w:rsidP="00912024">
      <w:pPr>
        <w:pStyle w:val="ListParagraph"/>
        <w:numPr>
          <w:ilvl w:val="0"/>
          <w:numId w:val="59"/>
        </w:numPr>
        <w:outlineLvl w:val="1"/>
      </w:pPr>
      <w:r w:rsidRPr="00A02F7C">
        <w:t>Kommittén uppmanar kommissionen att utarbeta en ny, samordnad politisk ram för nästa generation av transportpolitiken. EESK uppmanar vidare kommissionen att bedöma indikatorerna för målen för hållbar utveckling ur ett transportperspektiv och förbättra utarbetandet av indikatorer som är relevanta, ger en realistisk och informativ bild av utvecklingen och ligger i linje med den integrerade strategin.</w:t>
      </w:r>
    </w:p>
    <w:p w:rsidR="009A288E" w:rsidRPr="00A02F7C" w:rsidRDefault="009A288E" w:rsidP="00912024">
      <w:pPr>
        <w:rPr>
          <w:lang w:val="en-GB" w:eastAsia="fi-FI"/>
        </w:rPr>
      </w:pPr>
    </w:p>
    <w:p w:rsidR="009A288E" w:rsidRPr="00A02F7C" w:rsidRDefault="009A288E" w:rsidP="00912024">
      <w:pPr>
        <w:pStyle w:val="ListParagraph"/>
        <w:keepNext/>
        <w:numPr>
          <w:ilvl w:val="0"/>
          <w:numId w:val="59"/>
        </w:numPr>
      </w:pPr>
      <w:r w:rsidRPr="00A02F7C">
        <w:t>EU måste genom sitt politiska beslutsfattande se till att det råder gynnsamma förutsättningar för att transporterna ska kunna uppfylla människors och företags rörlighetsbehov. Detta förutsätter, mot bakgrund av målen för hållbar utveckling, betydande in</w:t>
      </w:r>
      <w:r w:rsidR="007B5B5F" w:rsidRPr="00A02F7C">
        <w:t>vesteringar i </w:t>
      </w:r>
      <w:r w:rsidRPr="00A02F7C">
        <w:t>nödvändig infrastruktur, innovation och välfungerande transportsystem, inbegripet kollektivtrafik. Samtidigt kräver digitalisering och robotisering en korrekt förvaltning av möjligheter och utmaningar. Eftersom transportsektorn är betydelsefull för samhället som helhet är det mycket viktigt att det civila samhället involveras i transportpolitikens utarbetande och genomförande.</w:t>
      </w:r>
    </w:p>
    <w:p w:rsidR="009A288E" w:rsidRPr="00A02F7C" w:rsidRDefault="009A288E" w:rsidP="00912024">
      <w:pPr>
        <w:rPr>
          <w:b/>
          <w:i/>
          <w:lang w:val="en-GB"/>
        </w:rPr>
      </w:pPr>
    </w:p>
    <w:p w:rsidR="009A288E" w:rsidRPr="00A02F7C" w:rsidRDefault="009A288E" w:rsidP="00912024">
      <w:pPr>
        <w:tabs>
          <w:tab w:val="left" w:pos="1418"/>
        </w:tabs>
        <w:rPr>
          <w:i/>
        </w:rPr>
      </w:pPr>
      <w:r w:rsidRPr="00A02F7C">
        <w:rPr>
          <w:b/>
          <w:i/>
        </w:rPr>
        <w:t>Kontaktperson:</w:t>
      </w:r>
      <w:r w:rsidRPr="00A02F7C">
        <w:rPr>
          <w:i/>
        </w:rPr>
        <w:tab/>
        <w:t>Erika Paulinova</w:t>
      </w:r>
    </w:p>
    <w:p w:rsidR="009A288E" w:rsidRPr="00A02F7C" w:rsidRDefault="00965DFD" w:rsidP="00912024">
      <w:pPr>
        <w:tabs>
          <w:tab w:val="left" w:pos="1418"/>
        </w:tabs>
        <w:rPr>
          <w:b/>
          <w:i/>
        </w:rPr>
      </w:pPr>
      <w:r w:rsidRPr="00A02F7C">
        <w:rPr>
          <w:i/>
        </w:rPr>
        <w:tab/>
        <w:t xml:space="preserve">(Tfn +32 25468457 – e-post: </w:t>
      </w:r>
      <w:hyperlink r:id="rId33" w:history="1">
        <w:r w:rsidRPr="00A02F7C">
          <w:rPr>
            <w:i/>
            <w:color w:val="0000FF"/>
            <w:u w:val="single"/>
          </w:rPr>
          <w:t>Erika.Paulinova@eesc.europa.eu</w:t>
        </w:r>
      </w:hyperlink>
      <w:r w:rsidRPr="00A02F7C">
        <w:rPr>
          <w:i/>
        </w:rPr>
        <w:t>)</w:t>
      </w:r>
    </w:p>
    <w:p w:rsidR="00481E81" w:rsidRPr="00A02F7C" w:rsidRDefault="00481E81" w:rsidP="00912024">
      <w:pPr>
        <w:keepNext/>
        <w:keepLines/>
        <w:ind w:left="-567"/>
        <w:rPr>
          <w:i/>
          <w:lang w:val="en-GB"/>
        </w:rPr>
      </w:pPr>
    </w:p>
    <w:p w:rsidR="009A288E" w:rsidRPr="00A02F7C" w:rsidRDefault="009A288E" w:rsidP="00912024">
      <w:pPr>
        <w:keepNext/>
        <w:keepLines/>
        <w:numPr>
          <w:ilvl w:val="0"/>
          <w:numId w:val="60"/>
        </w:numPr>
        <w:overflowPunct w:val="0"/>
        <w:autoSpaceDE w:val="0"/>
        <w:autoSpaceDN w:val="0"/>
        <w:adjustRightInd w:val="0"/>
        <w:ind w:left="714" w:hanging="357"/>
        <w:textAlignment w:val="baseline"/>
        <w:rPr>
          <w:bCs/>
        </w:rPr>
      </w:pPr>
      <w:r w:rsidRPr="00A02F7C">
        <w:rPr>
          <w:b/>
          <w:i/>
          <w:sz w:val="28"/>
          <w:szCs w:val="28"/>
        </w:rPr>
        <w:t>Modernisering av förordningarna om inrättande av toppdomänen</w:t>
      </w:r>
      <w:r w:rsidR="00A02F7C" w:rsidRPr="00A02F7C">
        <w:rPr>
          <w:b/>
          <w:i/>
          <w:sz w:val="28"/>
          <w:szCs w:val="28"/>
        </w:rPr>
        <w:t xml:space="preserve"> .</w:t>
      </w:r>
      <w:r w:rsidRPr="00A02F7C">
        <w:rPr>
          <w:b/>
          <w:i/>
          <w:sz w:val="28"/>
          <w:szCs w:val="28"/>
        </w:rPr>
        <w:t>eu</w:t>
      </w:r>
    </w:p>
    <w:p w:rsidR="009A288E" w:rsidRPr="00A02F7C" w:rsidRDefault="009A288E" w:rsidP="00912024">
      <w:pPr>
        <w:keepNext/>
        <w:keepLines/>
        <w:rPr>
          <w:bCs/>
          <w:lang w:val="en-GB"/>
        </w:rPr>
      </w:pPr>
    </w:p>
    <w:p w:rsidR="009A288E" w:rsidRPr="00A02F7C" w:rsidRDefault="009A288E" w:rsidP="00912024">
      <w:pPr>
        <w:keepNext/>
        <w:keepLines/>
        <w:tabs>
          <w:tab w:val="left" w:pos="1701"/>
        </w:tabs>
      </w:pPr>
      <w:r w:rsidRPr="00A02F7C">
        <w:rPr>
          <w:b/>
        </w:rPr>
        <w:t>Föredragande:</w:t>
      </w:r>
      <w:r w:rsidR="007B5B5F" w:rsidRPr="00A02F7C">
        <w:rPr>
          <w:b/>
        </w:rPr>
        <w:t xml:space="preserve"> </w:t>
      </w:r>
      <w:r w:rsidRPr="00A02F7C">
        <w:t>Philippe de Buck (Arbetsgivargruppen – BE)</w:t>
      </w:r>
    </w:p>
    <w:p w:rsidR="003E7C25" w:rsidRPr="00A02F7C" w:rsidRDefault="009A288E" w:rsidP="00912024">
      <w:pPr>
        <w:keepNext/>
        <w:keepLines/>
        <w:tabs>
          <w:tab w:val="left" w:pos="1701"/>
        </w:tabs>
      </w:pPr>
      <w:r w:rsidRPr="00A02F7C">
        <w:rPr>
          <w:b/>
        </w:rPr>
        <w:t>Referens:</w:t>
      </w:r>
      <w:r w:rsidR="007B5B5F" w:rsidRPr="00A02F7C">
        <w:rPr>
          <w:b/>
        </w:rPr>
        <w:tab/>
      </w:r>
      <w:r w:rsidRPr="00A02F7C">
        <w:t>COM(2018) 231 final – 2018/0110 (COD)</w:t>
      </w:r>
    </w:p>
    <w:p w:rsidR="009A288E" w:rsidRPr="00A02F7C" w:rsidRDefault="003E7C25" w:rsidP="00912024">
      <w:pPr>
        <w:tabs>
          <w:tab w:val="left" w:pos="1701"/>
        </w:tabs>
      </w:pPr>
      <w:r w:rsidRPr="00A02F7C">
        <w:tab/>
        <w:t>EESC-201</w:t>
      </w:r>
      <w:r w:rsidR="00A02F7C" w:rsidRPr="00A02F7C">
        <w:t>8-0</w:t>
      </w:r>
      <w:r w:rsidRPr="00A02F7C">
        <w:t>247</w:t>
      </w:r>
      <w:r w:rsidR="00A02F7C" w:rsidRPr="00A02F7C">
        <w:t>7-00-0</w:t>
      </w:r>
      <w:r w:rsidRPr="00A02F7C">
        <w:t>0-AC-TRA</w:t>
      </w:r>
    </w:p>
    <w:p w:rsidR="009A288E" w:rsidRPr="00A02F7C" w:rsidRDefault="009A288E" w:rsidP="00912024">
      <w:pPr>
        <w:tabs>
          <w:tab w:val="num" w:pos="550"/>
        </w:tabs>
        <w:rPr>
          <w:b/>
          <w:lang w:val="en-GB"/>
        </w:rPr>
      </w:pPr>
    </w:p>
    <w:p w:rsidR="009A288E" w:rsidRPr="00A02F7C" w:rsidRDefault="009A288E" w:rsidP="00912024">
      <w:pPr>
        <w:rPr>
          <w:color w:val="000000"/>
        </w:rPr>
      </w:pPr>
      <w:r w:rsidRPr="00A02F7C">
        <w:rPr>
          <w:b/>
        </w:rPr>
        <w:t>Huvudpunkter:</w:t>
      </w:r>
    </w:p>
    <w:p w:rsidR="00120CC5" w:rsidRPr="00A02F7C" w:rsidRDefault="00120CC5" w:rsidP="00912024"/>
    <w:p w:rsidR="009A288E" w:rsidRPr="00A02F7C" w:rsidRDefault="009A288E" w:rsidP="00912024">
      <w:pPr>
        <w:pStyle w:val="ListParagraph"/>
        <w:numPr>
          <w:ilvl w:val="0"/>
          <w:numId w:val="61"/>
        </w:numPr>
      </w:pPr>
      <w:r w:rsidRPr="00A02F7C">
        <w:t>Toppdomänen</w:t>
      </w:r>
      <w:r w:rsidR="00A02F7C" w:rsidRPr="00A02F7C">
        <w:t xml:space="preserve"> .</w:t>
      </w:r>
      <w:r w:rsidRPr="00A02F7C">
        <w:t>eu är domännamnet för Europeiska unionen och dess medborgare. Den tillskrivs EU och förvaltas av Europeiska kommissionen. EESK stöder målen i det förslag till förordning som kommissionen lagt fram om genomförandet och driften av toppdomännamnet</w:t>
      </w:r>
      <w:r w:rsidR="00A02F7C" w:rsidRPr="00A02F7C">
        <w:t xml:space="preserve"> .</w:t>
      </w:r>
      <w:r w:rsidRPr="00A02F7C">
        <w:t>eu och om upphävande av förordning (EG) nr 733/2002 och kommissionens förordning (EG) nr 874/2004. Syftet med förslaget är å ena sidan att ta itu me</w:t>
      </w:r>
      <w:r w:rsidR="007B5B5F" w:rsidRPr="00A02F7C">
        <w:t>d föråldrade bestämmelser och å </w:t>
      </w:r>
      <w:r w:rsidRPr="00A02F7C">
        <w:t>andra sidan att kunna reagera snabbare på framtida utveckling.</w:t>
      </w:r>
    </w:p>
    <w:p w:rsidR="009A288E" w:rsidRPr="00A02F7C" w:rsidRDefault="009A288E" w:rsidP="00912024">
      <w:pPr>
        <w:rPr>
          <w:lang w:val="en-GB"/>
        </w:rPr>
      </w:pPr>
    </w:p>
    <w:p w:rsidR="009A288E" w:rsidRPr="00A02F7C" w:rsidRDefault="009A288E" w:rsidP="00912024">
      <w:pPr>
        <w:pStyle w:val="ListParagraph"/>
        <w:numPr>
          <w:ilvl w:val="0"/>
          <w:numId w:val="61"/>
        </w:numPr>
        <w:rPr>
          <w:spacing w:val="-4"/>
        </w:rPr>
      </w:pPr>
      <w:r w:rsidRPr="00A02F7C">
        <w:rPr>
          <w:spacing w:val="-4"/>
        </w:rPr>
        <w:t>EESK stöder utvidgningen av behörighetsvillkoren för fysiska personer när det gäller registrering av ett</w:t>
      </w:r>
      <w:r w:rsidR="00A02F7C" w:rsidRPr="00A02F7C">
        <w:rPr>
          <w:spacing w:val="-4"/>
        </w:rPr>
        <w:t xml:space="preserve"> .</w:t>
      </w:r>
      <w:r w:rsidRPr="00A02F7C">
        <w:rPr>
          <w:spacing w:val="-4"/>
        </w:rPr>
        <w:t>eu-domännamn. Hemvist i en av EU:s medlemsstater är inte längre ett krav. Att göra det tillåtet för alla EU-medborgare att registrera ett</w:t>
      </w:r>
      <w:r w:rsidR="00A02F7C" w:rsidRPr="00A02F7C">
        <w:rPr>
          <w:spacing w:val="-4"/>
        </w:rPr>
        <w:t xml:space="preserve"> .</w:t>
      </w:r>
      <w:r w:rsidRPr="00A02F7C">
        <w:rPr>
          <w:spacing w:val="-4"/>
        </w:rPr>
        <w:t>eu-domännamn (oavsett i vilket land de har sin hemvist) kommer inte bara att stärka EU:s profil utan även tydligt visa på samhörighet med EU. Kommittén stöder inrättandet av ett flerpartsråd och vill vara företrädd i det.</w:t>
      </w:r>
    </w:p>
    <w:p w:rsidR="009A288E" w:rsidRPr="00A02F7C" w:rsidRDefault="009A288E" w:rsidP="00912024">
      <w:pPr>
        <w:rPr>
          <w:lang w:val="en-GB"/>
        </w:rPr>
      </w:pPr>
    </w:p>
    <w:p w:rsidR="009A288E" w:rsidRPr="00A02F7C" w:rsidRDefault="009A288E" w:rsidP="00912024">
      <w:pPr>
        <w:pStyle w:val="ListParagraph"/>
        <w:numPr>
          <w:ilvl w:val="0"/>
          <w:numId w:val="61"/>
        </w:numPr>
      </w:pPr>
      <w:r w:rsidRPr="00A02F7C">
        <w:t>EESK noterar att registreringsenheten utses genom ett öppet anbudsförfarande, men vill betona att allt bör göras för att se till att</w:t>
      </w:r>
      <w:r w:rsidR="00A02F7C" w:rsidRPr="00A02F7C">
        <w:t xml:space="preserve"> .</w:t>
      </w:r>
      <w:r w:rsidRPr="00A02F7C">
        <w:t xml:space="preserve">eu fungerar utan avbrott. Kommittén begär att hela </w:t>
      </w:r>
      <w:r w:rsidRPr="00A02F7C">
        <w:lastRenderedPageBreak/>
        <w:t>processen ska vara helt öppen. Alla urvalskriterier bör fastställa</w:t>
      </w:r>
      <w:r w:rsidR="007B5B5F" w:rsidRPr="00A02F7C">
        <w:t>s klart och tydligt i god tid i </w:t>
      </w:r>
      <w:r w:rsidRPr="00A02F7C">
        <w:t>förväg, särskilt om registreringsenheten får eller inte får vara ett kommersiellt företag. EESK vill understryka att på grund av betydelsen av en nätidentifierare för medborgare, företag och organisationer i EU bör domänen</w:t>
      </w:r>
      <w:r w:rsidR="00A02F7C" w:rsidRPr="00A02F7C">
        <w:t xml:space="preserve"> .</w:t>
      </w:r>
      <w:r w:rsidRPr="00A02F7C">
        <w:t>eu betraktas som en tjänst av allmänt intresse. Därför måste registreringsenheten vara en ideell organisation som endast handhar den operativa förvaltningen av domännamnet, och eventuella överskott måste föras över till EU:s budget.</w:t>
      </w:r>
    </w:p>
    <w:p w:rsidR="009A288E" w:rsidRPr="00A02F7C" w:rsidRDefault="009A288E" w:rsidP="00912024">
      <w:pPr>
        <w:rPr>
          <w:rFonts w:eastAsia="Calibri"/>
          <w:lang w:val="en-GB"/>
        </w:rPr>
      </w:pPr>
    </w:p>
    <w:p w:rsidR="009A288E" w:rsidRPr="00A02F7C" w:rsidRDefault="009A288E" w:rsidP="00912024">
      <w:pPr>
        <w:tabs>
          <w:tab w:val="left" w:pos="1418"/>
        </w:tabs>
        <w:rPr>
          <w:i/>
        </w:rPr>
      </w:pPr>
      <w:r w:rsidRPr="00A02F7C">
        <w:rPr>
          <w:b/>
          <w:i/>
        </w:rPr>
        <w:t>Kontaktperson:</w:t>
      </w:r>
      <w:r w:rsidRPr="00A02F7C">
        <w:rPr>
          <w:i/>
        </w:rPr>
        <w:tab/>
        <w:t xml:space="preserve">Maja </w:t>
      </w:r>
      <w:proofErr w:type="spellStart"/>
      <w:r w:rsidRPr="00A02F7C">
        <w:rPr>
          <w:i/>
        </w:rPr>
        <w:t>Radman</w:t>
      </w:r>
      <w:proofErr w:type="spellEnd"/>
    </w:p>
    <w:p w:rsidR="009A288E" w:rsidRPr="00A02F7C" w:rsidRDefault="00120CC5" w:rsidP="00912024">
      <w:pPr>
        <w:tabs>
          <w:tab w:val="left" w:pos="1418"/>
        </w:tabs>
        <w:rPr>
          <w:i/>
        </w:rPr>
      </w:pPr>
      <w:r w:rsidRPr="00A02F7C">
        <w:rPr>
          <w:i/>
        </w:rPr>
        <w:tab/>
        <w:t xml:space="preserve">(Tfn +32 25469051 – e-post: </w:t>
      </w:r>
      <w:hyperlink r:id="rId34" w:history="1">
        <w:r w:rsidRPr="00A02F7C">
          <w:rPr>
            <w:rStyle w:val="Hyperlink"/>
            <w:i/>
          </w:rPr>
          <w:t>Maja.Radman@eesc.europa.eu</w:t>
        </w:r>
      </w:hyperlink>
      <w:r w:rsidRPr="00A02F7C">
        <w:rPr>
          <w:i/>
        </w:rPr>
        <w:t>)</w:t>
      </w:r>
    </w:p>
    <w:p w:rsidR="009A288E" w:rsidRPr="00A02F7C" w:rsidRDefault="009A288E" w:rsidP="00912024">
      <w:pPr>
        <w:rPr>
          <w:b/>
          <w:i/>
          <w:lang w:val="en-GB"/>
        </w:rPr>
      </w:pPr>
    </w:p>
    <w:p w:rsidR="00120CC5" w:rsidRPr="00A02F7C" w:rsidRDefault="00120CC5" w:rsidP="00912024">
      <w:pPr>
        <w:jc w:val="left"/>
        <w:rPr>
          <w:caps/>
        </w:rPr>
      </w:pPr>
      <w:r w:rsidRPr="00A02F7C">
        <w:br w:type="page"/>
      </w:r>
    </w:p>
    <w:p w:rsidR="00314C5F" w:rsidRPr="00A02F7C" w:rsidRDefault="00F2269F" w:rsidP="00912024">
      <w:pPr>
        <w:pStyle w:val="Heading1"/>
        <w:ind w:left="567" w:hanging="567"/>
        <w:rPr>
          <w:b/>
          <w:caps/>
        </w:rPr>
      </w:pPr>
      <w:bookmarkStart w:id="832" w:name="_Toc523126585"/>
      <w:r w:rsidRPr="00A02F7C">
        <w:rPr>
          <w:b/>
          <w:caps/>
        </w:rPr>
        <w:lastRenderedPageBreak/>
        <w:t>Jordbruk, landsbygdsutveckling och miljö</w:t>
      </w:r>
      <w:bookmarkEnd w:id="832"/>
    </w:p>
    <w:p w:rsidR="00832654" w:rsidRPr="00A02F7C" w:rsidRDefault="00832654" w:rsidP="00912024">
      <w:pPr>
        <w:rPr>
          <w:b/>
          <w:iCs/>
          <w:u w:val="single"/>
          <w:lang w:val="en-GB"/>
        </w:rPr>
      </w:pPr>
    </w:p>
    <w:p w:rsidR="00832654" w:rsidRPr="00A02F7C" w:rsidRDefault="002C6439" w:rsidP="00912024">
      <w:pPr>
        <w:pStyle w:val="ListParagraph"/>
        <w:numPr>
          <w:ilvl w:val="0"/>
          <w:numId w:val="4"/>
        </w:numPr>
        <w:overflowPunct w:val="0"/>
        <w:autoSpaceDE w:val="0"/>
        <w:autoSpaceDN w:val="0"/>
        <w:adjustRightInd w:val="0"/>
        <w:textAlignment w:val="baseline"/>
        <w:rPr>
          <w:b/>
          <w:bCs/>
          <w:i/>
          <w:iCs/>
          <w:sz w:val="28"/>
          <w:szCs w:val="28"/>
        </w:rPr>
      </w:pPr>
      <w:r w:rsidRPr="00A02F7C">
        <w:rPr>
          <w:b/>
          <w:bCs/>
          <w:i/>
          <w:iCs/>
          <w:sz w:val="28"/>
          <w:szCs w:val="28"/>
        </w:rPr>
        <w:t>Omarbetning av förordning nr 850/2004 om långlivade organiska föroreningar (POP)</w:t>
      </w:r>
    </w:p>
    <w:p w:rsidR="00832654" w:rsidRPr="00A02F7C" w:rsidRDefault="00832654" w:rsidP="00912024">
      <w:pPr>
        <w:pStyle w:val="ListParagraph"/>
        <w:overflowPunct w:val="0"/>
        <w:autoSpaceDE w:val="0"/>
        <w:autoSpaceDN w:val="0"/>
        <w:adjustRightInd w:val="0"/>
        <w:ind w:left="567"/>
        <w:textAlignment w:val="baseline"/>
        <w:rPr>
          <w:bCs/>
          <w:iCs/>
          <w:lang w:val="en-GB"/>
        </w:rPr>
      </w:pPr>
    </w:p>
    <w:p w:rsidR="00832654" w:rsidRPr="00A02F7C" w:rsidRDefault="00832654" w:rsidP="00912024">
      <w:pPr>
        <w:tabs>
          <w:tab w:val="left" w:pos="1701"/>
        </w:tabs>
      </w:pPr>
      <w:r w:rsidRPr="00A02F7C">
        <w:rPr>
          <w:b/>
        </w:rPr>
        <w:t>Föredragande:</w:t>
      </w:r>
      <w:r w:rsidRPr="00A02F7C">
        <w:tab/>
        <w:t>Brian Curtis (Arbetstagargruppen – UK)</w:t>
      </w:r>
    </w:p>
    <w:p w:rsidR="00832654" w:rsidRPr="00A02F7C" w:rsidRDefault="00832654" w:rsidP="00912024">
      <w:pPr>
        <w:tabs>
          <w:tab w:val="left" w:pos="1701"/>
        </w:tabs>
        <w:rPr>
          <w:lang w:val="en-GB"/>
        </w:rPr>
      </w:pPr>
    </w:p>
    <w:p w:rsidR="00832654" w:rsidRPr="00A02F7C" w:rsidRDefault="00832654" w:rsidP="00912024">
      <w:pPr>
        <w:tabs>
          <w:tab w:val="left" w:pos="1701"/>
        </w:tabs>
      </w:pPr>
      <w:r w:rsidRPr="00A02F7C">
        <w:rPr>
          <w:b/>
          <w:bCs/>
        </w:rPr>
        <w:t>Referens:</w:t>
      </w:r>
      <w:r w:rsidR="007B5B5F" w:rsidRPr="00A02F7C">
        <w:rPr>
          <w:b/>
          <w:bCs/>
        </w:rPr>
        <w:tab/>
      </w:r>
      <w:r w:rsidRPr="00A02F7C">
        <w:t>COM(2018) 144 final – 201</w:t>
      </w:r>
      <w:r w:rsidR="00A02F7C" w:rsidRPr="00A02F7C">
        <w:t>8-7</w:t>
      </w:r>
      <w:r w:rsidRPr="00A02F7C">
        <w:t>0-COD</w:t>
      </w:r>
    </w:p>
    <w:p w:rsidR="00832654" w:rsidRPr="00A02F7C" w:rsidRDefault="00832654" w:rsidP="00912024">
      <w:pPr>
        <w:tabs>
          <w:tab w:val="left" w:pos="1701"/>
        </w:tabs>
      </w:pPr>
      <w:r w:rsidRPr="00A02F7C">
        <w:tab/>
        <w:t>EESC-201</w:t>
      </w:r>
      <w:r w:rsidR="00A02F7C" w:rsidRPr="00A02F7C">
        <w:t>8-0</w:t>
      </w:r>
      <w:r w:rsidRPr="00A02F7C">
        <w:t>168</w:t>
      </w:r>
      <w:r w:rsidR="00A02F7C" w:rsidRPr="00A02F7C">
        <w:t>8-00-0</w:t>
      </w:r>
      <w:r w:rsidRPr="00A02F7C">
        <w:t>0-AC-TRA</w:t>
      </w:r>
    </w:p>
    <w:p w:rsidR="00832654" w:rsidRPr="00A02F7C" w:rsidRDefault="00832654" w:rsidP="00912024">
      <w:pPr>
        <w:ind w:left="-5"/>
        <w:rPr>
          <w:bCs/>
          <w:iCs/>
        </w:rPr>
      </w:pPr>
      <w:r w:rsidRPr="00A02F7C">
        <w:rPr>
          <w:b/>
        </w:rPr>
        <w:t>Huvudpunkter:</w:t>
      </w:r>
    </w:p>
    <w:p w:rsidR="00832654" w:rsidRPr="00A02F7C" w:rsidRDefault="00832654" w:rsidP="00912024"/>
    <w:p w:rsidR="00832654" w:rsidRPr="00A02F7C" w:rsidRDefault="00832654" w:rsidP="00912024">
      <w:pPr>
        <w:pStyle w:val="ListParagraph"/>
        <w:numPr>
          <w:ilvl w:val="0"/>
          <w:numId w:val="62"/>
        </w:numPr>
      </w:pPr>
      <w:r w:rsidRPr="00A02F7C">
        <w:t>Europeiska ekonomiska och sociala kommittén välkomnar kommissionens förslag vars syfte är en omarbetning av förordningen om långlivade organiska föroreningar (POP) för att säkerställa ett enhetligt och effektivt genomförande av EU:s åtaganden inom ramen för Stockholmskonventionen.</w:t>
      </w:r>
    </w:p>
    <w:p w:rsidR="00832654" w:rsidRPr="00A02F7C" w:rsidRDefault="00832654" w:rsidP="00912024"/>
    <w:p w:rsidR="00832654" w:rsidRPr="00A02F7C" w:rsidRDefault="00832654" w:rsidP="00912024">
      <w:pPr>
        <w:pStyle w:val="ListParagraph"/>
        <w:numPr>
          <w:ilvl w:val="0"/>
          <w:numId w:val="62"/>
        </w:numPr>
      </w:pPr>
      <w:r w:rsidRPr="00A02F7C">
        <w:t>Kommittén påpekar att utsläppande på marknaden och användning av de flesta långlivade organiska föroreningar redan har stoppats i EU. På grund av de extremt farliga effekterna av långlivade organiska föroreningar på människan och miljön måste framställningen av sådana ämnen dock förbjudas och undantagen begränsas till specifika tillämpningar. EESK uppmuntrar därför kommissionen att fastställa striktare kontrollåtgärder, i linje med försiktighetsprincipen och Riodeklarationen om miljö och utveckling.</w:t>
      </w:r>
    </w:p>
    <w:p w:rsidR="00832654" w:rsidRPr="00A02F7C" w:rsidRDefault="00832654" w:rsidP="00912024"/>
    <w:p w:rsidR="00832654" w:rsidRPr="00A02F7C" w:rsidRDefault="00832654" w:rsidP="00912024">
      <w:pPr>
        <w:pStyle w:val="ListParagraph"/>
        <w:numPr>
          <w:ilvl w:val="0"/>
          <w:numId w:val="62"/>
        </w:numPr>
      </w:pPr>
      <w:r w:rsidRPr="00A02F7C">
        <w:t>EESK stöder förslaget om att överföra uppgifter från kommissionen till Europeiska kemikaliemyndigheten för att fastställa en lämpligare ram som kan tillhandahålla administrativt, vetenskapligt och tekniskt stöd vid genomförandet. Kommittén vill dock lyfta fram behovet av att inrätta en solid arbetsmetod som involverar kommissionen, kemikaliemyndigheten, medlemsstaterna och berörda parter.</w:t>
      </w:r>
    </w:p>
    <w:p w:rsidR="00832654" w:rsidRPr="00A02F7C" w:rsidRDefault="00832654" w:rsidP="00912024"/>
    <w:p w:rsidR="00832654" w:rsidRPr="00A02F7C" w:rsidRDefault="00832654" w:rsidP="00912024">
      <w:pPr>
        <w:pStyle w:val="ListParagraph"/>
        <w:numPr>
          <w:ilvl w:val="0"/>
          <w:numId w:val="62"/>
        </w:numPr>
      </w:pPr>
      <w:r w:rsidRPr="00A02F7C">
        <w:t>EESK rekommenderar en korrekt och begränsad användning av delegerade akter i syfte att hålla en öppen dialog med alla berörda parter, med särskilt fokus på information till allmänheten och insyn.</w:t>
      </w:r>
    </w:p>
    <w:p w:rsidR="00832654" w:rsidRPr="00A02F7C" w:rsidRDefault="00832654" w:rsidP="00912024"/>
    <w:p w:rsidR="00832654" w:rsidRPr="00A02F7C" w:rsidRDefault="00832654" w:rsidP="00912024">
      <w:pPr>
        <w:pStyle w:val="ListParagraph"/>
        <w:numPr>
          <w:ilvl w:val="0"/>
          <w:numId w:val="62"/>
        </w:numPr>
      </w:pPr>
      <w:r w:rsidRPr="00A02F7C">
        <w:t>EESK uppmanar EU att inta en ledande position globalt i kampen mot långlivade organiska föroreningar. EU:s åtgärder bör riktas in på att harmonisera de nationella strategierna och lagstiftningarna vad gäller övervakning och kontroll av långlivade organiska föroreningar. Kommittén anser att EU i synnerhet bör främja hållbarhet och upprätthållandet av bestämmelserna om långlivade organiska föroreningar i bilaterala och multilaterala handelsavtal.</w:t>
      </w:r>
    </w:p>
    <w:p w:rsidR="00832654" w:rsidRPr="00A02F7C" w:rsidRDefault="00832654" w:rsidP="00912024"/>
    <w:p w:rsidR="00832654" w:rsidRPr="00A02F7C" w:rsidRDefault="00832654" w:rsidP="00912024">
      <w:pPr>
        <w:pStyle w:val="ListParagraph"/>
        <w:numPr>
          <w:ilvl w:val="0"/>
          <w:numId w:val="62"/>
        </w:numPr>
      </w:pPr>
      <w:r w:rsidRPr="00A02F7C">
        <w:t>Kommittén stöder förslaget om att anordna en bred kampanj för att öka medvetenheten om långlivade organiska föroreningar på EU-nivå, inom ramen för hållbar utveckling. EESK anser att en öppen databas om långlivade organiska föroreningar skulle kunna vara ett användbart verktyg för företag och konsumenter.</w:t>
      </w:r>
    </w:p>
    <w:p w:rsidR="00832654" w:rsidRPr="00A02F7C" w:rsidRDefault="00832654" w:rsidP="00912024"/>
    <w:p w:rsidR="00832654" w:rsidRPr="00A02F7C" w:rsidRDefault="00832654" w:rsidP="00912024">
      <w:pPr>
        <w:pStyle w:val="ListParagraph"/>
        <w:numPr>
          <w:ilvl w:val="0"/>
          <w:numId w:val="62"/>
        </w:numPr>
      </w:pPr>
      <w:r w:rsidRPr="00A02F7C">
        <w:lastRenderedPageBreak/>
        <w:t>EESK påpekar att utbildningar om långlivade organiska föroreningar bör vara obligatoriska och tillgängliga för alla europeiska arbetstagare vars arbete är direkt eller indirekt kopplat till dessa ämnen. EESK rekommenderar särskilt att utbildningsinitiativen harmoniseras och ses som en del av samma strategi enligt en metod som omfattar livslångt lärande.</w:t>
      </w:r>
    </w:p>
    <w:p w:rsidR="00832654" w:rsidRPr="00A02F7C" w:rsidRDefault="00832654" w:rsidP="00912024">
      <w:pPr>
        <w:tabs>
          <w:tab w:val="left" w:pos="1418"/>
        </w:tabs>
        <w:rPr>
          <w:lang w:val="en-GB"/>
        </w:rPr>
      </w:pPr>
    </w:p>
    <w:p w:rsidR="00832654" w:rsidRPr="00A02F7C" w:rsidRDefault="00832654" w:rsidP="00912024">
      <w:pPr>
        <w:tabs>
          <w:tab w:val="left" w:pos="770"/>
          <w:tab w:val="left" w:pos="1418"/>
        </w:tabs>
        <w:ind w:left="1430" w:hanging="1430"/>
        <w:rPr>
          <w:i/>
          <w:iCs/>
        </w:rPr>
      </w:pPr>
      <w:r w:rsidRPr="00A02F7C">
        <w:rPr>
          <w:b/>
          <w:bCs/>
          <w:i/>
          <w:iCs/>
        </w:rPr>
        <w:t>Kontaktperson:</w:t>
      </w:r>
      <w:r w:rsidR="007D11C4" w:rsidRPr="00A02F7C">
        <w:rPr>
          <w:b/>
          <w:bCs/>
          <w:i/>
          <w:iCs/>
        </w:rPr>
        <w:t xml:space="preserve"> </w:t>
      </w:r>
      <w:r w:rsidRPr="00A02F7C">
        <w:rPr>
          <w:bCs/>
          <w:i/>
          <w:iCs/>
        </w:rPr>
        <w:t xml:space="preserve">Conrad </w:t>
      </w:r>
      <w:proofErr w:type="spellStart"/>
      <w:r w:rsidRPr="00A02F7C">
        <w:rPr>
          <w:bCs/>
          <w:i/>
          <w:iCs/>
        </w:rPr>
        <w:t>Ganslandt</w:t>
      </w:r>
      <w:proofErr w:type="spellEnd"/>
    </w:p>
    <w:p w:rsidR="00832654" w:rsidRPr="00A02F7C" w:rsidRDefault="00120CC5" w:rsidP="00912024">
      <w:pPr>
        <w:tabs>
          <w:tab w:val="left" w:pos="1418"/>
        </w:tabs>
        <w:rPr>
          <w:i/>
          <w:iCs/>
        </w:rPr>
      </w:pPr>
      <w:r w:rsidRPr="00A02F7C">
        <w:rPr>
          <w:i/>
          <w:iCs/>
        </w:rPr>
        <w:tab/>
        <w:t xml:space="preserve">(Tfn +32 25468275 – e-post: </w:t>
      </w:r>
      <w:hyperlink r:id="rId35" w:history="1">
        <w:r w:rsidRPr="00A02F7C">
          <w:rPr>
            <w:rStyle w:val="Hyperlink"/>
            <w:i/>
            <w:iCs/>
          </w:rPr>
          <w:t>Conrad.Ganslandt@eesc.europa.eu</w:t>
        </w:r>
      </w:hyperlink>
      <w:r w:rsidRPr="00A02F7C">
        <w:t>)</w:t>
      </w:r>
    </w:p>
    <w:p w:rsidR="00832654" w:rsidRPr="00A02F7C" w:rsidRDefault="00832654" w:rsidP="00912024">
      <w:pPr>
        <w:tabs>
          <w:tab w:val="left" w:pos="770"/>
        </w:tabs>
        <w:ind w:left="1430" w:hanging="1430"/>
        <w:rPr>
          <w:i/>
          <w:iCs/>
          <w:lang w:val="en-GB"/>
        </w:rPr>
      </w:pPr>
    </w:p>
    <w:p w:rsidR="00832654" w:rsidRPr="00A02F7C" w:rsidRDefault="00832654" w:rsidP="00912024">
      <w:pPr>
        <w:rPr>
          <w:b/>
          <w:iCs/>
          <w:u w:val="single"/>
          <w:lang w:val="en-GB"/>
        </w:rPr>
      </w:pPr>
    </w:p>
    <w:p w:rsidR="00832654" w:rsidRPr="00A02F7C" w:rsidRDefault="00832654" w:rsidP="00912024">
      <w:pPr>
        <w:pStyle w:val="ListParagraph"/>
        <w:numPr>
          <w:ilvl w:val="0"/>
          <w:numId w:val="4"/>
        </w:numPr>
        <w:rPr>
          <w:b/>
          <w:bCs/>
          <w:i/>
          <w:iCs/>
          <w:sz w:val="28"/>
          <w:szCs w:val="28"/>
        </w:rPr>
      </w:pPr>
      <w:r w:rsidRPr="00A02F7C">
        <w:rPr>
          <w:b/>
          <w:bCs/>
          <w:i/>
          <w:iCs/>
          <w:sz w:val="28"/>
          <w:szCs w:val="28"/>
        </w:rPr>
        <w:t>Övervakningsram för den cirkulära ekonomin</w:t>
      </w:r>
    </w:p>
    <w:p w:rsidR="00832654" w:rsidRPr="00A02F7C" w:rsidRDefault="00832654" w:rsidP="00912024">
      <w:pPr>
        <w:overflowPunct w:val="0"/>
        <w:autoSpaceDE w:val="0"/>
        <w:autoSpaceDN w:val="0"/>
        <w:adjustRightInd w:val="0"/>
        <w:ind w:left="567"/>
        <w:textAlignment w:val="baseline"/>
        <w:rPr>
          <w:b/>
          <w:bCs/>
          <w:i/>
          <w:iCs/>
          <w:sz w:val="28"/>
          <w:szCs w:val="28"/>
          <w:lang w:val="en-GB"/>
        </w:rPr>
      </w:pPr>
    </w:p>
    <w:p w:rsidR="00832654" w:rsidRPr="00A02F7C" w:rsidRDefault="00832654" w:rsidP="00912024">
      <w:pPr>
        <w:tabs>
          <w:tab w:val="left" w:pos="1701"/>
        </w:tabs>
      </w:pPr>
      <w:r w:rsidRPr="00A02F7C">
        <w:rPr>
          <w:b/>
        </w:rPr>
        <w:t>Föredragande:</w:t>
      </w:r>
      <w:r w:rsidRPr="00A02F7C">
        <w:tab/>
      </w:r>
      <w:r w:rsidR="007D11C4" w:rsidRPr="00A02F7C">
        <w:tab/>
      </w:r>
      <w:proofErr w:type="spellStart"/>
      <w:r w:rsidRPr="00A02F7C">
        <w:t>Cillian</w:t>
      </w:r>
      <w:proofErr w:type="spellEnd"/>
      <w:r w:rsidRPr="00A02F7C">
        <w:t xml:space="preserve"> </w:t>
      </w:r>
      <w:r w:rsidRPr="00A02F7C">
        <w:rPr>
          <w:caps/>
        </w:rPr>
        <w:t>Lohan</w:t>
      </w:r>
      <w:r w:rsidRPr="00A02F7C">
        <w:t xml:space="preserve"> (Mångfald Europa – IE)</w:t>
      </w:r>
    </w:p>
    <w:p w:rsidR="00832654" w:rsidRPr="00A02F7C" w:rsidRDefault="002C6439" w:rsidP="00912024">
      <w:pPr>
        <w:tabs>
          <w:tab w:val="left" w:pos="1701"/>
        </w:tabs>
      </w:pPr>
      <w:r w:rsidRPr="00A02F7C">
        <w:rPr>
          <w:b/>
        </w:rPr>
        <w:t>Medföredragande:</w:t>
      </w:r>
      <w:r w:rsidRPr="00A02F7C">
        <w:tab/>
        <w:t xml:space="preserve">Tellervo </w:t>
      </w:r>
      <w:proofErr w:type="spellStart"/>
      <w:r w:rsidRPr="00A02F7C">
        <w:t>Kylä-Harakka-Ruonala</w:t>
      </w:r>
      <w:proofErr w:type="spellEnd"/>
      <w:r w:rsidRPr="00A02F7C">
        <w:t xml:space="preserve"> (Arbetsgivargruppen – FI)</w:t>
      </w:r>
    </w:p>
    <w:p w:rsidR="002C6439" w:rsidRPr="00A02F7C" w:rsidRDefault="002C6439" w:rsidP="00912024">
      <w:pPr>
        <w:tabs>
          <w:tab w:val="left" w:pos="1701"/>
        </w:tabs>
        <w:rPr>
          <w:b/>
          <w:bCs/>
          <w:lang w:val="en-GB"/>
        </w:rPr>
      </w:pPr>
    </w:p>
    <w:p w:rsidR="00832654" w:rsidRPr="00A02F7C" w:rsidRDefault="00832654" w:rsidP="00912024">
      <w:pPr>
        <w:tabs>
          <w:tab w:val="left" w:pos="1701"/>
        </w:tabs>
      </w:pPr>
      <w:r w:rsidRPr="00A02F7C">
        <w:rPr>
          <w:b/>
          <w:bCs/>
        </w:rPr>
        <w:t>Referens:</w:t>
      </w:r>
      <w:r w:rsidR="007D11C4" w:rsidRPr="00A02F7C">
        <w:rPr>
          <w:b/>
          <w:bCs/>
        </w:rPr>
        <w:tab/>
      </w:r>
      <w:r w:rsidRPr="00A02F7C">
        <w:t>COM(2018) 29 final</w:t>
      </w:r>
    </w:p>
    <w:p w:rsidR="00832654" w:rsidRPr="00A02F7C" w:rsidRDefault="00832654" w:rsidP="00912024">
      <w:pPr>
        <w:tabs>
          <w:tab w:val="left" w:pos="1701"/>
        </w:tabs>
      </w:pPr>
      <w:r w:rsidRPr="00A02F7C">
        <w:tab/>
        <w:t>EESC-201</w:t>
      </w:r>
      <w:r w:rsidR="00A02F7C" w:rsidRPr="00A02F7C">
        <w:t>8-0</w:t>
      </w:r>
      <w:r w:rsidRPr="00A02F7C">
        <w:t>046</w:t>
      </w:r>
      <w:r w:rsidR="00A02F7C" w:rsidRPr="00A02F7C">
        <w:t>4-00-0</w:t>
      </w:r>
      <w:r w:rsidRPr="00A02F7C">
        <w:t>0-AC-TRA</w:t>
      </w:r>
    </w:p>
    <w:p w:rsidR="00832654" w:rsidRPr="00A02F7C" w:rsidRDefault="00832654" w:rsidP="00912024">
      <w:pPr>
        <w:ind w:left="-5"/>
        <w:rPr>
          <w:bCs/>
          <w:iCs/>
        </w:rPr>
      </w:pPr>
      <w:r w:rsidRPr="00A02F7C">
        <w:rPr>
          <w:b/>
        </w:rPr>
        <w:t>Huvudpunkter:</w:t>
      </w:r>
    </w:p>
    <w:p w:rsidR="00832654" w:rsidRPr="00A02F7C" w:rsidRDefault="00832654" w:rsidP="00912024">
      <w:pPr>
        <w:ind w:left="-567"/>
        <w:rPr>
          <w:lang w:val="en-GB"/>
        </w:rPr>
      </w:pPr>
    </w:p>
    <w:p w:rsidR="00832654" w:rsidRPr="00A02F7C" w:rsidRDefault="00832654" w:rsidP="00912024">
      <w:pPr>
        <w:pStyle w:val="Heading2"/>
        <w:numPr>
          <w:ilvl w:val="0"/>
          <w:numId w:val="63"/>
        </w:numPr>
      </w:pPr>
      <w:r w:rsidRPr="00A02F7C">
        <w:t xml:space="preserve">EESK välkomnar kommissionens meddelande om övervakning av genomförandet av den cirkulära ekonomin (COM(2018) 29 final), som är en viktig uppföljning till handlingsplanen för den cirkulära ekonomin och ligger i linje med rekommendationerna i EESK-yttrandet om </w:t>
      </w:r>
      <w:r w:rsidRPr="00A02F7C">
        <w:rPr>
          <w:i/>
        </w:rPr>
        <w:t>paketet för cirkulär ekonomi</w:t>
      </w:r>
      <w:r w:rsidRPr="00A02F7C">
        <w:rPr>
          <w:rStyle w:val="FootnoteReference"/>
          <w:i/>
          <w:lang w:val="en-GB"/>
        </w:rPr>
        <w:footnoteReference w:id="2"/>
      </w:r>
      <w:r w:rsidRPr="00A02F7C">
        <w:t>. Detta meddelande är en bra utgångspunkt, men det saknas ett antal relevanta och viktiga indikatorer:</w:t>
      </w:r>
    </w:p>
    <w:p w:rsidR="00832654" w:rsidRPr="00A02F7C" w:rsidRDefault="00832654" w:rsidP="00912024">
      <w:pPr>
        <w:rPr>
          <w:lang w:val="en-GB"/>
        </w:rPr>
      </w:pPr>
    </w:p>
    <w:p w:rsidR="00832654" w:rsidRPr="00A02F7C" w:rsidRDefault="00832654" w:rsidP="00912024">
      <w:pPr>
        <w:pStyle w:val="ListParagraph"/>
        <w:numPr>
          <w:ilvl w:val="0"/>
          <w:numId w:val="44"/>
        </w:numPr>
        <w:overflowPunct w:val="0"/>
        <w:autoSpaceDE w:val="0"/>
        <w:autoSpaceDN w:val="0"/>
        <w:adjustRightInd w:val="0"/>
        <w:ind w:left="1701" w:hanging="567"/>
        <w:textAlignment w:val="baseline"/>
      </w:pPr>
      <w:r w:rsidRPr="00A02F7C">
        <w:t>Ekodesign.</w:t>
      </w:r>
    </w:p>
    <w:p w:rsidR="00832654" w:rsidRPr="00A02F7C" w:rsidRDefault="00832654" w:rsidP="00912024">
      <w:pPr>
        <w:pStyle w:val="ListParagraph"/>
        <w:numPr>
          <w:ilvl w:val="0"/>
          <w:numId w:val="44"/>
        </w:numPr>
        <w:overflowPunct w:val="0"/>
        <w:autoSpaceDE w:val="0"/>
        <w:autoSpaceDN w:val="0"/>
        <w:adjustRightInd w:val="0"/>
        <w:ind w:left="1701" w:hanging="567"/>
        <w:textAlignment w:val="baseline"/>
      </w:pPr>
      <w:r w:rsidRPr="00A02F7C">
        <w:t>Utveckling av (nya) affärsmodeller.</w:t>
      </w:r>
    </w:p>
    <w:p w:rsidR="00832654" w:rsidRPr="00A02F7C" w:rsidRDefault="00832654" w:rsidP="00912024">
      <w:pPr>
        <w:pStyle w:val="ListParagraph"/>
        <w:numPr>
          <w:ilvl w:val="0"/>
          <w:numId w:val="44"/>
        </w:numPr>
        <w:overflowPunct w:val="0"/>
        <w:autoSpaceDE w:val="0"/>
        <w:autoSpaceDN w:val="0"/>
        <w:adjustRightInd w:val="0"/>
        <w:ind w:left="1701" w:hanging="567"/>
        <w:textAlignment w:val="baseline"/>
      </w:pPr>
      <w:r w:rsidRPr="00A02F7C">
        <w:t>Delningsekonomin.</w:t>
      </w:r>
    </w:p>
    <w:p w:rsidR="00832654" w:rsidRPr="00A02F7C" w:rsidRDefault="00832654" w:rsidP="00912024">
      <w:pPr>
        <w:pStyle w:val="ListParagraph"/>
        <w:numPr>
          <w:ilvl w:val="0"/>
          <w:numId w:val="44"/>
        </w:numPr>
        <w:overflowPunct w:val="0"/>
        <w:autoSpaceDE w:val="0"/>
        <w:autoSpaceDN w:val="0"/>
        <w:adjustRightInd w:val="0"/>
        <w:ind w:left="1701" w:hanging="567"/>
        <w:textAlignment w:val="baseline"/>
      </w:pPr>
      <w:r w:rsidRPr="00A02F7C">
        <w:t>Sociala indikatorer.</w:t>
      </w:r>
    </w:p>
    <w:p w:rsidR="00832654" w:rsidRPr="00A02F7C" w:rsidRDefault="00832654" w:rsidP="00912024">
      <w:pPr>
        <w:pStyle w:val="ListParagraph"/>
        <w:numPr>
          <w:ilvl w:val="0"/>
          <w:numId w:val="44"/>
        </w:numPr>
        <w:overflowPunct w:val="0"/>
        <w:autoSpaceDE w:val="0"/>
        <w:autoSpaceDN w:val="0"/>
        <w:adjustRightInd w:val="0"/>
        <w:ind w:left="1701" w:hanging="567"/>
        <w:textAlignment w:val="baseline"/>
      </w:pPr>
      <w:r w:rsidRPr="00A02F7C">
        <w:t>Utsläppsdata.</w:t>
      </w:r>
    </w:p>
    <w:p w:rsidR="00832654" w:rsidRPr="00A02F7C" w:rsidRDefault="00832654" w:rsidP="00912024">
      <w:pPr>
        <w:pStyle w:val="ListParagraph"/>
        <w:ind w:left="1845"/>
        <w:rPr>
          <w:lang w:val="en-GB"/>
        </w:rPr>
      </w:pPr>
    </w:p>
    <w:p w:rsidR="00832654" w:rsidRPr="00A02F7C" w:rsidRDefault="00832654" w:rsidP="00912024">
      <w:pPr>
        <w:pStyle w:val="Heading2"/>
        <w:numPr>
          <w:ilvl w:val="0"/>
          <w:numId w:val="64"/>
        </w:numPr>
      </w:pPr>
      <w:r w:rsidRPr="00A02F7C">
        <w:t xml:space="preserve">Även om EESK är ett rådgivande organ till EU-institutionerna </w:t>
      </w:r>
      <w:r w:rsidR="007D11C4" w:rsidRPr="00A02F7C">
        <w:t>har kommittén inte rådfrågats i </w:t>
      </w:r>
      <w:r w:rsidRPr="00A02F7C">
        <w:t>samband med samrådet om utvecklingen av dessa indikatorer.</w:t>
      </w:r>
    </w:p>
    <w:p w:rsidR="00832654" w:rsidRPr="00A02F7C" w:rsidRDefault="00832654" w:rsidP="00912024">
      <w:pPr>
        <w:rPr>
          <w:lang w:val="en-GB"/>
        </w:rPr>
      </w:pPr>
    </w:p>
    <w:p w:rsidR="00832654" w:rsidRPr="00A02F7C" w:rsidRDefault="00832654" w:rsidP="00912024">
      <w:pPr>
        <w:pStyle w:val="Heading2"/>
        <w:numPr>
          <w:ilvl w:val="0"/>
          <w:numId w:val="64"/>
        </w:numPr>
      </w:pPr>
      <w:r w:rsidRPr="00A02F7C">
        <w:t>Den cirkulära ekonomin är kopplad till en koldioxidsnål ekonomi och målen för hållbar utveckling och övervakningsindikatorerna bör följaktligen återspegla detta.</w:t>
      </w:r>
      <w:r w:rsidR="00A02F7C" w:rsidRPr="00A02F7C">
        <w:t xml:space="preserve">  </w:t>
      </w:r>
      <w:r w:rsidRPr="00A02F7C">
        <w:t>Övervakningen måste komma bort från den alltför stora inriktningen på avfall.</w:t>
      </w:r>
    </w:p>
    <w:p w:rsidR="00832654" w:rsidRPr="00A02F7C" w:rsidRDefault="00832654" w:rsidP="00912024">
      <w:pPr>
        <w:rPr>
          <w:lang w:val="en-GB"/>
        </w:rPr>
      </w:pPr>
    </w:p>
    <w:p w:rsidR="00832654" w:rsidRPr="00A02F7C" w:rsidRDefault="00832654" w:rsidP="00912024">
      <w:pPr>
        <w:pStyle w:val="Heading2"/>
        <w:numPr>
          <w:ilvl w:val="0"/>
          <w:numId w:val="64"/>
        </w:numPr>
      </w:pPr>
      <w:r w:rsidRPr="00A02F7C">
        <w:t>Definitionen av "sektorer inom den cirkulära ekonomin" är snäv och bör vidareutvecklas, eftersom den har konsekvenser för flera indikatorer.</w:t>
      </w:r>
    </w:p>
    <w:p w:rsidR="00832654" w:rsidRPr="00A02F7C" w:rsidRDefault="00832654" w:rsidP="00912024">
      <w:pPr>
        <w:rPr>
          <w:lang w:val="en-GB"/>
        </w:rPr>
      </w:pPr>
    </w:p>
    <w:p w:rsidR="00832654" w:rsidRPr="00A02F7C" w:rsidRDefault="00832654" w:rsidP="00912024">
      <w:pPr>
        <w:pStyle w:val="Heading2"/>
        <w:numPr>
          <w:ilvl w:val="0"/>
          <w:numId w:val="64"/>
        </w:numPr>
      </w:pPr>
      <w:r w:rsidRPr="00A02F7C">
        <w:t xml:space="preserve">Avsaknaden av data inom ett visst område bör inte vara ett skäl till uteslutning. Data som saknas bör anges tydligt och man bör fastställa strategier för att garantera att dessa luckor </w:t>
      </w:r>
      <w:r w:rsidRPr="00A02F7C">
        <w:lastRenderedPageBreak/>
        <w:t>fylls. Om vi fortsätter att begränsa oss till traditionella gamla data kommer vi inte att korrekt mäta övergången till en ny ekonomisk modell.</w:t>
      </w:r>
    </w:p>
    <w:p w:rsidR="00832654" w:rsidRPr="00A02F7C" w:rsidRDefault="00832654" w:rsidP="00912024">
      <w:pPr>
        <w:rPr>
          <w:lang w:val="en-GB"/>
        </w:rPr>
      </w:pPr>
    </w:p>
    <w:p w:rsidR="00832654" w:rsidRPr="00A02F7C" w:rsidRDefault="00832654" w:rsidP="00912024">
      <w:pPr>
        <w:pStyle w:val="Heading2"/>
        <w:numPr>
          <w:ilvl w:val="0"/>
          <w:numId w:val="64"/>
        </w:numPr>
      </w:pPr>
      <w:r w:rsidRPr="00A02F7C">
        <w:t>Det finns inkonsekvenser i politik och lagstiftning som utgör hinder för näringslivets övergång till en cirkulär ekonomisk modell. Dessa inkonsekvenser bör kartläggas som en del av övervakningsramen.</w:t>
      </w:r>
    </w:p>
    <w:p w:rsidR="00832654" w:rsidRPr="00A02F7C" w:rsidRDefault="00832654" w:rsidP="00912024">
      <w:pPr>
        <w:rPr>
          <w:lang w:val="en-GB"/>
        </w:rPr>
      </w:pPr>
    </w:p>
    <w:p w:rsidR="00832654" w:rsidRPr="00A02F7C" w:rsidRDefault="00832654" w:rsidP="00912024">
      <w:pPr>
        <w:pStyle w:val="Heading2"/>
        <w:numPr>
          <w:ilvl w:val="0"/>
          <w:numId w:val="64"/>
        </w:numPr>
      </w:pPr>
      <w:r w:rsidRPr="00A02F7C">
        <w:t>Användningen av offentliga medel bör övervakas med en egen indikator. Investeringar som gjorts specifikt för initiativ inom den cirkulära ekonomin bör ha inbyggda data som kan användas för att utveckla denna indikator. Utöver "investerade pengar" är det också viktigt att övervaka "spenderade pengar".</w:t>
      </w:r>
    </w:p>
    <w:p w:rsidR="00832654" w:rsidRPr="00A02F7C" w:rsidRDefault="00832654" w:rsidP="00912024">
      <w:pPr>
        <w:rPr>
          <w:lang w:val="en-GB"/>
        </w:rPr>
      </w:pPr>
    </w:p>
    <w:p w:rsidR="00832654" w:rsidRPr="00A02F7C" w:rsidRDefault="00832654" w:rsidP="00912024">
      <w:pPr>
        <w:pStyle w:val="Heading2"/>
        <w:numPr>
          <w:ilvl w:val="0"/>
          <w:numId w:val="64"/>
        </w:numPr>
      </w:pPr>
      <w:r w:rsidRPr="00A02F7C">
        <w:t>Europeiska plattformen för berörda aktörer inom den cirkulära ekonomin bör användas som ett verktyg för att säkerställa samarbete med aktiva aktörer på området, och en kommunikationsstrategi med konkreta mål för att uppnå detta bör utarbetas och genomföras.</w:t>
      </w:r>
    </w:p>
    <w:p w:rsidR="00832654" w:rsidRPr="00A02F7C" w:rsidRDefault="00832654" w:rsidP="00912024">
      <w:pPr>
        <w:overflowPunct w:val="0"/>
        <w:adjustRightInd w:val="0"/>
        <w:textAlignment w:val="baseline"/>
        <w:rPr>
          <w:lang w:val="en-GB"/>
        </w:rPr>
      </w:pPr>
    </w:p>
    <w:p w:rsidR="00832654" w:rsidRPr="00A02F7C" w:rsidRDefault="00832654" w:rsidP="00912024">
      <w:pPr>
        <w:pStyle w:val="Heading2"/>
        <w:numPr>
          <w:ilvl w:val="0"/>
          <w:numId w:val="64"/>
        </w:numPr>
      </w:pPr>
      <w:r w:rsidRPr="00A02F7C">
        <w:t>Man bör mäta informationen och utbildningen för konsumenter och användare för att säkerställa en ökad förståelse av konsumentens roll</w:t>
      </w:r>
      <w:r w:rsidR="007D11C4" w:rsidRPr="00A02F7C">
        <w:t xml:space="preserve"> i den cirkulära ekonomin och i </w:t>
      </w:r>
      <w:r w:rsidRPr="00A02F7C">
        <w:t>materialflödet. Infrastrukturrelaterat stöd som gör det möjligt för konsumenter att förbättra sitt beteende med avseende på resurseffektivitet och verksamheter som stöder övergången från "konsument" till "användare" bör uppmuntras och mätas.</w:t>
      </w:r>
    </w:p>
    <w:p w:rsidR="00832654" w:rsidRPr="00A02F7C" w:rsidRDefault="00832654" w:rsidP="00912024">
      <w:pPr>
        <w:rPr>
          <w:lang w:val="en-GB"/>
        </w:rPr>
      </w:pPr>
    </w:p>
    <w:p w:rsidR="00832654" w:rsidRPr="00A02F7C" w:rsidRDefault="00832654" w:rsidP="00912024">
      <w:pPr>
        <w:tabs>
          <w:tab w:val="left" w:pos="1418"/>
        </w:tabs>
        <w:rPr>
          <w:i/>
          <w:iCs/>
        </w:rPr>
      </w:pPr>
      <w:r w:rsidRPr="00A02F7C">
        <w:rPr>
          <w:b/>
          <w:bCs/>
          <w:i/>
          <w:iCs/>
        </w:rPr>
        <w:t>Kontaktperson:</w:t>
      </w:r>
      <w:r w:rsidR="007D11C4" w:rsidRPr="00A02F7C">
        <w:rPr>
          <w:b/>
          <w:bCs/>
          <w:i/>
          <w:iCs/>
        </w:rPr>
        <w:t xml:space="preserve"> </w:t>
      </w:r>
      <w:r w:rsidRPr="00A02F7C">
        <w:rPr>
          <w:i/>
        </w:rPr>
        <w:t xml:space="preserve">Laura </w:t>
      </w:r>
      <w:proofErr w:type="spellStart"/>
      <w:r w:rsidRPr="00A02F7C">
        <w:rPr>
          <w:i/>
        </w:rPr>
        <w:t>Broomfield</w:t>
      </w:r>
      <w:proofErr w:type="spellEnd"/>
    </w:p>
    <w:p w:rsidR="00832654" w:rsidRPr="00A02F7C" w:rsidRDefault="00D81C7A" w:rsidP="00912024">
      <w:pPr>
        <w:tabs>
          <w:tab w:val="left" w:pos="1418"/>
        </w:tabs>
        <w:rPr>
          <w:i/>
          <w:iCs/>
        </w:rPr>
      </w:pPr>
      <w:r w:rsidRPr="00A02F7C">
        <w:rPr>
          <w:i/>
          <w:iCs/>
        </w:rPr>
        <w:tab/>
        <w:t xml:space="preserve">(Tfn +32 25468258 – e-post: </w:t>
      </w:r>
      <w:hyperlink r:id="rId36" w:history="1">
        <w:r w:rsidRPr="00A02F7C">
          <w:rPr>
            <w:rStyle w:val="Hyperlink"/>
            <w:i/>
            <w:iCs/>
          </w:rPr>
          <w:t>Laura.Broomfield@eesc.europa.eu</w:t>
        </w:r>
      </w:hyperlink>
      <w:r w:rsidRPr="00A02F7C">
        <w:rPr>
          <w:i/>
          <w:iCs/>
        </w:rPr>
        <w:t>)</w:t>
      </w:r>
    </w:p>
    <w:p w:rsidR="00832654" w:rsidRPr="00A02F7C" w:rsidRDefault="00832654" w:rsidP="00912024">
      <w:pPr>
        <w:rPr>
          <w:b/>
          <w:iCs/>
          <w:u w:val="single"/>
          <w:lang w:val="en-GB"/>
        </w:rPr>
      </w:pPr>
    </w:p>
    <w:p w:rsidR="00832654" w:rsidRPr="00A02F7C" w:rsidRDefault="00832654" w:rsidP="00912024">
      <w:pPr>
        <w:pStyle w:val="ListParagraph"/>
        <w:numPr>
          <w:ilvl w:val="0"/>
          <w:numId w:val="4"/>
        </w:numPr>
        <w:rPr>
          <w:b/>
          <w:bCs/>
          <w:i/>
          <w:iCs/>
          <w:sz w:val="28"/>
          <w:szCs w:val="28"/>
        </w:rPr>
      </w:pPr>
      <w:r w:rsidRPr="00A02F7C">
        <w:rPr>
          <w:b/>
          <w:bCs/>
          <w:i/>
          <w:iCs/>
          <w:sz w:val="28"/>
          <w:szCs w:val="28"/>
        </w:rPr>
        <w:t xml:space="preserve">Flerårig plan för </w:t>
      </w:r>
      <w:proofErr w:type="spellStart"/>
      <w:r w:rsidRPr="00A02F7C">
        <w:rPr>
          <w:b/>
          <w:bCs/>
          <w:i/>
          <w:iCs/>
          <w:sz w:val="28"/>
          <w:szCs w:val="28"/>
        </w:rPr>
        <w:t>demersala</w:t>
      </w:r>
      <w:proofErr w:type="spellEnd"/>
      <w:r w:rsidRPr="00A02F7C">
        <w:rPr>
          <w:b/>
          <w:bCs/>
          <w:i/>
          <w:iCs/>
          <w:sz w:val="28"/>
          <w:szCs w:val="28"/>
        </w:rPr>
        <w:t xml:space="preserve"> fisken i västra Medelhavet</w:t>
      </w:r>
    </w:p>
    <w:p w:rsidR="00832654" w:rsidRPr="00A02F7C" w:rsidRDefault="00832654" w:rsidP="00912024">
      <w:pPr>
        <w:pStyle w:val="ListParagraph"/>
        <w:ind w:left="567"/>
        <w:rPr>
          <w:b/>
          <w:bCs/>
          <w:i/>
          <w:iCs/>
          <w:sz w:val="28"/>
          <w:szCs w:val="28"/>
          <w:lang w:val="en-GB"/>
        </w:rPr>
      </w:pPr>
    </w:p>
    <w:p w:rsidR="00832654" w:rsidRPr="00A02F7C" w:rsidRDefault="00832654" w:rsidP="00912024">
      <w:pPr>
        <w:tabs>
          <w:tab w:val="left" w:pos="1701"/>
        </w:tabs>
      </w:pPr>
      <w:r w:rsidRPr="00A02F7C">
        <w:rPr>
          <w:b/>
        </w:rPr>
        <w:t>Föredragande:</w:t>
      </w:r>
      <w:r w:rsidRPr="00A02F7C">
        <w:tab/>
        <w:t xml:space="preserve">Gabriel </w:t>
      </w:r>
      <w:r w:rsidRPr="00A02F7C">
        <w:rPr>
          <w:caps/>
        </w:rPr>
        <w:t>Sarró Iparraguirre</w:t>
      </w:r>
      <w:r w:rsidRPr="00A02F7C">
        <w:t xml:space="preserve"> (Mångfald Europa – ES)</w:t>
      </w:r>
    </w:p>
    <w:p w:rsidR="00832654" w:rsidRPr="00A02F7C" w:rsidRDefault="00832654" w:rsidP="00912024">
      <w:pPr>
        <w:tabs>
          <w:tab w:val="left" w:pos="1701"/>
        </w:tabs>
        <w:rPr>
          <w:b/>
          <w:lang w:val="en-GB"/>
        </w:rPr>
      </w:pPr>
    </w:p>
    <w:p w:rsidR="00832654" w:rsidRPr="00A02F7C" w:rsidRDefault="00832654" w:rsidP="00912024">
      <w:pPr>
        <w:tabs>
          <w:tab w:val="left" w:pos="1701"/>
        </w:tabs>
      </w:pPr>
      <w:r w:rsidRPr="00A02F7C">
        <w:rPr>
          <w:b/>
          <w:bCs/>
        </w:rPr>
        <w:t>Referens:</w:t>
      </w:r>
      <w:r w:rsidR="007D11C4" w:rsidRPr="00A02F7C">
        <w:rPr>
          <w:b/>
          <w:bCs/>
        </w:rPr>
        <w:tab/>
      </w:r>
      <w:r w:rsidRPr="00A02F7C">
        <w:t>COM(2018) 115 final - 2018/0050(COD)</w:t>
      </w:r>
    </w:p>
    <w:p w:rsidR="00832654" w:rsidRPr="00A02F7C" w:rsidRDefault="00D81C7A" w:rsidP="00912024">
      <w:pPr>
        <w:tabs>
          <w:tab w:val="left" w:pos="1701"/>
        </w:tabs>
      </w:pPr>
      <w:r w:rsidRPr="00A02F7C">
        <w:tab/>
        <w:t>EESC-201</w:t>
      </w:r>
      <w:r w:rsidR="00A02F7C" w:rsidRPr="00A02F7C">
        <w:t>8-0</w:t>
      </w:r>
      <w:r w:rsidRPr="00A02F7C">
        <w:t>137</w:t>
      </w:r>
      <w:r w:rsidR="00A02F7C" w:rsidRPr="00A02F7C">
        <w:t>3-00-0</w:t>
      </w:r>
      <w:r w:rsidRPr="00A02F7C">
        <w:t>0-AC-TRA</w:t>
      </w:r>
    </w:p>
    <w:p w:rsidR="00D81C7A" w:rsidRPr="00A02F7C" w:rsidRDefault="00D81C7A" w:rsidP="00912024">
      <w:pPr>
        <w:rPr>
          <w:lang w:val="en-GB"/>
        </w:rPr>
      </w:pPr>
    </w:p>
    <w:p w:rsidR="00832654" w:rsidRPr="00A02F7C" w:rsidRDefault="00832654" w:rsidP="00912024">
      <w:pPr>
        <w:ind w:left="-5"/>
        <w:rPr>
          <w:bCs/>
          <w:iCs/>
        </w:rPr>
      </w:pPr>
      <w:r w:rsidRPr="00A02F7C">
        <w:rPr>
          <w:b/>
        </w:rPr>
        <w:t>Huvudpunkter:</w:t>
      </w:r>
    </w:p>
    <w:p w:rsidR="00832654" w:rsidRPr="00A02F7C" w:rsidRDefault="00832654" w:rsidP="00912024">
      <w:pPr>
        <w:ind w:left="-567"/>
        <w:rPr>
          <w:lang w:val="en-GB"/>
        </w:rPr>
      </w:pPr>
    </w:p>
    <w:p w:rsidR="00832654" w:rsidRPr="00A02F7C" w:rsidRDefault="00832654" w:rsidP="00912024">
      <w:pPr>
        <w:pStyle w:val="ListParagraph"/>
        <w:numPr>
          <w:ilvl w:val="0"/>
          <w:numId w:val="65"/>
        </w:numPr>
        <w:overflowPunct w:val="0"/>
        <w:adjustRightInd w:val="0"/>
        <w:textAlignment w:val="baseline"/>
      </w:pPr>
      <w:r w:rsidRPr="00A02F7C">
        <w:t xml:space="preserve">EESK håller med kommissionen om att det är lämpligt att anta en flerårig plan för </w:t>
      </w:r>
      <w:proofErr w:type="spellStart"/>
      <w:r w:rsidRPr="00A02F7C">
        <w:t>demersala</w:t>
      </w:r>
      <w:proofErr w:type="spellEnd"/>
      <w:r w:rsidRPr="00A02F7C">
        <w:t xml:space="preserve"> fisken i västra Medelhavet som föreskriver åtgärder för att komma till rätta med det rådande överutnyttjandet av de flesta bestånd av </w:t>
      </w:r>
      <w:proofErr w:type="spellStart"/>
      <w:r w:rsidRPr="00A02F7C">
        <w:t>demersala</w:t>
      </w:r>
      <w:proofErr w:type="spellEnd"/>
      <w:r w:rsidRPr="00A02F7C">
        <w:t xml:space="preserve"> arter för vilka uppgifter finns tillgängliga. Kommittén anser därför att en fiskeansträngningsordning som baseras på antal fiskedagar och förvaltningsenheter (geografiska delområden) för trålfiske är ändamålsenlig och välkomnar möjligheten att upprätta ett system med totala tillåtna fångstmängder (TAC) om förvaltningen av fiskeansträngningen skulle misslyckas.</w:t>
      </w:r>
    </w:p>
    <w:p w:rsidR="00832654" w:rsidRPr="00A02F7C" w:rsidRDefault="00832654" w:rsidP="00912024">
      <w:pPr>
        <w:overflowPunct w:val="0"/>
        <w:adjustRightInd w:val="0"/>
        <w:textAlignment w:val="baseline"/>
        <w:rPr>
          <w:lang w:val="en-GB"/>
        </w:rPr>
      </w:pPr>
    </w:p>
    <w:p w:rsidR="00832654" w:rsidRPr="00A02F7C" w:rsidRDefault="00832654" w:rsidP="00912024">
      <w:pPr>
        <w:pStyle w:val="ListParagraph"/>
        <w:numPr>
          <w:ilvl w:val="0"/>
          <w:numId w:val="65"/>
        </w:numPr>
        <w:overflowPunct w:val="0"/>
        <w:adjustRightInd w:val="0"/>
        <w:textAlignment w:val="baseline"/>
      </w:pPr>
      <w:r w:rsidRPr="00A02F7C">
        <w:t xml:space="preserve">Med tanke på det planerade datumet för antagandet och ikraftträdandet av detta förslag (inte före halvårsskiftet 2019) är det i det avseendet svårt att uppnå maximalt hållbart uttag (MSY) för alla bestånd senast 2020. Kommittén stöder dock EU:s internationella åtagande att uppnå </w:t>
      </w:r>
      <w:r w:rsidRPr="00A02F7C">
        <w:lastRenderedPageBreak/>
        <w:t>maximalt hållbart uttag senast 2020, och dess betydelse i denna fleråriga plan är av yttersta vikt, särskilt för de mest överexploaterade arterna, som hotas av biologisk kollaps. Det vore därför lämpligt om mer realistiska och rimliga tidsramar fastställs för uppnåendet av maximalt hållbart uttag av alla arter.</w:t>
      </w:r>
    </w:p>
    <w:p w:rsidR="00832654" w:rsidRPr="00A02F7C" w:rsidRDefault="00832654" w:rsidP="00912024">
      <w:pPr>
        <w:overflowPunct w:val="0"/>
        <w:adjustRightInd w:val="0"/>
        <w:textAlignment w:val="baseline"/>
        <w:rPr>
          <w:lang w:val="en-GB"/>
        </w:rPr>
      </w:pPr>
    </w:p>
    <w:p w:rsidR="00832654" w:rsidRPr="00A02F7C" w:rsidRDefault="00832654" w:rsidP="00912024">
      <w:pPr>
        <w:pStyle w:val="ListParagraph"/>
        <w:numPr>
          <w:ilvl w:val="0"/>
          <w:numId w:val="65"/>
        </w:numPr>
        <w:overflowPunct w:val="0"/>
        <w:adjustRightInd w:val="0"/>
        <w:textAlignment w:val="baseline"/>
      </w:pPr>
      <w:r w:rsidRPr="00A02F7C">
        <w:t>Samtidigt som EESK erkänner fiskesektorns regionala särdrag anser kommittén att Medelhavsområdets ”särskilda karaktär” kräver att åtgärder vidtas när det gäller reformen av fiskeripolitiken, och rekommenderar medlagstiftarna att stödja ett lämpligt förvaltningssystem som garanterar rättvisa mellan EU:s kustregioner och gör det möjligt för Medelhavsområdet att fullt ut nå målen i den gemensamma fiskeripolitiken.</w:t>
      </w:r>
    </w:p>
    <w:p w:rsidR="00832654" w:rsidRPr="00A02F7C" w:rsidRDefault="00832654" w:rsidP="00912024">
      <w:pPr>
        <w:overflowPunct w:val="0"/>
        <w:adjustRightInd w:val="0"/>
        <w:textAlignment w:val="baseline"/>
        <w:rPr>
          <w:lang w:val="en-GB"/>
        </w:rPr>
      </w:pPr>
    </w:p>
    <w:p w:rsidR="00832654" w:rsidRPr="00A02F7C" w:rsidRDefault="00832654" w:rsidP="00912024">
      <w:pPr>
        <w:pStyle w:val="ListParagraph"/>
        <w:numPr>
          <w:ilvl w:val="0"/>
          <w:numId w:val="65"/>
        </w:numPr>
        <w:overflowPunct w:val="0"/>
        <w:adjustRightInd w:val="0"/>
        <w:textAlignment w:val="baseline"/>
      </w:pPr>
      <w:r w:rsidRPr="00A02F7C">
        <w:t>Kommittén konstaterar att antalet fiskefartyg har minskat avsevärt under de senaste åren, men beklagar att dessa insatser inom fiskesektorn inte har lett till en minskad reell fiskeridödlighet inom centrala bestånd, särskilt till följd av den strukturella överkapaciteten inom vissa flottsegment, särskilt trålfisket, och effektivitetsvinster genom modernisering av motorer, fiskeredskap och fisketeknik.</w:t>
      </w:r>
    </w:p>
    <w:p w:rsidR="00832654" w:rsidRPr="00A02F7C" w:rsidRDefault="00832654" w:rsidP="00912024">
      <w:pPr>
        <w:overflowPunct w:val="0"/>
        <w:adjustRightInd w:val="0"/>
        <w:textAlignment w:val="baseline"/>
        <w:rPr>
          <w:lang w:val="en-GB"/>
        </w:rPr>
      </w:pPr>
    </w:p>
    <w:p w:rsidR="00832654" w:rsidRPr="00A02F7C" w:rsidRDefault="00832654" w:rsidP="00912024">
      <w:pPr>
        <w:pStyle w:val="ListParagraph"/>
        <w:numPr>
          <w:ilvl w:val="0"/>
          <w:numId w:val="65"/>
        </w:numPr>
        <w:overflowPunct w:val="0"/>
        <w:adjustRightInd w:val="0"/>
        <w:textAlignment w:val="baseline"/>
      </w:pPr>
      <w:r w:rsidRPr="00A02F7C">
        <w:t xml:space="preserve">EESK erkänner, mot bakgrund av det betydande överfisket i området, behovet av särskilda fredningstider/fredningsområden avseende fiske med trål, som är den viktigaste typen av fiskeredskap för det fiske som omfattas av planen, i syfte att – när detta anses nödvändigt mot bakgrund av vetenskapliga utlåtanden – väsentligt minska dess inverkan på oönskade fångster av </w:t>
      </w:r>
      <w:proofErr w:type="spellStart"/>
      <w:r w:rsidRPr="00A02F7C">
        <w:t>demersala</w:t>
      </w:r>
      <w:proofErr w:type="spellEnd"/>
      <w:r w:rsidRPr="00A02F7C">
        <w:t xml:space="preserve"> arter, i synnerhet </w:t>
      </w:r>
      <w:proofErr w:type="spellStart"/>
      <w:r w:rsidRPr="00A02F7C">
        <w:t>ungfisk</w:t>
      </w:r>
      <w:proofErr w:type="spellEnd"/>
      <w:r w:rsidRPr="00A02F7C">
        <w:t>, liksom viktiga livsmiljöer för fisk (lek- och yngelområden).</w:t>
      </w:r>
    </w:p>
    <w:p w:rsidR="00832654" w:rsidRPr="00A02F7C" w:rsidRDefault="00832654" w:rsidP="00912024">
      <w:pPr>
        <w:overflowPunct w:val="0"/>
        <w:adjustRightInd w:val="0"/>
        <w:textAlignment w:val="baseline"/>
        <w:rPr>
          <w:lang w:val="en-GB"/>
        </w:rPr>
      </w:pPr>
    </w:p>
    <w:p w:rsidR="00832654" w:rsidRPr="00A02F7C" w:rsidRDefault="00832654" w:rsidP="00912024">
      <w:pPr>
        <w:pStyle w:val="ListParagraph"/>
        <w:numPr>
          <w:ilvl w:val="0"/>
          <w:numId w:val="65"/>
        </w:numPr>
        <w:overflowPunct w:val="0"/>
        <w:adjustRightInd w:val="0"/>
        <w:textAlignment w:val="baseline"/>
      </w:pPr>
      <w:r w:rsidRPr="00A02F7C">
        <w:t>EESK rekommenderar medlagstiftarna att avskaffa förbudet mot att använda trål på ett vattendjup av mindre än 100 meter under perioden 1 maj–31 juli varje år.</w:t>
      </w:r>
    </w:p>
    <w:p w:rsidR="00832654" w:rsidRPr="00A02F7C" w:rsidRDefault="00832654" w:rsidP="00912024">
      <w:pPr>
        <w:rPr>
          <w:lang w:val="en-GB"/>
        </w:rPr>
      </w:pPr>
    </w:p>
    <w:p w:rsidR="00832654" w:rsidRPr="00A02F7C" w:rsidRDefault="00832654" w:rsidP="00912024">
      <w:pPr>
        <w:tabs>
          <w:tab w:val="left" w:pos="1418"/>
        </w:tabs>
        <w:rPr>
          <w:i/>
          <w:iCs/>
        </w:rPr>
      </w:pPr>
      <w:r w:rsidRPr="00A02F7C">
        <w:rPr>
          <w:b/>
          <w:bCs/>
          <w:i/>
          <w:iCs/>
        </w:rPr>
        <w:t>Kontaktperson:</w:t>
      </w:r>
      <w:r w:rsidR="007D11C4" w:rsidRPr="00A02F7C">
        <w:rPr>
          <w:b/>
          <w:bCs/>
          <w:i/>
          <w:iCs/>
        </w:rPr>
        <w:tab/>
        <w:t xml:space="preserve"> </w:t>
      </w:r>
      <w:r w:rsidRPr="00A02F7C">
        <w:rPr>
          <w:i/>
        </w:rPr>
        <w:t xml:space="preserve">Arturo </w:t>
      </w:r>
      <w:proofErr w:type="spellStart"/>
      <w:r w:rsidRPr="00A02F7C">
        <w:rPr>
          <w:i/>
        </w:rPr>
        <w:t>Íñiguez</w:t>
      </w:r>
      <w:proofErr w:type="spellEnd"/>
    </w:p>
    <w:p w:rsidR="00832654" w:rsidRPr="00A02F7C" w:rsidRDefault="00D81C7A" w:rsidP="00912024">
      <w:pPr>
        <w:tabs>
          <w:tab w:val="left" w:pos="1418"/>
        </w:tabs>
        <w:rPr>
          <w:b/>
          <w:iCs/>
          <w:u w:val="single"/>
        </w:rPr>
      </w:pPr>
      <w:r w:rsidRPr="00A02F7C">
        <w:rPr>
          <w:i/>
          <w:iCs/>
        </w:rPr>
        <w:tab/>
        <w:t>(Tfn +32 25468768– e-post</w:t>
      </w:r>
      <w:r w:rsidRPr="00A02F7C">
        <w:rPr>
          <w:i/>
          <w:iCs/>
          <w:color w:val="0000FF"/>
          <w:u w:val="single"/>
        </w:rPr>
        <w:t xml:space="preserve"> </w:t>
      </w:r>
      <w:hyperlink r:id="rId37" w:history="1">
        <w:r w:rsidRPr="00A02F7C">
          <w:rPr>
            <w:rStyle w:val="Hyperlink"/>
            <w:i/>
            <w:iCs/>
          </w:rPr>
          <w:t>Arturo.Iniguez@eesc.europa.eu</w:t>
        </w:r>
      </w:hyperlink>
      <w:r w:rsidRPr="00A02F7C">
        <w:rPr>
          <w:i/>
          <w:iCs/>
        </w:rPr>
        <w:t>)</w:t>
      </w:r>
    </w:p>
    <w:p w:rsidR="00832654" w:rsidRPr="00A02F7C" w:rsidRDefault="00832654" w:rsidP="00912024">
      <w:pPr>
        <w:rPr>
          <w:b/>
          <w:iCs/>
          <w:u w:val="single"/>
          <w:lang w:val="en-GB"/>
        </w:rPr>
      </w:pPr>
    </w:p>
    <w:p w:rsidR="00832654" w:rsidRPr="00A02F7C" w:rsidRDefault="00F62033" w:rsidP="00912024">
      <w:pPr>
        <w:pStyle w:val="ListParagraph"/>
        <w:keepNext/>
        <w:numPr>
          <w:ilvl w:val="0"/>
          <w:numId w:val="66"/>
        </w:numPr>
        <w:overflowPunct w:val="0"/>
        <w:autoSpaceDE w:val="0"/>
        <w:autoSpaceDN w:val="0"/>
        <w:adjustRightInd w:val="0"/>
        <w:textAlignment w:val="baseline"/>
        <w:rPr>
          <w:b/>
          <w:bCs/>
          <w:i/>
          <w:iCs/>
          <w:sz w:val="28"/>
          <w:szCs w:val="28"/>
        </w:rPr>
      </w:pPr>
      <w:r w:rsidRPr="00A02F7C">
        <w:rPr>
          <w:b/>
          <w:bCs/>
          <w:i/>
          <w:iCs/>
          <w:sz w:val="28"/>
          <w:szCs w:val="28"/>
        </w:rPr>
        <w:t>Kvaliteten på dricksvatten (omarbetning)</w:t>
      </w:r>
    </w:p>
    <w:p w:rsidR="00D81C7A" w:rsidRPr="00A02F7C" w:rsidRDefault="00D81C7A" w:rsidP="00912024">
      <w:pPr>
        <w:keepNext/>
      </w:pPr>
    </w:p>
    <w:p w:rsidR="00832654" w:rsidRPr="00A02F7C" w:rsidRDefault="00832654" w:rsidP="00912024">
      <w:pPr>
        <w:tabs>
          <w:tab w:val="left" w:pos="1701"/>
        </w:tabs>
      </w:pPr>
      <w:r w:rsidRPr="00A02F7C">
        <w:rPr>
          <w:b/>
        </w:rPr>
        <w:t>Föredragande:</w:t>
      </w:r>
      <w:r w:rsidRPr="00A02F7C">
        <w:tab/>
      </w:r>
      <w:proofErr w:type="spellStart"/>
      <w:r w:rsidRPr="00A02F7C">
        <w:t>Gerardo</w:t>
      </w:r>
      <w:proofErr w:type="spellEnd"/>
      <w:r w:rsidRPr="00A02F7C">
        <w:t xml:space="preserve"> </w:t>
      </w:r>
      <w:proofErr w:type="spellStart"/>
      <w:r w:rsidRPr="00A02F7C">
        <w:t>Larghi</w:t>
      </w:r>
      <w:proofErr w:type="spellEnd"/>
      <w:r w:rsidRPr="00A02F7C">
        <w:t xml:space="preserve"> (Arbetstagargruppen – IT)</w:t>
      </w:r>
    </w:p>
    <w:p w:rsidR="00832654" w:rsidRPr="00A02F7C" w:rsidRDefault="00832654" w:rsidP="00912024">
      <w:pPr>
        <w:tabs>
          <w:tab w:val="left" w:pos="1701"/>
        </w:tabs>
        <w:rPr>
          <w:lang w:val="en-GB"/>
        </w:rPr>
      </w:pPr>
    </w:p>
    <w:p w:rsidR="00832654" w:rsidRPr="00A02F7C" w:rsidRDefault="00832654" w:rsidP="00912024">
      <w:pPr>
        <w:tabs>
          <w:tab w:val="left" w:pos="1701"/>
        </w:tabs>
      </w:pPr>
      <w:r w:rsidRPr="00A02F7C">
        <w:rPr>
          <w:b/>
          <w:bCs/>
        </w:rPr>
        <w:t>Referens:</w:t>
      </w:r>
      <w:r w:rsidR="007D11C4" w:rsidRPr="00A02F7C">
        <w:rPr>
          <w:b/>
          <w:bCs/>
        </w:rPr>
        <w:tab/>
      </w:r>
      <w:r w:rsidRPr="00A02F7C">
        <w:t>COM(2017)753 final - 2017/0332(COD)</w:t>
      </w:r>
    </w:p>
    <w:p w:rsidR="00832654" w:rsidRPr="00A02F7C" w:rsidRDefault="00832654" w:rsidP="00912024">
      <w:pPr>
        <w:tabs>
          <w:tab w:val="left" w:pos="1701"/>
        </w:tabs>
      </w:pPr>
      <w:r w:rsidRPr="00A02F7C">
        <w:tab/>
        <w:t>EESC-201</w:t>
      </w:r>
      <w:r w:rsidR="00A02F7C" w:rsidRPr="00A02F7C">
        <w:t>8-0</w:t>
      </w:r>
      <w:r w:rsidRPr="00A02F7C">
        <w:t>128</w:t>
      </w:r>
      <w:r w:rsidR="00A02F7C" w:rsidRPr="00A02F7C">
        <w:t>5-00-0</w:t>
      </w:r>
      <w:r w:rsidRPr="00A02F7C">
        <w:t>0-AC-TRA</w:t>
      </w:r>
    </w:p>
    <w:p w:rsidR="004B73E7" w:rsidRPr="00A02F7C" w:rsidRDefault="004B73E7" w:rsidP="00912024">
      <w:pPr>
        <w:rPr>
          <w:lang w:val="en-GB"/>
        </w:rPr>
      </w:pPr>
    </w:p>
    <w:p w:rsidR="00832654" w:rsidRPr="00A02F7C" w:rsidRDefault="00832654" w:rsidP="00912024">
      <w:pPr>
        <w:ind w:left="-5"/>
        <w:rPr>
          <w:bCs/>
          <w:iCs/>
        </w:rPr>
      </w:pPr>
      <w:r w:rsidRPr="00A02F7C">
        <w:rPr>
          <w:b/>
        </w:rPr>
        <w:t>Huvudpunkter:</w:t>
      </w:r>
    </w:p>
    <w:p w:rsidR="00832654" w:rsidRPr="00A02F7C" w:rsidRDefault="00832654" w:rsidP="00912024"/>
    <w:p w:rsidR="00832654" w:rsidRPr="00A02F7C" w:rsidRDefault="00832654" w:rsidP="00912024">
      <w:pPr>
        <w:pStyle w:val="ListParagraph"/>
        <w:numPr>
          <w:ilvl w:val="0"/>
          <w:numId w:val="67"/>
        </w:numPr>
      </w:pPr>
      <w:r w:rsidRPr="00A02F7C">
        <w:t>Europeiska ekonomiska och sociala kommittén välkomnar kommissionens förslag till uppdatering av dricksvattendirektivet, och ställer sig till största delen bakom dess struktur, mål och åtgärder. Kommittén noterar med tillfredsställelse att för första gången har en lagstiftningsprocess inledd med ett europeiskt medborgarinitiativ slutförts, med respekt för dess allmänna önskemål. Kommittén påpekar också att det dr</w:t>
      </w:r>
      <w:r w:rsidR="007D11C4" w:rsidRPr="00A02F7C">
        <w:t>icksvatten som tillhandahålls i EU till mer än 9</w:t>
      </w:r>
      <w:r w:rsidR="00A02F7C" w:rsidRPr="00A02F7C">
        <w:t>9 %</w:t>
      </w:r>
      <w:r w:rsidRPr="00A02F7C">
        <w:t xml:space="preserve"> uppfyller kraven i det nuvarande direktiv 98/83/EG.</w:t>
      </w:r>
    </w:p>
    <w:p w:rsidR="00832654" w:rsidRPr="00A02F7C" w:rsidRDefault="00832654" w:rsidP="00912024">
      <w:pPr>
        <w:pStyle w:val="ListParagraph"/>
        <w:numPr>
          <w:ilvl w:val="0"/>
          <w:numId w:val="67"/>
        </w:numPr>
      </w:pPr>
      <w:r w:rsidRPr="00A02F7C">
        <w:lastRenderedPageBreak/>
        <w:t>I linje med sina tidigare yttranden beklagar EESK att man i förslaget till direktiv inte uttryckligen erkänner allas rätt till dricksvatten och sanitet, såsom begärts av initiativet Right2Water och som görs i FN:s mål för hållbar utveckling.</w:t>
      </w:r>
    </w:p>
    <w:p w:rsidR="00832654" w:rsidRPr="00A02F7C" w:rsidRDefault="00832654" w:rsidP="00912024">
      <w:pPr>
        <w:rPr>
          <w:kern w:val="2"/>
          <w:szCs w:val="20"/>
          <w:lang w:val="en-GB"/>
        </w:rPr>
      </w:pPr>
    </w:p>
    <w:p w:rsidR="00832654" w:rsidRPr="00A02F7C" w:rsidRDefault="00832654" w:rsidP="00912024">
      <w:pPr>
        <w:pStyle w:val="ListParagraph"/>
        <w:numPr>
          <w:ilvl w:val="0"/>
          <w:numId w:val="67"/>
        </w:numPr>
      </w:pPr>
      <w:r w:rsidRPr="00A02F7C">
        <w:t>EESK anser att den modell som Världshälsoorganisationen föreslår och som grundar sig på minsta mängder vatten per person och dag utgör ett bra alternativ. Det är viktigt att man i denna fråga bibehåller en helhetssyn genom att integrera lagstiftningen i fråga om hållbarhet och cirkulär ekonomi samt de miljömässiga, ekonomiska och sociala dimensionerna. EESK ser positivt på införandet av bestämmelser för medlemsstaterna för att främja tillgången till dricksvatten för utsatta grupper och dem som bor på isolerade orter eller i missgynnade eller avlägset belägna landsbygdsområden. Det exakta genomfö</w:t>
      </w:r>
      <w:r w:rsidR="007D11C4" w:rsidRPr="00A02F7C">
        <w:t>randet av åtgärderna bör dock i </w:t>
      </w:r>
      <w:r w:rsidRPr="00A02F7C">
        <w:t>enlighet med subsidiaritetsprincipen fastställas tillsammans med medlemsstaterna.</w:t>
      </w:r>
    </w:p>
    <w:p w:rsidR="00832654" w:rsidRPr="00A02F7C" w:rsidRDefault="00832654" w:rsidP="00912024">
      <w:pPr>
        <w:rPr>
          <w:kern w:val="2"/>
          <w:szCs w:val="20"/>
          <w:lang w:val="en-GB"/>
        </w:rPr>
      </w:pPr>
    </w:p>
    <w:p w:rsidR="00832654" w:rsidRPr="00A02F7C" w:rsidRDefault="00832654" w:rsidP="00912024">
      <w:pPr>
        <w:pStyle w:val="ListParagraph"/>
        <w:numPr>
          <w:ilvl w:val="0"/>
          <w:numId w:val="67"/>
        </w:numPr>
      </w:pPr>
      <w:r w:rsidRPr="00A02F7C">
        <w:t>EESK gläder sig åt att försiktighetsprincipen och principen om att "förorenaren betalar" har antagits, och stöder genomförandet av kommunikationskampanjer för att uppmuntra en mer utbredd och välinformerad användning av offentligt vatten. Vi rekommenderar att man använder alla tillgängliga instrument och inte bara dem på nätet.</w:t>
      </w:r>
    </w:p>
    <w:p w:rsidR="00832654" w:rsidRPr="00A02F7C" w:rsidRDefault="00832654" w:rsidP="00912024">
      <w:pPr>
        <w:rPr>
          <w:kern w:val="2"/>
          <w:szCs w:val="20"/>
          <w:lang w:val="en-GB"/>
        </w:rPr>
      </w:pPr>
    </w:p>
    <w:p w:rsidR="00832654" w:rsidRPr="00A02F7C" w:rsidRDefault="00832654" w:rsidP="00912024">
      <w:pPr>
        <w:pStyle w:val="ListParagraph"/>
        <w:numPr>
          <w:ilvl w:val="0"/>
          <w:numId w:val="67"/>
        </w:numPr>
      </w:pPr>
      <w:r w:rsidRPr="00A02F7C">
        <w:t>EESK konstaterar att direktivet innehåller betydande nyheter vad gäller övervakning och öppenhet i fråga om information. I syfte att öka användarnas medvetenhet om vikten av att konsumera kranvatten, rekommenderas det dock att informationen ska vara klar och begriplig. EESK betonar den viktiga roll som små och medelstora företag spelar inom vattenförsörjning. För att undvika administrativa bördor för små och medelstora företag måste rollerna vara proportionerliga.</w:t>
      </w:r>
    </w:p>
    <w:p w:rsidR="00832654" w:rsidRPr="00A02F7C" w:rsidRDefault="00832654" w:rsidP="00912024">
      <w:pPr>
        <w:rPr>
          <w:lang w:val="en-GB"/>
        </w:rPr>
      </w:pPr>
    </w:p>
    <w:p w:rsidR="00832654" w:rsidRPr="00A02F7C" w:rsidRDefault="00832654" w:rsidP="00912024">
      <w:pPr>
        <w:pStyle w:val="ListParagraph"/>
        <w:numPr>
          <w:ilvl w:val="0"/>
          <w:numId w:val="67"/>
        </w:numPr>
      </w:pPr>
      <w:r w:rsidRPr="00A02F7C">
        <w:t>EESK befarar att merkostnaderna för kontrollerna samt moderniseringen och uppgraderingen av distributionsnätet kan komma att övervältras enbart på slutkonsumenterna och inte fördelas även mellan de offentliga myndigheterna och leveransföretagen.</w:t>
      </w:r>
    </w:p>
    <w:p w:rsidR="00832654" w:rsidRPr="00A02F7C" w:rsidRDefault="00832654" w:rsidP="00912024">
      <w:pPr>
        <w:rPr>
          <w:rFonts w:eastAsia="TimesNewRomanPSMT"/>
          <w:szCs w:val="20"/>
          <w:lang w:val="en-GB"/>
        </w:rPr>
      </w:pPr>
    </w:p>
    <w:p w:rsidR="00832654" w:rsidRPr="00A02F7C" w:rsidRDefault="00832654" w:rsidP="00912024">
      <w:pPr>
        <w:pStyle w:val="ListParagraph"/>
        <w:numPr>
          <w:ilvl w:val="0"/>
          <w:numId w:val="67"/>
        </w:numPr>
      </w:pPr>
      <w:r w:rsidRPr="00A02F7C">
        <w:t>EESK hoppas att medlemsstaterna ska införa anpassade tariffer för vattenavgifter för mindre bemedlade personer eller personer som lever under fattigdomsgränsen samt för dem som bor i missgynnade landsbygdsområden. Samtidigt rekommenderar kommittén att man ska vidta åtgärder för att motverka användningen av oproportionerligt mycket vatten, och därigenom främja goda beteenden i stället. Detta bör även gälla för vattenanvändning inom industri och jordbruk.</w:t>
      </w:r>
    </w:p>
    <w:p w:rsidR="00832654" w:rsidRPr="00A02F7C" w:rsidRDefault="00832654" w:rsidP="00912024">
      <w:pPr>
        <w:pStyle w:val="Heading2"/>
        <w:numPr>
          <w:ilvl w:val="0"/>
          <w:numId w:val="0"/>
        </w:numPr>
        <w:autoSpaceDE w:val="0"/>
        <w:autoSpaceDN w:val="0"/>
        <w:rPr>
          <w:color w:val="000000"/>
          <w:lang w:val="en-GB"/>
        </w:rPr>
      </w:pPr>
    </w:p>
    <w:p w:rsidR="00832654" w:rsidRPr="00A02F7C" w:rsidRDefault="00832654" w:rsidP="00912024">
      <w:pPr>
        <w:ind w:left="-567"/>
        <w:rPr>
          <w:lang w:val="en-GB"/>
        </w:rPr>
      </w:pPr>
    </w:p>
    <w:p w:rsidR="00832654" w:rsidRPr="00A02F7C" w:rsidRDefault="00832654" w:rsidP="00912024">
      <w:pPr>
        <w:rPr>
          <w:lang w:val="en-GB"/>
        </w:rPr>
      </w:pPr>
    </w:p>
    <w:p w:rsidR="00832654" w:rsidRPr="00A02F7C" w:rsidRDefault="00832654" w:rsidP="00912024">
      <w:pPr>
        <w:tabs>
          <w:tab w:val="left" w:pos="1418"/>
        </w:tabs>
        <w:rPr>
          <w:i/>
          <w:iCs/>
        </w:rPr>
      </w:pPr>
      <w:r w:rsidRPr="00A02F7C">
        <w:rPr>
          <w:b/>
          <w:bCs/>
          <w:i/>
          <w:iCs/>
        </w:rPr>
        <w:t>Kontaktperson:</w:t>
      </w:r>
      <w:r w:rsidR="007D11C4" w:rsidRPr="00A02F7C">
        <w:rPr>
          <w:b/>
          <w:bCs/>
          <w:i/>
          <w:iCs/>
        </w:rPr>
        <w:tab/>
        <w:t xml:space="preserve"> </w:t>
      </w:r>
      <w:r w:rsidRPr="00A02F7C">
        <w:rPr>
          <w:bCs/>
          <w:i/>
          <w:iCs/>
        </w:rPr>
        <w:t xml:space="preserve">Conrad </w:t>
      </w:r>
      <w:proofErr w:type="spellStart"/>
      <w:r w:rsidRPr="00A02F7C">
        <w:rPr>
          <w:bCs/>
          <w:i/>
          <w:iCs/>
        </w:rPr>
        <w:t>Ganslandt</w:t>
      </w:r>
      <w:proofErr w:type="spellEnd"/>
    </w:p>
    <w:p w:rsidR="00832654" w:rsidRPr="00A02F7C" w:rsidRDefault="004B73E7" w:rsidP="00912024">
      <w:pPr>
        <w:tabs>
          <w:tab w:val="left" w:pos="1418"/>
        </w:tabs>
        <w:rPr>
          <w:i/>
          <w:iCs/>
        </w:rPr>
      </w:pPr>
      <w:r w:rsidRPr="00A02F7C">
        <w:rPr>
          <w:i/>
          <w:iCs/>
        </w:rPr>
        <w:tab/>
        <w:t xml:space="preserve">(Tfn +32 25468275 – e-post: </w:t>
      </w:r>
      <w:hyperlink r:id="rId38" w:history="1">
        <w:r w:rsidRPr="00A02F7C">
          <w:rPr>
            <w:rStyle w:val="Hyperlink"/>
            <w:i/>
            <w:iCs/>
          </w:rPr>
          <w:t>Conrad.Ganslandt@eesc.europa.eu</w:t>
        </w:r>
      </w:hyperlink>
      <w:r w:rsidRPr="00A02F7C">
        <w:t>)</w:t>
      </w:r>
    </w:p>
    <w:p w:rsidR="00832654" w:rsidRPr="00A02F7C" w:rsidRDefault="00832654" w:rsidP="00912024">
      <w:pPr>
        <w:overflowPunct w:val="0"/>
        <w:autoSpaceDE w:val="0"/>
        <w:autoSpaceDN w:val="0"/>
        <w:adjustRightInd w:val="0"/>
        <w:ind w:left="567"/>
        <w:textAlignment w:val="baseline"/>
        <w:rPr>
          <w:b/>
          <w:bCs/>
          <w:i/>
          <w:iCs/>
          <w:sz w:val="28"/>
          <w:szCs w:val="28"/>
          <w:lang w:val="en-GB"/>
        </w:rPr>
      </w:pPr>
    </w:p>
    <w:p w:rsidR="00832654" w:rsidRPr="00A02F7C" w:rsidRDefault="00832654" w:rsidP="007D11C4">
      <w:pPr>
        <w:pStyle w:val="ListParagraph"/>
        <w:keepNext/>
        <w:keepLines/>
        <w:numPr>
          <w:ilvl w:val="0"/>
          <w:numId w:val="68"/>
        </w:numPr>
        <w:rPr>
          <w:b/>
          <w:bCs/>
          <w:i/>
          <w:iCs/>
          <w:sz w:val="28"/>
          <w:szCs w:val="28"/>
        </w:rPr>
      </w:pPr>
      <w:r w:rsidRPr="00A02F7C">
        <w:rPr>
          <w:b/>
          <w:bCs/>
          <w:i/>
          <w:iCs/>
          <w:sz w:val="28"/>
          <w:szCs w:val="28"/>
        </w:rPr>
        <w:lastRenderedPageBreak/>
        <w:t xml:space="preserve">Nominella mängder för utsläppande på unionsmarknaden av enkeldestillerad </w:t>
      </w:r>
      <w:proofErr w:type="spellStart"/>
      <w:r w:rsidRPr="00A02F7C">
        <w:rPr>
          <w:b/>
          <w:bCs/>
          <w:i/>
          <w:iCs/>
          <w:sz w:val="28"/>
          <w:szCs w:val="28"/>
        </w:rPr>
        <w:t>shochu</w:t>
      </w:r>
      <w:proofErr w:type="spellEnd"/>
      <w:r w:rsidRPr="00A02F7C">
        <w:rPr>
          <w:b/>
          <w:bCs/>
          <w:i/>
          <w:iCs/>
          <w:sz w:val="28"/>
          <w:szCs w:val="28"/>
        </w:rPr>
        <w:t xml:space="preserve"> som framställts</w:t>
      </w:r>
      <w:r w:rsidR="007D11C4" w:rsidRPr="00A02F7C">
        <w:rPr>
          <w:b/>
          <w:bCs/>
          <w:i/>
          <w:iCs/>
          <w:sz w:val="28"/>
          <w:szCs w:val="28"/>
        </w:rPr>
        <w:t xml:space="preserve"> i enkelpanna och buteljerats i </w:t>
      </w:r>
      <w:r w:rsidRPr="00A02F7C">
        <w:rPr>
          <w:b/>
          <w:bCs/>
          <w:i/>
          <w:iCs/>
          <w:sz w:val="28"/>
          <w:szCs w:val="28"/>
        </w:rPr>
        <w:t>Japan</w:t>
      </w:r>
    </w:p>
    <w:p w:rsidR="00832654" w:rsidRPr="00A02F7C" w:rsidRDefault="00832654" w:rsidP="007D11C4">
      <w:pPr>
        <w:keepNext/>
        <w:keepLines/>
        <w:rPr>
          <w:lang w:val="en-GB"/>
        </w:rPr>
      </w:pPr>
    </w:p>
    <w:p w:rsidR="00832654" w:rsidRPr="00A02F7C" w:rsidRDefault="00832654" w:rsidP="007D11C4">
      <w:pPr>
        <w:keepNext/>
        <w:keepLines/>
        <w:tabs>
          <w:tab w:val="left" w:pos="1701"/>
        </w:tabs>
        <w:ind w:left="-5"/>
        <w:rPr>
          <w:bCs/>
        </w:rPr>
      </w:pPr>
      <w:r w:rsidRPr="00A02F7C">
        <w:rPr>
          <w:b/>
          <w:bCs/>
        </w:rPr>
        <w:t>Referens:</w:t>
      </w:r>
      <w:r w:rsidR="007D11C4" w:rsidRPr="00A02F7C">
        <w:rPr>
          <w:b/>
          <w:bCs/>
        </w:rPr>
        <w:tab/>
      </w:r>
      <w:r w:rsidR="00A02F7C" w:rsidRPr="00A02F7C">
        <w:t>COM (</w:t>
      </w:r>
      <w:r w:rsidRPr="00A02F7C">
        <w:t>2018) 229 - final 201</w:t>
      </w:r>
      <w:r w:rsidR="00A02F7C" w:rsidRPr="00A02F7C">
        <w:t>8-1</w:t>
      </w:r>
      <w:r w:rsidRPr="00A02F7C">
        <w:t>09-COD</w:t>
      </w:r>
    </w:p>
    <w:p w:rsidR="00832654" w:rsidRPr="00A02F7C" w:rsidRDefault="00832654" w:rsidP="00912024">
      <w:pPr>
        <w:tabs>
          <w:tab w:val="left" w:pos="1701"/>
        </w:tabs>
        <w:ind w:left="-5"/>
      </w:pPr>
      <w:r w:rsidRPr="00A02F7C">
        <w:tab/>
        <w:t>EESC-201</w:t>
      </w:r>
      <w:r w:rsidR="00A02F7C" w:rsidRPr="00A02F7C">
        <w:t>8-0</w:t>
      </w:r>
      <w:r w:rsidRPr="00A02F7C">
        <w:t>287</w:t>
      </w:r>
      <w:r w:rsidR="00A02F7C" w:rsidRPr="00A02F7C">
        <w:t>9-00-0</w:t>
      </w:r>
      <w:r w:rsidRPr="00A02F7C">
        <w:t>0-AC-TRA</w:t>
      </w:r>
    </w:p>
    <w:p w:rsidR="00832654" w:rsidRPr="00A02F7C" w:rsidRDefault="00832654" w:rsidP="00912024">
      <w:pPr>
        <w:ind w:left="-567"/>
        <w:rPr>
          <w:b/>
          <w:iCs/>
          <w:u w:val="single"/>
          <w:lang w:val="en-GB"/>
        </w:rPr>
      </w:pPr>
    </w:p>
    <w:p w:rsidR="00832654" w:rsidRPr="00A02F7C" w:rsidRDefault="00832654" w:rsidP="00912024">
      <w:r w:rsidRPr="00A02F7C">
        <w:t>Eftersom kommittén stöder kommissionens förslag, som inte föranleder några särskilda kommentarer, beslutade EESK att avge ett positivt yttrande om förslaget.</w:t>
      </w:r>
    </w:p>
    <w:p w:rsidR="00832654" w:rsidRPr="00A02F7C" w:rsidRDefault="00832654" w:rsidP="00912024">
      <w:pPr>
        <w:ind w:left="-567"/>
        <w:rPr>
          <w:b/>
          <w:iCs/>
          <w:u w:val="single"/>
          <w:lang w:val="en-GB"/>
        </w:rPr>
      </w:pPr>
    </w:p>
    <w:p w:rsidR="00832654" w:rsidRPr="00A02F7C" w:rsidRDefault="00832654" w:rsidP="00912024">
      <w:pPr>
        <w:tabs>
          <w:tab w:val="left" w:pos="1418"/>
        </w:tabs>
        <w:rPr>
          <w:i/>
          <w:iCs/>
        </w:rPr>
      </w:pPr>
      <w:r w:rsidRPr="00A02F7C">
        <w:rPr>
          <w:b/>
          <w:bCs/>
          <w:i/>
          <w:iCs/>
        </w:rPr>
        <w:t>Kontaktperson:</w:t>
      </w:r>
      <w:r w:rsidR="007D11C4" w:rsidRPr="00A02F7C">
        <w:rPr>
          <w:b/>
          <w:bCs/>
          <w:i/>
          <w:iCs/>
        </w:rPr>
        <w:t xml:space="preserve"> </w:t>
      </w:r>
      <w:r w:rsidRPr="00A02F7C">
        <w:rPr>
          <w:i/>
        </w:rPr>
        <w:t xml:space="preserve">Arturo </w:t>
      </w:r>
      <w:proofErr w:type="spellStart"/>
      <w:r w:rsidRPr="00A02F7C">
        <w:rPr>
          <w:i/>
        </w:rPr>
        <w:t>Íñiguez</w:t>
      </w:r>
      <w:proofErr w:type="spellEnd"/>
    </w:p>
    <w:p w:rsidR="00832654" w:rsidRPr="00A02F7C" w:rsidRDefault="004B73E7" w:rsidP="00912024">
      <w:pPr>
        <w:tabs>
          <w:tab w:val="left" w:pos="1418"/>
        </w:tabs>
        <w:rPr>
          <w:i/>
          <w:iCs/>
        </w:rPr>
      </w:pPr>
      <w:r w:rsidRPr="00A02F7C">
        <w:rPr>
          <w:i/>
          <w:iCs/>
        </w:rPr>
        <w:tab/>
        <w:t>(Tfn +32 25468768– e-post</w:t>
      </w:r>
      <w:r w:rsidRPr="00A02F7C">
        <w:rPr>
          <w:i/>
          <w:iCs/>
          <w:color w:val="0000FF"/>
          <w:u w:val="single"/>
        </w:rPr>
        <w:t xml:space="preserve"> </w:t>
      </w:r>
      <w:hyperlink r:id="rId39" w:history="1">
        <w:r w:rsidRPr="00A02F7C">
          <w:rPr>
            <w:rStyle w:val="Hyperlink"/>
            <w:i/>
            <w:iCs/>
          </w:rPr>
          <w:t>Arturo.Iniguez@eesc.europa.eu</w:t>
        </w:r>
      </w:hyperlink>
      <w:r w:rsidRPr="00A02F7C">
        <w:rPr>
          <w:i/>
          <w:iCs/>
        </w:rPr>
        <w:t>)</w:t>
      </w:r>
    </w:p>
    <w:p w:rsidR="00832654" w:rsidRPr="00A02F7C" w:rsidRDefault="00832654" w:rsidP="00912024">
      <w:pPr>
        <w:overflowPunct w:val="0"/>
        <w:autoSpaceDE w:val="0"/>
        <w:autoSpaceDN w:val="0"/>
        <w:adjustRightInd w:val="0"/>
        <w:ind w:left="567"/>
        <w:textAlignment w:val="baseline"/>
        <w:rPr>
          <w:b/>
          <w:bCs/>
          <w:i/>
          <w:iCs/>
          <w:sz w:val="28"/>
          <w:szCs w:val="28"/>
          <w:lang w:val="en-GB"/>
        </w:rPr>
      </w:pPr>
    </w:p>
    <w:p w:rsidR="00832654" w:rsidRPr="00A02F7C" w:rsidRDefault="00832654" w:rsidP="00CA0433">
      <w:pPr>
        <w:pStyle w:val="ListParagraph"/>
        <w:keepNext/>
        <w:numPr>
          <w:ilvl w:val="0"/>
          <w:numId w:val="69"/>
        </w:numPr>
        <w:rPr>
          <w:b/>
          <w:bCs/>
          <w:i/>
          <w:iCs/>
          <w:sz w:val="28"/>
          <w:szCs w:val="28"/>
        </w:rPr>
      </w:pPr>
      <w:r w:rsidRPr="00A02F7C">
        <w:rPr>
          <w:b/>
          <w:bCs/>
          <w:i/>
          <w:iCs/>
          <w:sz w:val="28"/>
          <w:szCs w:val="28"/>
        </w:rPr>
        <w:t>Likvärdighet av fältbesiktningar – utsädesodlingar i Brasilien och Moldavien</w:t>
      </w:r>
    </w:p>
    <w:p w:rsidR="00832654" w:rsidRPr="00A02F7C" w:rsidRDefault="00832654" w:rsidP="00CA0433">
      <w:pPr>
        <w:keepNext/>
        <w:rPr>
          <w:lang w:val="en-GB"/>
        </w:rPr>
      </w:pPr>
    </w:p>
    <w:p w:rsidR="00832654" w:rsidRPr="00A02F7C" w:rsidRDefault="00832654" w:rsidP="00CA0433">
      <w:pPr>
        <w:keepNext/>
        <w:tabs>
          <w:tab w:val="left" w:pos="1701"/>
        </w:tabs>
        <w:ind w:left="-5"/>
        <w:rPr>
          <w:bCs/>
        </w:rPr>
      </w:pPr>
      <w:proofErr w:type="spellStart"/>
      <w:r w:rsidRPr="00A02F7C">
        <w:rPr>
          <w:b/>
          <w:bCs/>
        </w:rPr>
        <w:t>Referens:</w:t>
      </w:r>
      <w:r w:rsidRPr="00A02F7C">
        <w:t>COM</w:t>
      </w:r>
      <w:proofErr w:type="spellEnd"/>
      <w:r w:rsidRPr="00A02F7C">
        <w:t>(2017) 643 – final 201</w:t>
      </w:r>
      <w:r w:rsidR="00A02F7C" w:rsidRPr="00A02F7C">
        <w:t>7-2</w:t>
      </w:r>
      <w:r w:rsidRPr="00A02F7C">
        <w:t>97-COD</w:t>
      </w:r>
    </w:p>
    <w:p w:rsidR="00832654" w:rsidRPr="00A02F7C" w:rsidRDefault="00832654" w:rsidP="00912024">
      <w:pPr>
        <w:tabs>
          <w:tab w:val="left" w:pos="1701"/>
        </w:tabs>
        <w:ind w:left="-5"/>
      </w:pPr>
      <w:r w:rsidRPr="00A02F7C">
        <w:tab/>
        <w:t>EESC-201</w:t>
      </w:r>
      <w:r w:rsidR="00A02F7C" w:rsidRPr="00A02F7C">
        <w:t>8-0</w:t>
      </w:r>
      <w:r w:rsidRPr="00A02F7C">
        <w:t>231</w:t>
      </w:r>
      <w:r w:rsidR="00A02F7C" w:rsidRPr="00A02F7C">
        <w:t>9-00-0</w:t>
      </w:r>
      <w:r w:rsidRPr="00A02F7C">
        <w:t>0-AC-TRA</w:t>
      </w:r>
    </w:p>
    <w:p w:rsidR="00832654" w:rsidRPr="00A02F7C" w:rsidRDefault="00832654" w:rsidP="00912024">
      <w:pPr>
        <w:ind w:left="-567"/>
        <w:rPr>
          <w:b/>
          <w:iCs/>
          <w:u w:val="single"/>
          <w:lang w:val="en-GB"/>
        </w:rPr>
      </w:pPr>
    </w:p>
    <w:p w:rsidR="00832654" w:rsidRPr="00A02F7C" w:rsidRDefault="00832654" w:rsidP="00912024">
      <w:r w:rsidRPr="00A02F7C">
        <w:t>Eftersom kommittén redan uttalat sig om det aktuella förslagets innehåll i sitt yttrande ”Likvärdighet av fältbesiktningar – utsädesodlingar i Brasilien och Moldavien”, referens: EESC-201</w:t>
      </w:r>
      <w:r w:rsidR="00A02F7C" w:rsidRPr="00A02F7C">
        <w:t>8-0</w:t>
      </w:r>
      <w:r w:rsidRPr="00A02F7C">
        <w:t>004</w:t>
      </w:r>
      <w:r w:rsidR="00A02F7C" w:rsidRPr="00A02F7C">
        <w:t>3-00-0</w:t>
      </w:r>
      <w:r w:rsidRPr="00A02F7C">
        <w:t xml:space="preserve">0-AC-TRA, antaget den 14 februari 2018, beslutade EESK att inte utarbeta något nytt yttrande i frågan utan att hänvisa till sin ståndpunkt i </w:t>
      </w:r>
      <w:r w:rsidR="00A02F7C" w:rsidRPr="00A02F7C">
        <w:t>ovan nämnda</w:t>
      </w:r>
      <w:r w:rsidRPr="00A02F7C">
        <w:t xml:space="preserve"> dokument.</w:t>
      </w:r>
    </w:p>
    <w:p w:rsidR="00832654" w:rsidRPr="00A02F7C" w:rsidRDefault="00832654" w:rsidP="00912024">
      <w:pPr>
        <w:rPr>
          <w:lang w:val="en-GB"/>
        </w:rPr>
      </w:pPr>
    </w:p>
    <w:p w:rsidR="00832654" w:rsidRPr="00A02F7C" w:rsidRDefault="00832654" w:rsidP="00912024">
      <w:pPr>
        <w:ind w:left="-567"/>
        <w:rPr>
          <w:b/>
          <w:iCs/>
          <w:u w:val="single"/>
          <w:lang w:val="en-GB"/>
        </w:rPr>
      </w:pPr>
    </w:p>
    <w:p w:rsidR="00832654" w:rsidRPr="00A02F7C" w:rsidRDefault="00832654" w:rsidP="00912024">
      <w:pPr>
        <w:tabs>
          <w:tab w:val="left" w:pos="1418"/>
        </w:tabs>
        <w:rPr>
          <w:i/>
          <w:iCs/>
        </w:rPr>
      </w:pPr>
      <w:r w:rsidRPr="00A02F7C">
        <w:rPr>
          <w:b/>
          <w:bCs/>
          <w:i/>
          <w:iCs/>
        </w:rPr>
        <w:t>Kontaktperson:</w:t>
      </w:r>
      <w:r w:rsidR="007D11C4" w:rsidRPr="00A02F7C">
        <w:rPr>
          <w:b/>
          <w:bCs/>
          <w:i/>
          <w:iCs/>
        </w:rPr>
        <w:t xml:space="preserve"> </w:t>
      </w:r>
      <w:r w:rsidRPr="00A02F7C">
        <w:rPr>
          <w:i/>
        </w:rPr>
        <w:t xml:space="preserve">Arturo </w:t>
      </w:r>
      <w:proofErr w:type="spellStart"/>
      <w:r w:rsidRPr="00A02F7C">
        <w:rPr>
          <w:i/>
        </w:rPr>
        <w:t>Íñiguez</w:t>
      </w:r>
      <w:proofErr w:type="spellEnd"/>
    </w:p>
    <w:p w:rsidR="00832654" w:rsidRPr="00A02F7C" w:rsidRDefault="00374124" w:rsidP="00912024">
      <w:pPr>
        <w:tabs>
          <w:tab w:val="left" w:pos="1418"/>
        </w:tabs>
        <w:rPr>
          <w:b/>
          <w:iCs/>
          <w:u w:val="single"/>
        </w:rPr>
      </w:pPr>
      <w:r w:rsidRPr="00A02F7C">
        <w:rPr>
          <w:i/>
          <w:iCs/>
        </w:rPr>
        <w:tab/>
        <w:t>(Tfn +32 25468768– e-post</w:t>
      </w:r>
      <w:r w:rsidRPr="00A02F7C">
        <w:rPr>
          <w:i/>
          <w:iCs/>
          <w:color w:val="0000FF"/>
          <w:u w:val="single"/>
        </w:rPr>
        <w:t xml:space="preserve"> </w:t>
      </w:r>
      <w:hyperlink r:id="rId40" w:history="1">
        <w:r w:rsidRPr="00A02F7C">
          <w:rPr>
            <w:rStyle w:val="Hyperlink"/>
            <w:i/>
            <w:iCs/>
          </w:rPr>
          <w:t>Arturo.Iniguez@eesc.europa.eu</w:t>
        </w:r>
      </w:hyperlink>
      <w:r w:rsidRPr="00A02F7C">
        <w:rPr>
          <w:i/>
          <w:iCs/>
        </w:rPr>
        <w:t>)</w:t>
      </w:r>
    </w:p>
    <w:p w:rsidR="00832654" w:rsidRPr="00A02F7C" w:rsidRDefault="00832654" w:rsidP="00912024">
      <w:pPr>
        <w:rPr>
          <w:b/>
          <w:iCs/>
          <w:u w:val="single"/>
          <w:lang w:val="en-GB"/>
        </w:rPr>
      </w:pPr>
    </w:p>
    <w:p w:rsidR="00374124" w:rsidRPr="00A02F7C" w:rsidRDefault="00374124" w:rsidP="00912024">
      <w:pPr>
        <w:jc w:val="left"/>
      </w:pPr>
      <w:r w:rsidRPr="00A02F7C">
        <w:br w:type="page"/>
      </w:r>
    </w:p>
    <w:p w:rsidR="00387229" w:rsidRPr="00A02F7C" w:rsidRDefault="00387229" w:rsidP="00912024">
      <w:pPr>
        <w:pStyle w:val="Heading1"/>
        <w:ind w:left="567" w:hanging="567"/>
        <w:rPr>
          <w:b/>
          <w:bCs/>
          <w:iCs/>
          <w:caps/>
          <w:szCs w:val="28"/>
        </w:rPr>
      </w:pPr>
      <w:bookmarkStart w:id="833" w:name="_Toc514234507"/>
      <w:bookmarkStart w:id="834" w:name="_Toc514234754"/>
      <w:bookmarkStart w:id="835" w:name="_Toc514235001"/>
      <w:bookmarkStart w:id="836" w:name="_Toc514235125"/>
      <w:bookmarkStart w:id="837" w:name="_Toc514235248"/>
      <w:bookmarkStart w:id="838" w:name="_Toc514235368"/>
      <w:bookmarkStart w:id="839" w:name="_Toc514235486"/>
      <w:bookmarkStart w:id="840" w:name="_Toc514235604"/>
      <w:bookmarkStart w:id="841" w:name="_Toc514235720"/>
      <w:bookmarkStart w:id="842" w:name="_Toc514234508"/>
      <w:bookmarkStart w:id="843" w:name="_Toc514234755"/>
      <w:bookmarkStart w:id="844" w:name="_Toc514235002"/>
      <w:bookmarkStart w:id="845" w:name="_Toc514235126"/>
      <w:bookmarkStart w:id="846" w:name="_Toc514235249"/>
      <w:bookmarkStart w:id="847" w:name="_Toc514235369"/>
      <w:bookmarkStart w:id="848" w:name="_Toc514235487"/>
      <w:bookmarkStart w:id="849" w:name="_Toc514235605"/>
      <w:bookmarkStart w:id="850" w:name="_Toc514235721"/>
      <w:bookmarkStart w:id="851" w:name="_Toc514234509"/>
      <w:bookmarkStart w:id="852" w:name="_Toc514234756"/>
      <w:bookmarkStart w:id="853" w:name="_Toc514235003"/>
      <w:bookmarkStart w:id="854" w:name="_Toc514235127"/>
      <w:bookmarkStart w:id="855" w:name="_Toc514235250"/>
      <w:bookmarkStart w:id="856" w:name="_Toc514235370"/>
      <w:bookmarkStart w:id="857" w:name="_Toc514235488"/>
      <w:bookmarkStart w:id="858" w:name="_Toc514235606"/>
      <w:bookmarkStart w:id="859" w:name="_Toc514235722"/>
      <w:bookmarkStart w:id="860" w:name="_Toc514234510"/>
      <w:bookmarkStart w:id="861" w:name="_Toc514234757"/>
      <w:bookmarkStart w:id="862" w:name="_Toc514235004"/>
      <w:bookmarkStart w:id="863" w:name="_Toc514235128"/>
      <w:bookmarkStart w:id="864" w:name="_Toc514235251"/>
      <w:bookmarkStart w:id="865" w:name="_Toc514235371"/>
      <w:bookmarkStart w:id="866" w:name="_Toc514235489"/>
      <w:bookmarkStart w:id="867" w:name="_Toc514235607"/>
      <w:bookmarkStart w:id="868" w:name="_Toc514235723"/>
      <w:bookmarkStart w:id="869" w:name="_Toc514234511"/>
      <w:bookmarkStart w:id="870" w:name="_Toc514234758"/>
      <w:bookmarkStart w:id="871" w:name="_Toc514235005"/>
      <w:bookmarkStart w:id="872" w:name="_Toc514235129"/>
      <w:bookmarkStart w:id="873" w:name="_Toc514235252"/>
      <w:bookmarkStart w:id="874" w:name="_Toc514235372"/>
      <w:bookmarkStart w:id="875" w:name="_Toc514235490"/>
      <w:bookmarkStart w:id="876" w:name="_Toc514235608"/>
      <w:bookmarkStart w:id="877" w:name="_Toc514235724"/>
      <w:bookmarkStart w:id="878" w:name="_Toc514234512"/>
      <w:bookmarkStart w:id="879" w:name="_Toc514234759"/>
      <w:bookmarkStart w:id="880" w:name="_Toc514235006"/>
      <w:bookmarkStart w:id="881" w:name="_Toc514235130"/>
      <w:bookmarkStart w:id="882" w:name="_Toc514235253"/>
      <w:bookmarkStart w:id="883" w:name="_Toc514235373"/>
      <w:bookmarkStart w:id="884" w:name="_Toc514235491"/>
      <w:bookmarkStart w:id="885" w:name="_Toc514235609"/>
      <w:bookmarkStart w:id="886" w:name="_Toc514235725"/>
      <w:bookmarkStart w:id="887" w:name="_Toc514234513"/>
      <w:bookmarkStart w:id="888" w:name="_Toc514234760"/>
      <w:bookmarkStart w:id="889" w:name="_Toc514235007"/>
      <w:bookmarkStart w:id="890" w:name="_Toc514235131"/>
      <w:bookmarkStart w:id="891" w:name="_Toc514235254"/>
      <w:bookmarkStart w:id="892" w:name="_Toc514235374"/>
      <w:bookmarkStart w:id="893" w:name="_Toc514235492"/>
      <w:bookmarkStart w:id="894" w:name="_Toc514235610"/>
      <w:bookmarkStart w:id="895" w:name="_Toc514235726"/>
      <w:bookmarkStart w:id="896" w:name="_Toc514234514"/>
      <w:bookmarkStart w:id="897" w:name="_Toc514234761"/>
      <w:bookmarkStart w:id="898" w:name="_Toc514235008"/>
      <w:bookmarkStart w:id="899" w:name="_Toc514235132"/>
      <w:bookmarkStart w:id="900" w:name="_Toc514235255"/>
      <w:bookmarkStart w:id="901" w:name="_Toc514235375"/>
      <w:bookmarkStart w:id="902" w:name="_Toc514235493"/>
      <w:bookmarkStart w:id="903" w:name="_Toc514235611"/>
      <w:bookmarkStart w:id="904" w:name="_Toc514235727"/>
      <w:bookmarkStart w:id="905" w:name="_Toc514234515"/>
      <w:bookmarkStart w:id="906" w:name="_Toc514234762"/>
      <w:bookmarkStart w:id="907" w:name="_Toc514235009"/>
      <w:bookmarkStart w:id="908" w:name="_Toc514235133"/>
      <w:bookmarkStart w:id="909" w:name="_Toc514235256"/>
      <w:bookmarkStart w:id="910" w:name="_Toc514235376"/>
      <w:bookmarkStart w:id="911" w:name="_Toc514235494"/>
      <w:bookmarkStart w:id="912" w:name="_Toc514235612"/>
      <w:bookmarkStart w:id="913" w:name="_Toc514235728"/>
      <w:bookmarkStart w:id="914" w:name="_Toc514234516"/>
      <w:bookmarkStart w:id="915" w:name="_Toc514234763"/>
      <w:bookmarkStart w:id="916" w:name="_Toc514235010"/>
      <w:bookmarkStart w:id="917" w:name="_Toc514235134"/>
      <w:bookmarkStart w:id="918" w:name="_Toc514235257"/>
      <w:bookmarkStart w:id="919" w:name="_Toc514235377"/>
      <w:bookmarkStart w:id="920" w:name="_Toc514235495"/>
      <w:bookmarkStart w:id="921" w:name="_Toc514235613"/>
      <w:bookmarkStart w:id="922" w:name="_Toc514235729"/>
      <w:bookmarkStart w:id="923" w:name="_Toc514234517"/>
      <w:bookmarkStart w:id="924" w:name="_Toc514234764"/>
      <w:bookmarkStart w:id="925" w:name="_Toc514235011"/>
      <w:bookmarkStart w:id="926" w:name="_Toc514235135"/>
      <w:bookmarkStart w:id="927" w:name="_Toc514235258"/>
      <w:bookmarkStart w:id="928" w:name="_Toc514235378"/>
      <w:bookmarkStart w:id="929" w:name="_Toc514235496"/>
      <w:bookmarkStart w:id="930" w:name="_Toc514235614"/>
      <w:bookmarkStart w:id="931" w:name="_Toc514235730"/>
      <w:bookmarkStart w:id="932" w:name="_Toc514234518"/>
      <w:bookmarkStart w:id="933" w:name="_Toc514234765"/>
      <w:bookmarkStart w:id="934" w:name="_Toc514235012"/>
      <w:bookmarkStart w:id="935" w:name="_Toc514235136"/>
      <w:bookmarkStart w:id="936" w:name="_Toc514235259"/>
      <w:bookmarkStart w:id="937" w:name="_Toc514235379"/>
      <w:bookmarkStart w:id="938" w:name="_Toc514235497"/>
      <w:bookmarkStart w:id="939" w:name="_Toc514235615"/>
      <w:bookmarkStart w:id="940" w:name="_Toc514235731"/>
      <w:bookmarkStart w:id="941" w:name="_Toc514234519"/>
      <w:bookmarkStart w:id="942" w:name="_Toc514234766"/>
      <w:bookmarkStart w:id="943" w:name="_Toc514235013"/>
      <w:bookmarkStart w:id="944" w:name="_Toc514235137"/>
      <w:bookmarkStart w:id="945" w:name="_Toc514235260"/>
      <w:bookmarkStart w:id="946" w:name="_Toc514235380"/>
      <w:bookmarkStart w:id="947" w:name="_Toc514235498"/>
      <w:bookmarkStart w:id="948" w:name="_Toc514235616"/>
      <w:bookmarkStart w:id="949" w:name="_Toc514235732"/>
      <w:bookmarkStart w:id="950" w:name="_Toc514234520"/>
      <w:bookmarkStart w:id="951" w:name="_Toc514234767"/>
      <w:bookmarkStart w:id="952" w:name="_Toc514235014"/>
      <w:bookmarkStart w:id="953" w:name="_Toc514235138"/>
      <w:bookmarkStart w:id="954" w:name="_Toc514235261"/>
      <w:bookmarkStart w:id="955" w:name="_Toc514235381"/>
      <w:bookmarkStart w:id="956" w:name="_Toc514235499"/>
      <w:bookmarkStart w:id="957" w:name="_Toc514235617"/>
      <w:bookmarkStart w:id="958" w:name="_Toc514235733"/>
      <w:bookmarkStart w:id="959" w:name="_Toc514234521"/>
      <w:bookmarkStart w:id="960" w:name="_Toc514234768"/>
      <w:bookmarkStart w:id="961" w:name="_Toc514235015"/>
      <w:bookmarkStart w:id="962" w:name="_Toc514235139"/>
      <w:bookmarkStart w:id="963" w:name="_Toc514235262"/>
      <w:bookmarkStart w:id="964" w:name="_Toc514235382"/>
      <w:bookmarkStart w:id="965" w:name="_Toc514235500"/>
      <w:bookmarkStart w:id="966" w:name="_Toc514235618"/>
      <w:bookmarkStart w:id="967" w:name="_Toc514235734"/>
      <w:bookmarkStart w:id="968" w:name="_Toc514234522"/>
      <w:bookmarkStart w:id="969" w:name="_Toc514234769"/>
      <w:bookmarkStart w:id="970" w:name="_Toc514235016"/>
      <w:bookmarkStart w:id="971" w:name="_Toc514235140"/>
      <w:bookmarkStart w:id="972" w:name="_Toc514235263"/>
      <w:bookmarkStart w:id="973" w:name="_Toc514235383"/>
      <w:bookmarkStart w:id="974" w:name="_Toc514235501"/>
      <w:bookmarkStart w:id="975" w:name="_Toc514235619"/>
      <w:bookmarkStart w:id="976" w:name="_Toc514235735"/>
      <w:bookmarkStart w:id="977" w:name="_Toc514234523"/>
      <w:bookmarkStart w:id="978" w:name="_Toc514234770"/>
      <w:bookmarkStart w:id="979" w:name="_Toc514235017"/>
      <w:bookmarkStart w:id="980" w:name="_Toc514235141"/>
      <w:bookmarkStart w:id="981" w:name="_Toc514235264"/>
      <w:bookmarkStart w:id="982" w:name="_Toc514235384"/>
      <w:bookmarkStart w:id="983" w:name="_Toc514235502"/>
      <w:bookmarkStart w:id="984" w:name="_Toc514235620"/>
      <w:bookmarkStart w:id="985" w:name="_Toc514235736"/>
      <w:bookmarkStart w:id="986" w:name="_Toc514234524"/>
      <w:bookmarkStart w:id="987" w:name="_Toc514234771"/>
      <w:bookmarkStart w:id="988" w:name="_Toc514235018"/>
      <w:bookmarkStart w:id="989" w:name="_Toc514235142"/>
      <w:bookmarkStart w:id="990" w:name="_Toc514235265"/>
      <w:bookmarkStart w:id="991" w:name="_Toc514235385"/>
      <w:bookmarkStart w:id="992" w:name="_Toc514235503"/>
      <w:bookmarkStart w:id="993" w:name="_Toc514235621"/>
      <w:bookmarkStart w:id="994" w:name="_Toc514235737"/>
      <w:bookmarkStart w:id="995" w:name="_Toc523126586"/>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sidRPr="00A02F7C">
        <w:rPr>
          <w:b/>
          <w:bCs/>
          <w:iCs/>
          <w:caps/>
          <w:szCs w:val="28"/>
        </w:rPr>
        <w:lastRenderedPageBreak/>
        <w:t>Sysselsättning, sociala frågor och medborgarna</w:t>
      </w:r>
      <w:bookmarkEnd w:id="995"/>
    </w:p>
    <w:p w:rsidR="009A288E" w:rsidRPr="00A02F7C" w:rsidRDefault="009A288E" w:rsidP="00912024">
      <w:pPr>
        <w:ind w:left="-567"/>
        <w:rPr>
          <w:b/>
          <w:iCs/>
          <w:u w:val="single"/>
          <w:lang w:val="fr-FR"/>
        </w:rPr>
      </w:pPr>
    </w:p>
    <w:p w:rsidR="009A288E" w:rsidRPr="00A02F7C" w:rsidRDefault="009A288E" w:rsidP="00912024">
      <w:pPr>
        <w:numPr>
          <w:ilvl w:val="0"/>
          <w:numId w:val="4"/>
        </w:numPr>
        <w:overflowPunct w:val="0"/>
        <w:autoSpaceDE w:val="0"/>
        <w:autoSpaceDN w:val="0"/>
        <w:adjustRightInd w:val="0"/>
        <w:textAlignment w:val="baseline"/>
        <w:rPr>
          <w:b/>
          <w:bCs/>
          <w:i/>
          <w:iCs/>
          <w:sz w:val="28"/>
          <w:szCs w:val="28"/>
        </w:rPr>
      </w:pPr>
      <w:r w:rsidRPr="00A02F7C">
        <w:rPr>
          <w:b/>
          <w:bCs/>
          <w:i/>
          <w:iCs/>
          <w:sz w:val="28"/>
          <w:szCs w:val="28"/>
        </w:rPr>
        <w:t>Genomförandet av omställningar i en digitaliserad arbetsmiljö</w:t>
      </w:r>
    </w:p>
    <w:p w:rsidR="009A288E" w:rsidRPr="00A02F7C" w:rsidRDefault="009A288E" w:rsidP="00912024">
      <w:pPr>
        <w:ind w:left="-567" w:firstLine="17"/>
        <w:rPr>
          <w:lang w:val="fr-BE"/>
        </w:rPr>
      </w:pPr>
    </w:p>
    <w:p w:rsidR="009A288E" w:rsidRPr="00A02F7C" w:rsidRDefault="009A288E" w:rsidP="00912024">
      <w:pPr>
        <w:tabs>
          <w:tab w:val="left" w:pos="1701"/>
        </w:tabs>
      </w:pPr>
      <w:r w:rsidRPr="00A02F7C">
        <w:rPr>
          <w:b/>
        </w:rPr>
        <w:t>Föredragande:</w:t>
      </w:r>
      <w:r w:rsidRPr="00A02F7C">
        <w:t xml:space="preserve"> </w:t>
      </w:r>
      <w:r w:rsidRPr="00A02F7C">
        <w:tab/>
      </w:r>
      <w:r w:rsidR="007D11C4" w:rsidRPr="00A02F7C">
        <w:tab/>
      </w:r>
      <w:proofErr w:type="spellStart"/>
      <w:r w:rsidRPr="00A02F7C">
        <w:t>Franca</w:t>
      </w:r>
      <w:proofErr w:type="spellEnd"/>
      <w:r w:rsidRPr="00A02F7C">
        <w:t xml:space="preserve"> Salis-</w:t>
      </w:r>
      <w:proofErr w:type="spellStart"/>
      <w:r w:rsidRPr="00A02F7C">
        <w:t>Madinier</w:t>
      </w:r>
      <w:proofErr w:type="spellEnd"/>
      <w:r w:rsidRPr="00A02F7C">
        <w:t xml:space="preserve"> (Arbetstagargruppen – FR)</w:t>
      </w:r>
    </w:p>
    <w:p w:rsidR="009A288E" w:rsidRPr="00A02F7C" w:rsidRDefault="009A288E" w:rsidP="00912024">
      <w:pPr>
        <w:tabs>
          <w:tab w:val="left" w:pos="1701"/>
        </w:tabs>
      </w:pPr>
      <w:r w:rsidRPr="00A02F7C">
        <w:rPr>
          <w:b/>
        </w:rPr>
        <w:t>Medföredragande:</w:t>
      </w:r>
      <w:r w:rsidR="007D11C4" w:rsidRPr="00A02F7C">
        <w:rPr>
          <w:b/>
        </w:rPr>
        <w:t xml:space="preserve"> </w:t>
      </w:r>
      <w:r w:rsidR="007D11C4" w:rsidRPr="00A02F7C">
        <w:rPr>
          <w:b/>
        </w:rPr>
        <w:tab/>
      </w:r>
      <w:r w:rsidRPr="00A02F7C">
        <w:t xml:space="preserve">Ulrich </w:t>
      </w:r>
      <w:proofErr w:type="spellStart"/>
      <w:r w:rsidRPr="00A02F7C">
        <w:t>Samm</w:t>
      </w:r>
      <w:proofErr w:type="spellEnd"/>
      <w:r w:rsidRPr="00A02F7C">
        <w:t xml:space="preserve"> (Arbetsgivargruppen – DE)</w:t>
      </w:r>
    </w:p>
    <w:p w:rsidR="009A288E" w:rsidRPr="00A02F7C" w:rsidRDefault="009A288E" w:rsidP="00912024">
      <w:pPr>
        <w:tabs>
          <w:tab w:val="left" w:pos="1701"/>
        </w:tabs>
        <w:ind w:left="-5"/>
        <w:rPr>
          <w:b/>
          <w:bCs/>
        </w:rPr>
      </w:pPr>
    </w:p>
    <w:p w:rsidR="004B4C64" w:rsidRPr="00A02F7C" w:rsidRDefault="009A288E" w:rsidP="00912024">
      <w:pPr>
        <w:tabs>
          <w:tab w:val="left" w:pos="1701"/>
        </w:tabs>
        <w:ind w:left="-5"/>
        <w:rPr>
          <w:b/>
          <w:bCs/>
        </w:rPr>
      </w:pPr>
      <w:r w:rsidRPr="00A02F7C">
        <w:rPr>
          <w:b/>
          <w:bCs/>
        </w:rPr>
        <w:t>Referens:</w:t>
      </w:r>
      <w:r w:rsidR="007D11C4" w:rsidRPr="00A02F7C">
        <w:rPr>
          <w:b/>
          <w:bCs/>
        </w:rPr>
        <w:tab/>
      </w:r>
      <w:r w:rsidRPr="00A02F7C">
        <w:t>Förberedande yttrande på begäran av det österrikiska ordförandeskapet</w:t>
      </w:r>
    </w:p>
    <w:p w:rsidR="009A288E" w:rsidRPr="00A02F7C" w:rsidRDefault="004B4C64" w:rsidP="00912024">
      <w:pPr>
        <w:tabs>
          <w:tab w:val="left" w:pos="1701"/>
        </w:tabs>
        <w:ind w:left="-5"/>
      </w:pPr>
      <w:r w:rsidRPr="00A02F7C">
        <w:rPr>
          <w:b/>
          <w:bCs/>
        </w:rPr>
        <w:tab/>
      </w:r>
      <w:r w:rsidRPr="00A02F7C">
        <w:t>EESC-201</w:t>
      </w:r>
      <w:r w:rsidR="00A02F7C" w:rsidRPr="00A02F7C">
        <w:t>8-0</w:t>
      </w:r>
      <w:r w:rsidRPr="00A02F7C">
        <w:t>173</w:t>
      </w:r>
      <w:r w:rsidR="00A02F7C" w:rsidRPr="00A02F7C">
        <w:t>0-00-0</w:t>
      </w:r>
      <w:r w:rsidRPr="00A02F7C">
        <w:t>0-AC-TRA</w:t>
      </w:r>
    </w:p>
    <w:p w:rsidR="009A288E" w:rsidRPr="00A02F7C" w:rsidRDefault="009A288E" w:rsidP="00912024">
      <w:pPr>
        <w:tabs>
          <w:tab w:val="left" w:pos="0"/>
        </w:tabs>
        <w:ind w:left="364" w:hanging="369"/>
      </w:pPr>
    </w:p>
    <w:p w:rsidR="000F3050" w:rsidRPr="00A02F7C" w:rsidRDefault="009A288E" w:rsidP="00912024">
      <w:pPr>
        <w:ind w:left="-5"/>
        <w:rPr>
          <w:b/>
        </w:rPr>
      </w:pPr>
      <w:r w:rsidRPr="00A02F7C">
        <w:rPr>
          <w:b/>
        </w:rPr>
        <w:t>Huvudpunkter:</w:t>
      </w:r>
    </w:p>
    <w:p w:rsidR="009A288E" w:rsidRPr="00A02F7C" w:rsidRDefault="009A288E" w:rsidP="00912024"/>
    <w:p w:rsidR="009A288E" w:rsidRPr="00A02F7C" w:rsidRDefault="009A288E" w:rsidP="00912024">
      <w:proofErr w:type="spellStart"/>
      <w:r w:rsidRPr="00A02F7C">
        <w:t>EESK:s</w:t>
      </w:r>
      <w:proofErr w:type="spellEnd"/>
      <w:r w:rsidRPr="00A02F7C">
        <w:t xml:space="preserve"> ståndpunkt:</w:t>
      </w:r>
    </w:p>
    <w:p w:rsidR="009A288E" w:rsidRPr="00A02F7C" w:rsidRDefault="009A288E" w:rsidP="00912024">
      <w:pPr>
        <w:numPr>
          <w:ilvl w:val="0"/>
          <w:numId w:val="40"/>
        </w:numPr>
        <w:overflowPunct w:val="0"/>
        <w:autoSpaceDE w:val="0"/>
        <w:autoSpaceDN w:val="0"/>
        <w:adjustRightInd w:val="0"/>
        <w:textAlignment w:val="baseline"/>
      </w:pPr>
      <w:r w:rsidRPr="00A02F7C">
        <w:t>Vi stöder en rättvis digital övergång förankrad i respekten för EU:s värderingar om att främja full sysselsättning, sociala framsteg, en hög skyddsnivå och minskad fattigdom och ojämlikhet.</w:t>
      </w:r>
    </w:p>
    <w:p w:rsidR="009A288E" w:rsidRPr="00A02F7C" w:rsidRDefault="009A288E" w:rsidP="00912024">
      <w:pPr>
        <w:numPr>
          <w:ilvl w:val="0"/>
          <w:numId w:val="40"/>
        </w:numPr>
        <w:overflowPunct w:val="0"/>
        <w:autoSpaceDE w:val="0"/>
        <w:autoSpaceDN w:val="0"/>
        <w:adjustRightInd w:val="0"/>
        <w:textAlignment w:val="baseline"/>
      </w:pPr>
      <w:r w:rsidRPr="00A02F7C">
        <w:t>EESK vill att de enorma möjligheter som den nya tekniken erbjuder ska komma alla till del: arbetstagare, medborgare och företag. I denna övergång får det inte finnas några förlorare. Politiken bör i första hand inriktas på att stärka den individuella utvecklingen, i syfte att utrusta alla medborgare med goda färdigheter.</w:t>
      </w:r>
    </w:p>
    <w:p w:rsidR="009A288E" w:rsidRPr="00A02F7C" w:rsidRDefault="009A288E" w:rsidP="00912024">
      <w:pPr>
        <w:numPr>
          <w:ilvl w:val="0"/>
          <w:numId w:val="40"/>
        </w:numPr>
        <w:overflowPunct w:val="0"/>
        <w:autoSpaceDE w:val="0"/>
        <w:autoSpaceDN w:val="0"/>
        <w:adjustRightInd w:val="0"/>
        <w:textAlignment w:val="baseline"/>
      </w:pPr>
      <w:r w:rsidRPr="00A02F7C">
        <w:t>EESK anser att en höjning av de europeiska arbetstagarnas kompetens är en prioriterad fråga, särskilt för arbetstagare vars låga kvalifikationer och föråldrade kompetens gör att de inte kan ta nya jobb eller jobb som kommer att ändras på grund av tekniken.</w:t>
      </w:r>
    </w:p>
    <w:p w:rsidR="009A288E" w:rsidRPr="00A02F7C" w:rsidRDefault="009A288E" w:rsidP="00912024">
      <w:pPr>
        <w:numPr>
          <w:ilvl w:val="0"/>
          <w:numId w:val="40"/>
        </w:numPr>
        <w:overflowPunct w:val="0"/>
        <w:autoSpaceDE w:val="0"/>
        <w:autoSpaceDN w:val="0"/>
        <w:adjustRightInd w:val="0"/>
        <w:textAlignment w:val="baseline"/>
      </w:pPr>
      <w:r w:rsidRPr="00A02F7C">
        <w:t>Ytterligare resurser finns i produktivitetsvinster och omfördelning i värdekedjan. EESK rekommenderar att den sociala dialogen kring fördelningen av mervärdet organiseras på sektors- och företagsnivå, där man kan komma överens om användningen.</w:t>
      </w:r>
    </w:p>
    <w:p w:rsidR="009A288E" w:rsidRPr="00A02F7C" w:rsidRDefault="009A288E" w:rsidP="00912024">
      <w:pPr>
        <w:numPr>
          <w:ilvl w:val="0"/>
          <w:numId w:val="40"/>
        </w:numPr>
        <w:overflowPunct w:val="0"/>
        <w:autoSpaceDE w:val="0"/>
        <w:autoSpaceDN w:val="0"/>
        <w:adjustRightInd w:val="0"/>
        <w:textAlignment w:val="baseline"/>
      </w:pPr>
      <w:r w:rsidRPr="00A02F7C">
        <w:t>Angående artificiell intelligens (AI) betonar EESK att bristen på insyn i hur algoritmer fungerar, och hur de fattar beslut som inte omfattas av mänsklig kontroll, ställer EU inför enorma utmaningar och väcker grundläggande frågor om vilket slags samhälle vi vill leva i. En strategi som går ut på att människan har kontroll över maskinen är grundläggande.</w:t>
      </w:r>
    </w:p>
    <w:p w:rsidR="009A288E" w:rsidRPr="00A02F7C" w:rsidRDefault="009A288E" w:rsidP="00912024">
      <w:pPr>
        <w:numPr>
          <w:ilvl w:val="0"/>
          <w:numId w:val="40"/>
        </w:numPr>
        <w:overflowPunct w:val="0"/>
        <w:autoSpaceDE w:val="0"/>
        <w:autoSpaceDN w:val="0"/>
        <w:adjustRightInd w:val="0"/>
        <w:textAlignment w:val="baseline"/>
      </w:pPr>
      <w:r w:rsidRPr="00A02F7C">
        <w:t>EESK stöder en universell strategisk ram för artificiell intelligens som ger EU en konkurrensfördel och uppmuntrar till en socialt ansvarsfull utveckling av artificiell intelligens som tjänar det allmänna bästa.</w:t>
      </w:r>
    </w:p>
    <w:p w:rsidR="009A288E" w:rsidRPr="00A02F7C" w:rsidRDefault="009A288E" w:rsidP="00912024">
      <w:pPr>
        <w:numPr>
          <w:ilvl w:val="0"/>
          <w:numId w:val="40"/>
        </w:numPr>
        <w:overflowPunct w:val="0"/>
        <w:autoSpaceDE w:val="0"/>
        <w:autoSpaceDN w:val="0"/>
        <w:adjustRightInd w:val="0"/>
        <w:textAlignment w:val="baseline"/>
      </w:pPr>
      <w:r w:rsidRPr="00A02F7C">
        <w:t xml:space="preserve">Kommittén betonar att EU bör stödja det nya forskningsområdet kognitiv ergonomi, som syftar till att anta åtgärder som </w:t>
      </w:r>
      <w:r w:rsidR="00A02F7C" w:rsidRPr="00A02F7C">
        <w:t>stöder</w:t>
      </w:r>
      <w:r w:rsidRPr="00A02F7C">
        <w:t xml:space="preserve"> en användning av smar</w:t>
      </w:r>
      <w:r w:rsidR="007D11C4" w:rsidRPr="00A02F7C">
        <w:t>t teknik som sätter människan i </w:t>
      </w:r>
      <w:r w:rsidRPr="00A02F7C">
        <w:t>centrum.</w:t>
      </w:r>
    </w:p>
    <w:p w:rsidR="009A288E" w:rsidRPr="00A02F7C" w:rsidRDefault="009A288E" w:rsidP="00912024"/>
    <w:p w:rsidR="009A288E" w:rsidRPr="00A02F7C" w:rsidRDefault="009A288E" w:rsidP="00912024">
      <w:pPr>
        <w:tabs>
          <w:tab w:val="left" w:pos="1418"/>
        </w:tabs>
        <w:rPr>
          <w:rStyle w:val="normal--char"/>
          <w:i/>
          <w:iCs/>
        </w:rPr>
      </w:pPr>
      <w:r w:rsidRPr="00A02F7C">
        <w:rPr>
          <w:rStyle w:val="normal--char"/>
          <w:b/>
          <w:bCs/>
          <w:i/>
          <w:iCs/>
        </w:rPr>
        <w:t>Kontaktperson:</w:t>
      </w:r>
      <w:r w:rsidR="007D11C4" w:rsidRPr="00A02F7C">
        <w:rPr>
          <w:rStyle w:val="normal--char"/>
          <w:b/>
          <w:bCs/>
          <w:i/>
          <w:iCs/>
        </w:rPr>
        <w:t xml:space="preserve"> </w:t>
      </w:r>
      <w:proofErr w:type="spellStart"/>
      <w:r w:rsidRPr="00A02F7C">
        <w:rPr>
          <w:rStyle w:val="normal--char"/>
          <w:bCs/>
          <w:i/>
          <w:iCs/>
        </w:rPr>
        <w:t>Triin</w:t>
      </w:r>
      <w:proofErr w:type="spellEnd"/>
      <w:r w:rsidRPr="00A02F7C">
        <w:rPr>
          <w:rStyle w:val="normal--char"/>
          <w:bCs/>
          <w:i/>
          <w:iCs/>
        </w:rPr>
        <w:t xml:space="preserve"> </w:t>
      </w:r>
      <w:proofErr w:type="spellStart"/>
      <w:r w:rsidRPr="00A02F7C">
        <w:rPr>
          <w:rStyle w:val="normal--char"/>
          <w:bCs/>
          <w:i/>
          <w:iCs/>
        </w:rPr>
        <w:t>Aasmaa</w:t>
      </w:r>
      <w:proofErr w:type="spellEnd"/>
    </w:p>
    <w:p w:rsidR="009A288E" w:rsidRPr="00A02F7C" w:rsidRDefault="00374124" w:rsidP="00912024">
      <w:pPr>
        <w:tabs>
          <w:tab w:val="left" w:pos="1418"/>
        </w:tabs>
        <w:rPr>
          <w:i/>
        </w:rPr>
      </w:pPr>
      <w:r w:rsidRPr="00A02F7C">
        <w:rPr>
          <w:i/>
        </w:rPr>
        <w:tab/>
        <w:t xml:space="preserve">(Tfn: +32 25469524 – </w:t>
      </w:r>
      <w:r w:rsidRPr="00A02F7C">
        <w:rPr>
          <w:rStyle w:val="Hyperlink"/>
          <w:i/>
        </w:rPr>
        <w:t>e-post:</w:t>
      </w:r>
      <w:r w:rsidRPr="00A02F7C">
        <w:rPr>
          <w:i/>
        </w:rPr>
        <w:t xml:space="preserve"> </w:t>
      </w:r>
      <w:hyperlink r:id="rId41" w:history="1">
        <w:r w:rsidRPr="00A02F7C">
          <w:rPr>
            <w:rStyle w:val="Hyperlink"/>
            <w:i/>
          </w:rPr>
          <w:t>triin.aasmaa@eesc.europa.eu</w:t>
        </w:r>
      </w:hyperlink>
      <w:r w:rsidRPr="00A02F7C">
        <w:rPr>
          <w:i/>
        </w:rPr>
        <w:t>)</w:t>
      </w:r>
    </w:p>
    <w:p w:rsidR="009A288E" w:rsidRPr="00A02F7C" w:rsidRDefault="009A288E" w:rsidP="00912024">
      <w:pPr>
        <w:keepNext/>
        <w:numPr>
          <w:ilvl w:val="0"/>
          <w:numId w:val="4"/>
        </w:numPr>
        <w:overflowPunct w:val="0"/>
        <w:autoSpaceDE w:val="0"/>
        <w:autoSpaceDN w:val="0"/>
        <w:adjustRightInd w:val="0"/>
        <w:ind w:left="720" w:hanging="720"/>
        <w:textAlignment w:val="baseline"/>
        <w:rPr>
          <w:sz w:val="24"/>
          <w:szCs w:val="24"/>
        </w:rPr>
      </w:pPr>
      <w:r w:rsidRPr="00A02F7C">
        <w:rPr>
          <w:b/>
          <w:bCs/>
          <w:i/>
          <w:iCs/>
          <w:sz w:val="28"/>
          <w:szCs w:val="28"/>
        </w:rPr>
        <w:lastRenderedPageBreak/>
        <w:t>Situationen för kvinnor med funktionsnedsättning</w:t>
      </w:r>
    </w:p>
    <w:p w:rsidR="009A288E" w:rsidRPr="00A02F7C" w:rsidRDefault="009A288E" w:rsidP="00912024">
      <w:pPr>
        <w:keepNext/>
        <w:tabs>
          <w:tab w:val="center" w:pos="284"/>
        </w:tabs>
        <w:ind w:left="266" w:hanging="266"/>
        <w:rPr>
          <w:b/>
          <w:lang w:val="fr-FR"/>
        </w:rPr>
      </w:pPr>
    </w:p>
    <w:p w:rsidR="009A288E" w:rsidRPr="00A02F7C" w:rsidRDefault="009A288E" w:rsidP="00CA0433">
      <w:pPr>
        <w:keepNext/>
        <w:tabs>
          <w:tab w:val="center" w:pos="284"/>
          <w:tab w:val="left" w:pos="1985"/>
        </w:tabs>
        <w:ind w:left="266" w:hanging="266"/>
      </w:pPr>
      <w:r w:rsidRPr="00A02F7C">
        <w:rPr>
          <w:b/>
        </w:rPr>
        <w:t>Föredragande:</w:t>
      </w:r>
      <w:r w:rsidRPr="00A02F7C">
        <w:tab/>
      </w:r>
      <w:proofErr w:type="spellStart"/>
      <w:r w:rsidRPr="00A02F7C">
        <w:t>Gunta</w:t>
      </w:r>
      <w:proofErr w:type="spellEnd"/>
      <w:r w:rsidRPr="00A02F7C">
        <w:t xml:space="preserve"> </w:t>
      </w:r>
      <w:proofErr w:type="spellStart"/>
      <w:r w:rsidRPr="00A02F7C">
        <w:t>Anča</w:t>
      </w:r>
      <w:proofErr w:type="spellEnd"/>
      <w:r w:rsidRPr="00A02F7C">
        <w:t xml:space="preserve"> (Mångfald Europa – LV)</w:t>
      </w:r>
    </w:p>
    <w:p w:rsidR="009A288E" w:rsidRPr="00A02F7C" w:rsidRDefault="009A288E" w:rsidP="00CA0433">
      <w:pPr>
        <w:keepNext/>
        <w:tabs>
          <w:tab w:val="center" w:pos="284"/>
          <w:tab w:val="left" w:pos="1985"/>
        </w:tabs>
        <w:ind w:left="266" w:hanging="266"/>
        <w:rPr>
          <w:b/>
          <w:lang w:val="fr-FR"/>
        </w:rPr>
      </w:pPr>
    </w:p>
    <w:p w:rsidR="009A288E" w:rsidRPr="00A02F7C" w:rsidRDefault="009A288E" w:rsidP="00CA0433">
      <w:pPr>
        <w:keepNext/>
        <w:tabs>
          <w:tab w:val="center" w:pos="284"/>
          <w:tab w:val="left" w:pos="1985"/>
        </w:tabs>
        <w:ind w:left="266" w:hanging="266"/>
      </w:pPr>
      <w:r w:rsidRPr="00A02F7C">
        <w:rPr>
          <w:b/>
        </w:rPr>
        <w:t>Referens:</w:t>
      </w:r>
      <w:r w:rsidR="007D11C4" w:rsidRPr="00A02F7C">
        <w:rPr>
          <w:b/>
        </w:rPr>
        <w:tab/>
      </w:r>
      <w:r w:rsidRPr="00A02F7C">
        <w:t xml:space="preserve">Förberedande yttrande på begäran av </w:t>
      </w:r>
      <w:r w:rsidR="00A02F7C" w:rsidRPr="00A02F7C">
        <w:t>Europaparlamentet</w:t>
      </w:r>
    </w:p>
    <w:p w:rsidR="009A288E" w:rsidRPr="00A02F7C" w:rsidRDefault="009A288E" w:rsidP="00CA0433">
      <w:pPr>
        <w:keepNext/>
        <w:tabs>
          <w:tab w:val="center" w:pos="284"/>
          <w:tab w:val="left" w:pos="1985"/>
        </w:tabs>
        <w:ind w:left="2251" w:hanging="266"/>
      </w:pPr>
      <w:r w:rsidRPr="00A02F7C">
        <w:t>EESC-201</w:t>
      </w:r>
      <w:r w:rsidR="00A02F7C" w:rsidRPr="00A02F7C">
        <w:t>8-0</w:t>
      </w:r>
      <w:r w:rsidRPr="00A02F7C">
        <w:t>163</w:t>
      </w:r>
      <w:r w:rsidR="00A02F7C" w:rsidRPr="00A02F7C">
        <w:t>9-00-0</w:t>
      </w:r>
      <w:r w:rsidRPr="00A02F7C">
        <w:t>0-AC-TRA</w:t>
      </w:r>
    </w:p>
    <w:p w:rsidR="009A288E" w:rsidRPr="00A02F7C" w:rsidRDefault="009A288E" w:rsidP="00CA0433">
      <w:pPr>
        <w:keepNext/>
        <w:tabs>
          <w:tab w:val="center" w:pos="284"/>
        </w:tabs>
        <w:ind w:left="266" w:hanging="266"/>
        <w:rPr>
          <w:lang w:val="fr-FR"/>
        </w:rPr>
      </w:pPr>
    </w:p>
    <w:p w:rsidR="009A288E" w:rsidRPr="00A02F7C" w:rsidRDefault="00374124" w:rsidP="00912024">
      <w:pPr>
        <w:rPr>
          <w:b/>
        </w:rPr>
      </w:pPr>
      <w:r w:rsidRPr="00A02F7C">
        <w:rPr>
          <w:b/>
        </w:rPr>
        <w:t>Huvudpunkter:</w:t>
      </w:r>
    </w:p>
    <w:p w:rsidR="009F40CA" w:rsidRPr="00A02F7C" w:rsidRDefault="009F40CA" w:rsidP="00912024">
      <w:pPr>
        <w:rPr>
          <w:b/>
          <w:lang w:val="fr-FR"/>
        </w:rPr>
      </w:pPr>
    </w:p>
    <w:p w:rsidR="009A288E" w:rsidRPr="00A02F7C" w:rsidRDefault="009A288E" w:rsidP="00912024">
      <w:pPr>
        <w:rPr>
          <w:szCs w:val="24"/>
        </w:rPr>
      </w:pPr>
      <w:r w:rsidRPr="00A02F7C">
        <w:t>I detta yttrande uppmanas EU, tillsammans med alla dess medlemsstater</w:t>
      </w:r>
    </w:p>
    <w:p w:rsidR="009A288E" w:rsidRPr="00A02F7C" w:rsidRDefault="009A288E" w:rsidP="00912024">
      <w:pPr>
        <w:rPr>
          <w:szCs w:val="24"/>
        </w:rPr>
      </w:pPr>
    </w:p>
    <w:p w:rsidR="009A288E" w:rsidRPr="00A02F7C" w:rsidRDefault="009A288E" w:rsidP="00912024">
      <w:pPr>
        <w:pStyle w:val="ListParagraph"/>
        <w:numPr>
          <w:ilvl w:val="0"/>
          <w:numId w:val="41"/>
        </w:numPr>
        <w:overflowPunct w:val="0"/>
        <w:autoSpaceDE w:val="0"/>
        <w:autoSpaceDN w:val="0"/>
        <w:adjustRightInd w:val="0"/>
        <w:textAlignment w:val="baseline"/>
        <w:rPr>
          <w:szCs w:val="24"/>
        </w:rPr>
      </w:pPr>
      <w:r w:rsidRPr="00A02F7C">
        <w:t>att genomföra FN:s konvention om rättigheter för personer med funktionsnedsättning</w:t>
      </w:r>
      <w:r w:rsidRPr="00A02F7C">
        <w:rPr>
          <w:vertAlign w:val="superscript"/>
        </w:rPr>
        <w:footnoteReference w:id="3"/>
      </w:r>
      <w:r w:rsidRPr="00A02F7C">
        <w:t xml:space="preserve">, de rekommendationer som EU mottog 2015 när det gäller kvinnor och flickor med funktionsnedsättning samt FN-kommitténs allmänna </w:t>
      </w:r>
      <w:r w:rsidR="00951F92" w:rsidRPr="00A02F7C">
        <w:t>kommentar nr 3 till artikel 6 i </w:t>
      </w:r>
      <w:r w:rsidRPr="00A02F7C">
        <w:t>konventionen,</w:t>
      </w:r>
    </w:p>
    <w:p w:rsidR="009A288E" w:rsidRPr="00A02F7C" w:rsidRDefault="009A288E" w:rsidP="00912024">
      <w:pPr>
        <w:rPr>
          <w:szCs w:val="24"/>
        </w:rPr>
      </w:pPr>
    </w:p>
    <w:p w:rsidR="009A288E" w:rsidRPr="00A02F7C" w:rsidRDefault="009A288E" w:rsidP="00912024">
      <w:pPr>
        <w:pStyle w:val="ListParagraph"/>
        <w:numPr>
          <w:ilvl w:val="0"/>
          <w:numId w:val="41"/>
        </w:numPr>
        <w:overflowPunct w:val="0"/>
        <w:autoSpaceDE w:val="0"/>
        <w:autoSpaceDN w:val="0"/>
        <w:adjustRightInd w:val="0"/>
        <w:textAlignment w:val="baseline"/>
        <w:rPr>
          <w:szCs w:val="24"/>
        </w:rPr>
      </w:pPr>
      <w:r w:rsidRPr="00A02F7C">
        <w:t>att ta hänsyn till personer med funktionsnedsättning i sin strategi och politik och sina program för jämställdhet, och att anlägga ett jämställdhetsperspektiv på sina strategier för personer med funktionsnedsättning, bl.a. EU:s framtida handikappstrategi 2020–2030 och den europeiska pelaren för sociala rättigheter</w:t>
      </w:r>
      <w:r w:rsidRPr="00A02F7C">
        <w:rPr>
          <w:vertAlign w:val="superscript"/>
        </w:rPr>
        <w:footnoteReference w:id="4"/>
      </w:r>
      <w:r w:rsidRPr="00A02F7C">
        <w:t>,</w:t>
      </w:r>
    </w:p>
    <w:p w:rsidR="009A288E" w:rsidRPr="00A02F7C" w:rsidRDefault="009A288E" w:rsidP="00912024">
      <w:pPr>
        <w:rPr>
          <w:szCs w:val="24"/>
        </w:rPr>
      </w:pPr>
    </w:p>
    <w:p w:rsidR="009A288E" w:rsidRPr="00A02F7C" w:rsidRDefault="009A288E" w:rsidP="00912024">
      <w:pPr>
        <w:pStyle w:val="ListParagraph"/>
        <w:numPr>
          <w:ilvl w:val="0"/>
          <w:numId w:val="41"/>
        </w:numPr>
        <w:overflowPunct w:val="0"/>
        <w:autoSpaceDE w:val="0"/>
        <w:autoSpaceDN w:val="0"/>
        <w:adjustRightInd w:val="0"/>
        <w:textAlignment w:val="baseline"/>
        <w:rPr>
          <w:szCs w:val="24"/>
        </w:rPr>
      </w:pPr>
      <w:r w:rsidRPr="00A02F7C">
        <w:t>att inrätta en strukturerad dialog med en fristående budgetpost för att garantera ett meningsfullt samråd med och deltagande av personer med funktionsnedsättning, inklusive kvinnor och flickor med funktionsnedsättning,</w:t>
      </w:r>
    </w:p>
    <w:p w:rsidR="009A288E" w:rsidRPr="00A02F7C" w:rsidRDefault="009A288E" w:rsidP="00912024">
      <w:pPr>
        <w:rPr>
          <w:szCs w:val="24"/>
        </w:rPr>
      </w:pPr>
    </w:p>
    <w:p w:rsidR="009A288E" w:rsidRPr="00A02F7C" w:rsidRDefault="009A288E" w:rsidP="00912024">
      <w:pPr>
        <w:pStyle w:val="ListParagraph"/>
        <w:numPr>
          <w:ilvl w:val="0"/>
          <w:numId w:val="41"/>
        </w:numPr>
        <w:overflowPunct w:val="0"/>
        <w:autoSpaceDE w:val="0"/>
        <w:autoSpaceDN w:val="0"/>
        <w:adjustRightInd w:val="0"/>
        <w:textAlignment w:val="baseline"/>
        <w:rPr>
          <w:szCs w:val="24"/>
        </w:rPr>
      </w:pPr>
      <w:r w:rsidRPr="00A02F7C">
        <w:t>att använda EU:s finansieringsinstrument för att främja tillgänglighet och icke-diskriminering för kvinnor och flickor med funktionsnedsättning,</w:t>
      </w:r>
    </w:p>
    <w:p w:rsidR="009A288E" w:rsidRPr="00A02F7C" w:rsidRDefault="009A288E" w:rsidP="00912024">
      <w:pPr>
        <w:rPr>
          <w:szCs w:val="24"/>
        </w:rPr>
      </w:pPr>
    </w:p>
    <w:p w:rsidR="009A288E" w:rsidRPr="00A02F7C" w:rsidRDefault="009A288E" w:rsidP="00912024">
      <w:pPr>
        <w:pStyle w:val="ListParagraph"/>
        <w:numPr>
          <w:ilvl w:val="0"/>
          <w:numId w:val="41"/>
        </w:numPr>
        <w:overflowPunct w:val="0"/>
        <w:autoSpaceDE w:val="0"/>
        <w:autoSpaceDN w:val="0"/>
        <w:adjustRightInd w:val="0"/>
        <w:textAlignment w:val="baseline"/>
        <w:rPr>
          <w:szCs w:val="24"/>
        </w:rPr>
      </w:pPr>
      <w:r w:rsidRPr="00A02F7C">
        <w:t>att ansluta sig till Europarådets konvention om förebyggande och bekämpning av våld mot kvinnor och våld i hemmet (Istanbulkonventionen),</w:t>
      </w:r>
    </w:p>
    <w:p w:rsidR="009A288E" w:rsidRPr="00A02F7C" w:rsidRDefault="009A288E" w:rsidP="00912024">
      <w:pPr>
        <w:rPr>
          <w:szCs w:val="24"/>
        </w:rPr>
      </w:pPr>
    </w:p>
    <w:p w:rsidR="009A288E" w:rsidRPr="00A02F7C" w:rsidRDefault="009A288E" w:rsidP="00912024">
      <w:pPr>
        <w:pStyle w:val="ListParagraph"/>
        <w:numPr>
          <w:ilvl w:val="0"/>
          <w:numId w:val="41"/>
        </w:numPr>
        <w:overflowPunct w:val="0"/>
        <w:autoSpaceDE w:val="0"/>
        <w:autoSpaceDN w:val="0"/>
        <w:adjustRightInd w:val="0"/>
        <w:textAlignment w:val="baseline"/>
        <w:rPr>
          <w:szCs w:val="24"/>
        </w:rPr>
      </w:pPr>
      <w:r w:rsidRPr="00A02F7C">
        <w:t>att vidta alla åtgärder som krävs för att se till att kvinnor och flickor med funktionsnedsättning har lika tillgång till särskilda hälso- och sjukvårdstjänster för personer med funktionsnedsättning, samt till allmänna tjänster</w:t>
      </w:r>
      <w:r w:rsidRPr="00A02F7C">
        <w:rPr>
          <w:vertAlign w:val="superscript"/>
        </w:rPr>
        <w:footnoteReference w:id="5"/>
      </w:r>
      <w:r w:rsidRPr="00A02F7C">
        <w:t>.</w:t>
      </w:r>
    </w:p>
    <w:p w:rsidR="009A288E" w:rsidRPr="00A02F7C" w:rsidRDefault="009A288E" w:rsidP="00912024">
      <w:pPr>
        <w:rPr>
          <w:szCs w:val="24"/>
          <w:lang w:val="fr-FR"/>
        </w:rPr>
      </w:pPr>
    </w:p>
    <w:p w:rsidR="009A288E" w:rsidRPr="00A02F7C" w:rsidRDefault="009A288E" w:rsidP="00912024">
      <w:pPr>
        <w:tabs>
          <w:tab w:val="left" w:pos="1418"/>
        </w:tabs>
        <w:rPr>
          <w:i/>
        </w:rPr>
      </w:pPr>
      <w:r w:rsidRPr="00A02F7C">
        <w:rPr>
          <w:b/>
          <w:i/>
        </w:rPr>
        <w:t>Kontaktperson</w:t>
      </w:r>
      <w:r w:rsidRPr="00A02F7C">
        <w:t>:</w:t>
      </w:r>
      <w:r w:rsidRPr="00A02F7C">
        <w:tab/>
      </w:r>
      <w:r w:rsidR="00951F92" w:rsidRPr="00A02F7C">
        <w:t xml:space="preserve"> </w:t>
      </w:r>
      <w:r w:rsidRPr="00A02F7C">
        <w:rPr>
          <w:i/>
        </w:rPr>
        <w:t xml:space="preserve">Valeria </w:t>
      </w:r>
      <w:proofErr w:type="spellStart"/>
      <w:r w:rsidRPr="00A02F7C">
        <w:rPr>
          <w:i/>
        </w:rPr>
        <w:t>Atzori</w:t>
      </w:r>
      <w:proofErr w:type="spellEnd"/>
    </w:p>
    <w:p w:rsidR="009A288E" w:rsidRPr="00A02F7C" w:rsidRDefault="00721D96" w:rsidP="00912024">
      <w:pPr>
        <w:tabs>
          <w:tab w:val="left" w:pos="1418"/>
        </w:tabs>
        <w:rPr>
          <w:i/>
        </w:rPr>
      </w:pPr>
      <w:r w:rsidRPr="00A02F7C">
        <w:rPr>
          <w:i/>
        </w:rPr>
        <w:tab/>
        <w:t xml:space="preserve">(Tfn: 32 25468774– e-post: </w:t>
      </w:r>
      <w:hyperlink r:id="rId42" w:history="1">
        <w:r w:rsidRPr="00A02F7C">
          <w:rPr>
            <w:rStyle w:val="Hyperlink"/>
            <w:i/>
          </w:rPr>
          <w:t>valeria.atzori@eesc.europa.eu</w:t>
        </w:r>
      </w:hyperlink>
      <w:r w:rsidRPr="00A02F7C">
        <w:rPr>
          <w:i/>
        </w:rPr>
        <w:t>)</w:t>
      </w:r>
    </w:p>
    <w:p w:rsidR="009F40CA" w:rsidRPr="00A02F7C" w:rsidRDefault="009F40CA" w:rsidP="00912024">
      <w:pPr>
        <w:rPr>
          <w:b/>
          <w:u w:val="single"/>
          <w:lang w:val="fr-FR"/>
        </w:rPr>
      </w:pPr>
    </w:p>
    <w:p w:rsidR="009A288E" w:rsidRPr="00A02F7C" w:rsidRDefault="009A288E" w:rsidP="00CA0433">
      <w:pPr>
        <w:pStyle w:val="ListParagraph"/>
        <w:keepNext/>
        <w:numPr>
          <w:ilvl w:val="0"/>
          <w:numId w:val="72"/>
        </w:numPr>
        <w:overflowPunct w:val="0"/>
        <w:autoSpaceDE w:val="0"/>
        <w:autoSpaceDN w:val="0"/>
        <w:adjustRightInd w:val="0"/>
        <w:textAlignment w:val="baseline"/>
        <w:rPr>
          <w:i/>
          <w:sz w:val="28"/>
          <w:szCs w:val="28"/>
        </w:rPr>
      </w:pPr>
      <w:r w:rsidRPr="00A02F7C">
        <w:rPr>
          <w:b/>
          <w:bCs/>
          <w:i/>
          <w:sz w:val="28"/>
          <w:szCs w:val="28"/>
        </w:rPr>
        <w:lastRenderedPageBreak/>
        <w:t>Säkrare identitetskort för unionsmedborgare och uppehållshandlingar</w:t>
      </w:r>
    </w:p>
    <w:p w:rsidR="009A288E" w:rsidRPr="00A02F7C" w:rsidRDefault="009A288E" w:rsidP="00CA0433">
      <w:pPr>
        <w:keepNext/>
        <w:tabs>
          <w:tab w:val="center" w:pos="284"/>
        </w:tabs>
        <w:ind w:left="266" w:hanging="266"/>
        <w:rPr>
          <w:b/>
          <w:lang w:val="fr-FR"/>
        </w:rPr>
      </w:pPr>
    </w:p>
    <w:p w:rsidR="009A288E" w:rsidRPr="00A02F7C" w:rsidRDefault="00FE5651" w:rsidP="00CA0433">
      <w:pPr>
        <w:keepNext/>
        <w:tabs>
          <w:tab w:val="center" w:pos="284"/>
          <w:tab w:val="left" w:pos="1985"/>
        </w:tabs>
        <w:ind w:left="266" w:hanging="266"/>
      </w:pPr>
      <w:r w:rsidRPr="00A02F7C">
        <w:rPr>
          <w:b/>
        </w:rPr>
        <w:t>Huvudföredragande:</w:t>
      </w:r>
      <w:r w:rsidRPr="00A02F7C">
        <w:tab/>
        <w:t xml:space="preserve">Jorge </w:t>
      </w:r>
      <w:proofErr w:type="spellStart"/>
      <w:r w:rsidRPr="00A02F7C">
        <w:t>Pegado</w:t>
      </w:r>
      <w:proofErr w:type="spellEnd"/>
      <w:r w:rsidRPr="00A02F7C">
        <w:t xml:space="preserve"> Liz (Mångfald Europa – PT)</w:t>
      </w:r>
    </w:p>
    <w:p w:rsidR="009A288E" w:rsidRPr="00A02F7C" w:rsidRDefault="009A288E" w:rsidP="00CA0433">
      <w:pPr>
        <w:keepNext/>
        <w:tabs>
          <w:tab w:val="center" w:pos="284"/>
          <w:tab w:val="left" w:pos="1985"/>
        </w:tabs>
        <w:ind w:left="266" w:hanging="266"/>
        <w:rPr>
          <w:b/>
          <w:lang w:val="fr-FR"/>
        </w:rPr>
      </w:pPr>
    </w:p>
    <w:p w:rsidR="009A288E" w:rsidRPr="00A02F7C" w:rsidRDefault="009A288E" w:rsidP="00CA0433">
      <w:pPr>
        <w:keepNext/>
        <w:tabs>
          <w:tab w:val="center" w:pos="284"/>
          <w:tab w:val="left" w:pos="1985"/>
        </w:tabs>
        <w:ind w:left="266" w:hanging="266"/>
      </w:pPr>
      <w:r w:rsidRPr="00A02F7C">
        <w:rPr>
          <w:b/>
        </w:rPr>
        <w:t>Referens:</w:t>
      </w:r>
      <w:r w:rsidR="00CF0587" w:rsidRPr="00A02F7C">
        <w:rPr>
          <w:b/>
        </w:rPr>
        <w:tab/>
      </w:r>
      <w:r w:rsidRPr="00A02F7C">
        <w:t>COM(2018) 212 final – 2018/0104/COD</w:t>
      </w:r>
    </w:p>
    <w:p w:rsidR="009A288E" w:rsidRPr="00A02F7C" w:rsidRDefault="009A288E" w:rsidP="00CA0433">
      <w:pPr>
        <w:keepNext/>
        <w:tabs>
          <w:tab w:val="center" w:pos="284"/>
          <w:tab w:val="left" w:pos="1985"/>
        </w:tabs>
        <w:ind w:left="2251" w:hanging="266"/>
      </w:pPr>
      <w:r w:rsidRPr="00A02F7C">
        <w:t>EESC-201</w:t>
      </w:r>
      <w:r w:rsidR="00A02F7C" w:rsidRPr="00A02F7C">
        <w:t>8-0</w:t>
      </w:r>
      <w:r w:rsidRPr="00A02F7C">
        <w:t>298</w:t>
      </w:r>
      <w:r w:rsidR="00A02F7C" w:rsidRPr="00A02F7C">
        <w:t>6-00-0</w:t>
      </w:r>
      <w:r w:rsidRPr="00A02F7C">
        <w:t>0-AC-TRA</w:t>
      </w:r>
    </w:p>
    <w:p w:rsidR="009A288E" w:rsidRPr="00A02F7C" w:rsidRDefault="009A288E" w:rsidP="00CA0433">
      <w:pPr>
        <w:keepNext/>
        <w:tabs>
          <w:tab w:val="center" w:pos="284"/>
        </w:tabs>
        <w:ind w:left="266" w:hanging="266"/>
        <w:rPr>
          <w:lang w:val="fr-FR"/>
        </w:rPr>
      </w:pPr>
    </w:p>
    <w:p w:rsidR="009A288E" w:rsidRPr="00A02F7C" w:rsidRDefault="009941C8" w:rsidP="00912024">
      <w:pPr>
        <w:keepNext/>
        <w:keepLines/>
        <w:tabs>
          <w:tab w:val="center" w:pos="284"/>
        </w:tabs>
        <w:ind w:left="266" w:hanging="266"/>
        <w:rPr>
          <w:b/>
        </w:rPr>
      </w:pPr>
      <w:r w:rsidRPr="00A02F7C">
        <w:rPr>
          <w:b/>
        </w:rPr>
        <w:t>Huvudpunkter:</w:t>
      </w:r>
    </w:p>
    <w:p w:rsidR="009F40CA" w:rsidRPr="00A02F7C" w:rsidRDefault="009F40CA" w:rsidP="00912024">
      <w:pPr>
        <w:keepLines/>
        <w:rPr>
          <w:lang w:val="fr-FR"/>
        </w:rPr>
      </w:pPr>
    </w:p>
    <w:p w:rsidR="009A288E" w:rsidRPr="00A02F7C" w:rsidRDefault="009A288E" w:rsidP="00912024">
      <w:pPr>
        <w:keepLines/>
      </w:pPr>
      <w:r w:rsidRPr="00A02F7C">
        <w:t>EESK synpunkter:</w:t>
      </w:r>
    </w:p>
    <w:p w:rsidR="009A288E" w:rsidRPr="00A02F7C" w:rsidRDefault="009A288E" w:rsidP="00912024">
      <w:pPr>
        <w:keepLines/>
        <w:rPr>
          <w:lang w:val="fr-FR"/>
        </w:rPr>
      </w:pPr>
    </w:p>
    <w:p w:rsidR="009A288E" w:rsidRPr="00A02F7C" w:rsidRDefault="009A288E" w:rsidP="00912024">
      <w:pPr>
        <w:numPr>
          <w:ilvl w:val="0"/>
          <w:numId w:val="42"/>
        </w:numPr>
        <w:contextualSpacing/>
      </w:pPr>
      <w:r w:rsidRPr="00A02F7C">
        <w:t>EESK ser mycket positivt på det initiativ som här granskas eftersom kommittén anser att det är både nödvändigt och angeläget. Den godtar den rättsliga grund som har valts då den passar förslagets begränsade omfång, liksom valet av lagstiftningsinstrument, och slår fast att förslaget respekterar subsidiaritets- och proportionalitetsprinciperna såväl som de grundläggande rättigheterna.</w:t>
      </w:r>
    </w:p>
    <w:p w:rsidR="009A288E" w:rsidRPr="00A02F7C" w:rsidRDefault="009A288E" w:rsidP="00912024">
      <w:pPr>
        <w:rPr>
          <w:lang w:val="fr-FR"/>
        </w:rPr>
      </w:pPr>
    </w:p>
    <w:p w:rsidR="009A288E" w:rsidRPr="00A02F7C" w:rsidRDefault="009A288E" w:rsidP="00912024">
      <w:pPr>
        <w:numPr>
          <w:ilvl w:val="0"/>
          <w:numId w:val="42"/>
        </w:numPr>
        <w:contextualSpacing/>
      </w:pPr>
      <w:r w:rsidRPr="00A02F7C">
        <w:t>Kommittén håller med om att handlingen måste innehålla en ansiktsbild av och två fingeravtryck från innehavaren, vilka ska registreras i driftskompatibla format, och instämmer i kraven på att de biometriska uppgifterna måste separeras från alla andra uppgifter som kan lagras på kortet.</w:t>
      </w:r>
    </w:p>
    <w:p w:rsidR="009A288E" w:rsidRPr="00A02F7C" w:rsidRDefault="009A288E" w:rsidP="00912024">
      <w:pPr>
        <w:ind w:left="780"/>
        <w:contextualSpacing/>
        <w:rPr>
          <w:lang w:val="fr-FR"/>
        </w:rPr>
      </w:pPr>
    </w:p>
    <w:p w:rsidR="009A288E" w:rsidRPr="00A02F7C" w:rsidRDefault="009A288E" w:rsidP="00912024">
      <w:pPr>
        <w:numPr>
          <w:ilvl w:val="0"/>
          <w:numId w:val="42"/>
        </w:numPr>
        <w:contextualSpacing/>
      </w:pPr>
      <w:r w:rsidRPr="00A02F7C">
        <w:t>EESK anser att kommissionen inte ger en tillfredsställande motivering till valet av lagstiftning och att den inte heller förklarar skälen till varför den inte har lagt fram ett förslag som baseras på en mer harmoniserad lagstiftning, så att ett enda system för identitetshandlingar verkligen inrättas.</w:t>
      </w:r>
    </w:p>
    <w:p w:rsidR="009A288E" w:rsidRPr="00A02F7C" w:rsidRDefault="009A288E" w:rsidP="00912024">
      <w:pPr>
        <w:ind w:left="780"/>
        <w:contextualSpacing/>
        <w:rPr>
          <w:lang w:val="fr-FR"/>
        </w:rPr>
      </w:pPr>
    </w:p>
    <w:p w:rsidR="009A288E" w:rsidRPr="00A02F7C" w:rsidRDefault="009A288E" w:rsidP="00912024">
      <w:pPr>
        <w:numPr>
          <w:ilvl w:val="0"/>
          <w:numId w:val="42"/>
        </w:numPr>
        <w:contextualSpacing/>
      </w:pPr>
      <w:r w:rsidRPr="00A02F7C">
        <w:t>EESK hade velat se att kommissionen undersökte möjligheten att skapa ett europeiskt identitetskort som skulle vara ett rösträttsbevis för EU-medborgarna, men för detta skulle det krävas en annan rättslig grund.</w:t>
      </w:r>
    </w:p>
    <w:p w:rsidR="009A288E" w:rsidRPr="00A02F7C" w:rsidRDefault="009A288E" w:rsidP="00912024">
      <w:pPr>
        <w:ind w:left="780"/>
        <w:contextualSpacing/>
        <w:rPr>
          <w:lang w:val="fr-FR"/>
        </w:rPr>
      </w:pPr>
    </w:p>
    <w:p w:rsidR="009A288E" w:rsidRPr="00A02F7C" w:rsidRDefault="009A288E" w:rsidP="00912024">
      <w:pPr>
        <w:numPr>
          <w:ilvl w:val="0"/>
          <w:numId w:val="42"/>
        </w:numPr>
        <w:contextualSpacing/>
      </w:pPr>
      <w:r w:rsidRPr="00A02F7C">
        <w:t>EESK fruktar att medborgarna kommer att få bära de ökade efterlevnadskostnaderna för de nya korten, vars belopp är okända, orimliga och oproportionerliga eftersom beslutet helt och hållet ligger hos medlemsstaternas förvaltningar.</w:t>
      </w:r>
    </w:p>
    <w:p w:rsidR="009A288E" w:rsidRPr="00A02F7C" w:rsidRDefault="009A288E" w:rsidP="00912024">
      <w:pPr>
        <w:ind w:left="780"/>
        <w:contextualSpacing/>
        <w:rPr>
          <w:lang w:val="fr-FR"/>
        </w:rPr>
      </w:pPr>
    </w:p>
    <w:p w:rsidR="009A288E" w:rsidRPr="00A02F7C" w:rsidRDefault="009A288E" w:rsidP="00912024">
      <w:pPr>
        <w:pStyle w:val="ListParagraph"/>
        <w:numPr>
          <w:ilvl w:val="0"/>
          <w:numId w:val="42"/>
        </w:numPr>
        <w:rPr>
          <w:szCs w:val="24"/>
        </w:rPr>
      </w:pPr>
      <w:r w:rsidRPr="00A02F7C">
        <w:t>Med tanke på hur viktig och brådskande denna förordning är rekommenderar EESK att alla tidsfrister som anges för dess ikraftträdande och senare uppföljning tidigareläggs.</w:t>
      </w:r>
    </w:p>
    <w:p w:rsidR="009A288E" w:rsidRPr="00A02F7C" w:rsidRDefault="009A288E" w:rsidP="00912024">
      <w:pPr>
        <w:rPr>
          <w:szCs w:val="24"/>
          <w:lang w:val="fr-FR"/>
        </w:rPr>
      </w:pPr>
    </w:p>
    <w:p w:rsidR="009A288E" w:rsidRPr="00A02F7C" w:rsidRDefault="009A288E" w:rsidP="00912024">
      <w:pPr>
        <w:tabs>
          <w:tab w:val="left" w:pos="1418"/>
        </w:tabs>
        <w:rPr>
          <w:i/>
        </w:rPr>
      </w:pPr>
      <w:r w:rsidRPr="00A02F7C">
        <w:rPr>
          <w:b/>
          <w:i/>
        </w:rPr>
        <w:t>Kontaktperson</w:t>
      </w:r>
      <w:r w:rsidRPr="00A02F7C">
        <w:t>:</w:t>
      </w:r>
      <w:r w:rsidRPr="00A02F7C">
        <w:tab/>
      </w:r>
      <w:r w:rsidR="00CF0587" w:rsidRPr="00A02F7C">
        <w:t xml:space="preserve"> </w:t>
      </w:r>
      <w:proofErr w:type="spellStart"/>
      <w:r w:rsidRPr="00A02F7C">
        <w:rPr>
          <w:i/>
        </w:rPr>
        <w:t>Triin</w:t>
      </w:r>
      <w:proofErr w:type="spellEnd"/>
      <w:r w:rsidRPr="00A02F7C">
        <w:rPr>
          <w:i/>
        </w:rPr>
        <w:t xml:space="preserve"> </w:t>
      </w:r>
      <w:proofErr w:type="spellStart"/>
      <w:r w:rsidRPr="00A02F7C">
        <w:rPr>
          <w:i/>
        </w:rPr>
        <w:t>Aasmaa</w:t>
      </w:r>
      <w:proofErr w:type="spellEnd"/>
    </w:p>
    <w:p w:rsidR="009A288E" w:rsidRPr="00A02F7C" w:rsidRDefault="00721D96" w:rsidP="00912024">
      <w:pPr>
        <w:tabs>
          <w:tab w:val="left" w:pos="1418"/>
        </w:tabs>
        <w:rPr>
          <w:i/>
        </w:rPr>
      </w:pPr>
      <w:r w:rsidRPr="00A02F7C">
        <w:rPr>
          <w:i/>
        </w:rPr>
        <w:tab/>
        <w:t xml:space="preserve">(Tfn: 32 25469524– e-post: </w:t>
      </w:r>
      <w:hyperlink r:id="rId43" w:history="1">
        <w:r w:rsidRPr="00A02F7C">
          <w:rPr>
            <w:rStyle w:val="Hyperlink"/>
            <w:i/>
          </w:rPr>
          <w:t>triin.aasmaa@eesc.europa.eu</w:t>
        </w:r>
      </w:hyperlink>
      <w:r w:rsidRPr="00A02F7C">
        <w:rPr>
          <w:i/>
        </w:rPr>
        <w:t>)</w:t>
      </w:r>
    </w:p>
    <w:p w:rsidR="0064403D" w:rsidRPr="00A02F7C" w:rsidRDefault="0064403D" w:rsidP="00912024">
      <w:pPr>
        <w:ind w:left="-567" w:hanging="284"/>
        <w:rPr>
          <w:b/>
          <w:u w:val="single"/>
          <w:lang w:val="fr-FR"/>
        </w:rPr>
      </w:pPr>
    </w:p>
    <w:p w:rsidR="0075416B" w:rsidRPr="00A02F7C" w:rsidRDefault="0075416B" w:rsidP="00CA0433">
      <w:pPr>
        <w:pStyle w:val="ListParagraph"/>
        <w:keepNext/>
        <w:numPr>
          <w:ilvl w:val="0"/>
          <w:numId w:val="73"/>
        </w:numPr>
        <w:overflowPunct w:val="0"/>
        <w:autoSpaceDE w:val="0"/>
        <w:autoSpaceDN w:val="0"/>
        <w:adjustRightInd w:val="0"/>
        <w:textAlignment w:val="baseline"/>
        <w:rPr>
          <w:sz w:val="24"/>
          <w:szCs w:val="24"/>
        </w:rPr>
      </w:pPr>
      <w:r w:rsidRPr="00A02F7C">
        <w:rPr>
          <w:b/>
          <w:bCs/>
          <w:i/>
          <w:iCs/>
          <w:sz w:val="28"/>
          <w:szCs w:val="28"/>
        </w:rPr>
        <w:lastRenderedPageBreak/>
        <w:t>Bestämmelser för att underlätta användning av finansiell information och andra uppgifter i brottmål</w:t>
      </w:r>
    </w:p>
    <w:p w:rsidR="0075416B" w:rsidRPr="00A02F7C" w:rsidRDefault="0075416B" w:rsidP="00CA0433">
      <w:pPr>
        <w:keepNext/>
        <w:tabs>
          <w:tab w:val="center" w:pos="284"/>
        </w:tabs>
        <w:ind w:left="266" w:hanging="266"/>
        <w:rPr>
          <w:b/>
          <w:lang w:val="fr-FR"/>
        </w:rPr>
      </w:pPr>
    </w:p>
    <w:p w:rsidR="0075416B" w:rsidRPr="00A02F7C" w:rsidRDefault="00FE5651" w:rsidP="00CA0433">
      <w:pPr>
        <w:keepNext/>
        <w:tabs>
          <w:tab w:val="center" w:pos="284"/>
          <w:tab w:val="left" w:pos="1985"/>
        </w:tabs>
        <w:ind w:left="266" w:hanging="266"/>
      </w:pPr>
      <w:r w:rsidRPr="00A02F7C">
        <w:rPr>
          <w:b/>
        </w:rPr>
        <w:t>Huvudföredragande:</w:t>
      </w:r>
      <w:r w:rsidRPr="00A02F7C">
        <w:tab/>
        <w:t xml:space="preserve">Victor </w:t>
      </w:r>
      <w:proofErr w:type="spellStart"/>
      <w:r w:rsidRPr="00A02F7C">
        <w:t>Alistar</w:t>
      </w:r>
      <w:proofErr w:type="spellEnd"/>
      <w:r w:rsidRPr="00A02F7C">
        <w:t xml:space="preserve"> (Mångfald Europa – RO)</w:t>
      </w:r>
    </w:p>
    <w:p w:rsidR="0075416B" w:rsidRPr="00A02F7C" w:rsidRDefault="0075416B" w:rsidP="00CA0433">
      <w:pPr>
        <w:keepNext/>
        <w:tabs>
          <w:tab w:val="center" w:pos="284"/>
          <w:tab w:val="left" w:pos="1985"/>
        </w:tabs>
        <w:ind w:left="266" w:hanging="266"/>
        <w:rPr>
          <w:b/>
          <w:lang w:val="fr-FR"/>
        </w:rPr>
      </w:pPr>
    </w:p>
    <w:p w:rsidR="0075416B" w:rsidRPr="00A02F7C" w:rsidRDefault="0075416B" w:rsidP="00912024">
      <w:pPr>
        <w:tabs>
          <w:tab w:val="center" w:pos="284"/>
          <w:tab w:val="left" w:pos="1985"/>
        </w:tabs>
        <w:ind w:left="266" w:hanging="266"/>
      </w:pPr>
      <w:r w:rsidRPr="00A02F7C">
        <w:rPr>
          <w:b/>
        </w:rPr>
        <w:t>Referens:</w:t>
      </w:r>
      <w:r w:rsidR="002E3B27" w:rsidRPr="00A02F7C">
        <w:rPr>
          <w:b/>
        </w:rPr>
        <w:tab/>
      </w:r>
      <w:r w:rsidRPr="00A02F7C">
        <w:t>COM(2018) 213 final</w:t>
      </w:r>
    </w:p>
    <w:p w:rsidR="0075416B" w:rsidRPr="00A02F7C" w:rsidRDefault="0075416B" w:rsidP="00912024">
      <w:pPr>
        <w:tabs>
          <w:tab w:val="center" w:pos="284"/>
          <w:tab w:val="left" w:pos="1985"/>
        </w:tabs>
        <w:ind w:left="2251" w:hanging="266"/>
      </w:pPr>
      <w:r w:rsidRPr="00A02F7C">
        <w:t>EESC-201</w:t>
      </w:r>
      <w:r w:rsidR="00A02F7C" w:rsidRPr="00A02F7C">
        <w:t>8-0</w:t>
      </w:r>
      <w:r w:rsidRPr="00A02F7C">
        <w:t>273</w:t>
      </w:r>
      <w:r w:rsidR="00A02F7C" w:rsidRPr="00A02F7C">
        <w:t>6-00-0</w:t>
      </w:r>
      <w:r w:rsidRPr="00A02F7C">
        <w:t>0-AC-TRA</w:t>
      </w:r>
    </w:p>
    <w:p w:rsidR="0075416B" w:rsidRPr="00A02F7C" w:rsidRDefault="0075416B" w:rsidP="00912024">
      <w:pPr>
        <w:tabs>
          <w:tab w:val="center" w:pos="284"/>
        </w:tabs>
        <w:ind w:left="266" w:hanging="266"/>
        <w:rPr>
          <w:lang w:val="fr-FR"/>
        </w:rPr>
      </w:pPr>
    </w:p>
    <w:p w:rsidR="0075416B" w:rsidRPr="00A02F7C" w:rsidRDefault="0075416B" w:rsidP="00912024">
      <w:pPr>
        <w:rPr>
          <w:b/>
        </w:rPr>
      </w:pPr>
      <w:r w:rsidRPr="00A02F7C">
        <w:rPr>
          <w:b/>
        </w:rPr>
        <w:t>Huvudpunkter:</w:t>
      </w:r>
    </w:p>
    <w:p w:rsidR="0075416B" w:rsidRPr="00A02F7C" w:rsidRDefault="0075416B" w:rsidP="00912024">
      <w:pPr>
        <w:pStyle w:val="Footer"/>
        <w:rPr>
          <w:szCs w:val="24"/>
        </w:rPr>
      </w:pPr>
    </w:p>
    <w:p w:rsidR="0075416B" w:rsidRPr="00A02F7C" w:rsidRDefault="0075416B" w:rsidP="00912024">
      <w:pPr>
        <w:pStyle w:val="Footer"/>
        <w:numPr>
          <w:ilvl w:val="0"/>
          <w:numId w:val="70"/>
        </w:numPr>
        <w:rPr>
          <w:szCs w:val="24"/>
        </w:rPr>
      </w:pPr>
      <w:r w:rsidRPr="00A02F7C">
        <w:t>EESK noterar att förslaget till direktiv syftar till att tillföra ett mervärde genom att tillhandahålla en harmoniserad strategi som stärker det inhemska och gränsöverskridande samarbetet vid ekonomiska utredningar av allvarliga brott och terrorism.</w:t>
      </w:r>
    </w:p>
    <w:p w:rsidR="0075416B" w:rsidRPr="00A02F7C" w:rsidRDefault="0075416B" w:rsidP="00912024">
      <w:pPr>
        <w:pStyle w:val="Footer"/>
        <w:rPr>
          <w:szCs w:val="24"/>
        </w:rPr>
      </w:pPr>
    </w:p>
    <w:p w:rsidR="0075416B" w:rsidRPr="00A02F7C" w:rsidRDefault="0075416B" w:rsidP="00912024">
      <w:pPr>
        <w:pStyle w:val="Footer"/>
        <w:numPr>
          <w:ilvl w:val="0"/>
          <w:numId w:val="70"/>
        </w:numPr>
        <w:rPr>
          <w:szCs w:val="24"/>
        </w:rPr>
      </w:pPr>
      <w:r w:rsidRPr="00A02F7C">
        <w:t>EESK anser dock att man genom förslaget till direktiv bör uppnå en bättre jämvikt mellan de enskildas grundläggande rättigheter och behovet av en bättre tillämpning av den lagstiftning som är avsedd att bekämpa och bestraffa brott.</w:t>
      </w:r>
    </w:p>
    <w:p w:rsidR="0075416B" w:rsidRPr="00A02F7C" w:rsidRDefault="0075416B" w:rsidP="00912024">
      <w:pPr>
        <w:pStyle w:val="Footer"/>
        <w:rPr>
          <w:szCs w:val="24"/>
        </w:rPr>
      </w:pPr>
    </w:p>
    <w:p w:rsidR="0075416B" w:rsidRPr="00A02F7C" w:rsidRDefault="0075416B" w:rsidP="00912024">
      <w:pPr>
        <w:pStyle w:val="Footer"/>
        <w:numPr>
          <w:ilvl w:val="0"/>
          <w:numId w:val="70"/>
        </w:numPr>
        <w:rPr>
          <w:szCs w:val="24"/>
        </w:rPr>
      </w:pPr>
      <w:r w:rsidRPr="00A02F7C">
        <w:t>Kommittén anser att det är nödvändigt att direktivets syfte begränsas till att uteslutande avse uppspårning och bestraffning av brott, och att det i princip inte har alltför allmänna förebyggande syften.</w:t>
      </w:r>
    </w:p>
    <w:p w:rsidR="000F3021" w:rsidRPr="00A02F7C" w:rsidRDefault="000F3021" w:rsidP="00912024">
      <w:pPr>
        <w:pStyle w:val="Footer"/>
        <w:ind w:left="-567"/>
        <w:rPr>
          <w:szCs w:val="24"/>
        </w:rPr>
      </w:pPr>
    </w:p>
    <w:p w:rsidR="0075416B" w:rsidRPr="00A02F7C" w:rsidRDefault="0075416B" w:rsidP="00912024">
      <w:pPr>
        <w:pStyle w:val="Footer"/>
        <w:numPr>
          <w:ilvl w:val="0"/>
          <w:numId w:val="71"/>
        </w:numPr>
        <w:rPr>
          <w:szCs w:val="24"/>
        </w:rPr>
      </w:pPr>
      <w:r w:rsidRPr="00A02F7C">
        <w:t>EESK utfärdar ett antal konkreta rekommendationer, däribla</w:t>
      </w:r>
      <w:r w:rsidR="002E3B27" w:rsidRPr="00A02F7C">
        <w:t>nd att se över definitionerna i </w:t>
      </w:r>
      <w:r w:rsidRPr="00A02F7C">
        <w:t>artikel 2 e ”brottsbekämpningsrelaterad information” och 2.l ”allvarliga brott” för att säkerställa att bestämmelserna för inrättande av mekanismer för åtkomst till unionsmedborgarnas finansiella uppgifter är tydliga, förutsägbara och proportionella.</w:t>
      </w:r>
    </w:p>
    <w:p w:rsidR="0075416B" w:rsidRPr="00A02F7C" w:rsidRDefault="0075416B" w:rsidP="00912024">
      <w:pPr>
        <w:pStyle w:val="Footer"/>
        <w:rPr>
          <w:szCs w:val="24"/>
        </w:rPr>
      </w:pPr>
    </w:p>
    <w:p w:rsidR="0075416B" w:rsidRPr="00A02F7C" w:rsidRDefault="0075416B" w:rsidP="00912024">
      <w:pPr>
        <w:pStyle w:val="Footer"/>
        <w:numPr>
          <w:ilvl w:val="0"/>
          <w:numId w:val="71"/>
        </w:numPr>
      </w:pPr>
      <w:r w:rsidRPr="00A02F7C">
        <w:t>EESK uppmanar också kommissionen att reglera syftet bakom åtkomsten till uppgifterna i de nationella centraliserade registren över bankkonton genom att, när det gäller förebyggande åtgärder, endast tillåta åtkomst vid brott som hotar EU-medborgarnas kollektiva och individuella säkerhet, nämligen terrorism, människohandel och narkotikahandel, men att, när det gäller uppspårning, utredning eller lagföring av brott och återvinning av vinning av brott, tillåta åtkomst vid alla allvarliga brott.</w:t>
      </w:r>
    </w:p>
    <w:p w:rsidR="0075416B" w:rsidRPr="00A02F7C" w:rsidRDefault="0075416B" w:rsidP="00912024">
      <w:pPr>
        <w:rPr>
          <w:szCs w:val="24"/>
          <w:lang w:val="fr-FR"/>
        </w:rPr>
      </w:pPr>
    </w:p>
    <w:p w:rsidR="0075416B" w:rsidRPr="00A02F7C" w:rsidRDefault="0075416B" w:rsidP="00912024">
      <w:pPr>
        <w:tabs>
          <w:tab w:val="left" w:pos="1418"/>
        </w:tabs>
        <w:rPr>
          <w:i/>
        </w:rPr>
      </w:pPr>
      <w:r w:rsidRPr="00A02F7C">
        <w:rPr>
          <w:b/>
          <w:i/>
        </w:rPr>
        <w:t>Kontaktperson</w:t>
      </w:r>
      <w:r w:rsidRPr="00A02F7C">
        <w:t>:</w:t>
      </w:r>
      <w:r w:rsidRPr="00A02F7C">
        <w:tab/>
      </w:r>
      <w:r w:rsidRPr="00A02F7C">
        <w:rPr>
          <w:i/>
        </w:rPr>
        <w:t xml:space="preserve"> Ana </w:t>
      </w:r>
      <w:proofErr w:type="spellStart"/>
      <w:r w:rsidRPr="00A02F7C">
        <w:rPr>
          <w:i/>
        </w:rPr>
        <w:t>Dumitrache</w:t>
      </w:r>
      <w:proofErr w:type="spellEnd"/>
    </w:p>
    <w:p w:rsidR="0075416B" w:rsidRPr="00A02F7C" w:rsidRDefault="00395C7C" w:rsidP="00912024">
      <w:pPr>
        <w:tabs>
          <w:tab w:val="left" w:pos="1418"/>
        </w:tabs>
        <w:rPr>
          <w:i/>
        </w:rPr>
      </w:pPr>
      <w:r w:rsidRPr="00A02F7C">
        <w:rPr>
          <w:i/>
        </w:rPr>
        <w:tab/>
        <w:t xml:space="preserve">(Tfn: 32 25468131– e-post: </w:t>
      </w:r>
      <w:hyperlink r:id="rId44" w:history="1">
        <w:r w:rsidRPr="00A02F7C">
          <w:rPr>
            <w:rStyle w:val="Hyperlink"/>
            <w:i/>
          </w:rPr>
          <w:t>ana.dumitrache@eesc.europa.eu</w:t>
        </w:r>
      </w:hyperlink>
      <w:r w:rsidRPr="00A02F7C">
        <w:rPr>
          <w:i/>
        </w:rPr>
        <w:t>)</w:t>
      </w:r>
    </w:p>
    <w:p w:rsidR="009F40CA" w:rsidRPr="00A02F7C" w:rsidRDefault="009F40CA" w:rsidP="00912024">
      <w:pPr>
        <w:ind w:left="-567"/>
        <w:rPr>
          <w:i/>
          <w:lang w:val="fr-FR"/>
        </w:rPr>
      </w:pPr>
    </w:p>
    <w:p w:rsidR="0075416B" w:rsidRPr="00A02F7C" w:rsidRDefault="0075416B" w:rsidP="00912024">
      <w:pPr>
        <w:pStyle w:val="ListParagraph"/>
        <w:keepNext/>
        <w:numPr>
          <w:ilvl w:val="0"/>
          <w:numId w:val="3"/>
        </w:numPr>
        <w:overflowPunct w:val="0"/>
        <w:autoSpaceDE w:val="0"/>
        <w:autoSpaceDN w:val="0"/>
        <w:adjustRightInd w:val="0"/>
        <w:textAlignment w:val="baseline"/>
        <w:rPr>
          <w:b/>
          <w:i/>
          <w:sz w:val="28"/>
        </w:rPr>
      </w:pPr>
      <w:r w:rsidRPr="00A02F7C">
        <w:rPr>
          <w:b/>
          <w:i/>
          <w:sz w:val="28"/>
          <w:szCs w:val="28"/>
        </w:rPr>
        <w:lastRenderedPageBreak/>
        <w:t>Bevis i straffrättsliga förfaranden</w:t>
      </w:r>
    </w:p>
    <w:p w:rsidR="0075416B" w:rsidRPr="00A02F7C" w:rsidRDefault="0075416B" w:rsidP="00912024">
      <w:pPr>
        <w:keepNext/>
        <w:tabs>
          <w:tab w:val="left" w:pos="1985"/>
        </w:tabs>
      </w:pPr>
    </w:p>
    <w:p w:rsidR="0075416B" w:rsidRPr="00A02F7C" w:rsidRDefault="00FE5651" w:rsidP="00CA0433">
      <w:pPr>
        <w:keepNext/>
        <w:tabs>
          <w:tab w:val="left" w:pos="1985"/>
        </w:tabs>
      </w:pPr>
      <w:r w:rsidRPr="00A02F7C">
        <w:rPr>
          <w:b/>
        </w:rPr>
        <w:t>Huvudföredragande:</w:t>
      </w:r>
      <w:r w:rsidRPr="00A02F7C">
        <w:tab/>
        <w:t xml:space="preserve">Christian </w:t>
      </w:r>
      <w:proofErr w:type="spellStart"/>
      <w:r w:rsidRPr="00A02F7C">
        <w:t>Bäumler</w:t>
      </w:r>
      <w:proofErr w:type="spellEnd"/>
      <w:r w:rsidRPr="00A02F7C">
        <w:t xml:space="preserve"> (Arbetstagargruppen – DE)</w:t>
      </w:r>
    </w:p>
    <w:p w:rsidR="0075416B" w:rsidRPr="00A02F7C" w:rsidRDefault="0075416B" w:rsidP="00CA0433">
      <w:pPr>
        <w:keepNext/>
        <w:tabs>
          <w:tab w:val="left" w:pos="1985"/>
        </w:tabs>
      </w:pPr>
    </w:p>
    <w:p w:rsidR="0075416B" w:rsidRPr="00A02F7C" w:rsidRDefault="0075416B" w:rsidP="00CA0433">
      <w:pPr>
        <w:keepNext/>
        <w:tabs>
          <w:tab w:val="left" w:pos="1985"/>
        </w:tabs>
      </w:pPr>
      <w:r w:rsidRPr="00A02F7C">
        <w:rPr>
          <w:b/>
        </w:rPr>
        <w:t>Referens:</w:t>
      </w:r>
      <w:r w:rsidRPr="00A02F7C">
        <w:tab/>
        <w:t>EESC-201</w:t>
      </w:r>
      <w:r w:rsidR="00A02F7C" w:rsidRPr="00A02F7C">
        <w:t>8-0</w:t>
      </w:r>
      <w:r w:rsidRPr="00A02F7C">
        <w:t>273</w:t>
      </w:r>
      <w:r w:rsidR="00A02F7C" w:rsidRPr="00A02F7C">
        <w:t>7-00-0</w:t>
      </w:r>
      <w:r w:rsidRPr="00A02F7C">
        <w:t>0-AC-TRA</w:t>
      </w:r>
    </w:p>
    <w:p w:rsidR="00FE5651" w:rsidRPr="00A02F7C" w:rsidRDefault="00FE5651" w:rsidP="00CA0433">
      <w:pPr>
        <w:keepNext/>
        <w:tabs>
          <w:tab w:val="left" w:pos="1985"/>
        </w:tabs>
      </w:pPr>
      <w:r w:rsidRPr="00A02F7C">
        <w:tab/>
        <w:t>COM(2018) 225 final – 2018/0108 COD</w:t>
      </w:r>
    </w:p>
    <w:p w:rsidR="00FE5651" w:rsidRPr="00A02F7C" w:rsidRDefault="00FE5651" w:rsidP="00CA0433">
      <w:pPr>
        <w:keepNext/>
        <w:tabs>
          <w:tab w:val="left" w:pos="1985"/>
        </w:tabs>
      </w:pPr>
    </w:p>
    <w:p w:rsidR="0075416B" w:rsidRPr="00A02F7C" w:rsidRDefault="0075416B" w:rsidP="00CA0433">
      <w:pPr>
        <w:keepNext/>
        <w:rPr>
          <w:b/>
        </w:rPr>
      </w:pPr>
      <w:r w:rsidRPr="00A02F7C">
        <w:rPr>
          <w:b/>
        </w:rPr>
        <w:t>Huvudpunkter:</w:t>
      </w:r>
    </w:p>
    <w:p w:rsidR="009F40CA" w:rsidRPr="00A02F7C" w:rsidRDefault="009F40CA" w:rsidP="00912024"/>
    <w:p w:rsidR="0075416B" w:rsidRPr="00A02F7C" w:rsidRDefault="0075416B" w:rsidP="00912024">
      <w:proofErr w:type="spellStart"/>
      <w:r w:rsidRPr="00A02F7C">
        <w:t>EESK:s</w:t>
      </w:r>
      <w:proofErr w:type="spellEnd"/>
      <w:r w:rsidRPr="00A02F7C">
        <w:t xml:space="preserve"> ståndpunkt:</w:t>
      </w:r>
    </w:p>
    <w:p w:rsidR="0075416B" w:rsidRPr="00A02F7C" w:rsidRDefault="0075416B" w:rsidP="00912024"/>
    <w:p w:rsidR="0075416B" w:rsidRPr="00A02F7C" w:rsidRDefault="0075416B" w:rsidP="00912024">
      <w:pPr>
        <w:pStyle w:val="ListParagraph"/>
        <w:numPr>
          <w:ilvl w:val="0"/>
          <w:numId w:val="9"/>
        </w:numPr>
        <w:overflowPunct w:val="0"/>
        <w:autoSpaceDE w:val="0"/>
        <w:autoSpaceDN w:val="0"/>
        <w:adjustRightInd w:val="0"/>
        <w:textAlignment w:val="baseline"/>
      </w:pPr>
      <w:r w:rsidRPr="00A02F7C">
        <w:t xml:space="preserve">EESK stöder införandet genom förordning </w:t>
      </w:r>
      <w:r w:rsidR="00A02F7C" w:rsidRPr="00A02F7C">
        <w:t>COM (</w:t>
      </w:r>
      <w:r w:rsidRPr="00A02F7C">
        <w:t>2018) 225 av bindande EU-instrument för att säkra och få tillgång till uppgifter för brottsutredningar och straffrättsliga förfaranden. Kommittén betonar vikten av att de grundläggande rättigheterna och de principer som fastställs i Europeiska unionens stadga om de grundläggande rättigheterna och medlemsstaternas konstitutioner respekteras.</w:t>
      </w:r>
    </w:p>
    <w:p w:rsidR="0075416B" w:rsidRPr="00A02F7C" w:rsidRDefault="0075416B" w:rsidP="00912024"/>
    <w:p w:rsidR="0075416B" w:rsidRPr="00A02F7C" w:rsidRDefault="0075416B" w:rsidP="00912024">
      <w:pPr>
        <w:pStyle w:val="ListParagraph"/>
        <w:numPr>
          <w:ilvl w:val="0"/>
          <w:numId w:val="9"/>
        </w:numPr>
        <w:overflowPunct w:val="0"/>
        <w:autoSpaceDE w:val="0"/>
        <w:autoSpaceDN w:val="0"/>
        <w:adjustRightInd w:val="0"/>
        <w:textAlignment w:val="baseline"/>
      </w:pPr>
      <w:r w:rsidRPr="00A02F7C">
        <w:t>EESK anser att de nuvarande skillnaderna i nationella samarbetsmekanismer för de enskilda medlemsstaterna när det gäller insamling av bevis i ett annat land ger upphov till rättslig osäkerhet och kan äventyra skyddet av de grundläggande rättigheterna.</w:t>
      </w:r>
    </w:p>
    <w:p w:rsidR="0075416B" w:rsidRPr="00A02F7C" w:rsidRDefault="0075416B" w:rsidP="00912024">
      <w:pPr>
        <w:pStyle w:val="ListParagraph"/>
        <w:ind w:left="1440"/>
      </w:pPr>
    </w:p>
    <w:p w:rsidR="0075416B" w:rsidRPr="00A02F7C" w:rsidRDefault="0075416B" w:rsidP="00912024">
      <w:pPr>
        <w:pStyle w:val="ListParagraph"/>
        <w:numPr>
          <w:ilvl w:val="0"/>
          <w:numId w:val="9"/>
        </w:numPr>
        <w:overflowPunct w:val="0"/>
        <w:autoSpaceDE w:val="0"/>
        <w:autoSpaceDN w:val="0"/>
        <w:adjustRightInd w:val="0"/>
        <w:textAlignment w:val="baseline"/>
      </w:pPr>
      <w:r w:rsidRPr="00A02F7C">
        <w:t>Kommittén stöder i detta sammanhang inrättandet av enhetliga standarder inom EU, med beaktande av de olika villkor som för närvarande finns på nationell nivå när det gäller tillgång till uppgifter i samband med det straffrättsliga förfarandet och om vem som kan bevilja åtkomst.</w:t>
      </w:r>
    </w:p>
    <w:p w:rsidR="0075416B" w:rsidRPr="00A02F7C" w:rsidRDefault="0075416B" w:rsidP="00912024"/>
    <w:p w:rsidR="0075416B" w:rsidRPr="00A02F7C" w:rsidRDefault="0075416B" w:rsidP="00912024">
      <w:pPr>
        <w:pStyle w:val="ListParagraph"/>
        <w:numPr>
          <w:ilvl w:val="0"/>
          <w:numId w:val="9"/>
        </w:numPr>
        <w:overflowPunct w:val="0"/>
        <w:autoSpaceDE w:val="0"/>
        <w:autoSpaceDN w:val="0"/>
        <w:adjustRightInd w:val="0"/>
        <w:textAlignment w:val="baseline"/>
      </w:pPr>
      <w:r w:rsidRPr="00A02F7C">
        <w:t>EESK välkomnar att den europeiska utelämnandeordern endast ska tillämpas för allvarliga brott, men anser att den vägledande principen bör gälla för brott med ett minimistraff på tre månader snarare än ett maximistraff på tre år.</w:t>
      </w:r>
    </w:p>
    <w:p w:rsidR="0075416B" w:rsidRPr="00A02F7C" w:rsidRDefault="0075416B" w:rsidP="00912024"/>
    <w:p w:rsidR="0075416B" w:rsidRPr="00A02F7C" w:rsidRDefault="0075416B" w:rsidP="00912024">
      <w:pPr>
        <w:pStyle w:val="ListParagraph"/>
        <w:numPr>
          <w:ilvl w:val="0"/>
          <w:numId w:val="9"/>
        </w:numPr>
        <w:overflowPunct w:val="0"/>
        <w:autoSpaceDE w:val="0"/>
        <w:autoSpaceDN w:val="0"/>
        <w:adjustRightInd w:val="0"/>
        <w:textAlignment w:val="baseline"/>
      </w:pPr>
      <w:r w:rsidRPr="00A02F7C">
        <w:t>Kommittén stöder att både utlämnandeorder och bevarandeorder måste utfärdas eller bekräftas av en rättslig myndighet. EESK ifrågasätter dock att abonnent- och åtkomstdata även kan utfärdas av en åklagare, och rekommenderar att insamling av personuppgifter bör vara i föremål för rättslig prövning.</w:t>
      </w:r>
    </w:p>
    <w:p w:rsidR="0075416B" w:rsidRPr="00A02F7C" w:rsidRDefault="0075416B" w:rsidP="00912024"/>
    <w:p w:rsidR="0075416B" w:rsidRPr="00A02F7C" w:rsidRDefault="0075416B" w:rsidP="00912024">
      <w:pPr>
        <w:pStyle w:val="ListParagraph"/>
        <w:numPr>
          <w:ilvl w:val="0"/>
          <w:numId w:val="9"/>
        </w:numPr>
        <w:overflowPunct w:val="0"/>
        <w:autoSpaceDE w:val="0"/>
        <w:autoSpaceDN w:val="0"/>
        <w:adjustRightInd w:val="0"/>
        <w:textAlignment w:val="baseline"/>
      </w:pPr>
      <w:r w:rsidRPr="00A02F7C">
        <w:t>EESK ställer sig bakom att mottagaren har möjlighet att bestrida en utlämnandeorders lagenlighet, nödvändighet eller proportionalitet.</w:t>
      </w:r>
    </w:p>
    <w:p w:rsidR="0075416B" w:rsidRPr="00A02F7C" w:rsidRDefault="0075416B" w:rsidP="00912024"/>
    <w:p w:rsidR="0075416B" w:rsidRPr="00A02F7C" w:rsidRDefault="0075416B" w:rsidP="00912024">
      <w:pPr>
        <w:pStyle w:val="ListParagraph"/>
        <w:numPr>
          <w:ilvl w:val="0"/>
          <w:numId w:val="9"/>
        </w:numPr>
        <w:overflowPunct w:val="0"/>
        <w:autoSpaceDE w:val="0"/>
        <w:autoSpaceDN w:val="0"/>
        <w:adjustRightInd w:val="0"/>
        <w:textAlignment w:val="baseline"/>
      </w:pPr>
      <w:r w:rsidRPr="00A02F7C">
        <w:t>Kommittén välkomnar hänvisningen till skyddsåtgärder som fastställs i EU:s regelverk, särskilt mot bakgrund av de problem som kan uppstå om tredjeländer inför skyldigheter för EU:s tjänsteleverantörer som inte överensstämmer med EU:s grundläggande rättigheter.</w:t>
      </w:r>
    </w:p>
    <w:p w:rsidR="0075416B" w:rsidRPr="00A02F7C" w:rsidRDefault="0075416B" w:rsidP="00912024"/>
    <w:p w:rsidR="0075416B" w:rsidRPr="00A02F7C" w:rsidRDefault="0075416B" w:rsidP="00912024">
      <w:pPr>
        <w:pStyle w:val="ListParagraph"/>
        <w:numPr>
          <w:ilvl w:val="0"/>
          <w:numId w:val="9"/>
        </w:numPr>
        <w:overflowPunct w:val="0"/>
        <w:autoSpaceDE w:val="0"/>
        <w:autoSpaceDN w:val="0"/>
        <w:adjustRightInd w:val="0"/>
        <w:textAlignment w:val="baseline"/>
      </w:pPr>
      <w:r w:rsidRPr="00A02F7C">
        <w:t>EESK välkomnar kommissionens arbete med nya bestämmelser för polismyndigheter och rättsliga myndigheter för att underlätta deras tillgång till elektroniska bevis.</w:t>
      </w:r>
    </w:p>
    <w:p w:rsidR="0075416B" w:rsidRPr="00A02F7C" w:rsidRDefault="0075416B" w:rsidP="00912024">
      <w:pPr>
        <w:pStyle w:val="ListParagraph"/>
        <w:numPr>
          <w:ilvl w:val="0"/>
          <w:numId w:val="9"/>
        </w:numPr>
        <w:overflowPunct w:val="0"/>
        <w:autoSpaceDE w:val="0"/>
        <w:autoSpaceDN w:val="0"/>
        <w:adjustRightInd w:val="0"/>
        <w:textAlignment w:val="baseline"/>
      </w:pPr>
      <w:r w:rsidRPr="00A02F7C">
        <w:lastRenderedPageBreak/>
        <w:t>EESK stöder också införandet av en särskild klausul om ”motstridiga skyldigheter”, som gör det möjligt för tjänsteleverantörer att rapportera motstridiga skyldigheter, vilket utlöser en domstolsprövning.</w:t>
      </w:r>
    </w:p>
    <w:p w:rsidR="0075416B" w:rsidRPr="00A02F7C" w:rsidRDefault="0075416B" w:rsidP="00912024"/>
    <w:p w:rsidR="0075416B" w:rsidRPr="00A02F7C" w:rsidRDefault="0075416B" w:rsidP="00912024">
      <w:pPr>
        <w:pStyle w:val="ListParagraph"/>
        <w:numPr>
          <w:ilvl w:val="0"/>
          <w:numId w:val="9"/>
        </w:numPr>
        <w:overflowPunct w:val="0"/>
        <w:autoSpaceDE w:val="0"/>
        <w:autoSpaceDN w:val="0"/>
        <w:adjustRightInd w:val="0"/>
        <w:textAlignment w:val="baseline"/>
      </w:pPr>
      <w:r w:rsidRPr="00A02F7C">
        <w:t>Kommittén är positiv till att det genom direktiv COM(2018) 226 skulle bli obligatoriskt för tjänsteleverantörer att utse en rättslig företrädare i EU som skulle följa de beslut som mottagits. Vi anser att detta skulle göra det lättare för tjänsteleverantörer att följa dessa beslut, samtidigt som det blir tydligt vem skulle hantera dessa förelägganden om insamling av data för straffrättsliga förfaranden.</w:t>
      </w:r>
    </w:p>
    <w:p w:rsidR="0075416B" w:rsidRPr="00A02F7C" w:rsidRDefault="0075416B" w:rsidP="00912024">
      <w:pPr>
        <w:ind w:left="-567"/>
      </w:pPr>
    </w:p>
    <w:p w:rsidR="0075416B" w:rsidRPr="00A02F7C" w:rsidRDefault="0075416B" w:rsidP="00912024">
      <w:pPr>
        <w:tabs>
          <w:tab w:val="left" w:pos="1418"/>
        </w:tabs>
        <w:rPr>
          <w:i/>
        </w:rPr>
      </w:pPr>
      <w:r w:rsidRPr="00A02F7C">
        <w:rPr>
          <w:b/>
          <w:i/>
        </w:rPr>
        <w:t>Kontaktperson:</w:t>
      </w:r>
      <w:r w:rsidRPr="00A02F7C">
        <w:tab/>
      </w:r>
      <w:r w:rsidRPr="00A02F7C">
        <w:rPr>
          <w:i/>
        </w:rPr>
        <w:t>Sabrina Borg</w:t>
      </w:r>
    </w:p>
    <w:p w:rsidR="0075416B" w:rsidRPr="00A02F7C" w:rsidRDefault="0075416B" w:rsidP="00912024">
      <w:pPr>
        <w:tabs>
          <w:tab w:val="left" w:pos="1418"/>
        </w:tabs>
        <w:rPr>
          <w:i/>
        </w:rPr>
      </w:pPr>
      <w:r w:rsidRPr="00A02F7C">
        <w:tab/>
      </w:r>
      <w:r w:rsidRPr="00A02F7C">
        <w:rPr>
          <w:i/>
        </w:rPr>
        <w:t xml:space="preserve">(Tfn +32 25469727 – e-post: </w:t>
      </w:r>
      <w:hyperlink r:id="rId45" w:history="1">
        <w:r w:rsidRPr="00A02F7C">
          <w:rPr>
            <w:rStyle w:val="Hyperlink"/>
            <w:i/>
          </w:rPr>
          <w:t>sabrina.borg@eesc.europa.eu</w:t>
        </w:r>
      </w:hyperlink>
      <w:r w:rsidRPr="00A02F7C">
        <w:rPr>
          <w:i/>
        </w:rPr>
        <w:t>)</w:t>
      </w:r>
    </w:p>
    <w:p w:rsidR="00395C7C" w:rsidRPr="00A02F7C" w:rsidRDefault="00395C7C" w:rsidP="00912024">
      <w:pPr>
        <w:ind w:left="567"/>
      </w:pPr>
    </w:p>
    <w:p w:rsidR="009A288E" w:rsidRPr="00A02F7C" w:rsidRDefault="009A288E" w:rsidP="00912024">
      <w:pPr>
        <w:jc w:val="center"/>
      </w:pPr>
      <w:r w:rsidRPr="00A02F7C">
        <w:t>_____________</w:t>
      </w:r>
    </w:p>
    <w:sectPr w:rsidR="009A288E" w:rsidRPr="00A02F7C" w:rsidSect="002E240A">
      <w:headerReference w:type="even" r:id="rId46"/>
      <w:headerReference w:type="default" r:id="rId47"/>
      <w:footerReference w:type="even" r:id="rId48"/>
      <w:footerReference w:type="default" r:id="rId49"/>
      <w:headerReference w:type="first" r:id="rId50"/>
      <w:footerReference w:type="first" r:id="rId51"/>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D7E" w:rsidRDefault="00640D7E" w:rsidP="003B283B">
      <w:pPr>
        <w:spacing w:line="240" w:lineRule="auto"/>
      </w:pPr>
      <w:r>
        <w:separator/>
      </w:r>
    </w:p>
  </w:endnote>
  <w:endnote w:type="continuationSeparator" w:id="0">
    <w:p w:rsidR="00640D7E" w:rsidRDefault="00640D7E" w:rsidP="003B283B">
      <w:pPr>
        <w:spacing w:line="240" w:lineRule="auto"/>
      </w:pPr>
      <w:r>
        <w:continuationSeparator/>
      </w:r>
    </w:p>
  </w:endnote>
  <w:endnote w:type="continuationNotice" w:id="1">
    <w:p w:rsidR="00640D7E" w:rsidRDefault="00640D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7E" w:rsidRPr="002E240A" w:rsidRDefault="00640D7E" w:rsidP="002E24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7E" w:rsidRPr="002E240A" w:rsidRDefault="00640D7E" w:rsidP="002E240A">
    <w:pPr>
      <w:pStyle w:val="Footer"/>
    </w:pPr>
    <w:r>
      <w:t xml:space="preserve">EESC-2018-02821-00-01-TCD-TRA (FR/EN) </w:t>
    </w:r>
    <w:r>
      <w:fldChar w:fldCharType="begin"/>
    </w:r>
    <w:r>
      <w:instrText xml:space="preserve"> PAGE  \* Arabic  \* MERGEFORMAT </w:instrText>
    </w:r>
    <w:r>
      <w:fldChar w:fldCharType="separate"/>
    </w:r>
    <w:r w:rsidR="00A02F7C">
      <w:rPr>
        <w:noProof/>
      </w:rPr>
      <w:t>1</w:t>
    </w:r>
    <w:r>
      <w:fldChar w:fldCharType="end"/>
    </w:r>
    <w:r>
      <w:t>/</w:t>
    </w:r>
    <w:fldSimple w:instr=" NUMPAGES ">
      <w:r w:rsidR="00A02F7C">
        <w:rPr>
          <w:noProof/>
        </w:rPr>
        <w:t>27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7E" w:rsidRPr="002E240A" w:rsidRDefault="00640D7E" w:rsidP="002E24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7E" w:rsidRPr="002E240A" w:rsidRDefault="00640D7E" w:rsidP="002E240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7E" w:rsidRPr="002E240A" w:rsidRDefault="00640D7E" w:rsidP="002E240A">
    <w:pPr>
      <w:pStyle w:val="Footer"/>
    </w:pPr>
    <w:r>
      <w:t xml:space="preserve">EESC-2018-02821-00-01-TCD-TRA (FR/EN) </w:t>
    </w:r>
    <w:r>
      <w:fldChar w:fldCharType="begin"/>
    </w:r>
    <w:r>
      <w:instrText xml:space="preserve"> PAGE  \* Arabic  \* MERGEFORMAT </w:instrText>
    </w:r>
    <w:r>
      <w:fldChar w:fldCharType="separate"/>
    </w:r>
    <w:r w:rsidR="00A02F7C">
      <w:rPr>
        <w:noProof/>
      </w:rPr>
      <w:t>11</w:t>
    </w:r>
    <w:r>
      <w:fldChar w:fldCharType="end"/>
    </w:r>
    <w:r>
      <w:t>/</w:t>
    </w:r>
    <w:fldSimple w:instr=" NUMPAGES ">
      <w:r w:rsidR="00A02F7C">
        <w:rPr>
          <w:noProof/>
        </w:rPr>
        <w:t>27</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7E" w:rsidRPr="002E240A" w:rsidRDefault="00640D7E" w:rsidP="002E2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D7E" w:rsidRDefault="00640D7E" w:rsidP="003B283B">
      <w:pPr>
        <w:spacing w:line="240" w:lineRule="auto"/>
      </w:pPr>
      <w:r>
        <w:separator/>
      </w:r>
    </w:p>
  </w:footnote>
  <w:footnote w:type="continuationSeparator" w:id="0">
    <w:p w:rsidR="00640D7E" w:rsidRDefault="00640D7E" w:rsidP="003B283B">
      <w:pPr>
        <w:spacing w:line="240" w:lineRule="auto"/>
      </w:pPr>
      <w:r>
        <w:continuationSeparator/>
      </w:r>
    </w:p>
  </w:footnote>
  <w:footnote w:type="continuationNotice" w:id="1">
    <w:p w:rsidR="00640D7E" w:rsidRPr="00377A77" w:rsidRDefault="00640D7E">
      <w:pPr>
        <w:spacing w:line="240" w:lineRule="auto"/>
        <w:rPr>
          <w:sz w:val="2"/>
          <w:szCs w:val="2"/>
        </w:rPr>
      </w:pPr>
    </w:p>
  </w:footnote>
  <w:footnote w:id="2">
    <w:p w:rsidR="00640D7E" w:rsidRPr="0040578C" w:rsidRDefault="00640D7E" w:rsidP="00832654">
      <w:pPr>
        <w:pStyle w:val="FootnoteText"/>
      </w:pPr>
      <w:r>
        <w:rPr>
          <w:rStyle w:val="FootnoteReference"/>
        </w:rPr>
        <w:footnoteRef/>
      </w:r>
      <w:r>
        <w:t xml:space="preserve"> </w:t>
      </w:r>
      <w:r>
        <w:tab/>
      </w:r>
      <w:hyperlink r:id="rId1" w:history="1">
        <w:r>
          <w:rPr>
            <w:rStyle w:val="Hyperlink"/>
          </w:rPr>
          <w:t>EUT C 264, 20.</w:t>
        </w:r>
        <w:r w:rsidR="00A02F7C" w:rsidRPr="00A02F7C">
          <w:rPr>
            <w:rStyle w:val="Hyperlink"/>
          </w:rPr>
          <w:t>7.2016</w:t>
        </w:r>
        <w:r>
          <w:rPr>
            <w:rStyle w:val="Hyperlink"/>
          </w:rPr>
          <w:t>, s. 98</w:t>
        </w:r>
      </w:hyperlink>
      <w:r>
        <w:t>.</w:t>
      </w:r>
    </w:p>
  </w:footnote>
  <w:footnote w:id="3">
    <w:p w:rsidR="00640D7E" w:rsidRPr="00AF30A3" w:rsidRDefault="00640D7E" w:rsidP="009A288E">
      <w:pPr>
        <w:pStyle w:val="FootnoteText"/>
      </w:pPr>
      <w:r w:rsidRPr="00AF30A3">
        <w:rPr>
          <w:rStyle w:val="FootnoteReference"/>
        </w:rPr>
        <w:footnoteRef/>
      </w:r>
      <w:r w:rsidRPr="00AF30A3">
        <w:rPr>
          <w:rStyle w:val="FootnoteReference"/>
        </w:rPr>
        <w:t xml:space="preserve"> </w:t>
      </w:r>
      <w:r>
        <w:tab/>
      </w:r>
      <w:hyperlink r:id="rId2" w:history="1">
        <w:r>
          <w:rPr>
            <w:rStyle w:val="Hyperlink"/>
          </w:rPr>
          <w:t>Konventionen om rättigheter för personer med funktionsnedsättning</w:t>
        </w:r>
      </w:hyperlink>
      <w:r>
        <w:t>.</w:t>
      </w:r>
    </w:p>
  </w:footnote>
  <w:footnote w:id="4">
    <w:p w:rsidR="00640D7E" w:rsidRPr="00A325AE" w:rsidRDefault="00640D7E" w:rsidP="009A288E">
      <w:pPr>
        <w:pStyle w:val="FootnoteText"/>
      </w:pPr>
      <w:r>
        <w:rPr>
          <w:rStyle w:val="FootnoteReference"/>
        </w:rPr>
        <w:footnoteRef/>
      </w:r>
      <w:r>
        <w:t xml:space="preserve"> </w:t>
      </w:r>
      <w:r>
        <w:tab/>
      </w:r>
      <w:hyperlink r:id="rId3" w:history="1">
        <w:r>
          <w:rPr>
            <w:rStyle w:val="Hyperlink"/>
          </w:rPr>
          <w:t xml:space="preserve">Konventionen om rättigheter för personer med funktionsnedsättning, </w:t>
        </w:r>
        <w:proofErr w:type="spellStart"/>
        <w:r>
          <w:rPr>
            <w:rStyle w:val="Hyperlink"/>
          </w:rPr>
          <w:t>Concluding</w:t>
        </w:r>
        <w:proofErr w:type="spellEnd"/>
        <w:r>
          <w:rPr>
            <w:rStyle w:val="Hyperlink"/>
          </w:rPr>
          <w:t xml:space="preserve"> observations on the initial </w:t>
        </w:r>
        <w:proofErr w:type="spellStart"/>
        <w:r>
          <w:rPr>
            <w:rStyle w:val="Hyperlink"/>
          </w:rPr>
          <w:t>report</w:t>
        </w:r>
        <w:proofErr w:type="spellEnd"/>
        <w:r>
          <w:rPr>
            <w:rStyle w:val="Hyperlink"/>
          </w:rPr>
          <w:t xml:space="preserve"> </w:t>
        </w:r>
        <w:proofErr w:type="spellStart"/>
        <w:r>
          <w:rPr>
            <w:rStyle w:val="Hyperlink"/>
          </w:rPr>
          <w:t>of</w:t>
        </w:r>
        <w:proofErr w:type="spellEnd"/>
        <w:r>
          <w:rPr>
            <w:rStyle w:val="Hyperlink"/>
          </w:rPr>
          <w:t xml:space="preserve"> the EU, Förenta nationerna (artikel 6 CRPD/C/EU/CO/1)</w:t>
        </w:r>
      </w:hyperlink>
      <w:r>
        <w:t>.</w:t>
      </w:r>
    </w:p>
  </w:footnote>
  <w:footnote w:id="5">
    <w:p w:rsidR="00640D7E" w:rsidRPr="00A325AE" w:rsidRDefault="00640D7E" w:rsidP="009A288E">
      <w:pPr>
        <w:pStyle w:val="FootnoteText"/>
      </w:pPr>
      <w:r>
        <w:rPr>
          <w:rStyle w:val="FootnoteReference"/>
        </w:rPr>
        <w:footnoteRef/>
      </w:r>
      <w:r>
        <w:t xml:space="preserve"> </w:t>
      </w:r>
      <w:r>
        <w:tab/>
      </w:r>
      <w:hyperlink r:id="rId4" w:history="1">
        <w:r>
          <w:rPr>
            <w:rStyle w:val="Hyperlink"/>
          </w:rPr>
          <w:t xml:space="preserve">2nd </w:t>
        </w:r>
        <w:proofErr w:type="spellStart"/>
        <w:r>
          <w:rPr>
            <w:rStyle w:val="Hyperlink"/>
          </w:rPr>
          <w:t>Manifesto</w:t>
        </w:r>
        <w:proofErr w:type="spellEnd"/>
        <w:r>
          <w:rPr>
            <w:rStyle w:val="Hyperlink"/>
          </w:rPr>
          <w:t xml:space="preserve"> on the </w:t>
        </w:r>
        <w:proofErr w:type="spellStart"/>
        <w:r>
          <w:rPr>
            <w:rStyle w:val="Hyperlink"/>
          </w:rPr>
          <w:t>Rights</w:t>
        </w:r>
        <w:proofErr w:type="spellEnd"/>
        <w:r>
          <w:rPr>
            <w:rStyle w:val="Hyperlink"/>
          </w:rPr>
          <w:t xml:space="preserve"> </w:t>
        </w:r>
        <w:proofErr w:type="spellStart"/>
        <w:r>
          <w:rPr>
            <w:rStyle w:val="Hyperlink"/>
          </w:rPr>
          <w:t>of</w:t>
        </w:r>
        <w:proofErr w:type="spellEnd"/>
        <w:r>
          <w:rPr>
            <w:rStyle w:val="Hyperlink"/>
          </w:rPr>
          <w:t xml:space="preserve"> </w:t>
        </w:r>
        <w:proofErr w:type="spellStart"/>
        <w:r>
          <w:rPr>
            <w:rStyle w:val="Hyperlink"/>
          </w:rPr>
          <w:t>Women</w:t>
        </w:r>
        <w:proofErr w:type="spellEnd"/>
        <w:r>
          <w:rPr>
            <w:rStyle w:val="Hyperlink"/>
          </w:rPr>
          <w:t xml:space="preserve"> and Girls </w:t>
        </w:r>
        <w:proofErr w:type="spellStart"/>
        <w:r>
          <w:rPr>
            <w:rStyle w:val="Hyperlink"/>
          </w:rPr>
          <w:t>with</w:t>
        </w:r>
        <w:proofErr w:type="spellEnd"/>
        <w:r>
          <w:rPr>
            <w:rStyle w:val="Hyperlink"/>
          </w:rPr>
          <w:t xml:space="preserve"> </w:t>
        </w:r>
        <w:proofErr w:type="spellStart"/>
        <w:r>
          <w:rPr>
            <w:rStyle w:val="Hyperlink"/>
          </w:rPr>
          <w:t>Disabilities</w:t>
        </w:r>
        <w:proofErr w:type="spellEnd"/>
        <w:r>
          <w:rPr>
            <w:rStyle w:val="Hyperlink"/>
          </w:rPr>
          <w:t xml:space="preserve"> in the EU, Europeiskt </w:t>
        </w:r>
        <w:proofErr w:type="spellStart"/>
        <w:r>
          <w:rPr>
            <w:rStyle w:val="Hyperlink"/>
          </w:rPr>
          <w:t>handikappforum</w:t>
        </w:r>
        <w:proofErr w:type="spellEnd"/>
        <w:r>
          <w:rPr>
            <w:rStyle w:val="Hyperlink"/>
          </w:rPr>
          <w:t>, 2011, s. 18 och 34</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7E" w:rsidRPr="002E240A" w:rsidRDefault="00640D7E" w:rsidP="002E24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7E" w:rsidRPr="002E240A" w:rsidRDefault="00640D7E" w:rsidP="002E24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7E" w:rsidRPr="002E240A" w:rsidRDefault="00640D7E" w:rsidP="002E24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7E" w:rsidRPr="002E240A" w:rsidRDefault="00640D7E" w:rsidP="002E240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7E" w:rsidRPr="002E240A" w:rsidRDefault="00640D7E" w:rsidP="002E240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7E" w:rsidRPr="002E240A" w:rsidRDefault="00640D7E" w:rsidP="002E2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0211B4A"/>
    <w:multiLevelType w:val="hybridMultilevel"/>
    <w:tmpl w:val="1B1EB3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03F2C0C"/>
    <w:multiLevelType w:val="hybridMultilevel"/>
    <w:tmpl w:val="11D2EE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1CF00BB"/>
    <w:multiLevelType w:val="hybridMultilevel"/>
    <w:tmpl w:val="71B25D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2E258C9"/>
    <w:multiLevelType w:val="hybridMultilevel"/>
    <w:tmpl w:val="A97A3E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376763F"/>
    <w:multiLevelType w:val="hybridMultilevel"/>
    <w:tmpl w:val="34A287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59D7B34"/>
    <w:multiLevelType w:val="hybridMultilevel"/>
    <w:tmpl w:val="A7A2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5B82429"/>
    <w:multiLevelType w:val="hybridMultilevel"/>
    <w:tmpl w:val="EEEC5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07FF72FD"/>
    <w:multiLevelType w:val="hybridMultilevel"/>
    <w:tmpl w:val="3E6C10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95B2A5D"/>
    <w:multiLevelType w:val="hybridMultilevel"/>
    <w:tmpl w:val="BD620D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0B92013A"/>
    <w:multiLevelType w:val="hybridMultilevel"/>
    <w:tmpl w:val="56623F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0CF30300"/>
    <w:multiLevelType w:val="hybridMultilevel"/>
    <w:tmpl w:val="9D707A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0CF37767"/>
    <w:multiLevelType w:val="hybridMultilevel"/>
    <w:tmpl w:val="DCCE81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0D0061E5"/>
    <w:multiLevelType w:val="hybridMultilevel"/>
    <w:tmpl w:val="965EFC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0D3E2C3B"/>
    <w:multiLevelType w:val="hybridMultilevel"/>
    <w:tmpl w:val="41D4B1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0D756997"/>
    <w:multiLevelType w:val="hybridMultilevel"/>
    <w:tmpl w:val="4740EBF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0DF641C3"/>
    <w:multiLevelType w:val="hybridMultilevel"/>
    <w:tmpl w:val="0E3C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ED35776"/>
    <w:multiLevelType w:val="hybridMultilevel"/>
    <w:tmpl w:val="FEB2A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178E5EB1"/>
    <w:multiLevelType w:val="hybridMultilevel"/>
    <w:tmpl w:val="0B6466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007532D"/>
    <w:multiLevelType w:val="hybridMultilevel"/>
    <w:tmpl w:val="507047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204E156C"/>
    <w:multiLevelType w:val="hybridMultilevel"/>
    <w:tmpl w:val="EBB2CD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231B6CFE"/>
    <w:multiLevelType w:val="hybridMultilevel"/>
    <w:tmpl w:val="534CD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013EB3"/>
    <w:multiLevelType w:val="hybridMultilevel"/>
    <w:tmpl w:val="214A98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26193645"/>
    <w:multiLevelType w:val="hybridMultilevel"/>
    <w:tmpl w:val="4434FC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27A8217C"/>
    <w:multiLevelType w:val="hybridMultilevel"/>
    <w:tmpl w:val="B1FA3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C40606D"/>
    <w:multiLevelType w:val="hybridMultilevel"/>
    <w:tmpl w:val="F9F8404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9">
    <w:nsid w:val="2F52127E"/>
    <w:multiLevelType w:val="hybridMultilevel"/>
    <w:tmpl w:val="1EDC54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32202109"/>
    <w:multiLevelType w:val="hybridMultilevel"/>
    <w:tmpl w:val="FFB8E7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324B1194"/>
    <w:multiLevelType w:val="hybridMultilevel"/>
    <w:tmpl w:val="1B9A27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365B0304"/>
    <w:multiLevelType w:val="hybridMultilevel"/>
    <w:tmpl w:val="A49C9F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38F97854"/>
    <w:multiLevelType w:val="hybridMultilevel"/>
    <w:tmpl w:val="171AA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3A3A704D"/>
    <w:multiLevelType w:val="hybridMultilevel"/>
    <w:tmpl w:val="33F6EF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3A906711"/>
    <w:multiLevelType w:val="hybridMultilevel"/>
    <w:tmpl w:val="936E6A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3A906907"/>
    <w:multiLevelType w:val="hybridMultilevel"/>
    <w:tmpl w:val="E65AD0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3CCB7640"/>
    <w:multiLevelType w:val="hybridMultilevel"/>
    <w:tmpl w:val="B2F63EE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3D25013E"/>
    <w:multiLevelType w:val="hybridMultilevel"/>
    <w:tmpl w:val="523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02E6D69"/>
    <w:multiLevelType w:val="hybridMultilevel"/>
    <w:tmpl w:val="39282D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41342236"/>
    <w:multiLevelType w:val="hybridMultilevel"/>
    <w:tmpl w:val="4E045D9C"/>
    <w:lvl w:ilvl="0" w:tplc="890CFCDC">
      <w:start w:val="1"/>
      <w:numFmt w:val="bullet"/>
      <w:lvlText w:val="-"/>
      <w:lvlJc w:val="left"/>
      <w:pPr>
        <w:ind w:left="1845" w:hanging="360"/>
      </w:pPr>
      <w:rPr>
        <w:rFonts w:ascii="Times New Roman" w:eastAsia="Times New Roman" w:hAnsi="Times New Roman" w:cs="Times New Roman" w:hint="default"/>
      </w:rPr>
    </w:lvl>
    <w:lvl w:ilvl="1" w:tplc="18090003" w:tentative="1">
      <w:start w:val="1"/>
      <w:numFmt w:val="bullet"/>
      <w:lvlText w:val="o"/>
      <w:lvlJc w:val="left"/>
      <w:pPr>
        <w:ind w:left="2565" w:hanging="360"/>
      </w:pPr>
      <w:rPr>
        <w:rFonts w:ascii="Courier New" w:hAnsi="Courier New" w:cs="Courier New" w:hint="default"/>
      </w:rPr>
    </w:lvl>
    <w:lvl w:ilvl="2" w:tplc="18090005" w:tentative="1">
      <w:start w:val="1"/>
      <w:numFmt w:val="bullet"/>
      <w:lvlText w:val=""/>
      <w:lvlJc w:val="left"/>
      <w:pPr>
        <w:ind w:left="3285" w:hanging="360"/>
      </w:pPr>
      <w:rPr>
        <w:rFonts w:ascii="Wingdings" w:hAnsi="Wingdings" w:hint="default"/>
      </w:rPr>
    </w:lvl>
    <w:lvl w:ilvl="3" w:tplc="18090001" w:tentative="1">
      <w:start w:val="1"/>
      <w:numFmt w:val="bullet"/>
      <w:lvlText w:val=""/>
      <w:lvlJc w:val="left"/>
      <w:pPr>
        <w:ind w:left="4005" w:hanging="360"/>
      </w:pPr>
      <w:rPr>
        <w:rFonts w:ascii="Symbol" w:hAnsi="Symbol" w:hint="default"/>
      </w:rPr>
    </w:lvl>
    <w:lvl w:ilvl="4" w:tplc="18090003" w:tentative="1">
      <w:start w:val="1"/>
      <w:numFmt w:val="bullet"/>
      <w:lvlText w:val="o"/>
      <w:lvlJc w:val="left"/>
      <w:pPr>
        <w:ind w:left="4725" w:hanging="360"/>
      </w:pPr>
      <w:rPr>
        <w:rFonts w:ascii="Courier New" w:hAnsi="Courier New" w:cs="Courier New" w:hint="default"/>
      </w:rPr>
    </w:lvl>
    <w:lvl w:ilvl="5" w:tplc="18090005" w:tentative="1">
      <w:start w:val="1"/>
      <w:numFmt w:val="bullet"/>
      <w:lvlText w:val=""/>
      <w:lvlJc w:val="left"/>
      <w:pPr>
        <w:ind w:left="5445" w:hanging="360"/>
      </w:pPr>
      <w:rPr>
        <w:rFonts w:ascii="Wingdings" w:hAnsi="Wingdings" w:hint="default"/>
      </w:rPr>
    </w:lvl>
    <w:lvl w:ilvl="6" w:tplc="18090001" w:tentative="1">
      <w:start w:val="1"/>
      <w:numFmt w:val="bullet"/>
      <w:lvlText w:val=""/>
      <w:lvlJc w:val="left"/>
      <w:pPr>
        <w:ind w:left="6165" w:hanging="360"/>
      </w:pPr>
      <w:rPr>
        <w:rFonts w:ascii="Symbol" w:hAnsi="Symbol" w:hint="default"/>
      </w:rPr>
    </w:lvl>
    <w:lvl w:ilvl="7" w:tplc="18090003" w:tentative="1">
      <w:start w:val="1"/>
      <w:numFmt w:val="bullet"/>
      <w:lvlText w:val="o"/>
      <w:lvlJc w:val="left"/>
      <w:pPr>
        <w:ind w:left="6885" w:hanging="360"/>
      </w:pPr>
      <w:rPr>
        <w:rFonts w:ascii="Courier New" w:hAnsi="Courier New" w:cs="Courier New" w:hint="default"/>
      </w:rPr>
    </w:lvl>
    <w:lvl w:ilvl="8" w:tplc="18090005" w:tentative="1">
      <w:start w:val="1"/>
      <w:numFmt w:val="bullet"/>
      <w:lvlText w:val=""/>
      <w:lvlJc w:val="left"/>
      <w:pPr>
        <w:ind w:left="7605" w:hanging="360"/>
      </w:pPr>
      <w:rPr>
        <w:rFonts w:ascii="Wingdings" w:hAnsi="Wingdings" w:hint="default"/>
      </w:rPr>
    </w:lvl>
  </w:abstractNum>
  <w:abstractNum w:abstractNumId="41">
    <w:nsid w:val="45B279FC"/>
    <w:multiLevelType w:val="hybridMultilevel"/>
    <w:tmpl w:val="F6E659BC"/>
    <w:lvl w:ilvl="0" w:tplc="A992E7A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46851389"/>
    <w:multiLevelType w:val="hybridMultilevel"/>
    <w:tmpl w:val="31E0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9FD36BE"/>
    <w:multiLevelType w:val="hybridMultilevel"/>
    <w:tmpl w:val="BDC6D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4A0B3C40"/>
    <w:multiLevelType w:val="hybridMultilevel"/>
    <w:tmpl w:val="62B0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0A5139E"/>
    <w:multiLevelType w:val="hybridMultilevel"/>
    <w:tmpl w:val="908A95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53412081"/>
    <w:multiLevelType w:val="hybridMultilevel"/>
    <w:tmpl w:val="68EEF7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53D26C97"/>
    <w:multiLevelType w:val="hybridMultilevel"/>
    <w:tmpl w:val="7794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9">
    <w:nsid w:val="55055A6B"/>
    <w:multiLevelType w:val="hybridMultilevel"/>
    <w:tmpl w:val="FC02A2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nsid w:val="55C36F7E"/>
    <w:multiLevelType w:val="hybridMultilevel"/>
    <w:tmpl w:val="078E56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59376402"/>
    <w:multiLevelType w:val="hybridMultilevel"/>
    <w:tmpl w:val="E85836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nsid w:val="59E9184B"/>
    <w:multiLevelType w:val="hybridMultilevel"/>
    <w:tmpl w:val="51E07A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5A441DE2"/>
    <w:multiLevelType w:val="hybridMultilevel"/>
    <w:tmpl w:val="29EE18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5A6B084B"/>
    <w:multiLevelType w:val="hybridMultilevel"/>
    <w:tmpl w:val="999686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5D361CA7"/>
    <w:multiLevelType w:val="hybridMultilevel"/>
    <w:tmpl w:val="C4FA67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57">
    <w:nsid w:val="616062A3"/>
    <w:multiLevelType w:val="hybridMultilevel"/>
    <w:tmpl w:val="AB3A7F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618F7F69"/>
    <w:multiLevelType w:val="hybridMultilevel"/>
    <w:tmpl w:val="836654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nsid w:val="638E7AA1"/>
    <w:multiLevelType w:val="singleLevel"/>
    <w:tmpl w:val="ACD4CDB0"/>
    <w:lvl w:ilvl="0">
      <w:numFmt w:val="decimal"/>
      <w:lvlText w:val="*"/>
      <w:lvlJc w:val="left"/>
      <w:rPr>
        <w:rFonts w:cs="Times New Roman"/>
      </w:rPr>
    </w:lvl>
  </w:abstractNum>
  <w:abstractNum w:abstractNumId="60">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nsid w:val="67D815B4"/>
    <w:multiLevelType w:val="hybridMultilevel"/>
    <w:tmpl w:val="AAC8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E97739E"/>
    <w:multiLevelType w:val="hybridMultilevel"/>
    <w:tmpl w:val="659454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nsid w:val="6EBC6068"/>
    <w:multiLevelType w:val="hybridMultilevel"/>
    <w:tmpl w:val="9AF05E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70CA3440"/>
    <w:multiLevelType w:val="hybridMultilevel"/>
    <w:tmpl w:val="4D288B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nsid w:val="72CB1A0F"/>
    <w:multiLevelType w:val="hybridMultilevel"/>
    <w:tmpl w:val="D2C0CC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76CE030C"/>
    <w:multiLevelType w:val="hybridMultilevel"/>
    <w:tmpl w:val="2AEE4D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nsid w:val="77B11B2B"/>
    <w:multiLevelType w:val="hybridMultilevel"/>
    <w:tmpl w:val="DEAAD2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nsid w:val="7B1C319E"/>
    <w:multiLevelType w:val="hybridMultilevel"/>
    <w:tmpl w:val="7736D6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nsid w:val="7C644AB0"/>
    <w:multiLevelType w:val="hybridMultilevel"/>
    <w:tmpl w:val="FAECB9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nsid w:val="7D840B3A"/>
    <w:multiLevelType w:val="hybridMultilevel"/>
    <w:tmpl w:val="3FD8A5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nsid w:val="7EFC6185"/>
    <w:multiLevelType w:val="hybridMultilevel"/>
    <w:tmpl w:val="D26063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6"/>
  </w:num>
  <w:num w:numId="3">
    <w:abstractNumId w:val="24"/>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9"/>
  </w:num>
  <w:num w:numId="6">
    <w:abstractNumId w:val="60"/>
  </w:num>
  <w:num w:numId="7">
    <w:abstractNumId w:val="44"/>
  </w:num>
  <w:num w:numId="8">
    <w:abstractNumId w:val="43"/>
  </w:num>
  <w:num w:numId="9">
    <w:abstractNumId w:val="66"/>
  </w:num>
  <w:num w:numId="10">
    <w:abstractNumId w:val="37"/>
  </w:num>
  <w:num w:numId="11">
    <w:abstractNumId w:val="27"/>
  </w:num>
  <w:num w:numId="12">
    <w:abstractNumId w:val="47"/>
  </w:num>
  <w:num w:numId="13">
    <w:abstractNumId w:val="33"/>
  </w:num>
  <w:num w:numId="14">
    <w:abstractNumId w:val="54"/>
  </w:num>
  <w:num w:numId="15">
    <w:abstractNumId w:val="30"/>
  </w:num>
  <w:num w:numId="16">
    <w:abstractNumId w:val="11"/>
  </w:num>
  <w:num w:numId="17">
    <w:abstractNumId w:val="68"/>
  </w:num>
  <w:num w:numId="18">
    <w:abstractNumId w:val="72"/>
  </w:num>
  <w:num w:numId="19">
    <w:abstractNumId w:val="64"/>
  </w:num>
  <w:num w:numId="20">
    <w:abstractNumId w:val="41"/>
  </w:num>
  <w:num w:numId="21">
    <w:abstractNumId w:val="51"/>
  </w:num>
  <w:num w:numId="22">
    <w:abstractNumId w:val="55"/>
  </w:num>
  <w:num w:numId="23">
    <w:abstractNumId w:val="6"/>
  </w:num>
  <w:num w:numId="24">
    <w:abstractNumId w:val="9"/>
  </w:num>
  <w:num w:numId="25">
    <w:abstractNumId w:val="23"/>
  </w:num>
  <w:num w:numId="26">
    <w:abstractNumId w:val="18"/>
  </w:num>
  <w:num w:numId="27">
    <w:abstractNumId w:val="67"/>
  </w:num>
  <w:num w:numId="28">
    <w:abstractNumId w:val="70"/>
  </w:num>
  <w:num w:numId="29">
    <w:abstractNumId w:val="8"/>
  </w:num>
  <w:num w:numId="30">
    <w:abstractNumId w:val="3"/>
  </w:num>
  <w:num w:numId="31">
    <w:abstractNumId w:val="50"/>
  </w:num>
  <w:num w:numId="32">
    <w:abstractNumId w:val="1"/>
    <w:lvlOverride w:ilvl="0">
      <w:lvl w:ilvl="0">
        <w:start w:val="1"/>
        <w:numFmt w:val="bullet"/>
        <w:lvlText w:val=""/>
        <w:lvlJc w:val="left"/>
        <w:pPr>
          <w:ind w:left="720" w:hanging="360"/>
        </w:pPr>
        <w:rPr>
          <w:rFonts w:ascii="Symbol" w:hAnsi="Symbol" w:hint="default"/>
        </w:rPr>
      </w:lvl>
    </w:lvlOverride>
  </w:num>
  <w:num w:numId="33">
    <w:abstractNumId w:val="61"/>
  </w:num>
  <w:num w:numId="34">
    <w:abstractNumId w:val="17"/>
  </w:num>
  <w:num w:numId="35">
    <w:abstractNumId w:val="14"/>
  </w:num>
  <w:num w:numId="36">
    <w:abstractNumId w:val="38"/>
  </w:num>
  <w:num w:numId="37">
    <w:abstractNumId w:val="71"/>
  </w:num>
  <w:num w:numId="38">
    <w:abstractNumId w:val="16"/>
  </w:num>
  <w:num w:numId="39">
    <w:abstractNumId w:val="29"/>
  </w:num>
  <w:num w:numId="40">
    <w:abstractNumId w:val="42"/>
  </w:num>
  <w:num w:numId="41">
    <w:abstractNumId w:val="63"/>
  </w:num>
  <w:num w:numId="42">
    <w:abstractNumId w:val="7"/>
  </w:num>
  <w:num w:numId="43">
    <w:abstractNumId w:val="59"/>
  </w:num>
  <w:num w:numId="44">
    <w:abstractNumId w:val="40"/>
  </w:num>
  <w:num w:numId="45">
    <w:abstractNumId w:val="62"/>
  </w:num>
  <w:num w:numId="46">
    <w:abstractNumId w:val="4"/>
  </w:num>
  <w:num w:numId="47">
    <w:abstractNumId w:val="69"/>
  </w:num>
  <w:num w:numId="48">
    <w:abstractNumId w:val="45"/>
  </w:num>
  <w:num w:numId="49">
    <w:abstractNumId w:val="15"/>
  </w:num>
  <w:num w:numId="50">
    <w:abstractNumId w:val="5"/>
  </w:num>
  <w:num w:numId="51">
    <w:abstractNumId w:val="49"/>
  </w:num>
  <w:num w:numId="52">
    <w:abstractNumId w:val="52"/>
  </w:num>
  <w:num w:numId="53">
    <w:abstractNumId w:val="13"/>
  </w:num>
  <w:num w:numId="54">
    <w:abstractNumId w:val="36"/>
  </w:num>
  <w:num w:numId="55">
    <w:abstractNumId w:val="25"/>
  </w:num>
  <w:num w:numId="56">
    <w:abstractNumId w:val="46"/>
  </w:num>
  <w:num w:numId="57">
    <w:abstractNumId w:val="65"/>
  </w:num>
  <w:num w:numId="58">
    <w:abstractNumId w:val="39"/>
  </w:num>
  <w:num w:numId="59">
    <w:abstractNumId w:val="31"/>
  </w:num>
  <w:num w:numId="60">
    <w:abstractNumId w:val="35"/>
  </w:num>
  <w:num w:numId="61">
    <w:abstractNumId w:val="12"/>
  </w:num>
  <w:num w:numId="62">
    <w:abstractNumId w:val="21"/>
  </w:num>
  <w:num w:numId="63">
    <w:abstractNumId w:val="10"/>
  </w:num>
  <w:num w:numId="64">
    <w:abstractNumId w:val="57"/>
  </w:num>
  <w:num w:numId="65">
    <w:abstractNumId w:val="20"/>
  </w:num>
  <w:num w:numId="66">
    <w:abstractNumId w:val="22"/>
  </w:num>
  <w:num w:numId="67">
    <w:abstractNumId w:val="2"/>
  </w:num>
  <w:num w:numId="68">
    <w:abstractNumId w:val="58"/>
  </w:num>
  <w:num w:numId="69">
    <w:abstractNumId w:val="34"/>
  </w:num>
  <w:num w:numId="70">
    <w:abstractNumId w:val="26"/>
  </w:num>
  <w:num w:numId="71">
    <w:abstractNumId w:val="32"/>
  </w:num>
  <w:num w:numId="72">
    <w:abstractNumId w:val="53"/>
  </w:num>
  <w:num w:numId="73">
    <w:abstractNumId w:val="2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617"/>
    <w:rsid w:val="00007B94"/>
    <w:rsid w:val="000104CB"/>
    <w:rsid w:val="000115A9"/>
    <w:rsid w:val="00012B39"/>
    <w:rsid w:val="00013610"/>
    <w:rsid w:val="000138A1"/>
    <w:rsid w:val="0001686B"/>
    <w:rsid w:val="00017703"/>
    <w:rsid w:val="00020A28"/>
    <w:rsid w:val="000215A9"/>
    <w:rsid w:val="00022B6C"/>
    <w:rsid w:val="000240FE"/>
    <w:rsid w:val="000244F9"/>
    <w:rsid w:val="00024FEF"/>
    <w:rsid w:val="00025BC0"/>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751"/>
    <w:rsid w:val="000432D1"/>
    <w:rsid w:val="00044DCB"/>
    <w:rsid w:val="00045054"/>
    <w:rsid w:val="000451B3"/>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3786"/>
    <w:rsid w:val="00094645"/>
    <w:rsid w:val="000967CA"/>
    <w:rsid w:val="00096999"/>
    <w:rsid w:val="00097F0D"/>
    <w:rsid w:val="000A2809"/>
    <w:rsid w:val="000A4202"/>
    <w:rsid w:val="000A62E2"/>
    <w:rsid w:val="000B1EEE"/>
    <w:rsid w:val="000C07F0"/>
    <w:rsid w:val="000C0946"/>
    <w:rsid w:val="000C0AA0"/>
    <w:rsid w:val="000C139C"/>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6B2F"/>
    <w:rsid w:val="000D77C2"/>
    <w:rsid w:val="000D7E59"/>
    <w:rsid w:val="000D7F5A"/>
    <w:rsid w:val="000E26A2"/>
    <w:rsid w:val="000E4C16"/>
    <w:rsid w:val="000E6466"/>
    <w:rsid w:val="000E6F41"/>
    <w:rsid w:val="000E7D79"/>
    <w:rsid w:val="000F0112"/>
    <w:rsid w:val="000F035E"/>
    <w:rsid w:val="000F0AFF"/>
    <w:rsid w:val="000F16CE"/>
    <w:rsid w:val="000F181E"/>
    <w:rsid w:val="000F1C07"/>
    <w:rsid w:val="000F3021"/>
    <w:rsid w:val="000F3050"/>
    <w:rsid w:val="000F42C4"/>
    <w:rsid w:val="000F4A9A"/>
    <w:rsid w:val="000F558D"/>
    <w:rsid w:val="000F55B5"/>
    <w:rsid w:val="000F77C3"/>
    <w:rsid w:val="000F7B4B"/>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57F4"/>
    <w:rsid w:val="00166FCB"/>
    <w:rsid w:val="0017241F"/>
    <w:rsid w:val="001737B7"/>
    <w:rsid w:val="0017469D"/>
    <w:rsid w:val="00175D41"/>
    <w:rsid w:val="001764F7"/>
    <w:rsid w:val="001768E2"/>
    <w:rsid w:val="0018061D"/>
    <w:rsid w:val="00180A82"/>
    <w:rsid w:val="001811FF"/>
    <w:rsid w:val="00182B42"/>
    <w:rsid w:val="00182D03"/>
    <w:rsid w:val="00184AE4"/>
    <w:rsid w:val="00184C46"/>
    <w:rsid w:val="00186D96"/>
    <w:rsid w:val="00191C0B"/>
    <w:rsid w:val="00192F9E"/>
    <w:rsid w:val="001940FA"/>
    <w:rsid w:val="00194447"/>
    <w:rsid w:val="0019516A"/>
    <w:rsid w:val="00195479"/>
    <w:rsid w:val="001970B2"/>
    <w:rsid w:val="001979F8"/>
    <w:rsid w:val="001A1064"/>
    <w:rsid w:val="001A141E"/>
    <w:rsid w:val="001A3D0C"/>
    <w:rsid w:val="001A56E8"/>
    <w:rsid w:val="001B01AC"/>
    <w:rsid w:val="001B0D26"/>
    <w:rsid w:val="001B1504"/>
    <w:rsid w:val="001B15BB"/>
    <w:rsid w:val="001B18C2"/>
    <w:rsid w:val="001B232C"/>
    <w:rsid w:val="001B28BC"/>
    <w:rsid w:val="001B424E"/>
    <w:rsid w:val="001B4CC9"/>
    <w:rsid w:val="001B5DF7"/>
    <w:rsid w:val="001B65A1"/>
    <w:rsid w:val="001B6A12"/>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4DA7"/>
    <w:rsid w:val="001F59A5"/>
    <w:rsid w:val="001F689E"/>
    <w:rsid w:val="00200F03"/>
    <w:rsid w:val="002013C3"/>
    <w:rsid w:val="002022AD"/>
    <w:rsid w:val="00202634"/>
    <w:rsid w:val="00203A8F"/>
    <w:rsid w:val="00203D01"/>
    <w:rsid w:val="00204864"/>
    <w:rsid w:val="002052D8"/>
    <w:rsid w:val="00205EFC"/>
    <w:rsid w:val="00211393"/>
    <w:rsid w:val="00211FAE"/>
    <w:rsid w:val="00211FF4"/>
    <w:rsid w:val="00212787"/>
    <w:rsid w:val="002138A9"/>
    <w:rsid w:val="00214451"/>
    <w:rsid w:val="002156FD"/>
    <w:rsid w:val="0021639E"/>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37A97"/>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557C"/>
    <w:rsid w:val="002659B2"/>
    <w:rsid w:val="00266729"/>
    <w:rsid w:val="00266BC6"/>
    <w:rsid w:val="00266F4F"/>
    <w:rsid w:val="00267947"/>
    <w:rsid w:val="00267AB2"/>
    <w:rsid w:val="0027137C"/>
    <w:rsid w:val="0027413E"/>
    <w:rsid w:val="00274585"/>
    <w:rsid w:val="00274E55"/>
    <w:rsid w:val="002751DD"/>
    <w:rsid w:val="00276777"/>
    <w:rsid w:val="00276ED9"/>
    <w:rsid w:val="00281365"/>
    <w:rsid w:val="0028188E"/>
    <w:rsid w:val="00282C78"/>
    <w:rsid w:val="002831ED"/>
    <w:rsid w:val="002843D9"/>
    <w:rsid w:val="002874D7"/>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811"/>
    <w:rsid w:val="002C1999"/>
    <w:rsid w:val="002C3DCC"/>
    <w:rsid w:val="002C41FF"/>
    <w:rsid w:val="002C43DB"/>
    <w:rsid w:val="002C5D72"/>
    <w:rsid w:val="002C6439"/>
    <w:rsid w:val="002C78B6"/>
    <w:rsid w:val="002C7ECD"/>
    <w:rsid w:val="002D09CC"/>
    <w:rsid w:val="002D0F32"/>
    <w:rsid w:val="002D1B76"/>
    <w:rsid w:val="002D2A79"/>
    <w:rsid w:val="002D41B7"/>
    <w:rsid w:val="002D6E86"/>
    <w:rsid w:val="002D73EF"/>
    <w:rsid w:val="002D750B"/>
    <w:rsid w:val="002E240A"/>
    <w:rsid w:val="002E3B27"/>
    <w:rsid w:val="002E5A78"/>
    <w:rsid w:val="002E64CB"/>
    <w:rsid w:val="002E7DDB"/>
    <w:rsid w:val="002F0044"/>
    <w:rsid w:val="002F0199"/>
    <w:rsid w:val="002F0388"/>
    <w:rsid w:val="002F2C18"/>
    <w:rsid w:val="002F352C"/>
    <w:rsid w:val="002F3776"/>
    <w:rsid w:val="002F3FAF"/>
    <w:rsid w:val="002F7D23"/>
    <w:rsid w:val="003002D3"/>
    <w:rsid w:val="003029D8"/>
    <w:rsid w:val="00302FF6"/>
    <w:rsid w:val="003033EF"/>
    <w:rsid w:val="00303C59"/>
    <w:rsid w:val="00304E98"/>
    <w:rsid w:val="003058FB"/>
    <w:rsid w:val="00306501"/>
    <w:rsid w:val="003075E1"/>
    <w:rsid w:val="003079A2"/>
    <w:rsid w:val="00307A61"/>
    <w:rsid w:val="00310AC5"/>
    <w:rsid w:val="00310FF8"/>
    <w:rsid w:val="00311036"/>
    <w:rsid w:val="00311101"/>
    <w:rsid w:val="003111F0"/>
    <w:rsid w:val="0031261A"/>
    <w:rsid w:val="00313641"/>
    <w:rsid w:val="00313967"/>
    <w:rsid w:val="00314C5F"/>
    <w:rsid w:val="00314E4E"/>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052F"/>
    <w:rsid w:val="003415D2"/>
    <w:rsid w:val="00342579"/>
    <w:rsid w:val="00342715"/>
    <w:rsid w:val="003439F8"/>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4124"/>
    <w:rsid w:val="003759AE"/>
    <w:rsid w:val="00377A77"/>
    <w:rsid w:val="003803A1"/>
    <w:rsid w:val="00380A9A"/>
    <w:rsid w:val="0038274D"/>
    <w:rsid w:val="003833E4"/>
    <w:rsid w:val="00383700"/>
    <w:rsid w:val="00383AB0"/>
    <w:rsid w:val="0038496B"/>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5564"/>
    <w:rsid w:val="00395C7C"/>
    <w:rsid w:val="0039620F"/>
    <w:rsid w:val="00396C91"/>
    <w:rsid w:val="00396F6E"/>
    <w:rsid w:val="00397835"/>
    <w:rsid w:val="003979EC"/>
    <w:rsid w:val="00397A66"/>
    <w:rsid w:val="00397C0A"/>
    <w:rsid w:val="003A2297"/>
    <w:rsid w:val="003A63B9"/>
    <w:rsid w:val="003A667F"/>
    <w:rsid w:val="003A7683"/>
    <w:rsid w:val="003B0F39"/>
    <w:rsid w:val="003B1165"/>
    <w:rsid w:val="003B1E45"/>
    <w:rsid w:val="003B20F1"/>
    <w:rsid w:val="003B283B"/>
    <w:rsid w:val="003B2AB5"/>
    <w:rsid w:val="003B2BA2"/>
    <w:rsid w:val="003B38AA"/>
    <w:rsid w:val="003B4824"/>
    <w:rsid w:val="003B48BF"/>
    <w:rsid w:val="003B5313"/>
    <w:rsid w:val="003B5456"/>
    <w:rsid w:val="003B5A54"/>
    <w:rsid w:val="003C1187"/>
    <w:rsid w:val="003C195A"/>
    <w:rsid w:val="003C2DB1"/>
    <w:rsid w:val="003C4AF5"/>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F0686"/>
    <w:rsid w:val="003F09BC"/>
    <w:rsid w:val="003F1815"/>
    <w:rsid w:val="003F1D4E"/>
    <w:rsid w:val="003F2CD5"/>
    <w:rsid w:val="003F2F97"/>
    <w:rsid w:val="003F4FF6"/>
    <w:rsid w:val="003F59AD"/>
    <w:rsid w:val="003F65E2"/>
    <w:rsid w:val="00400FC6"/>
    <w:rsid w:val="00402CA2"/>
    <w:rsid w:val="0040578C"/>
    <w:rsid w:val="004079A9"/>
    <w:rsid w:val="00407AA7"/>
    <w:rsid w:val="004107E8"/>
    <w:rsid w:val="00411755"/>
    <w:rsid w:val="0041385B"/>
    <w:rsid w:val="00413CA9"/>
    <w:rsid w:val="00413EED"/>
    <w:rsid w:val="00414A4C"/>
    <w:rsid w:val="00415AAD"/>
    <w:rsid w:val="0041728F"/>
    <w:rsid w:val="00421682"/>
    <w:rsid w:val="004221CC"/>
    <w:rsid w:val="004235E7"/>
    <w:rsid w:val="004242B7"/>
    <w:rsid w:val="00425526"/>
    <w:rsid w:val="004258F9"/>
    <w:rsid w:val="00426306"/>
    <w:rsid w:val="004276C7"/>
    <w:rsid w:val="00427C97"/>
    <w:rsid w:val="00430418"/>
    <w:rsid w:val="0043072E"/>
    <w:rsid w:val="00430FC6"/>
    <w:rsid w:val="004310BF"/>
    <w:rsid w:val="004331FF"/>
    <w:rsid w:val="00434AB9"/>
    <w:rsid w:val="00434C77"/>
    <w:rsid w:val="00440808"/>
    <w:rsid w:val="00443153"/>
    <w:rsid w:val="00443771"/>
    <w:rsid w:val="0044401F"/>
    <w:rsid w:val="004444F8"/>
    <w:rsid w:val="00444C4C"/>
    <w:rsid w:val="00444D44"/>
    <w:rsid w:val="004452E3"/>
    <w:rsid w:val="004460B4"/>
    <w:rsid w:val="00446146"/>
    <w:rsid w:val="00450993"/>
    <w:rsid w:val="004513D7"/>
    <w:rsid w:val="004520DF"/>
    <w:rsid w:val="0045436B"/>
    <w:rsid w:val="00456257"/>
    <w:rsid w:val="00460A6B"/>
    <w:rsid w:val="00460CCB"/>
    <w:rsid w:val="00460D3F"/>
    <w:rsid w:val="00461E3E"/>
    <w:rsid w:val="004639B7"/>
    <w:rsid w:val="004641D6"/>
    <w:rsid w:val="004647DD"/>
    <w:rsid w:val="00464A26"/>
    <w:rsid w:val="00464B19"/>
    <w:rsid w:val="00464C86"/>
    <w:rsid w:val="00464F6D"/>
    <w:rsid w:val="00464F78"/>
    <w:rsid w:val="00466AC6"/>
    <w:rsid w:val="00466E21"/>
    <w:rsid w:val="00467B6A"/>
    <w:rsid w:val="0047016B"/>
    <w:rsid w:val="00470409"/>
    <w:rsid w:val="00471A72"/>
    <w:rsid w:val="0047306F"/>
    <w:rsid w:val="0047355F"/>
    <w:rsid w:val="0047417A"/>
    <w:rsid w:val="004764CC"/>
    <w:rsid w:val="00477B4B"/>
    <w:rsid w:val="00477C1C"/>
    <w:rsid w:val="0048090F"/>
    <w:rsid w:val="00480C50"/>
    <w:rsid w:val="00481E81"/>
    <w:rsid w:val="00486144"/>
    <w:rsid w:val="00486C20"/>
    <w:rsid w:val="00486F07"/>
    <w:rsid w:val="00491D54"/>
    <w:rsid w:val="004929C8"/>
    <w:rsid w:val="00492EDB"/>
    <w:rsid w:val="00495606"/>
    <w:rsid w:val="00496EBA"/>
    <w:rsid w:val="00497493"/>
    <w:rsid w:val="004A1166"/>
    <w:rsid w:val="004A58D1"/>
    <w:rsid w:val="004A58E6"/>
    <w:rsid w:val="004A7356"/>
    <w:rsid w:val="004A737C"/>
    <w:rsid w:val="004A7AEE"/>
    <w:rsid w:val="004A7C3A"/>
    <w:rsid w:val="004A7E85"/>
    <w:rsid w:val="004B03FA"/>
    <w:rsid w:val="004B0633"/>
    <w:rsid w:val="004B14C0"/>
    <w:rsid w:val="004B41EE"/>
    <w:rsid w:val="004B4C64"/>
    <w:rsid w:val="004B6415"/>
    <w:rsid w:val="004B6441"/>
    <w:rsid w:val="004B73E7"/>
    <w:rsid w:val="004B7790"/>
    <w:rsid w:val="004C05A5"/>
    <w:rsid w:val="004C0FE5"/>
    <w:rsid w:val="004C2DBC"/>
    <w:rsid w:val="004C339E"/>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96E"/>
    <w:rsid w:val="004F1B3E"/>
    <w:rsid w:val="004F2819"/>
    <w:rsid w:val="004F3783"/>
    <w:rsid w:val="004F4E76"/>
    <w:rsid w:val="004F694B"/>
    <w:rsid w:val="004F70F9"/>
    <w:rsid w:val="004F7A13"/>
    <w:rsid w:val="005003A6"/>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27A0"/>
    <w:rsid w:val="00514A9A"/>
    <w:rsid w:val="00515BC0"/>
    <w:rsid w:val="00516F22"/>
    <w:rsid w:val="005207E3"/>
    <w:rsid w:val="00522152"/>
    <w:rsid w:val="00523686"/>
    <w:rsid w:val="00523996"/>
    <w:rsid w:val="00525911"/>
    <w:rsid w:val="00531900"/>
    <w:rsid w:val="005329D4"/>
    <w:rsid w:val="00534CC2"/>
    <w:rsid w:val="00535FFB"/>
    <w:rsid w:val="00537288"/>
    <w:rsid w:val="0054017F"/>
    <w:rsid w:val="0054168C"/>
    <w:rsid w:val="005434EE"/>
    <w:rsid w:val="00543DD5"/>
    <w:rsid w:val="0054508A"/>
    <w:rsid w:val="00546C60"/>
    <w:rsid w:val="005508F5"/>
    <w:rsid w:val="0055113A"/>
    <w:rsid w:val="005515D5"/>
    <w:rsid w:val="00551720"/>
    <w:rsid w:val="00552629"/>
    <w:rsid w:val="005533A1"/>
    <w:rsid w:val="00553E31"/>
    <w:rsid w:val="00554364"/>
    <w:rsid w:val="00554B37"/>
    <w:rsid w:val="00556040"/>
    <w:rsid w:val="005563AF"/>
    <w:rsid w:val="005564A3"/>
    <w:rsid w:val="00557587"/>
    <w:rsid w:val="00557A1C"/>
    <w:rsid w:val="00560546"/>
    <w:rsid w:val="00560AD6"/>
    <w:rsid w:val="00561C94"/>
    <w:rsid w:val="00561E5A"/>
    <w:rsid w:val="005632D7"/>
    <w:rsid w:val="0056359E"/>
    <w:rsid w:val="00565200"/>
    <w:rsid w:val="00565EF7"/>
    <w:rsid w:val="005661DF"/>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36E1"/>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43AA"/>
    <w:rsid w:val="00606054"/>
    <w:rsid w:val="00610CDE"/>
    <w:rsid w:val="0061195A"/>
    <w:rsid w:val="006139AA"/>
    <w:rsid w:val="006140BB"/>
    <w:rsid w:val="0061565F"/>
    <w:rsid w:val="006168EB"/>
    <w:rsid w:val="00616E48"/>
    <w:rsid w:val="006210CA"/>
    <w:rsid w:val="0062238D"/>
    <w:rsid w:val="00622A2D"/>
    <w:rsid w:val="00623026"/>
    <w:rsid w:val="0062302E"/>
    <w:rsid w:val="00623940"/>
    <w:rsid w:val="00626B1D"/>
    <w:rsid w:val="00630BE1"/>
    <w:rsid w:val="00630FCB"/>
    <w:rsid w:val="006325C2"/>
    <w:rsid w:val="00632738"/>
    <w:rsid w:val="00633E90"/>
    <w:rsid w:val="0063400F"/>
    <w:rsid w:val="00635D71"/>
    <w:rsid w:val="00637052"/>
    <w:rsid w:val="00637DD7"/>
    <w:rsid w:val="00640A24"/>
    <w:rsid w:val="00640D7E"/>
    <w:rsid w:val="0064336B"/>
    <w:rsid w:val="00643E56"/>
    <w:rsid w:val="00643EFF"/>
    <w:rsid w:val="0064403D"/>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63EC"/>
    <w:rsid w:val="00676E35"/>
    <w:rsid w:val="0067717C"/>
    <w:rsid w:val="0068003C"/>
    <w:rsid w:val="00680159"/>
    <w:rsid w:val="006808D7"/>
    <w:rsid w:val="006811D6"/>
    <w:rsid w:val="0068174F"/>
    <w:rsid w:val="00681787"/>
    <w:rsid w:val="006819C8"/>
    <w:rsid w:val="00683BD1"/>
    <w:rsid w:val="00683FED"/>
    <w:rsid w:val="00690AFD"/>
    <w:rsid w:val="0069185E"/>
    <w:rsid w:val="006927FA"/>
    <w:rsid w:val="00692AC9"/>
    <w:rsid w:val="00693333"/>
    <w:rsid w:val="00693C6A"/>
    <w:rsid w:val="00694CCC"/>
    <w:rsid w:val="00694CE4"/>
    <w:rsid w:val="0069600A"/>
    <w:rsid w:val="00696261"/>
    <w:rsid w:val="00697392"/>
    <w:rsid w:val="00697507"/>
    <w:rsid w:val="0069782A"/>
    <w:rsid w:val="006A083E"/>
    <w:rsid w:val="006A08D5"/>
    <w:rsid w:val="006A091D"/>
    <w:rsid w:val="006A2764"/>
    <w:rsid w:val="006A31EB"/>
    <w:rsid w:val="006A416D"/>
    <w:rsid w:val="006A41F5"/>
    <w:rsid w:val="006A4EAA"/>
    <w:rsid w:val="006A5BE8"/>
    <w:rsid w:val="006A6090"/>
    <w:rsid w:val="006A645E"/>
    <w:rsid w:val="006A65F0"/>
    <w:rsid w:val="006A7210"/>
    <w:rsid w:val="006B02D0"/>
    <w:rsid w:val="006B15C0"/>
    <w:rsid w:val="006B1950"/>
    <w:rsid w:val="006B1DFC"/>
    <w:rsid w:val="006B1EE7"/>
    <w:rsid w:val="006B422C"/>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1D96"/>
    <w:rsid w:val="00722923"/>
    <w:rsid w:val="0072400C"/>
    <w:rsid w:val="0072636A"/>
    <w:rsid w:val="00727242"/>
    <w:rsid w:val="007272E6"/>
    <w:rsid w:val="007274A7"/>
    <w:rsid w:val="00730B8E"/>
    <w:rsid w:val="00731308"/>
    <w:rsid w:val="00731C77"/>
    <w:rsid w:val="00732A09"/>
    <w:rsid w:val="00736415"/>
    <w:rsid w:val="00736AD9"/>
    <w:rsid w:val="0073735F"/>
    <w:rsid w:val="007402B1"/>
    <w:rsid w:val="00740EA8"/>
    <w:rsid w:val="00741C6B"/>
    <w:rsid w:val="00742468"/>
    <w:rsid w:val="007424AC"/>
    <w:rsid w:val="00742995"/>
    <w:rsid w:val="0074489D"/>
    <w:rsid w:val="0074514B"/>
    <w:rsid w:val="007456DC"/>
    <w:rsid w:val="00745F83"/>
    <w:rsid w:val="007460DB"/>
    <w:rsid w:val="00746BC1"/>
    <w:rsid w:val="0074791C"/>
    <w:rsid w:val="0075085B"/>
    <w:rsid w:val="00750AF6"/>
    <w:rsid w:val="0075179F"/>
    <w:rsid w:val="00752D36"/>
    <w:rsid w:val="00753427"/>
    <w:rsid w:val="0075416B"/>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A10"/>
    <w:rsid w:val="00774ED8"/>
    <w:rsid w:val="00776E35"/>
    <w:rsid w:val="00780E20"/>
    <w:rsid w:val="0078178B"/>
    <w:rsid w:val="0078187B"/>
    <w:rsid w:val="007818AB"/>
    <w:rsid w:val="00781CA3"/>
    <w:rsid w:val="00782FDA"/>
    <w:rsid w:val="00785399"/>
    <w:rsid w:val="00785B79"/>
    <w:rsid w:val="00786406"/>
    <w:rsid w:val="00791C99"/>
    <w:rsid w:val="00792440"/>
    <w:rsid w:val="00793CC7"/>
    <w:rsid w:val="0079472F"/>
    <w:rsid w:val="007949E3"/>
    <w:rsid w:val="00794B5D"/>
    <w:rsid w:val="00794E1C"/>
    <w:rsid w:val="00795A2F"/>
    <w:rsid w:val="00795DA3"/>
    <w:rsid w:val="00796D74"/>
    <w:rsid w:val="00797036"/>
    <w:rsid w:val="00797F04"/>
    <w:rsid w:val="007A3904"/>
    <w:rsid w:val="007A57F4"/>
    <w:rsid w:val="007B31B6"/>
    <w:rsid w:val="007B3529"/>
    <w:rsid w:val="007B5211"/>
    <w:rsid w:val="007B5B5F"/>
    <w:rsid w:val="007C07C5"/>
    <w:rsid w:val="007C2D6B"/>
    <w:rsid w:val="007C3321"/>
    <w:rsid w:val="007C3593"/>
    <w:rsid w:val="007C4447"/>
    <w:rsid w:val="007C7E90"/>
    <w:rsid w:val="007D03DC"/>
    <w:rsid w:val="007D0DD1"/>
    <w:rsid w:val="007D114B"/>
    <w:rsid w:val="007D11C4"/>
    <w:rsid w:val="007D135C"/>
    <w:rsid w:val="007D2AA2"/>
    <w:rsid w:val="007D31F4"/>
    <w:rsid w:val="007D4275"/>
    <w:rsid w:val="007D4396"/>
    <w:rsid w:val="007D4B5F"/>
    <w:rsid w:val="007D64BB"/>
    <w:rsid w:val="007D78A9"/>
    <w:rsid w:val="007E06C0"/>
    <w:rsid w:val="007E0816"/>
    <w:rsid w:val="007E0BBB"/>
    <w:rsid w:val="007E0F60"/>
    <w:rsid w:val="007E134F"/>
    <w:rsid w:val="007E170F"/>
    <w:rsid w:val="007E2573"/>
    <w:rsid w:val="007E3168"/>
    <w:rsid w:val="007E3E7F"/>
    <w:rsid w:val="007E6BCE"/>
    <w:rsid w:val="007E6DF2"/>
    <w:rsid w:val="007E6F14"/>
    <w:rsid w:val="007F00D3"/>
    <w:rsid w:val="007F0D28"/>
    <w:rsid w:val="007F0D84"/>
    <w:rsid w:val="007F15F7"/>
    <w:rsid w:val="007F16A2"/>
    <w:rsid w:val="007F2174"/>
    <w:rsid w:val="007F2384"/>
    <w:rsid w:val="007F2A89"/>
    <w:rsid w:val="007F2E18"/>
    <w:rsid w:val="007F330A"/>
    <w:rsid w:val="007F556F"/>
    <w:rsid w:val="007F67C6"/>
    <w:rsid w:val="007F76AD"/>
    <w:rsid w:val="007F7E76"/>
    <w:rsid w:val="00800AE3"/>
    <w:rsid w:val="00801B7A"/>
    <w:rsid w:val="00802367"/>
    <w:rsid w:val="0080274C"/>
    <w:rsid w:val="00802AF7"/>
    <w:rsid w:val="008031D6"/>
    <w:rsid w:val="008038C5"/>
    <w:rsid w:val="00805F7C"/>
    <w:rsid w:val="00806324"/>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5C09"/>
    <w:rsid w:val="00826076"/>
    <w:rsid w:val="00826273"/>
    <w:rsid w:val="00826FD1"/>
    <w:rsid w:val="008275E5"/>
    <w:rsid w:val="00827D46"/>
    <w:rsid w:val="0083066E"/>
    <w:rsid w:val="00830E2A"/>
    <w:rsid w:val="008314D7"/>
    <w:rsid w:val="00831C5E"/>
    <w:rsid w:val="00832654"/>
    <w:rsid w:val="00832685"/>
    <w:rsid w:val="008331AD"/>
    <w:rsid w:val="008350EE"/>
    <w:rsid w:val="0083618B"/>
    <w:rsid w:val="008367AC"/>
    <w:rsid w:val="00837647"/>
    <w:rsid w:val="008405A0"/>
    <w:rsid w:val="00840A6E"/>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67C22"/>
    <w:rsid w:val="00870187"/>
    <w:rsid w:val="008708A1"/>
    <w:rsid w:val="008731E1"/>
    <w:rsid w:val="008736DF"/>
    <w:rsid w:val="008741DB"/>
    <w:rsid w:val="00874B7D"/>
    <w:rsid w:val="00875E52"/>
    <w:rsid w:val="00875F60"/>
    <w:rsid w:val="00876D7B"/>
    <w:rsid w:val="0087711E"/>
    <w:rsid w:val="00880B4D"/>
    <w:rsid w:val="0088128E"/>
    <w:rsid w:val="008813F4"/>
    <w:rsid w:val="00881E5F"/>
    <w:rsid w:val="008829A4"/>
    <w:rsid w:val="008836DC"/>
    <w:rsid w:val="00883D5B"/>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198C"/>
    <w:rsid w:val="008A2046"/>
    <w:rsid w:val="008A2455"/>
    <w:rsid w:val="008A2A2F"/>
    <w:rsid w:val="008A3652"/>
    <w:rsid w:val="008A6D95"/>
    <w:rsid w:val="008A6EC0"/>
    <w:rsid w:val="008B1171"/>
    <w:rsid w:val="008B3BFA"/>
    <w:rsid w:val="008B48E2"/>
    <w:rsid w:val="008B5152"/>
    <w:rsid w:val="008B5EA0"/>
    <w:rsid w:val="008B6EE1"/>
    <w:rsid w:val="008B7356"/>
    <w:rsid w:val="008B7E27"/>
    <w:rsid w:val="008C0796"/>
    <w:rsid w:val="008C0AEC"/>
    <w:rsid w:val="008C0CA5"/>
    <w:rsid w:val="008C0CB4"/>
    <w:rsid w:val="008C11BE"/>
    <w:rsid w:val="008C12A2"/>
    <w:rsid w:val="008C18C1"/>
    <w:rsid w:val="008C1CF5"/>
    <w:rsid w:val="008C3CE8"/>
    <w:rsid w:val="008C3DC9"/>
    <w:rsid w:val="008C4B38"/>
    <w:rsid w:val="008C6470"/>
    <w:rsid w:val="008C670E"/>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E49"/>
    <w:rsid w:val="00903EBB"/>
    <w:rsid w:val="00904EB4"/>
    <w:rsid w:val="00904EBC"/>
    <w:rsid w:val="0090578F"/>
    <w:rsid w:val="00906027"/>
    <w:rsid w:val="009066D0"/>
    <w:rsid w:val="00906AFE"/>
    <w:rsid w:val="009110F8"/>
    <w:rsid w:val="009114AF"/>
    <w:rsid w:val="00911883"/>
    <w:rsid w:val="00912024"/>
    <w:rsid w:val="0091399B"/>
    <w:rsid w:val="00915485"/>
    <w:rsid w:val="00915C4E"/>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6287"/>
    <w:rsid w:val="00927AA9"/>
    <w:rsid w:val="00927B5B"/>
    <w:rsid w:val="00930D55"/>
    <w:rsid w:val="00932F5A"/>
    <w:rsid w:val="00933610"/>
    <w:rsid w:val="00933B07"/>
    <w:rsid w:val="00934561"/>
    <w:rsid w:val="00941C63"/>
    <w:rsid w:val="00944F28"/>
    <w:rsid w:val="00946CC3"/>
    <w:rsid w:val="00947A7A"/>
    <w:rsid w:val="00951F92"/>
    <w:rsid w:val="009523E9"/>
    <w:rsid w:val="00953BD4"/>
    <w:rsid w:val="00953DE1"/>
    <w:rsid w:val="00954C4D"/>
    <w:rsid w:val="00955259"/>
    <w:rsid w:val="00955D18"/>
    <w:rsid w:val="00960E94"/>
    <w:rsid w:val="009619CC"/>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60AD"/>
    <w:rsid w:val="009867C1"/>
    <w:rsid w:val="009871E1"/>
    <w:rsid w:val="00987EAE"/>
    <w:rsid w:val="0099016F"/>
    <w:rsid w:val="00990F40"/>
    <w:rsid w:val="00991B1C"/>
    <w:rsid w:val="00992591"/>
    <w:rsid w:val="00992739"/>
    <w:rsid w:val="0099413E"/>
    <w:rsid w:val="009941C8"/>
    <w:rsid w:val="0099424C"/>
    <w:rsid w:val="00994BA0"/>
    <w:rsid w:val="009952BF"/>
    <w:rsid w:val="0099587F"/>
    <w:rsid w:val="009967CB"/>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6F8B"/>
    <w:rsid w:val="009C7881"/>
    <w:rsid w:val="009D0DE4"/>
    <w:rsid w:val="009D383A"/>
    <w:rsid w:val="009D3AE0"/>
    <w:rsid w:val="009D5BAA"/>
    <w:rsid w:val="009D6AF9"/>
    <w:rsid w:val="009D77ED"/>
    <w:rsid w:val="009E0B58"/>
    <w:rsid w:val="009E15A0"/>
    <w:rsid w:val="009E1A1C"/>
    <w:rsid w:val="009E1DC8"/>
    <w:rsid w:val="009E3FEB"/>
    <w:rsid w:val="009E46E9"/>
    <w:rsid w:val="009E5563"/>
    <w:rsid w:val="009E5586"/>
    <w:rsid w:val="009E5C1F"/>
    <w:rsid w:val="009E6BE9"/>
    <w:rsid w:val="009F01E3"/>
    <w:rsid w:val="009F02EC"/>
    <w:rsid w:val="009F05CF"/>
    <w:rsid w:val="009F09F1"/>
    <w:rsid w:val="009F40CA"/>
    <w:rsid w:val="009F40D9"/>
    <w:rsid w:val="009F4267"/>
    <w:rsid w:val="009F475D"/>
    <w:rsid w:val="009F4BE9"/>
    <w:rsid w:val="009F58A3"/>
    <w:rsid w:val="009F7736"/>
    <w:rsid w:val="00A0080F"/>
    <w:rsid w:val="00A0181D"/>
    <w:rsid w:val="00A02081"/>
    <w:rsid w:val="00A02258"/>
    <w:rsid w:val="00A02AB3"/>
    <w:rsid w:val="00A02F7C"/>
    <w:rsid w:val="00A04281"/>
    <w:rsid w:val="00A0447D"/>
    <w:rsid w:val="00A04E10"/>
    <w:rsid w:val="00A05234"/>
    <w:rsid w:val="00A05870"/>
    <w:rsid w:val="00A0670F"/>
    <w:rsid w:val="00A07E52"/>
    <w:rsid w:val="00A100FF"/>
    <w:rsid w:val="00A108CC"/>
    <w:rsid w:val="00A11345"/>
    <w:rsid w:val="00A11D42"/>
    <w:rsid w:val="00A12A28"/>
    <w:rsid w:val="00A134D8"/>
    <w:rsid w:val="00A14950"/>
    <w:rsid w:val="00A16EE4"/>
    <w:rsid w:val="00A1766C"/>
    <w:rsid w:val="00A17F1A"/>
    <w:rsid w:val="00A219E7"/>
    <w:rsid w:val="00A22001"/>
    <w:rsid w:val="00A221D0"/>
    <w:rsid w:val="00A222A7"/>
    <w:rsid w:val="00A244AE"/>
    <w:rsid w:val="00A24AFA"/>
    <w:rsid w:val="00A25130"/>
    <w:rsid w:val="00A25446"/>
    <w:rsid w:val="00A25D87"/>
    <w:rsid w:val="00A26386"/>
    <w:rsid w:val="00A31462"/>
    <w:rsid w:val="00A31921"/>
    <w:rsid w:val="00A32152"/>
    <w:rsid w:val="00A34ED8"/>
    <w:rsid w:val="00A35017"/>
    <w:rsid w:val="00A353BC"/>
    <w:rsid w:val="00A355C7"/>
    <w:rsid w:val="00A36171"/>
    <w:rsid w:val="00A36716"/>
    <w:rsid w:val="00A36A65"/>
    <w:rsid w:val="00A36BDD"/>
    <w:rsid w:val="00A372EE"/>
    <w:rsid w:val="00A4018D"/>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66F"/>
    <w:rsid w:val="00A63F16"/>
    <w:rsid w:val="00A65DD2"/>
    <w:rsid w:val="00A66866"/>
    <w:rsid w:val="00A66AD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340A"/>
    <w:rsid w:val="00A944F3"/>
    <w:rsid w:val="00A96E05"/>
    <w:rsid w:val="00A97896"/>
    <w:rsid w:val="00A97E15"/>
    <w:rsid w:val="00AA0BA5"/>
    <w:rsid w:val="00AA179C"/>
    <w:rsid w:val="00AA18AE"/>
    <w:rsid w:val="00AA2776"/>
    <w:rsid w:val="00AA4125"/>
    <w:rsid w:val="00AA4AA6"/>
    <w:rsid w:val="00AA5DB4"/>
    <w:rsid w:val="00AB16BF"/>
    <w:rsid w:val="00AB1FBE"/>
    <w:rsid w:val="00AB24C8"/>
    <w:rsid w:val="00AB4252"/>
    <w:rsid w:val="00AB508B"/>
    <w:rsid w:val="00AB6734"/>
    <w:rsid w:val="00AC00CE"/>
    <w:rsid w:val="00AC16E1"/>
    <w:rsid w:val="00AC18F5"/>
    <w:rsid w:val="00AC27AB"/>
    <w:rsid w:val="00AC5086"/>
    <w:rsid w:val="00AC5496"/>
    <w:rsid w:val="00AC6019"/>
    <w:rsid w:val="00AD12EE"/>
    <w:rsid w:val="00AD173D"/>
    <w:rsid w:val="00AD2465"/>
    <w:rsid w:val="00AD442D"/>
    <w:rsid w:val="00AD6554"/>
    <w:rsid w:val="00AD7EE7"/>
    <w:rsid w:val="00AE0A04"/>
    <w:rsid w:val="00AE14F3"/>
    <w:rsid w:val="00AE20D3"/>
    <w:rsid w:val="00AE22F2"/>
    <w:rsid w:val="00AE2392"/>
    <w:rsid w:val="00AE24DF"/>
    <w:rsid w:val="00AE3428"/>
    <w:rsid w:val="00AE5B1E"/>
    <w:rsid w:val="00AE79CA"/>
    <w:rsid w:val="00AF1968"/>
    <w:rsid w:val="00AF310D"/>
    <w:rsid w:val="00AF328F"/>
    <w:rsid w:val="00AF4582"/>
    <w:rsid w:val="00AF4F04"/>
    <w:rsid w:val="00AF6B3D"/>
    <w:rsid w:val="00AF6F3E"/>
    <w:rsid w:val="00AF7639"/>
    <w:rsid w:val="00AF7B73"/>
    <w:rsid w:val="00AF7DE5"/>
    <w:rsid w:val="00B01399"/>
    <w:rsid w:val="00B03922"/>
    <w:rsid w:val="00B04ACF"/>
    <w:rsid w:val="00B053C6"/>
    <w:rsid w:val="00B05746"/>
    <w:rsid w:val="00B07386"/>
    <w:rsid w:val="00B10030"/>
    <w:rsid w:val="00B104E7"/>
    <w:rsid w:val="00B108E3"/>
    <w:rsid w:val="00B10DE9"/>
    <w:rsid w:val="00B14DAA"/>
    <w:rsid w:val="00B16E80"/>
    <w:rsid w:val="00B17D6B"/>
    <w:rsid w:val="00B234E3"/>
    <w:rsid w:val="00B23945"/>
    <w:rsid w:val="00B24A09"/>
    <w:rsid w:val="00B26A6C"/>
    <w:rsid w:val="00B274CC"/>
    <w:rsid w:val="00B31E79"/>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A91"/>
    <w:rsid w:val="00B73F92"/>
    <w:rsid w:val="00B75A56"/>
    <w:rsid w:val="00B75A7B"/>
    <w:rsid w:val="00B77130"/>
    <w:rsid w:val="00B77B0A"/>
    <w:rsid w:val="00B77EB1"/>
    <w:rsid w:val="00B811E0"/>
    <w:rsid w:val="00B811EC"/>
    <w:rsid w:val="00B81ED2"/>
    <w:rsid w:val="00B822F3"/>
    <w:rsid w:val="00B82F3D"/>
    <w:rsid w:val="00B83530"/>
    <w:rsid w:val="00B84123"/>
    <w:rsid w:val="00B85972"/>
    <w:rsid w:val="00B87120"/>
    <w:rsid w:val="00B901EB"/>
    <w:rsid w:val="00B92979"/>
    <w:rsid w:val="00B929A5"/>
    <w:rsid w:val="00B939A6"/>
    <w:rsid w:val="00B93E80"/>
    <w:rsid w:val="00B94083"/>
    <w:rsid w:val="00B9495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37F29"/>
    <w:rsid w:val="00C4067A"/>
    <w:rsid w:val="00C41BC5"/>
    <w:rsid w:val="00C454C8"/>
    <w:rsid w:val="00C45A67"/>
    <w:rsid w:val="00C46454"/>
    <w:rsid w:val="00C47D9F"/>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67814"/>
    <w:rsid w:val="00C703D4"/>
    <w:rsid w:val="00C7096C"/>
    <w:rsid w:val="00C70A83"/>
    <w:rsid w:val="00C725E7"/>
    <w:rsid w:val="00C726AA"/>
    <w:rsid w:val="00C72F05"/>
    <w:rsid w:val="00C732DD"/>
    <w:rsid w:val="00C73A82"/>
    <w:rsid w:val="00C73BEF"/>
    <w:rsid w:val="00C74BBA"/>
    <w:rsid w:val="00C74EB7"/>
    <w:rsid w:val="00C7512A"/>
    <w:rsid w:val="00C761B3"/>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7E3"/>
    <w:rsid w:val="00C938A2"/>
    <w:rsid w:val="00C94BED"/>
    <w:rsid w:val="00C97992"/>
    <w:rsid w:val="00C97B34"/>
    <w:rsid w:val="00CA0433"/>
    <w:rsid w:val="00CA1241"/>
    <w:rsid w:val="00CA18F8"/>
    <w:rsid w:val="00CA1941"/>
    <w:rsid w:val="00CA3753"/>
    <w:rsid w:val="00CA3D9A"/>
    <w:rsid w:val="00CB10E5"/>
    <w:rsid w:val="00CB1D32"/>
    <w:rsid w:val="00CB40EE"/>
    <w:rsid w:val="00CB4F00"/>
    <w:rsid w:val="00CB5CC4"/>
    <w:rsid w:val="00CB6A8A"/>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4BFB"/>
    <w:rsid w:val="00CE5779"/>
    <w:rsid w:val="00CE653A"/>
    <w:rsid w:val="00CF0587"/>
    <w:rsid w:val="00CF2663"/>
    <w:rsid w:val="00CF35FC"/>
    <w:rsid w:val="00CF3BBF"/>
    <w:rsid w:val="00CF53C8"/>
    <w:rsid w:val="00CF5E85"/>
    <w:rsid w:val="00CF5F66"/>
    <w:rsid w:val="00CF635C"/>
    <w:rsid w:val="00CF63CB"/>
    <w:rsid w:val="00CF7A15"/>
    <w:rsid w:val="00D00275"/>
    <w:rsid w:val="00D00B99"/>
    <w:rsid w:val="00D0129A"/>
    <w:rsid w:val="00D033AB"/>
    <w:rsid w:val="00D0410B"/>
    <w:rsid w:val="00D0422F"/>
    <w:rsid w:val="00D046A8"/>
    <w:rsid w:val="00D05BB8"/>
    <w:rsid w:val="00D05EB9"/>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361A3"/>
    <w:rsid w:val="00D40A15"/>
    <w:rsid w:val="00D40BA4"/>
    <w:rsid w:val="00D4141E"/>
    <w:rsid w:val="00D416D2"/>
    <w:rsid w:val="00D4227C"/>
    <w:rsid w:val="00D4404D"/>
    <w:rsid w:val="00D468AB"/>
    <w:rsid w:val="00D502B8"/>
    <w:rsid w:val="00D504C3"/>
    <w:rsid w:val="00D508CE"/>
    <w:rsid w:val="00D51474"/>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0CCB"/>
    <w:rsid w:val="00D71342"/>
    <w:rsid w:val="00D72920"/>
    <w:rsid w:val="00D73420"/>
    <w:rsid w:val="00D73B1E"/>
    <w:rsid w:val="00D7472A"/>
    <w:rsid w:val="00D74A5E"/>
    <w:rsid w:val="00D80E32"/>
    <w:rsid w:val="00D81307"/>
    <w:rsid w:val="00D81C7A"/>
    <w:rsid w:val="00D81CB1"/>
    <w:rsid w:val="00D82C94"/>
    <w:rsid w:val="00D830A4"/>
    <w:rsid w:val="00D83969"/>
    <w:rsid w:val="00D84D1C"/>
    <w:rsid w:val="00D85439"/>
    <w:rsid w:val="00D86311"/>
    <w:rsid w:val="00D87BF1"/>
    <w:rsid w:val="00D90188"/>
    <w:rsid w:val="00D90FB6"/>
    <w:rsid w:val="00D92D5B"/>
    <w:rsid w:val="00D93206"/>
    <w:rsid w:val="00D95007"/>
    <w:rsid w:val="00D95EAB"/>
    <w:rsid w:val="00D96879"/>
    <w:rsid w:val="00D97E9B"/>
    <w:rsid w:val="00D97EA9"/>
    <w:rsid w:val="00DA0BA0"/>
    <w:rsid w:val="00DA21B4"/>
    <w:rsid w:val="00DA2918"/>
    <w:rsid w:val="00DA3474"/>
    <w:rsid w:val="00DA6571"/>
    <w:rsid w:val="00DB0D67"/>
    <w:rsid w:val="00DB25B9"/>
    <w:rsid w:val="00DB2CC6"/>
    <w:rsid w:val="00DB4472"/>
    <w:rsid w:val="00DB4A7C"/>
    <w:rsid w:val="00DB4B5E"/>
    <w:rsid w:val="00DB564E"/>
    <w:rsid w:val="00DB5CCF"/>
    <w:rsid w:val="00DB69D2"/>
    <w:rsid w:val="00DB6DF3"/>
    <w:rsid w:val="00DB6F6A"/>
    <w:rsid w:val="00DB73A9"/>
    <w:rsid w:val="00DC21B2"/>
    <w:rsid w:val="00DC27C5"/>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5589"/>
    <w:rsid w:val="00DD647C"/>
    <w:rsid w:val="00DD64AF"/>
    <w:rsid w:val="00DD6AE4"/>
    <w:rsid w:val="00DD6D5D"/>
    <w:rsid w:val="00DD7879"/>
    <w:rsid w:val="00DD7D2B"/>
    <w:rsid w:val="00DE1B14"/>
    <w:rsid w:val="00DE25EF"/>
    <w:rsid w:val="00DE2903"/>
    <w:rsid w:val="00DE478E"/>
    <w:rsid w:val="00DE4C44"/>
    <w:rsid w:val="00DE4F63"/>
    <w:rsid w:val="00DE59B3"/>
    <w:rsid w:val="00DE6866"/>
    <w:rsid w:val="00DF2441"/>
    <w:rsid w:val="00DF29AB"/>
    <w:rsid w:val="00DF2ED9"/>
    <w:rsid w:val="00DF3D79"/>
    <w:rsid w:val="00DF4971"/>
    <w:rsid w:val="00DF76D7"/>
    <w:rsid w:val="00DF776E"/>
    <w:rsid w:val="00DF7C95"/>
    <w:rsid w:val="00E013C8"/>
    <w:rsid w:val="00E01B2D"/>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A005D"/>
    <w:rsid w:val="00EA0C94"/>
    <w:rsid w:val="00EA0FAF"/>
    <w:rsid w:val="00EA33A4"/>
    <w:rsid w:val="00EA3B47"/>
    <w:rsid w:val="00EA45D8"/>
    <w:rsid w:val="00EA5C24"/>
    <w:rsid w:val="00EA5F81"/>
    <w:rsid w:val="00EA6E1D"/>
    <w:rsid w:val="00EA7311"/>
    <w:rsid w:val="00EA7B88"/>
    <w:rsid w:val="00EB44EE"/>
    <w:rsid w:val="00EB509D"/>
    <w:rsid w:val="00EB6E7A"/>
    <w:rsid w:val="00EC13B7"/>
    <w:rsid w:val="00EC1BD8"/>
    <w:rsid w:val="00EC2AB1"/>
    <w:rsid w:val="00EC423F"/>
    <w:rsid w:val="00EC4C43"/>
    <w:rsid w:val="00EC63E2"/>
    <w:rsid w:val="00EC69E1"/>
    <w:rsid w:val="00EC6D2D"/>
    <w:rsid w:val="00EC713A"/>
    <w:rsid w:val="00ED0F60"/>
    <w:rsid w:val="00ED143E"/>
    <w:rsid w:val="00ED2941"/>
    <w:rsid w:val="00ED65ED"/>
    <w:rsid w:val="00ED6FD4"/>
    <w:rsid w:val="00ED70E2"/>
    <w:rsid w:val="00ED7F77"/>
    <w:rsid w:val="00EE25F5"/>
    <w:rsid w:val="00EE278E"/>
    <w:rsid w:val="00EE3AEB"/>
    <w:rsid w:val="00EE4363"/>
    <w:rsid w:val="00EE5CC0"/>
    <w:rsid w:val="00EE5E88"/>
    <w:rsid w:val="00EE74E4"/>
    <w:rsid w:val="00EF0FE0"/>
    <w:rsid w:val="00EF1FF3"/>
    <w:rsid w:val="00EF2BE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215A9"/>
    <w:rsid w:val="00F21A6E"/>
    <w:rsid w:val="00F2269F"/>
    <w:rsid w:val="00F226CE"/>
    <w:rsid w:val="00F23BB1"/>
    <w:rsid w:val="00F24C9C"/>
    <w:rsid w:val="00F24CCC"/>
    <w:rsid w:val="00F25C93"/>
    <w:rsid w:val="00F27DB8"/>
    <w:rsid w:val="00F3080D"/>
    <w:rsid w:val="00F31ACB"/>
    <w:rsid w:val="00F327D7"/>
    <w:rsid w:val="00F327DB"/>
    <w:rsid w:val="00F32D1A"/>
    <w:rsid w:val="00F32EE8"/>
    <w:rsid w:val="00F33BFD"/>
    <w:rsid w:val="00F36F50"/>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728B"/>
    <w:rsid w:val="00F600F8"/>
    <w:rsid w:val="00F61B63"/>
    <w:rsid w:val="00F61E0A"/>
    <w:rsid w:val="00F62030"/>
    <w:rsid w:val="00F62033"/>
    <w:rsid w:val="00F6430A"/>
    <w:rsid w:val="00F649C3"/>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102D"/>
    <w:rsid w:val="00F81B41"/>
    <w:rsid w:val="00F82F52"/>
    <w:rsid w:val="00F83F52"/>
    <w:rsid w:val="00F84C0F"/>
    <w:rsid w:val="00F852B3"/>
    <w:rsid w:val="00F86641"/>
    <w:rsid w:val="00F86CE7"/>
    <w:rsid w:val="00F86EB4"/>
    <w:rsid w:val="00F86ED1"/>
    <w:rsid w:val="00F87711"/>
    <w:rsid w:val="00F87901"/>
    <w:rsid w:val="00F90E75"/>
    <w:rsid w:val="00F91945"/>
    <w:rsid w:val="00F91FCF"/>
    <w:rsid w:val="00F92923"/>
    <w:rsid w:val="00F93161"/>
    <w:rsid w:val="00F93A92"/>
    <w:rsid w:val="00F955CF"/>
    <w:rsid w:val="00F9673A"/>
    <w:rsid w:val="00F97A2D"/>
    <w:rsid w:val="00FA0840"/>
    <w:rsid w:val="00FA08A4"/>
    <w:rsid w:val="00FA0AD4"/>
    <w:rsid w:val="00FA27F5"/>
    <w:rsid w:val="00FA2E43"/>
    <w:rsid w:val="00FA4089"/>
    <w:rsid w:val="00FA63F1"/>
    <w:rsid w:val="00FA65B3"/>
    <w:rsid w:val="00FA681F"/>
    <w:rsid w:val="00FA773F"/>
    <w:rsid w:val="00FA799B"/>
    <w:rsid w:val="00FA7B89"/>
    <w:rsid w:val="00FB19F4"/>
    <w:rsid w:val="00FB1DF5"/>
    <w:rsid w:val="00FB1F36"/>
    <w:rsid w:val="00FB40C4"/>
    <w:rsid w:val="00FB4732"/>
    <w:rsid w:val="00FB5355"/>
    <w:rsid w:val="00FB5CC0"/>
    <w:rsid w:val="00FB5F92"/>
    <w:rsid w:val="00FB6FED"/>
    <w:rsid w:val="00FB72FC"/>
    <w:rsid w:val="00FB7E0C"/>
    <w:rsid w:val="00FB7F26"/>
    <w:rsid w:val="00FC0B2C"/>
    <w:rsid w:val="00FC3325"/>
    <w:rsid w:val="00FC4239"/>
    <w:rsid w:val="00FC45F0"/>
    <w:rsid w:val="00FC4F4E"/>
    <w:rsid w:val="00FC5610"/>
    <w:rsid w:val="00FD126B"/>
    <w:rsid w:val="00FD183E"/>
    <w:rsid w:val="00FD1A59"/>
    <w:rsid w:val="00FD1EF9"/>
    <w:rsid w:val="00FD2974"/>
    <w:rsid w:val="00FD3802"/>
    <w:rsid w:val="00FD5998"/>
    <w:rsid w:val="00FD5BD5"/>
    <w:rsid w:val="00FD6793"/>
    <w:rsid w:val="00FD7243"/>
    <w:rsid w:val="00FD75DA"/>
    <w:rsid w:val="00FD7DA4"/>
    <w:rsid w:val="00FD7E01"/>
    <w:rsid w:val="00FE16FC"/>
    <w:rsid w:val="00FE21A5"/>
    <w:rsid w:val="00FE2B7E"/>
    <w:rsid w:val="00FE33DE"/>
    <w:rsid w:val="00FE3C85"/>
    <w:rsid w:val="00FE5651"/>
    <w:rsid w:val="00FE57C9"/>
    <w:rsid w:val="00FE64BB"/>
    <w:rsid w:val="00FE7485"/>
    <w:rsid w:val="00FF0753"/>
    <w:rsid w:val="00FF15DA"/>
    <w:rsid w:val="00FF1B46"/>
    <w:rsid w:val="00FF2067"/>
    <w:rsid w:val="00FF27A9"/>
    <w:rsid w:val="00FF3A9F"/>
    <w:rsid w:val="00FF3F13"/>
    <w:rsid w:val="00FF560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v-SE"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HTML Preformatted"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ind w:left="567" w:hanging="567"/>
      <w:outlineLvl w:val="1"/>
    </w:pPr>
  </w:style>
  <w:style w:type="paragraph" w:styleId="Heading3">
    <w:name w:val="heading 3"/>
    <w:basedOn w:val="Normal"/>
    <w:next w:val="Normal"/>
    <w:link w:val="Heading3Char"/>
    <w:qFormat/>
    <w:rsid w:val="00976928"/>
    <w:pPr>
      <w:numPr>
        <w:ilvl w:val="2"/>
        <w:numId w:val="1"/>
      </w:numPr>
      <w:ind w:left="567" w:hanging="567"/>
      <w:outlineLvl w:val="2"/>
    </w:pPr>
  </w:style>
  <w:style w:type="paragraph" w:styleId="Heading4">
    <w:name w:val="heading 4"/>
    <w:basedOn w:val="Normal"/>
    <w:next w:val="Normal"/>
    <w:link w:val="Heading4Char"/>
    <w:qFormat/>
    <w:rsid w:val="00976928"/>
    <w:pPr>
      <w:numPr>
        <w:ilvl w:val="3"/>
        <w:numId w:val="1"/>
      </w:numPr>
      <w:ind w:left="567" w:hanging="567"/>
      <w:outlineLvl w:val="3"/>
    </w:pPr>
  </w:style>
  <w:style w:type="paragraph" w:styleId="Heading5">
    <w:name w:val="heading 5"/>
    <w:basedOn w:val="Normal"/>
    <w:next w:val="Normal"/>
    <w:link w:val="Heading5Char"/>
    <w:qFormat/>
    <w:rsid w:val="00976928"/>
    <w:pPr>
      <w:numPr>
        <w:ilvl w:val="4"/>
        <w:numId w:val="1"/>
      </w:numPr>
      <w:ind w:left="567" w:hanging="567"/>
      <w:outlineLvl w:val="4"/>
    </w:pPr>
  </w:style>
  <w:style w:type="paragraph" w:styleId="Heading6">
    <w:name w:val="heading 6"/>
    <w:basedOn w:val="Normal"/>
    <w:next w:val="Normal"/>
    <w:link w:val="Heading6Char"/>
    <w:qFormat/>
    <w:rsid w:val="00976928"/>
    <w:pPr>
      <w:numPr>
        <w:ilvl w:val="5"/>
        <w:numId w:val="1"/>
      </w:numPr>
      <w:ind w:left="567" w:hanging="567"/>
      <w:outlineLvl w:val="5"/>
    </w:pPr>
  </w:style>
  <w:style w:type="paragraph" w:styleId="Heading7">
    <w:name w:val="heading 7"/>
    <w:basedOn w:val="Normal"/>
    <w:next w:val="Normal"/>
    <w:link w:val="Heading7Char"/>
    <w:qFormat/>
    <w:rsid w:val="00976928"/>
    <w:pPr>
      <w:numPr>
        <w:ilvl w:val="6"/>
        <w:numId w:val="1"/>
      </w:numPr>
      <w:ind w:left="567" w:hanging="567"/>
      <w:outlineLvl w:val="6"/>
    </w:pPr>
  </w:style>
  <w:style w:type="paragraph" w:styleId="Heading8">
    <w:name w:val="heading 8"/>
    <w:basedOn w:val="Normal"/>
    <w:next w:val="Normal"/>
    <w:link w:val="Heading8Char"/>
    <w:qFormat/>
    <w:rsid w:val="00976928"/>
    <w:pPr>
      <w:numPr>
        <w:ilvl w:val="7"/>
        <w:numId w:val="1"/>
      </w:numPr>
      <w:ind w:left="567" w:hanging="567"/>
      <w:outlineLvl w:val="7"/>
    </w:pPr>
  </w:style>
  <w:style w:type="paragraph" w:styleId="Heading9">
    <w:name w:val="heading 9"/>
    <w:basedOn w:val="Normal"/>
    <w:next w:val="Normal"/>
    <w:link w:val="Heading9Char"/>
    <w:qFormat/>
    <w:rsid w:val="0097692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sv-SE"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sv-SE"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sv-SE"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sv-SE"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sv-SE"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sv-SE"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sv-SE"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sv-SE"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sv-SE"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sv-SE"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sv-SE"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sv-SE"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sv-SE"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2E240A"/>
    <w:pPr>
      <w:tabs>
        <w:tab w:val="right" w:leader="dot" w:pos="9063"/>
      </w:tabs>
      <w:spacing w:after="100"/>
      <w:ind w:left="567" w:hanging="567"/>
      <w:jc w:val="left"/>
    </w:pPr>
  </w:style>
  <w:style w:type="paragraph" w:styleId="ListParagraph">
    <w:name w:val="List Paragraph"/>
    <w:aliases w:val="Number list"/>
    <w:basedOn w:val="Normal"/>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v-SE"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HTML Preformatted"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ind w:left="567" w:hanging="567"/>
      <w:outlineLvl w:val="1"/>
    </w:pPr>
  </w:style>
  <w:style w:type="paragraph" w:styleId="Heading3">
    <w:name w:val="heading 3"/>
    <w:basedOn w:val="Normal"/>
    <w:next w:val="Normal"/>
    <w:link w:val="Heading3Char"/>
    <w:qFormat/>
    <w:rsid w:val="00976928"/>
    <w:pPr>
      <w:numPr>
        <w:ilvl w:val="2"/>
        <w:numId w:val="1"/>
      </w:numPr>
      <w:ind w:left="567" w:hanging="567"/>
      <w:outlineLvl w:val="2"/>
    </w:pPr>
  </w:style>
  <w:style w:type="paragraph" w:styleId="Heading4">
    <w:name w:val="heading 4"/>
    <w:basedOn w:val="Normal"/>
    <w:next w:val="Normal"/>
    <w:link w:val="Heading4Char"/>
    <w:qFormat/>
    <w:rsid w:val="00976928"/>
    <w:pPr>
      <w:numPr>
        <w:ilvl w:val="3"/>
        <w:numId w:val="1"/>
      </w:numPr>
      <w:ind w:left="567" w:hanging="567"/>
      <w:outlineLvl w:val="3"/>
    </w:pPr>
  </w:style>
  <w:style w:type="paragraph" w:styleId="Heading5">
    <w:name w:val="heading 5"/>
    <w:basedOn w:val="Normal"/>
    <w:next w:val="Normal"/>
    <w:link w:val="Heading5Char"/>
    <w:qFormat/>
    <w:rsid w:val="00976928"/>
    <w:pPr>
      <w:numPr>
        <w:ilvl w:val="4"/>
        <w:numId w:val="1"/>
      </w:numPr>
      <w:ind w:left="567" w:hanging="567"/>
      <w:outlineLvl w:val="4"/>
    </w:pPr>
  </w:style>
  <w:style w:type="paragraph" w:styleId="Heading6">
    <w:name w:val="heading 6"/>
    <w:basedOn w:val="Normal"/>
    <w:next w:val="Normal"/>
    <w:link w:val="Heading6Char"/>
    <w:qFormat/>
    <w:rsid w:val="00976928"/>
    <w:pPr>
      <w:numPr>
        <w:ilvl w:val="5"/>
        <w:numId w:val="1"/>
      </w:numPr>
      <w:ind w:left="567" w:hanging="567"/>
      <w:outlineLvl w:val="5"/>
    </w:pPr>
  </w:style>
  <w:style w:type="paragraph" w:styleId="Heading7">
    <w:name w:val="heading 7"/>
    <w:basedOn w:val="Normal"/>
    <w:next w:val="Normal"/>
    <w:link w:val="Heading7Char"/>
    <w:qFormat/>
    <w:rsid w:val="00976928"/>
    <w:pPr>
      <w:numPr>
        <w:ilvl w:val="6"/>
        <w:numId w:val="1"/>
      </w:numPr>
      <w:ind w:left="567" w:hanging="567"/>
      <w:outlineLvl w:val="6"/>
    </w:pPr>
  </w:style>
  <w:style w:type="paragraph" w:styleId="Heading8">
    <w:name w:val="heading 8"/>
    <w:basedOn w:val="Normal"/>
    <w:next w:val="Normal"/>
    <w:link w:val="Heading8Char"/>
    <w:qFormat/>
    <w:rsid w:val="00976928"/>
    <w:pPr>
      <w:numPr>
        <w:ilvl w:val="7"/>
        <w:numId w:val="1"/>
      </w:numPr>
      <w:ind w:left="567" w:hanging="567"/>
      <w:outlineLvl w:val="7"/>
    </w:pPr>
  </w:style>
  <w:style w:type="paragraph" w:styleId="Heading9">
    <w:name w:val="heading 9"/>
    <w:basedOn w:val="Normal"/>
    <w:next w:val="Normal"/>
    <w:link w:val="Heading9Char"/>
    <w:qFormat/>
    <w:rsid w:val="0097692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sv-SE"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sv-SE"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sv-SE"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sv-SE"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sv-SE"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sv-SE"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sv-SE"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sv-SE"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sv-SE"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sv-SE"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sv-SE"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sv-SE"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sv-SE"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2E240A"/>
    <w:pPr>
      <w:tabs>
        <w:tab w:val="right" w:leader="dot" w:pos="9063"/>
      </w:tabs>
      <w:spacing w:after="100"/>
      <w:ind w:left="567" w:hanging="567"/>
      <w:jc w:val="left"/>
    </w:pPr>
  </w:style>
  <w:style w:type="paragraph" w:styleId="ListParagraph">
    <w:name w:val="List Paragraph"/>
    <w:aliases w:val="Number list"/>
    <w:basedOn w:val="Normal"/>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Juri.Soosaar@eesc.europa.eu" TargetMode="External"/><Relationship Id="rId39" Type="http://schemas.openxmlformats.org/officeDocument/2006/relationships/hyperlink" Target="mailto:Arturo.Iniguez@eesc.europa.eu"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Maja.Radman@eesc.europa.eu" TargetMode="External"/><Relationship Id="rId42" Type="http://schemas.openxmlformats.org/officeDocument/2006/relationships/hyperlink" Target="mailto:valeria.atzori@eesc.europa.eu" TargetMode="External"/><Relationship Id="rId47" Type="http://schemas.openxmlformats.org/officeDocument/2006/relationships/header" Target="header5.xml"/><Relationship Id="rId50" Type="http://schemas.openxmlformats.org/officeDocument/2006/relationships/header" Target="head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Juri.Soosaar@eesc.europa.eu" TargetMode="External"/><Relationship Id="rId33" Type="http://schemas.openxmlformats.org/officeDocument/2006/relationships/hyperlink" Target="mailto:Erika.Paulinova@eesc.europa.eu" TargetMode="External"/><Relationship Id="rId38" Type="http://schemas.openxmlformats.org/officeDocument/2006/relationships/hyperlink" Target="mailto:Conrad.Ganslandt@eesc.europa.eu" TargetMode="External"/><Relationship Id="rId46"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claudia.drewes-wran@eesc.europa.eu" TargetMode="External"/><Relationship Id="rId41" Type="http://schemas.openxmlformats.org/officeDocument/2006/relationships/hyperlink" Target="mailto:triin.aasmaa@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Georgios.Meleas@eesc.europa.eu" TargetMode="External"/><Relationship Id="rId32" Type="http://schemas.openxmlformats.org/officeDocument/2006/relationships/hyperlink" Target="mailto:Kristian.Krieger@eesc.europa.eu" TargetMode="External"/><Relationship Id="rId37" Type="http://schemas.openxmlformats.org/officeDocument/2006/relationships/hyperlink" Target="mailto:Arturo.Iniguez@eesc.europa.eu" TargetMode="External"/><Relationship Id="rId40" Type="http://schemas.openxmlformats.org/officeDocument/2006/relationships/hyperlink" Target="mailto:Arturo.Iniguez@eesc.europa.eu" TargetMode="External"/><Relationship Id="rId45" Type="http://schemas.openxmlformats.org/officeDocument/2006/relationships/hyperlink" Target="mailto:sabrina.borg@eesc.europa.eu"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Gerald.Klec@eesc.europa.eu" TargetMode="External"/><Relationship Id="rId28" Type="http://schemas.openxmlformats.org/officeDocument/2006/relationships/hyperlink" Target="mailto:claudia.drewes-wran@eesc.europa.eu" TargetMode="External"/><Relationship Id="rId36" Type="http://schemas.openxmlformats.org/officeDocument/2006/relationships/hyperlink" Target="mailto:Laura.Broomfield@eesc.europa.eu" TargetMode="External"/><Relationship Id="rId49"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Jana.Valant@eesc.europa.eu" TargetMode="External"/><Relationship Id="rId44" Type="http://schemas.openxmlformats.org/officeDocument/2006/relationships/hyperlink" Target="mailto:ana.dumitrache@eesc.europa.eu"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sv/our-work/opinions-information-reports/plenary-session-summaries" TargetMode="External"/><Relationship Id="rId22" Type="http://schemas.openxmlformats.org/officeDocument/2006/relationships/hyperlink" Target="mailto:georgios.meleas@eesc.europa.eu" TargetMode="External"/><Relationship Id="rId27" Type="http://schemas.openxmlformats.org/officeDocument/2006/relationships/hyperlink" Target="mailto:Juri.Soosaar@eesc.europa.eu" TargetMode="External"/><Relationship Id="rId30" Type="http://schemas.openxmlformats.org/officeDocument/2006/relationships/hyperlink" Target="mailto:jean-pierre.faure@eesc.europa.eu" TargetMode="External"/><Relationship Id="rId35" Type="http://schemas.openxmlformats.org/officeDocument/2006/relationships/hyperlink" Target="mailto:Conrad.Ganslandt@eesc.europa.eu" TargetMode="External"/><Relationship Id="rId43" Type="http://schemas.openxmlformats.org/officeDocument/2006/relationships/hyperlink" Target="mailto:triin.aasmaa@eesc.europa.eu" TargetMode="External"/><Relationship Id="rId48" Type="http://schemas.openxmlformats.org/officeDocument/2006/relationships/footer" Target="footer4.xml"/><Relationship Id="rId8" Type="http://schemas.microsoft.com/office/2007/relationships/stylesWithEffects" Target="stylesWithEffects.xml"/><Relationship Id="rId51"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tbinternet.ohchr.org/_layouts/treatybodyexternal/Download.aspx?symbolno=CRPD/C/EU/CO/1&amp;Lang=en" TargetMode="External"/><Relationship Id="rId2" Type="http://schemas.openxmlformats.org/officeDocument/2006/relationships/hyperlink" Target="https://www.un.org/development/desa/disabilities/convention-on-the-rights-of-persons-with-disabilities.html" TargetMode="External"/><Relationship Id="rId1" Type="http://schemas.openxmlformats.org/officeDocument/2006/relationships/hyperlink" Target="https://eur-lex.europa.eu/LexUriServ/LexUriServ.do?uri=OJ:C:2016:264:SOM:SV:HTML" TargetMode="External"/><Relationship Id="rId4" Type="http://schemas.openxmlformats.org/officeDocument/2006/relationships/hyperlink" Target="http://edf-feph.org/other-publications"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RCSZ5D2JPTA3-5-9583</_dlc_DocId>
    <_dlc_DocIdUrl xmlns="8975caae-a2e4-4a1b-856a-87d8a7cad937">
      <Url>http://dm/EESC/2018/_layouts/DocIdRedir.aspx?ID=RCSZ5D2JPTA3-5-9583</Url>
      <Description>RCSZ5D2JPTA3-5-9583</Description>
    </_dlc_DocIdUrl>
    <MeetingNumber xmlns="b2fd9cfc-69a7-468d-842d-8645d9eed445">536</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2018-08-27T12:00:00+00:00</ProductionDate>
    <DocumentNumber xmlns="b2fd9cfc-69a7-468d-842d-8645d9eed445">2821</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2018-07-11T12:00:00+00:00</MeetingDate>
    <TaxCatchAll xmlns="8975caae-a2e4-4a1b-856a-87d8a7cad937">
      <Value>45</Value>
      <Value>41</Value>
      <Value>40</Value>
      <Value>39</Value>
      <Value>38</Value>
      <Value>37</Value>
      <Value>33</Value>
      <Value>31</Value>
      <Value>28</Value>
      <Value>27</Value>
      <Value>25</Value>
      <Value>24</Value>
      <Value>23</Value>
      <Value>22</Value>
      <Value>21</Value>
      <Value>20</Value>
      <Value>19</Value>
      <Value>18</Value>
      <Value>16</Value>
      <Value>14</Value>
      <Value>13</Value>
      <Value>11</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9004</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5844E-2EA8-4884-B323-BA739E5E4A7D}"/>
</file>

<file path=customXml/itemProps2.xml><?xml version="1.0" encoding="utf-8"?>
<ds:datastoreItem xmlns:ds="http://schemas.openxmlformats.org/officeDocument/2006/customXml" ds:itemID="{2272B315-18A8-418C-AEDB-0DE6F18C5CA7}"/>
</file>

<file path=customXml/itemProps3.xml><?xml version="1.0" encoding="utf-8"?>
<ds:datastoreItem xmlns:ds="http://schemas.openxmlformats.org/officeDocument/2006/customXml" ds:itemID="{27172C6D-F210-4BCC-96B9-D59A42C1E6F5}"/>
</file>

<file path=customXml/itemProps4.xml><?xml version="1.0" encoding="utf-8"?>
<ds:datastoreItem xmlns:ds="http://schemas.openxmlformats.org/officeDocument/2006/customXml" ds:itemID="{65C41151-A0C8-492A-9572-9867E45A8089}"/>
</file>

<file path=customXml/itemProps5.xml><?xml version="1.0" encoding="utf-8"?>
<ds:datastoreItem xmlns:ds="http://schemas.openxmlformats.org/officeDocument/2006/customXml" ds:itemID="{FEC6C36E-7CBF-4209-A7D5-97C1BCF306E0}"/>
</file>

<file path=docProps/app.xml><?xml version="1.0" encoding="utf-8"?>
<Properties xmlns="http://schemas.openxmlformats.org/officeDocument/2006/extended-properties" xmlns:vt="http://schemas.openxmlformats.org/officeDocument/2006/docPropsVTypes">
  <Template>Styles</Template>
  <TotalTime>34</TotalTime>
  <Pages>27</Pages>
  <Words>6480</Words>
  <Characters>45481</Characters>
  <Application>Microsoft Office Word</Application>
  <DocSecurity>0</DocSecurity>
  <Lines>379</Lines>
  <Paragraphs>103</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51858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Sammanfattning av yttranden plenarsessionen juli 2018</dc:title>
  <dc:subject>Övriga dokument</dc:subject>
  <dc:creator>Marcos Jaime Tornin</dc:creator>
  <cp:keywords>EESC-2018-02821-00-01-TCD-TRA-FR</cp:keywords>
  <dc:description>Rapporteur:  - Original language: FR, EN - Date of document: 27/08/2018 - Date of meeting: 11/07/2018 - External documents:  - Administrator: MME Tamasauskiene Julija</dc:description>
  <cp:lastModifiedBy>Maria Elisabeth Johanna Tuomi</cp:lastModifiedBy>
  <cp:revision>11</cp:revision>
  <cp:lastPrinted>2018-07-09T09:21:00Z</cp:lastPrinted>
  <dcterms:created xsi:type="dcterms:W3CDTF">2018-08-21T08:22:00Z</dcterms:created>
  <dcterms:modified xsi:type="dcterms:W3CDTF">2018-08-27T07:49:00Z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21/08/2018, 12/07/2018, 23/05/2018, 13/03/2018, 26/02/2018, 14/02/2018, 24/01/2018, 16/01/2018, 19/12/2017, 01/12/2017, 16/11/2017, 15/11/2017, 17/10/2017, 13/09/2017, 03/07/2017, 12/06/2017, 02/06/2017, 24/04/2017, 23/03/2017, 13/12/2016, 15/09/2016, 14/</vt:lpwstr>
  </property>
  <property fmtid="{D5CDD505-2E9C-101B-9397-08002B2CF9AE}" pid="4" name="Pref_Time">
    <vt:lpwstr>09:19:52, 14:45:38, 09:50:08, 13:54:15, 10:33:11, 11:57:02, 15:31:00, 09:45:52, 11:53:01, 15:00:14, 15:49:39, 15:47:16, 10:48:52, 11:23:50, 09:51:12, 14:43:57, 12:54:34, 12:22:33, 12:08:44, 12:23:59, 18:12:41, 09:48:43, 08:36:59, 11:43:50, 09:30:52, 17:35</vt:lpwstr>
  </property>
  <property fmtid="{D5CDD505-2E9C-101B-9397-08002B2CF9AE}" pid="5" name="Pref_User">
    <vt:lpwstr>hnic, enied, hnic, mreg, jhvi, mkop, hnic, mkop, amett, jhvi, amett, tvoc, tvoc, tvoc, amett, hnic, mreg, mreg, enied, mreg, jhvi, tvoc, htoo, mreg, tvoc, hnic, mreg, hnic, amett, nmcg, amett, enied, nmcg, amett, enied, ymur, tvoc, nmcg, vvos, ssex, vvos,</vt:lpwstr>
  </property>
  <property fmtid="{D5CDD505-2E9C-101B-9397-08002B2CF9AE}" pid="6" name="Pref_FileName">
    <vt:lpwstr>EESC-2018-02821-00-01-TCD-ORI.docx, EESC-2018-02821-00-00-TCD-ORI.docx, EESC-2018-02039-00-00-TCD-ORI.docx, EESC-2018-00950-00-00-TCD-ORI.docx, EESC-2018-00366-00-01-TCD-ORI.docx, EESC-2018-00366-00-00-TCD-ORI.docx, EESC-2017-05949-00-01-TCD-ORI.docx, EES</vt:lpwstr>
  </property>
  <property fmtid="{D5CDD505-2E9C-101B-9397-08002B2CF9AE}" pid="7" name="ContentTypeId">
    <vt:lpwstr>0x010100EA97B91038054C99906057A708A1480A00C11DA2224A10F34E86FCC8C9E81793CC</vt:lpwstr>
  </property>
  <property fmtid="{D5CDD505-2E9C-101B-9397-08002B2CF9AE}" pid="8" name="_dlc_DocIdItemGuid">
    <vt:lpwstr>ee375e02-f47b-4314-a2cb-9fdbf14e7c42</vt:lpwstr>
  </property>
  <property fmtid="{D5CDD505-2E9C-101B-9397-08002B2CF9AE}" pid="9" name="MeetingNumber">
    <vt:i4>536</vt:i4>
  </property>
  <property fmtid="{D5CDD505-2E9C-101B-9397-08002B2CF9AE}" pid="10" name="DocumentType_0">
    <vt:lpwstr>TCD|cd9d6eb6-3f4f-424a-b2d1-57c9d450eaaf</vt:lpwstr>
  </property>
  <property fmtid="{D5CDD505-2E9C-101B-9397-08002B2CF9AE}" pid="11" name="AvailableTranslations">
    <vt:lpwstr>23;#SK|46d9fce0-ef79-4f71-b89b-cd6aa82426b8;#24;#PT|50ccc04a-eadd-42ae-a0cb-acaf45f812ba;#31;#RO|feb747a2-64cd-4299-af12-4833ddc30497;#20;#PL|1e03da61-4678-4e07-b136-b5024ca9197b;#45;#MT|7df99101-6854-4a26-b53a-b88c0da02c26;#37;#LT|a7ff5ce7-6123-4f68-865a-a57c31810414;#4;#EN|f2175f21-25d7-44a3-96da-d6a61b075e1b;#33;#EL|6d4f4d51-af9b-4650-94b4-4276bee85c91;#21;#CS|72f9705b-0217-4fd3-bea2-cbc7ed80e26e;#38;#IT|0774613c-01ed-4e5d-a25d-11d2388de825;#47;#ET|ff6c3f4c-b02c-4c3c-ab07-2c37995a7a0a;#18;#ES|e7a6b05b-ae16-40c8-add9-68b64b03aeba;#22;#FI|87606a43-d45f-42d6-b8c9-e1a3457db5b7;#39;#LV|46f7e311-5d9f-4663-b433-18aeccb7ace7;#41;#SV|c2ed69e7-a339-43d7-8f22-d93680a92aa0;#14;#NL|55c6556c-b4f4-441d-9acf-c498d4f838bd;#13;#DA|5d49c027-8956-412b-aa16-e85a0f96ad0e;#27;#DE|f6b31e5a-26fa-4935-b661-318e46daf27e;#19;#SL|98a412ae-eb01-49e9-ae3d-585a81724cfc;#8;#FR|d2afafd3-4c81-4f60-8f52-ee33f2f54ff3;#16;#HU|6b229040-c589-4408-b4c1-4285663d20a8;#28;#BG|1a1b3951-7821-4e6a-85f5-5673fc08bd2c;#40;#HR|2f555653-ed1a-4fe6-8362-9082d95989e5</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2018</vt:i4>
  </property>
  <property fmtid="{D5CDD505-2E9C-101B-9397-08002B2CF9AE}" pid="15" name="DocumentNumber">
    <vt:i4>2821</vt:i4>
  </property>
  <property fmtid="{D5CDD505-2E9C-101B-9397-08002B2CF9AE}" pid="16" name="DocumentVersion">
    <vt:i4>1</vt:i4>
  </property>
  <property fmtid="{D5CDD505-2E9C-101B-9397-08002B2CF9AE}" pid="17" name="DocumentSource">
    <vt:lpwstr>1;#EESC|422833ec-8d7e-4e65-8e4e-8bed07ffb729</vt:lpwstr>
  </property>
  <property fmtid="{D5CDD505-2E9C-101B-9397-08002B2CF9AE}" pid="19" name="DocumentType">
    <vt:lpwstr>25;#TCD|cd9d6eb6-3f4f-424a-b2d1-57c9d450eaaf</vt:lpwstr>
  </property>
  <property fmtid="{D5CDD505-2E9C-101B-9397-08002B2CF9AE}" pid="20" name="DocumentStatus">
    <vt:lpwstr>7;#TRA|150d2a88-1431-44e6-a8ca-0bb753ab8672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8;#FR|d2afafd3-4c81-4f60-8f52-ee33f2f54ff3;#4;#EN|f2175f21-25d7-44a3-96da-d6a61b075e1b</vt:lpwstr>
  </property>
  <property fmtid="{D5CDD505-2E9C-101B-9397-08002B2CF9AE}" pid="28" name="MeetingName">
    <vt:lpwstr>11;#SPL-CES|32d8cb1f-c9ec-4365-95c7-8385a18618ac</vt:lpwstr>
  </property>
  <property fmtid="{D5CDD505-2E9C-101B-9397-08002B2CF9AE}" pid="29" name="DocumentStatus_0">
    <vt:lpwstr>TRA|150d2a88-1431-44e6-a8ca-0bb753ab8672</vt:lpwstr>
  </property>
  <property fmtid="{D5CDD505-2E9C-101B-9397-08002B2CF9AE}" pid="30" name="OriginalLanguage_0">
    <vt:lpwstr>FR|d2afafd3-4c81-4f60-8f52-ee33f2f54ff3;EN|f2175f21-25d7-44a3-96da-d6a61b075e1b</vt:lpwstr>
  </property>
  <property fmtid="{D5CDD505-2E9C-101B-9397-08002B2CF9AE}" pid="31" name="MeetingDate">
    <vt:filetime>2018-07-11T12:00:00Z</vt:filetime>
  </property>
  <property fmtid="{D5CDD505-2E9C-101B-9397-08002B2CF9AE}" pid="32" name="TaxCatchAll">
    <vt:lpwstr>40;#HR|2f555653-ed1a-4fe6-8362-9082d95989e5;#38;#IT|0774613c-01ed-4e5d-a25d-11d2388de825;#37;#LT|a7ff5ce7-6123-4f68-865a-a57c31810414;#33;#EL|6d4f4d51-af9b-4650-94b4-4276bee85c91;#31;#RO|feb747a2-64cd-4299-af12-4833ddc30497;#27;#DE|f6b31e5a-26fa-4935-b661-318e46daf27e;#25;#TCD|cd9d6eb6-3f4f-424a-b2d1-57c9d450eaaf;#24;#PT|50ccc04a-eadd-42ae-a0cb-acaf45f812ba;#22;#FI|87606a43-d45f-42d6-b8c9-e1a3457db5b7;#21;#CS|72f9705b-0217-4fd3-bea2-cbc7ed80e26e;#18;#ES|e7a6b05b-ae16-40c8-add9-68b64b03aeba;#16;#HU|6b229040-c589-4408-b4c1-4285663d20a8;#13;#DA|5d49c027-8956-412b-aa16-e85a0f96ad0e;#11;#SPL-CES|32d8cb1f-c9ec-4365-95c7-8385a18618ac;#8;#FR|d2afafd3-4c81-4f60-8f52-ee33f2f54ff3;#7;#TRA|150d2a88-1431-44e6-a8ca-0bb753ab8672;#6;#Final|ea5e6674-7b27-4bac-b091-73adbb394efe;#5;#Unrestricted|826e22d7-d029-4ec0-a450-0c28ff673572;#4;#EN|f2175f21-25d7-44a3-96da-d6a61b075e1b;#1;#EESC|422833ec-8d7e-4e65-8e4e-8bed07ffb729</vt:lpwstr>
  </property>
  <property fmtid="{D5CDD505-2E9C-101B-9397-08002B2CF9AE}" pid="33" name="AvailableTranslations_0">
    <vt:lpwstr>PT|50ccc04a-eadd-42ae-a0cb-acaf45f812ba;RO|feb747a2-64cd-4299-af12-4833ddc30497;LT|a7ff5ce7-6123-4f68-865a-a57c31810414;EL|6d4f4d51-af9b-4650-94b4-4276bee85c91;CS|72f9705b-0217-4fd3-bea2-cbc7ed80e26e;IT|0774613c-01ed-4e5d-a25d-11d2388de825;ES|e7a6b05b-ae16-40c8-add9-68b64b03aeba;FI|87606a43-d45f-42d6-b8c9-e1a3457db5b7;DA|5d49c027-8956-412b-aa16-e85a0f96ad0e;DE|f6b31e5a-26fa-4935-b661-318e46daf27e;FR|d2afafd3-4c81-4f60-8f52-ee33f2f54ff3;HU|6b229040-c589-4408-b4c1-4285663d20a8;HR|2f555653-ed1a-4fe6-8362-9082d95989e5</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9004</vt:i4>
  </property>
  <property fmtid="{D5CDD505-2E9C-101B-9397-08002B2CF9AE}" pid="37" name="DocumentYear">
    <vt:i4>2018</vt:i4>
  </property>
  <property fmtid="{D5CDD505-2E9C-101B-9397-08002B2CF9AE}" pid="38" name="DocumentLanguage">
    <vt:lpwstr>41;#SV|c2ed69e7-a339-43d7-8f22-d93680a92aa0</vt:lpwstr>
  </property>
</Properties>
</file>